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Form 10-K</w:t>
      </w:r>
    </w:p>
    <w:p>
      <w:pPr>
        <w:spacing w:after="0" w:line="97"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December 31, 2005</w:t>
      </w:r>
    </w:p>
    <w:p>
      <w:pPr>
        <w:spacing w:after="0" w:line="6"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or</w:t>
      </w:r>
    </w:p>
    <w:p>
      <w:pPr>
        <w:spacing w:after="0" w:line="8"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340" w:type="dxa"/>
        <w:tblCellMar>
          <w:top w:w="0" w:type="dxa"/>
          <w:left w:w="0" w:type="dxa"/>
          <w:bottom w:w="0" w:type="dxa"/>
          <w:right w:w="0" w:type="dxa"/>
        </w:tblCellMar>
      </w:tblPr>
      <w:tr>
        <w:trPr>
          <w:trHeight w:val="169"/>
        </w:trPr>
        <w:tc>
          <w:tcPr>
            <w:tcW w:w="3460" w:type="dxa"/>
            <w:vAlign w:val="bottom"/>
          </w:tcPr>
          <w:p>
            <w:pPr>
              <w:ind w:left="1420"/>
              <w:spacing w:after="0"/>
              <w:rPr>
                <w:sz w:val="20"/>
                <w:szCs w:val="20"/>
                <w:color w:val="auto"/>
              </w:rPr>
            </w:pPr>
            <w:r>
              <w:rPr>
                <w:rFonts w:ascii="Arial" w:cs="Arial" w:eastAsia="Arial" w:hAnsi="Arial"/>
                <w:sz w:val="13"/>
                <w:szCs w:val="13"/>
                <w:b w:val="1"/>
                <w:bCs w:val="1"/>
                <w:color w:val="auto"/>
              </w:rPr>
              <w:t>For the transition period from</w:t>
            </w:r>
          </w:p>
        </w:tc>
        <w:tc>
          <w:tcPr>
            <w:tcW w:w="220" w:type="dxa"/>
            <w:vAlign w:val="bottom"/>
          </w:tcPr>
          <w:p>
            <w:pPr>
              <w:spacing w:after="0"/>
              <w:rPr>
                <w:sz w:val="20"/>
                <w:szCs w:val="20"/>
                <w:color w:val="auto"/>
              </w:rPr>
            </w:pPr>
            <w:r>
              <w:rPr>
                <w:rFonts w:ascii="Arial" w:cs="Arial" w:eastAsia="Arial" w:hAnsi="Arial"/>
                <w:sz w:val="13"/>
                <w:szCs w:val="13"/>
                <w:b w:val="1"/>
                <w:bCs w:val="1"/>
                <w:color w:val="auto"/>
              </w:rPr>
              <w:t>to</w:t>
            </w:r>
          </w:p>
        </w:tc>
        <w:tc>
          <w:tcPr>
            <w:tcW w:w="2960" w:type="dxa"/>
            <w:vAlign w:val="bottom"/>
          </w:tcPr>
          <w:p>
            <w:pPr>
              <w:jc w:val="right"/>
              <w:ind w:right="2629"/>
              <w:spacing w:after="0"/>
              <w:rPr>
                <w:sz w:val="20"/>
                <w:szCs w:val="20"/>
                <w:color w:val="auto"/>
              </w:rPr>
            </w:pPr>
            <w:r>
              <w:rPr>
                <w:rFonts w:ascii="Arial" w:cs="Arial" w:eastAsia="Arial" w:hAnsi="Arial"/>
                <w:sz w:val="13"/>
                <w:szCs w:val="13"/>
                <w:b w:val="1"/>
                <w:bCs w:val="1"/>
                <w:color w:val="auto"/>
              </w:rPr>
              <w:t>.</w:t>
            </w:r>
          </w:p>
        </w:tc>
        <w:tc>
          <w:tcPr>
            <w:tcW w:w="1880" w:type="dxa"/>
            <w:vAlign w:val="bottom"/>
          </w:tcPr>
          <w:p>
            <w:pPr>
              <w:spacing w:after="0"/>
              <w:rPr>
                <w:sz w:val="14"/>
                <w:szCs w:val="14"/>
                <w:color w:val="auto"/>
              </w:rPr>
            </w:pPr>
          </w:p>
        </w:tc>
      </w:tr>
      <w:tr>
        <w:trPr>
          <w:trHeight w:val="251"/>
        </w:trPr>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60" w:type="dxa"/>
            <w:vAlign w:val="bottom"/>
          </w:tcPr>
          <w:p>
            <w:pPr>
              <w:jc w:val="center"/>
              <w:ind w:left="389"/>
              <w:spacing w:after="0"/>
              <w:rPr>
                <w:sz w:val="20"/>
                <w:szCs w:val="20"/>
                <w:color w:val="auto"/>
              </w:rPr>
            </w:pPr>
            <w:r>
              <w:rPr>
                <w:rFonts w:ascii="Arial" w:cs="Arial" w:eastAsia="Arial" w:hAnsi="Arial"/>
                <w:sz w:val="13"/>
                <w:szCs w:val="13"/>
                <w:b w:val="1"/>
                <w:bCs w:val="1"/>
                <w:color w:val="auto"/>
                <w:w w:val="91"/>
              </w:rPr>
              <w:t>Commission file number: 000-50865</w:t>
            </w:r>
          </w:p>
        </w:tc>
        <w:tc>
          <w:tcPr>
            <w:tcW w:w="1880" w:type="dxa"/>
            <w:vAlign w:val="bottom"/>
          </w:tcPr>
          <w:p>
            <w:pPr>
              <w:spacing w:after="0"/>
              <w:rPr>
                <w:sz w:val="21"/>
                <w:szCs w:val="21"/>
                <w:color w:val="auto"/>
              </w:rPr>
            </w:pPr>
          </w:p>
        </w:tc>
      </w:tr>
      <w:tr>
        <w:trPr>
          <w:trHeight w:val="441"/>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gridSpan w:val="2"/>
          </w:tcPr>
          <w:p>
            <w:pPr>
              <w:jc w:val="center"/>
              <w:ind w:right="1340"/>
              <w:spacing w:after="0"/>
              <w:rPr>
                <w:sz w:val="20"/>
                <w:szCs w:val="20"/>
                <w:color w:val="auto"/>
              </w:rPr>
            </w:pPr>
            <w:r>
              <w:rPr>
                <w:rFonts w:ascii="Arial" w:cs="Arial" w:eastAsia="Arial" w:hAnsi="Arial"/>
                <w:sz w:val="31"/>
                <w:szCs w:val="31"/>
                <w:b w:val="1"/>
                <w:bCs w:val="1"/>
                <w:color w:val="auto"/>
                <w:w w:val="96"/>
              </w:rPr>
              <w:t>MannKind Corporation</w:t>
            </w:r>
          </w:p>
        </w:tc>
      </w:tr>
      <w:tr>
        <w:trPr>
          <w:trHeight w:val="131"/>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60" w:type="dxa"/>
            <w:vAlign w:val="bottom"/>
          </w:tcPr>
          <w:p>
            <w:pPr>
              <w:jc w:val="center"/>
              <w:ind w:left="389"/>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1880" w:type="dxa"/>
            <w:vAlign w:val="bottom"/>
          </w:tcPr>
          <w:p>
            <w:pPr>
              <w:spacing w:after="0"/>
              <w:rPr>
                <w:sz w:val="11"/>
                <w:szCs w:val="11"/>
                <w:color w:val="auto"/>
              </w:rPr>
            </w:pPr>
          </w:p>
        </w:tc>
      </w:tr>
      <w:tr>
        <w:trPr>
          <w:trHeight w:val="232"/>
        </w:trPr>
        <w:tc>
          <w:tcPr>
            <w:tcW w:w="3460" w:type="dxa"/>
            <w:vAlign w:val="bottom"/>
          </w:tcPr>
          <w:p>
            <w:pPr>
              <w:jc w:val="center"/>
              <w:ind w:left="1899"/>
              <w:spacing w:after="0"/>
              <w:rPr>
                <w:sz w:val="20"/>
                <w:szCs w:val="20"/>
                <w:color w:val="auto"/>
              </w:rPr>
            </w:pPr>
            <w:r>
              <w:rPr>
                <w:rFonts w:ascii="Arial" w:cs="Arial" w:eastAsia="Arial" w:hAnsi="Arial"/>
                <w:sz w:val="13"/>
                <w:szCs w:val="13"/>
                <w:b w:val="1"/>
                <w:bCs w:val="1"/>
                <w:color w:val="auto"/>
                <w:w w:val="94"/>
              </w:rPr>
              <w:t>Delaware</w:t>
            </w: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3"/>
                <w:szCs w:val="13"/>
                <w:b w:val="1"/>
                <w:bCs w:val="1"/>
                <w:color w:val="auto"/>
              </w:rPr>
              <w:t>13-3607736</w:t>
            </w:r>
          </w:p>
        </w:tc>
      </w:tr>
      <w:tr>
        <w:trPr>
          <w:trHeight w:val="108"/>
        </w:trPr>
        <w:tc>
          <w:tcPr>
            <w:tcW w:w="3460" w:type="dxa"/>
            <w:vAlign w:val="bottom"/>
          </w:tcPr>
          <w:p>
            <w:pPr>
              <w:jc w:val="center"/>
              <w:ind w:left="1899"/>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2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880" w:type="dxa"/>
            <w:vAlign w:val="bottom"/>
          </w:tcPr>
          <w:p>
            <w:pPr>
              <w:jc w:val="center"/>
              <w:ind w:left="108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3460" w:type="dxa"/>
            <w:vAlign w:val="bottom"/>
          </w:tcPr>
          <w:p>
            <w:pPr>
              <w:jc w:val="center"/>
              <w:ind w:left="1899"/>
              <w:spacing w:after="0"/>
              <w:rPr>
                <w:sz w:val="20"/>
                <w:szCs w:val="20"/>
                <w:color w:val="auto"/>
              </w:rPr>
            </w:pPr>
            <w:r>
              <w:rPr>
                <w:rFonts w:ascii="Arial" w:cs="Arial" w:eastAsia="Arial" w:hAnsi="Arial"/>
                <w:sz w:val="10"/>
                <w:szCs w:val="10"/>
                <w:i w:val="1"/>
                <w:iCs w:val="1"/>
                <w:color w:val="auto"/>
                <w:w w:val="99"/>
              </w:rPr>
              <w:t>incorporation or organization)</w:t>
            </w:r>
          </w:p>
        </w:tc>
        <w:tc>
          <w:tcPr>
            <w:tcW w:w="2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80" w:type="dxa"/>
            <w:vAlign w:val="bottom"/>
          </w:tcPr>
          <w:p>
            <w:pPr>
              <w:jc w:val="center"/>
              <w:ind w:left="1060"/>
              <w:spacing w:after="0"/>
              <w:rPr>
                <w:sz w:val="20"/>
                <w:szCs w:val="20"/>
                <w:color w:val="auto"/>
              </w:rPr>
            </w:pPr>
            <w:r>
              <w:rPr>
                <w:rFonts w:ascii="Arial" w:cs="Arial" w:eastAsia="Arial" w:hAnsi="Arial"/>
                <w:sz w:val="10"/>
                <w:szCs w:val="10"/>
                <w:i w:val="1"/>
                <w:iCs w:val="1"/>
                <w:color w:val="auto"/>
                <w:w w:val="97"/>
              </w:rPr>
              <w:t>Identification No.)</w:t>
            </w:r>
          </w:p>
        </w:tc>
      </w:tr>
      <w:tr>
        <w:trPr>
          <w:trHeight w:val="213"/>
        </w:trPr>
        <w:tc>
          <w:tcPr>
            <w:tcW w:w="3460" w:type="dxa"/>
            <w:vAlign w:val="bottom"/>
          </w:tcPr>
          <w:p>
            <w:pPr>
              <w:jc w:val="center"/>
              <w:ind w:left="1879"/>
              <w:spacing w:after="0"/>
              <w:rPr>
                <w:sz w:val="20"/>
                <w:szCs w:val="20"/>
                <w:color w:val="auto"/>
              </w:rPr>
            </w:pPr>
            <w:r>
              <w:rPr>
                <w:rFonts w:ascii="Arial" w:cs="Arial" w:eastAsia="Arial" w:hAnsi="Arial"/>
                <w:sz w:val="13"/>
                <w:szCs w:val="13"/>
                <w:b w:val="1"/>
                <w:bCs w:val="1"/>
                <w:color w:val="auto"/>
                <w:w w:val="90"/>
              </w:rPr>
              <w:t>28903 North Avenue Paine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80" w:type="dxa"/>
            <w:vAlign w:val="bottom"/>
          </w:tcPr>
          <w:p>
            <w:pPr>
              <w:jc w:val="right"/>
              <w:ind w:right="160"/>
              <w:spacing w:after="0"/>
              <w:rPr>
                <w:sz w:val="20"/>
                <w:szCs w:val="20"/>
                <w:color w:val="auto"/>
              </w:rPr>
            </w:pPr>
            <w:r>
              <w:rPr>
                <w:rFonts w:ascii="Arial" w:cs="Arial" w:eastAsia="Arial" w:hAnsi="Arial"/>
                <w:sz w:val="13"/>
                <w:szCs w:val="13"/>
                <w:b w:val="1"/>
                <w:bCs w:val="1"/>
                <w:color w:val="auto"/>
              </w:rPr>
              <w:t>91355</w:t>
            </w:r>
          </w:p>
        </w:tc>
      </w:tr>
      <w:tr>
        <w:trPr>
          <w:trHeight w:val="157"/>
        </w:trPr>
        <w:tc>
          <w:tcPr>
            <w:tcW w:w="3460" w:type="dxa"/>
            <w:vAlign w:val="bottom"/>
          </w:tcPr>
          <w:p>
            <w:pPr>
              <w:jc w:val="center"/>
              <w:ind w:left="1879"/>
              <w:spacing w:after="0"/>
              <w:rPr>
                <w:sz w:val="20"/>
                <w:szCs w:val="20"/>
                <w:color w:val="auto"/>
              </w:rPr>
            </w:pPr>
            <w:r>
              <w:rPr>
                <w:rFonts w:ascii="Arial" w:cs="Arial" w:eastAsia="Arial" w:hAnsi="Arial"/>
                <w:sz w:val="13"/>
                <w:szCs w:val="13"/>
                <w:b w:val="1"/>
                <w:bCs w:val="1"/>
                <w:color w:val="auto"/>
                <w:w w:val="93"/>
              </w:rPr>
              <w:t>Valencia, California</w:t>
            </w:r>
          </w:p>
        </w:tc>
        <w:tc>
          <w:tcPr>
            <w:tcW w:w="2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80" w:type="dxa"/>
            <w:vAlign w:val="bottom"/>
          </w:tcPr>
          <w:p>
            <w:pPr>
              <w:jc w:val="center"/>
              <w:ind w:left="1060"/>
              <w:spacing w:after="0"/>
              <w:rPr>
                <w:sz w:val="20"/>
                <w:szCs w:val="20"/>
                <w:color w:val="auto"/>
              </w:rPr>
            </w:pPr>
            <w:r>
              <w:rPr>
                <w:rFonts w:ascii="Arial" w:cs="Arial" w:eastAsia="Arial" w:hAnsi="Arial"/>
                <w:sz w:val="10"/>
                <w:szCs w:val="10"/>
                <w:i w:val="1"/>
                <w:iCs w:val="1"/>
                <w:color w:val="auto"/>
                <w:w w:val="93"/>
              </w:rPr>
              <w:t>(Zip Code)</w:t>
            </w:r>
          </w:p>
        </w:tc>
      </w:tr>
      <w:tr>
        <w:trPr>
          <w:trHeight w:val="131"/>
        </w:trPr>
        <w:tc>
          <w:tcPr>
            <w:tcW w:w="3680" w:type="dxa"/>
            <w:vAlign w:val="bottom"/>
            <w:gridSpan w:val="2"/>
          </w:tcPr>
          <w:p>
            <w:pPr>
              <w:jc w:val="center"/>
              <w:ind w:left="1659"/>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296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223"/>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gridSpan w:val="2"/>
          </w:tcPr>
          <w:p>
            <w:pPr>
              <w:jc w:val="center"/>
              <w:ind w:right="1360"/>
              <w:spacing w:after="0"/>
              <w:rPr>
                <w:sz w:val="20"/>
                <w:szCs w:val="20"/>
                <w:color w:val="auto"/>
              </w:rPr>
            </w:pPr>
            <w:r>
              <w:rPr>
                <w:rFonts w:ascii="Arial" w:cs="Arial" w:eastAsia="Arial" w:hAnsi="Arial"/>
                <w:sz w:val="13"/>
                <w:szCs w:val="13"/>
                <w:b w:val="1"/>
                <w:bCs w:val="1"/>
                <w:color w:val="auto"/>
                <w:w w:val="89"/>
              </w:rPr>
              <w:t>Registrant’s telephone number, including area code</w:t>
            </w:r>
          </w:p>
        </w:tc>
      </w:tr>
      <w:tr>
        <w:trPr>
          <w:trHeight w:val="169"/>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tcPr>
          <w:p>
            <w:pPr>
              <w:jc w:val="center"/>
              <w:ind w:left="389"/>
              <w:spacing w:after="0"/>
              <w:rPr>
                <w:sz w:val="20"/>
                <w:szCs w:val="20"/>
                <w:color w:val="auto"/>
              </w:rPr>
            </w:pPr>
            <w:r>
              <w:rPr>
                <w:rFonts w:ascii="Arial" w:cs="Arial" w:eastAsia="Arial" w:hAnsi="Arial"/>
                <w:sz w:val="13"/>
                <w:szCs w:val="13"/>
                <w:b w:val="1"/>
                <w:bCs w:val="1"/>
                <w:color w:val="auto"/>
                <w:w w:val="92"/>
              </w:rPr>
              <w:t>(661) 775-5300</w:t>
            </w:r>
          </w:p>
        </w:tc>
        <w:tc>
          <w:tcPr>
            <w:tcW w:w="1880" w:type="dxa"/>
            <w:vAlign w:val="bottom"/>
          </w:tcPr>
          <w:p>
            <w:pPr>
              <w:spacing w:after="0"/>
              <w:rPr>
                <w:sz w:val="14"/>
                <w:szCs w:val="14"/>
                <w:color w:val="auto"/>
              </w:rPr>
            </w:pPr>
          </w:p>
        </w:tc>
      </w:tr>
      <w:tr>
        <w:trPr>
          <w:trHeight w:val="234"/>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r>
      <w:tr>
        <w:trPr>
          <w:trHeight w:val="169"/>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tcPr>
          <w:p>
            <w:pPr>
              <w:jc w:val="center"/>
              <w:ind w:left="389"/>
              <w:spacing w:after="0"/>
              <w:rPr>
                <w:sz w:val="20"/>
                <w:szCs w:val="20"/>
                <w:color w:val="auto"/>
              </w:rPr>
            </w:pPr>
            <w:r>
              <w:rPr>
                <w:rFonts w:ascii="Arial" w:cs="Arial" w:eastAsia="Arial" w:hAnsi="Arial"/>
                <w:sz w:val="13"/>
                <w:szCs w:val="13"/>
                <w:b w:val="1"/>
                <w:bCs w:val="1"/>
                <w:color w:val="auto"/>
                <w:w w:val="92"/>
              </w:rPr>
              <w:t>None</w:t>
            </w:r>
          </w:p>
        </w:tc>
        <w:tc>
          <w:tcPr>
            <w:tcW w:w="1880" w:type="dxa"/>
            <w:vAlign w:val="bottom"/>
          </w:tcPr>
          <w:p>
            <w:pPr>
              <w:spacing w:after="0"/>
              <w:rPr>
                <w:sz w:val="14"/>
                <w:szCs w:val="14"/>
                <w:color w:val="auto"/>
              </w:rPr>
            </w:pPr>
          </w:p>
        </w:tc>
      </w:tr>
      <w:tr>
        <w:trPr>
          <w:trHeight w:val="234"/>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r>
      <w:tr>
        <w:trPr>
          <w:trHeight w:val="157"/>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tcPr>
          <w:p>
            <w:pPr>
              <w:jc w:val="center"/>
              <w:ind w:left="389"/>
              <w:spacing w:after="0"/>
              <w:rPr>
                <w:sz w:val="20"/>
                <w:szCs w:val="20"/>
                <w:color w:val="auto"/>
              </w:rPr>
            </w:pPr>
            <w:r>
              <w:rPr>
                <w:rFonts w:ascii="Arial" w:cs="Arial" w:eastAsia="Arial" w:hAnsi="Arial"/>
                <w:sz w:val="13"/>
                <w:szCs w:val="13"/>
                <w:b w:val="1"/>
                <w:bCs w:val="1"/>
                <w:color w:val="auto"/>
                <w:w w:val="90"/>
              </w:rPr>
              <w:t>Common Stock, par value $0.01 per share</w:t>
            </w:r>
          </w:p>
        </w:tc>
        <w:tc>
          <w:tcPr>
            <w:tcW w:w="1880" w:type="dxa"/>
            <w:vAlign w:val="bottom"/>
          </w:tcPr>
          <w:p>
            <w:pPr>
              <w:spacing w:after="0"/>
              <w:rPr>
                <w:sz w:val="13"/>
                <w:szCs w:val="13"/>
                <w:color w:val="auto"/>
              </w:rPr>
            </w:pPr>
          </w:p>
        </w:tc>
      </w:tr>
      <w:tr>
        <w:trPr>
          <w:trHeight w:val="131"/>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60" w:type="dxa"/>
            <w:vAlign w:val="bottom"/>
          </w:tcPr>
          <w:p>
            <w:pPr>
              <w:jc w:val="center"/>
              <w:ind w:left="409"/>
              <w:spacing w:after="0"/>
              <w:rPr>
                <w:sz w:val="20"/>
                <w:szCs w:val="20"/>
                <w:color w:val="auto"/>
              </w:rPr>
            </w:pPr>
            <w:r>
              <w:rPr>
                <w:rFonts w:ascii="Arial" w:cs="Arial" w:eastAsia="Arial" w:hAnsi="Arial"/>
                <w:sz w:val="10"/>
                <w:szCs w:val="10"/>
                <w:i w:val="1"/>
                <w:iCs w:val="1"/>
                <w:color w:val="auto"/>
                <w:w w:val="96"/>
              </w:rPr>
              <w:t>(Title of class)</w:t>
            </w:r>
          </w:p>
        </w:tc>
        <w:tc>
          <w:tcPr>
            <w:tcW w:w="1880" w:type="dxa"/>
            <w:vAlign w:val="bottom"/>
          </w:tcPr>
          <w:p>
            <w:pPr>
              <w:spacing w:after="0"/>
              <w:rPr>
                <w:sz w:val="11"/>
                <w:szCs w:val="11"/>
                <w:color w:val="auto"/>
              </w:rPr>
            </w:pPr>
          </w:p>
        </w:tc>
      </w:tr>
      <w:tr>
        <w:trPr>
          <w:trHeight w:val="250"/>
        </w:trPr>
        <w:tc>
          <w:tcPr>
            <w:tcW w:w="6640" w:type="dxa"/>
            <w:vAlign w:val="bottom"/>
            <w:gridSpan w:val="3"/>
          </w:tcPr>
          <w:p>
            <w:pPr>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188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46"/>
        </w:trPr>
        <w:tc>
          <w:tcPr>
            <w:tcW w:w="6640" w:type="dxa"/>
            <w:vAlign w:val="bottom"/>
            <w:gridSpan w:val="3"/>
          </w:tcPr>
          <w:p>
            <w:pPr>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188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340"/>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40"/>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Act. (Check one):</w:t>
      </w:r>
    </w:p>
    <w:p>
      <w:pPr>
        <w:spacing w:after="0" w:line="5" w:lineRule="exact"/>
        <w:rPr>
          <w:sz w:val="20"/>
          <w:szCs w:val="20"/>
          <w:color w:val="auto"/>
        </w:rPr>
      </w:pPr>
    </w:p>
    <w:p>
      <w:pPr>
        <w:ind w:left="340" w:right="3400" w:firstLine="3477"/>
        <w:spacing w:after="0" w:line="211" w:lineRule="exact"/>
        <w:rPr>
          <w:sz w:val="20"/>
          <w:szCs w:val="20"/>
          <w:color w:val="auto"/>
        </w:rPr>
      </w:pPr>
      <w:r>
        <w:rPr>
          <w:rFonts w:ascii="Arial" w:cs="Arial" w:eastAsia="Arial" w:hAnsi="Arial"/>
          <w:sz w:val="13"/>
          <w:szCs w:val="13"/>
          <w:color w:val="auto"/>
        </w:rPr>
        <w:t xml:space="preserve">Large accelerated filer o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o Indicate by check mark whether the registrant is a shell company (as defined in Rule 12b-2 of the Act). Yes o No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340"/>
        <w:spacing w:after="0" w:line="276" w:lineRule="auto"/>
        <w:rPr>
          <w:sz w:val="20"/>
          <w:szCs w:val="20"/>
          <w:color w:val="auto"/>
        </w:rPr>
      </w:pPr>
      <w:r>
        <w:rPr>
          <w:rFonts w:ascii="Arial" w:cs="Arial" w:eastAsia="Arial" w:hAnsi="Arial"/>
          <w:sz w:val="13"/>
          <w:szCs w:val="13"/>
          <w:color w:val="auto"/>
        </w:rPr>
        <w:t>As of June 30, 2005, the aggregate market value of the voting stock held by non — affiliates of the registrant, computed by reference to the last sale price of such stock as of such date on the Nasdaq National Market, was approximately $167,548,444.</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March 8, 2006, there were 49,510,109 shares of the registrant’s Common Stock outstanding.</w:t>
      </w:r>
    </w:p>
    <w:p>
      <w:pPr>
        <w:spacing w:after="0" w:line="9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340" w:right="200"/>
        <w:spacing w:after="0" w:line="276" w:lineRule="auto"/>
        <w:rPr>
          <w:sz w:val="20"/>
          <w:szCs w:val="20"/>
          <w:color w:val="auto"/>
        </w:rPr>
      </w:pPr>
      <w:r>
        <w:rPr>
          <w:rFonts w:ascii="Arial" w:cs="Arial" w:eastAsia="Arial" w:hAnsi="Arial"/>
          <w:sz w:val="13"/>
          <w:szCs w:val="13"/>
          <w:color w:val="auto"/>
        </w:rPr>
        <w:t>Portions of the registrant’s definitive Proxy Statement for the 2006 Annual Meeting of Stockholders to be filed with the Securities and Exchange Commission pursuant to Regulation 14A not later than 120 days after the end of the fiscal year covered by this Form 10-K, are incorporated by reference in Part III, Items 10-14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61595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40"/>
          </w:cols>
          <w:pgMar w:left="220" w:top="127"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gridSpan w:val="5"/>
          </w:tcPr>
          <w:p>
            <w:pPr>
              <w:jc w:val="center"/>
              <w:ind w:right="3700"/>
              <w:spacing w:after="0"/>
              <w:rPr>
                <w:sz w:val="20"/>
                <w:szCs w:val="20"/>
                <w:color w:val="auto"/>
              </w:rPr>
            </w:pPr>
            <w:r>
              <w:rPr>
                <w:rFonts w:ascii="Arial" w:cs="Arial" w:eastAsia="Arial" w:hAnsi="Arial"/>
                <w:sz w:val="13"/>
                <w:szCs w:val="13"/>
                <w:b w:val="1"/>
                <w:bCs w:val="1"/>
                <w:color w:val="auto"/>
              </w:rPr>
              <w:t>MANNKIND CORPORATION</w:t>
            </w:r>
          </w:p>
        </w:tc>
        <w:tc>
          <w:tcPr>
            <w:tcW w:w="380" w:type="dxa"/>
            <w:vAlign w:val="bottom"/>
          </w:tcPr>
          <w:p>
            <w:pPr>
              <w:spacing w:after="0"/>
              <w:rPr>
                <w:sz w:val="14"/>
                <w:szCs w:val="14"/>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5"/>
          </w:tcPr>
          <w:p>
            <w:pPr>
              <w:jc w:val="center"/>
              <w:ind w:right="3720"/>
              <w:spacing w:after="0"/>
              <w:rPr>
                <w:sz w:val="20"/>
                <w:szCs w:val="20"/>
                <w:color w:val="auto"/>
              </w:rPr>
            </w:pPr>
            <w:r>
              <w:rPr>
                <w:rFonts w:ascii="Arial" w:cs="Arial" w:eastAsia="Arial" w:hAnsi="Arial"/>
                <w:sz w:val="13"/>
                <w:szCs w:val="13"/>
                <w:b w:val="1"/>
                <w:bCs w:val="1"/>
                <w:color w:val="auto"/>
                <w:w w:val="93"/>
              </w:rPr>
              <w:t>Annual Report on Form 10-K</w:t>
            </w:r>
          </w:p>
        </w:tc>
        <w:tc>
          <w:tcPr>
            <w:tcW w:w="380" w:type="dxa"/>
            <w:vAlign w:val="bottom"/>
          </w:tcPr>
          <w:p>
            <w:pPr>
              <w:spacing w:after="0"/>
              <w:rPr>
                <w:sz w:val="20"/>
                <w:szCs w:val="20"/>
                <w:color w:val="auto"/>
              </w:rPr>
            </w:pPr>
          </w:p>
        </w:tc>
      </w:t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40" w:type="dxa"/>
            <w:vAlign w:val="bottom"/>
            <w:gridSpan w:val="9"/>
          </w:tcPr>
          <w:p>
            <w:pPr>
              <w:jc w:val="center"/>
              <w:ind w:right="3260"/>
              <w:spacing w:after="0"/>
              <w:rPr>
                <w:sz w:val="20"/>
                <w:szCs w:val="20"/>
                <w:color w:val="auto"/>
              </w:rPr>
            </w:pPr>
            <w:r>
              <w:rPr>
                <w:rFonts w:ascii="Arial" w:cs="Arial" w:eastAsia="Arial" w:hAnsi="Arial"/>
                <w:sz w:val="13"/>
                <w:szCs w:val="13"/>
                <w:b w:val="1"/>
                <w:bCs w:val="1"/>
                <w:color w:val="auto"/>
                <w:w w:val="91"/>
              </w:rPr>
              <w:t>For the Fiscal Year Ended December 31, 2005</w:t>
            </w:r>
          </w:p>
        </w:tc>
        <w:tc>
          <w:tcPr>
            <w:tcW w:w="38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00" w:type="dxa"/>
            <w:vAlign w:val="bottom"/>
            <w:gridSpan w:val="5"/>
          </w:tcPr>
          <w:p>
            <w:pPr>
              <w:jc w:val="center"/>
              <w:ind w:right="3700"/>
              <w:spacing w:after="0"/>
              <w:rPr>
                <w:sz w:val="20"/>
                <w:szCs w:val="20"/>
                <w:color w:val="auto"/>
              </w:rPr>
            </w:pPr>
            <w:r>
              <w:rPr>
                <w:rFonts w:ascii="Arial" w:cs="Arial" w:eastAsia="Arial" w:hAnsi="Arial"/>
                <w:sz w:val="13"/>
                <w:szCs w:val="13"/>
                <w:b w:val="1"/>
                <w:bCs w:val="1"/>
                <w:color w:val="auto"/>
                <w:w w:val="99"/>
              </w:rPr>
              <w:t>TABLE OF CONTENTS</w:t>
            </w:r>
          </w:p>
        </w:tc>
        <w:tc>
          <w:tcPr>
            <w:tcW w:w="38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Page</w:t>
            </w:r>
          </w:p>
        </w:tc>
      </w:tr>
      <w:tr>
        <w:trPr>
          <w:trHeight w:val="157"/>
        </w:trPr>
        <w:tc>
          <w:tcPr>
            <w:tcW w:w="380" w:type="dxa"/>
            <w:vAlign w:val="bottom"/>
            <w:tcBorders>
              <w:bottom w:val="single" w:sz="8" w:color="0000EE"/>
            </w:tcBorders>
            <w:gridSpan w:val="2"/>
          </w:tcPr>
          <w:p>
            <w:pPr>
              <w:spacing w:after="0"/>
              <w:rPr>
                <w:rFonts w:ascii="Arial" w:cs="Arial" w:eastAsia="Arial" w:hAnsi="Arial"/>
                <w:sz w:val="13"/>
                <w:szCs w:val="13"/>
                <w:b w:val="1"/>
                <w:bCs w:val="1"/>
                <w:color w:val="0000EE"/>
                <w:w w:val="79"/>
              </w:rPr>
            </w:pPr>
            <w:hyperlink w:anchor="page4">
              <w:r>
                <w:rPr>
                  <w:rFonts w:ascii="Arial" w:cs="Arial" w:eastAsia="Arial" w:hAnsi="Arial"/>
                  <w:sz w:val="13"/>
                  <w:szCs w:val="13"/>
                  <w:b w:val="1"/>
                  <w:bCs w:val="1"/>
                  <w:color w:val="0000EE"/>
                  <w:w w:val="79"/>
                </w:rPr>
                <w:t>PART I</w:t>
              </w:r>
            </w:hyperlink>
          </w:p>
        </w:tc>
        <w:tc>
          <w:tcPr>
            <w:tcW w:w="740" w:type="dxa"/>
            <w:vAlign w:val="bottom"/>
            <w:gridSpan w:val="8"/>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4">
              <w:r>
                <w:rPr>
                  <w:rFonts w:ascii="Arial" w:cs="Arial" w:eastAsia="Arial" w:hAnsi="Arial"/>
                  <w:sz w:val="13"/>
                  <w:szCs w:val="13"/>
                  <w:color w:val="0000EE"/>
                  <w:w w:val="85"/>
                </w:rPr>
                <w:t>Item 1.</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60" w:type="dxa"/>
            <w:vAlign w:val="bottom"/>
            <w:gridSpan w:val="3"/>
          </w:tcPr>
          <w:p>
            <w:pPr>
              <w:spacing w:after="0" w:line="138" w:lineRule="exact"/>
              <w:rPr>
                <w:rFonts w:ascii="Arial" w:cs="Arial" w:eastAsia="Arial" w:hAnsi="Arial"/>
                <w:sz w:val="13"/>
                <w:szCs w:val="13"/>
                <w:color w:val="0000EE"/>
                <w:w w:val="86"/>
              </w:rPr>
            </w:pPr>
            <w:hyperlink w:anchor="page29">
              <w:r>
                <w:rPr>
                  <w:rFonts w:ascii="Arial" w:cs="Arial" w:eastAsia="Arial" w:hAnsi="Arial"/>
                  <w:sz w:val="13"/>
                  <w:szCs w:val="13"/>
                  <w:color w:val="0000EE"/>
                  <w:w w:val="86"/>
                </w:rPr>
                <w:t>Item 1A.</w:t>
              </w:r>
            </w:hyperlink>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Risk Factors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60" w:type="dxa"/>
            <w:vAlign w:val="bottom"/>
            <w:gridSpan w:val="3"/>
          </w:tcPr>
          <w:p>
            <w:pPr>
              <w:spacing w:after="0" w:line="138" w:lineRule="exact"/>
              <w:rPr>
                <w:rFonts w:ascii="Arial" w:cs="Arial" w:eastAsia="Arial" w:hAnsi="Arial"/>
                <w:sz w:val="13"/>
                <w:szCs w:val="13"/>
                <w:color w:val="0000EE"/>
                <w:w w:val="86"/>
              </w:rPr>
            </w:pPr>
            <w:hyperlink w:anchor="page48">
              <w:r>
                <w:rPr>
                  <w:rFonts w:ascii="Arial" w:cs="Arial" w:eastAsia="Arial" w:hAnsi="Arial"/>
                  <w:sz w:val="13"/>
                  <w:szCs w:val="13"/>
                  <w:color w:val="0000EE"/>
                  <w:w w:val="86"/>
                </w:rPr>
                <w:t>Item 1B.</w:t>
              </w:r>
            </w:hyperlink>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Unresolved Staff Comments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48">
              <w:r>
                <w:rPr>
                  <w:rFonts w:ascii="Arial" w:cs="Arial" w:eastAsia="Arial" w:hAnsi="Arial"/>
                  <w:sz w:val="13"/>
                  <w:szCs w:val="13"/>
                  <w:color w:val="0000EE"/>
                  <w:w w:val="85"/>
                </w:rPr>
                <w:t>Item 2.</w:t>
              </w:r>
            </w:hyperlink>
          </w:p>
        </w:tc>
        <w:tc>
          <w:tcPr>
            <w:tcW w:w="80" w:type="dxa"/>
            <w:vAlign w:val="bottom"/>
          </w:tcPr>
          <w:p>
            <w:pPr>
              <w:spacing w:after="0"/>
              <w:rPr>
                <w:sz w:val="11"/>
                <w:szCs w:val="11"/>
                <w:color w:val="auto"/>
              </w:rPr>
            </w:pPr>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Properties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48">
              <w:r>
                <w:rPr>
                  <w:rFonts w:ascii="Arial" w:cs="Arial" w:eastAsia="Arial" w:hAnsi="Arial"/>
                  <w:sz w:val="13"/>
                  <w:szCs w:val="13"/>
                  <w:color w:val="0000EE"/>
                  <w:w w:val="85"/>
                </w:rPr>
                <w:t>Item 3.</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Legal Proceedings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49">
              <w:r>
                <w:rPr>
                  <w:rFonts w:ascii="Arial" w:cs="Arial" w:eastAsia="Arial" w:hAnsi="Arial"/>
                  <w:sz w:val="13"/>
                  <w:szCs w:val="13"/>
                  <w:color w:val="0000EE"/>
                  <w:w w:val="85"/>
                </w:rPr>
                <w:t>Item 4.</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Submission of Matters to a Vote of Security Holders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48</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5"/>
        </w:trPr>
        <w:tc>
          <w:tcPr>
            <w:tcW w:w="500" w:type="dxa"/>
            <w:vAlign w:val="bottom"/>
            <w:tcBorders>
              <w:bottom w:val="single" w:sz="8" w:color="0000EE"/>
            </w:tcBorders>
            <w:gridSpan w:val="4"/>
          </w:tcPr>
          <w:p>
            <w:pPr>
              <w:spacing w:after="0"/>
              <w:rPr>
                <w:rFonts w:ascii="Arial" w:cs="Arial" w:eastAsia="Arial" w:hAnsi="Arial"/>
                <w:sz w:val="13"/>
                <w:szCs w:val="13"/>
                <w:b w:val="1"/>
                <w:bCs w:val="1"/>
                <w:color w:val="0000EE"/>
              </w:rPr>
            </w:pPr>
            <w:hyperlink w:anchor="page49">
              <w:r>
                <w:rPr>
                  <w:rFonts w:ascii="Arial" w:cs="Arial" w:eastAsia="Arial" w:hAnsi="Arial"/>
                  <w:sz w:val="13"/>
                  <w:szCs w:val="13"/>
                  <w:b w:val="1"/>
                  <w:bCs w:val="1"/>
                  <w:color w:val="0000EE"/>
                </w:rPr>
                <w:t>PART II</w:t>
              </w:r>
            </w:hyperlink>
          </w:p>
        </w:tc>
        <w:tc>
          <w:tcPr>
            <w:tcW w:w="620" w:type="dxa"/>
            <w:vAlign w:val="bottom"/>
            <w:gridSpan w:val="6"/>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49">
              <w:r>
                <w:rPr>
                  <w:rFonts w:ascii="Arial" w:cs="Arial" w:eastAsia="Arial" w:hAnsi="Arial"/>
                  <w:sz w:val="13"/>
                  <w:szCs w:val="13"/>
                  <w:color w:val="0000EE"/>
                  <w:w w:val="85"/>
                </w:rPr>
                <w:t>Item 5.</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Market for the Registrant’s Common Equity, Related Stockholder Matters and Issuer Purchases of Equity Securities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48</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51">
              <w:r>
                <w:rPr>
                  <w:rFonts w:ascii="Arial" w:cs="Arial" w:eastAsia="Arial" w:hAnsi="Arial"/>
                  <w:sz w:val="13"/>
                  <w:szCs w:val="13"/>
                  <w:color w:val="0000EE"/>
                  <w:w w:val="85"/>
                </w:rPr>
                <w:t>Item 6.</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Selected Financial Data</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51">
              <w:r>
                <w:rPr>
                  <w:rFonts w:ascii="Arial" w:cs="Arial" w:eastAsia="Arial" w:hAnsi="Arial"/>
                  <w:sz w:val="13"/>
                  <w:szCs w:val="13"/>
                  <w:color w:val="0000EE"/>
                  <w:w w:val="85"/>
                </w:rPr>
                <w:t>Item 7.</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Management’s Discussion and Analysis of Financial Condition and Results of Operations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60" w:type="dxa"/>
            <w:vAlign w:val="bottom"/>
            <w:gridSpan w:val="3"/>
          </w:tcPr>
          <w:p>
            <w:pPr>
              <w:spacing w:after="0" w:line="138" w:lineRule="exact"/>
              <w:rPr>
                <w:rFonts w:ascii="Arial" w:cs="Arial" w:eastAsia="Arial" w:hAnsi="Arial"/>
                <w:sz w:val="13"/>
                <w:szCs w:val="13"/>
                <w:color w:val="0000EE"/>
                <w:w w:val="86"/>
              </w:rPr>
            </w:pPr>
            <w:hyperlink w:anchor="page61">
              <w:r>
                <w:rPr>
                  <w:rFonts w:ascii="Arial" w:cs="Arial" w:eastAsia="Arial" w:hAnsi="Arial"/>
                  <w:sz w:val="13"/>
                  <w:szCs w:val="13"/>
                  <w:color w:val="0000EE"/>
                  <w:w w:val="86"/>
                </w:rPr>
                <w:t>Item 7A.</w:t>
              </w:r>
            </w:hyperlink>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Quantitative and Qualitative Disclosures About Market Risk</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85"/>
              </w:rPr>
            </w:pPr>
            <w:hyperlink w:anchor="page61">
              <w:r>
                <w:rPr>
                  <w:rFonts w:ascii="Arial" w:cs="Arial" w:eastAsia="Arial" w:hAnsi="Arial"/>
                  <w:sz w:val="13"/>
                  <w:szCs w:val="13"/>
                  <w:color w:val="0000EE"/>
                  <w:w w:val="85"/>
                </w:rPr>
                <w:t>Item 8.</w:t>
              </w:r>
            </w:hyperlink>
          </w:p>
        </w:tc>
        <w:tc>
          <w:tcPr>
            <w:tcW w:w="80" w:type="dxa"/>
            <w:vAlign w:val="bottom"/>
          </w:tcPr>
          <w:p>
            <w:pPr>
              <w:spacing w:after="0"/>
              <w:rPr>
                <w:sz w:val="11"/>
                <w:szCs w:val="11"/>
                <w:color w:val="auto"/>
              </w:rPr>
            </w:pPr>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Financial Statements and Supplementary Data</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0"/>
          </w:tcPr>
          <w:p>
            <w:pPr>
              <w:ind w:left="240"/>
              <w:spacing w:after="0"/>
              <w:rPr>
                <w:sz w:val="20"/>
                <w:szCs w:val="20"/>
                <w:color w:val="auto"/>
              </w:rPr>
            </w:pPr>
            <w:r>
              <w:rPr>
                <w:rFonts w:ascii="Arial" w:cs="Arial" w:eastAsia="Arial" w:hAnsi="Arial"/>
                <w:sz w:val="13"/>
                <w:szCs w:val="13"/>
                <w:color w:val="auto"/>
              </w:rPr>
              <w:t>REPORT OF INDEPENDENT REGISTERED PUBLIC ACCOUNTING FIRM</w:t>
            </w:r>
          </w:p>
        </w:tc>
        <w:tc>
          <w:tcPr>
            <w:tcW w:w="380" w:type="dxa"/>
            <w:vAlign w:val="bottom"/>
          </w:tcPr>
          <w:p>
            <w:pPr>
              <w:jc w:val="right"/>
              <w:spacing w:after="0"/>
              <w:rPr>
                <w:sz w:val="20"/>
                <w:szCs w:val="20"/>
                <w:color w:val="auto"/>
              </w:rPr>
            </w:pPr>
            <w:r>
              <w:rPr>
                <w:rFonts w:ascii="Arial" w:cs="Arial" w:eastAsia="Arial" w:hAnsi="Arial"/>
                <w:sz w:val="13"/>
                <w:szCs w:val="13"/>
                <w:color w:val="auto"/>
              </w:rPr>
              <w:t>F-2</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0"/>
          </w:tcPr>
          <w:p>
            <w:pPr>
              <w:ind w:left="240"/>
              <w:spacing w:after="0"/>
              <w:rPr>
                <w:sz w:val="20"/>
                <w:szCs w:val="20"/>
                <w:color w:val="auto"/>
              </w:rPr>
            </w:pPr>
            <w:r>
              <w:rPr>
                <w:rFonts w:ascii="Arial" w:cs="Arial" w:eastAsia="Arial" w:hAnsi="Arial"/>
                <w:sz w:val="13"/>
                <w:szCs w:val="13"/>
                <w:color w:val="auto"/>
              </w:rPr>
              <w:t>CONSOLIDATED BALANCE SHEETS</w:t>
            </w:r>
          </w:p>
        </w:tc>
        <w:tc>
          <w:tcPr>
            <w:tcW w:w="380" w:type="dxa"/>
            <w:vAlign w:val="bottom"/>
          </w:tcPr>
          <w:p>
            <w:pPr>
              <w:jc w:val="right"/>
              <w:spacing w:after="0"/>
              <w:rPr>
                <w:sz w:val="20"/>
                <w:szCs w:val="20"/>
                <w:color w:val="auto"/>
              </w:rPr>
            </w:pPr>
            <w:r>
              <w:rPr>
                <w:rFonts w:ascii="Arial" w:cs="Arial" w:eastAsia="Arial" w:hAnsi="Arial"/>
                <w:sz w:val="13"/>
                <w:szCs w:val="13"/>
                <w:color w:val="auto"/>
              </w:rPr>
              <w:t>F-3</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0"/>
          </w:tcPr>
          <w:p>
            <w:pPr>
              <w:ind w:left="240"/>
              <w:spacing w:after="0"/>
              <w:rPr>
                <w:sz w:val="20"/>
                <w:szCs w:val="20"/>
                <w:color w:val="auto"/>
              </w:rPr>
            </w:pPr>
            <w:r>
              <w:rPr>
                <w:rFonts w:ascii="Arial" w:cs="Arial" w:eastAsia="Arial" w:hAnsi="Arial"/>
                <w:sz w:val="13"/>
                <w:szCs w:val="13"/>
                <w:color w:val="auto"/>
              </w:rPr>
              <w:t>STATEMENTS OF OPERATIONS</w:t>
            </w:r>
          </w:p>
        </w:tc>
        <w:tc>
          <w:tcPr>
            <w:tcW w:w="380" w:type="dxa"/>
            <w:vAlign w:val="bottom"/>
          </w:tcPr>
          <w:p>
            <w:pPr>
              <w:jc w:val="right"/>
              <w:spacing w:after="0"/>
              <w:rPr>
                <w:sz w:val="20"/>
                <w:szCs w:val="20"/>
                <w:color w:val="auto"/>
              </w:rPr>
            </w:pPr>
            <w:r>
              <w:rPr>
                <w:rFonts w:ascii="Arial" w:cs="Arial" w:eastAsia="Arial" w:hAnsi="Arial"/>
                <w:sz w:val="13"/>
                <w:szCs w:val="13"/>
                <w:color w:val="auto"/>
              </w:rPr>
              <w:t>F-4</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0"/>
          </w:tcPr>
          <w:p>
            <w:pPr>
              <w:ind w:left="240"/>
              <w:spacing w:after="0"/>
              <w:rPr>
                <w:sz w:val="20"/>
                <w:szCs w:val="20"/>
                <w:color w:val="auto"/>
              </w:rPr>
            </w:pPr>
            <w:r>
              <w:rPr>
                <w:rFonts w:ascii="Arial" w:cs="Arial" w:eastAsia="Arial" w:hAnsi="Arial"/>
                <w:sz w:val="13"/>
                <w:szCs w:val="13"/>
                <w:color w:val="auto"/>
              </w:rPr>
              <w:t>STATEMENTS OF STOCKHOLDERS’ EQUITY (DEFICIT)</w:t>
            </w:r>
          </w:p>
        </w:tc>
        <w:tc>
          <w:tcPr>
            <w:tcW w:w="380" w:type="dxa"/>
            <w:vAlign w:val="bottom"/>
          </w:tcPr>
          <w:p>
            <w:pPr>
              <w:jc w:val="right"/>
              <w:spacing w:after="0"/>
              <w:rPr>
                <w:sz w:val="20"/>
                <w:szCs w:val="20"/>
                <w:color w:val="auto"/>
              </w:rPr>
            </w:pPr>
            <w:r>
              <w:rPr>
                <w:rFonts w:ascii="Arial" w:cs="Arial" w:eastAsia="Arial" w:hAnsi="Arial"/>
                <w:sz w:val="13"/>
                <w:szCs w:val="13"/>
                <w:color w:val="auto"/>
              </w:rPr>
              <w:t>F-5</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0"/>
          </w:tcPr>
          <w:p>
            <w:pPr>
              <w:ind w:left="240"/>
              <w:spacing w:after="0"/>
              <w:rPr>
                <w:sz w:val="20"/>
                <w:szCs w:val="20"/>
                <w:color w:val="auto"/>
              </w:rPr>
            </w:pPr>
            <w:r>
              <w:rPr>
                <w:rFonts w:ascii="Arial" w:cs="Arial" w:eastAsia="Arial" w:hAnsi="Arial"/>
                <w:sz w:val="13"/>
                <w:szCs w:val="13"/>
                <w:color w:val="auto"/>
              </w:rPr>
              <w:t>STATEMENTS OF CASH FLOWS</w:t>
            </w:r>
          </w:p>
        </w:tc>
        <w:tc>
          <w:tcPr>
            <w:tcW w:w="380" w:type="dxa"/>
            <w:vAlign w:val="bottom"/>
          </w:tcPr>
          <w:p>
            <w:pPr>
              <w:jc w:val="right"/>
              <w:spacing w:after="0"/>
              <w:rPr>
                <w:sz w:val="20"/>
                <w:szCs w:val="20"/>
                <w:color w:val="auto"/>
              </w:rPr>
            </w:pPr>
            <w:r>
              <w:rPr>
                <w:rFonts w:ascii="Arial" w:cs="Arial" w:eastAsia="Arial" w:hAnsi="Arial"/>
                <w:sz w:val="13"/>
                <w:szCs w:val="13"/>
                <w:color w:val="auto"/>
              </w:rPr>
              <w:t>F-8</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gridSpan w:val="20"/>
          </w:tcPr>
          <w:p>
            <w:pPr>
              <w:ind w:left="240"/>
              <w:spacing w:after="0"/>
              <w:rPr>
                <w:sz w:val="20"/>
                <w:szCs w:val="20"/>
                <w:color w:val="auto"/>
              </w:rPr>
            </w:pPr>
            <w:r>
              <w:rPr>
                <w:rFonts w:ascii="Arial" w:cs="Arial" w:eastAsia="Arial" w:hAnsi="Arial"/>
                <w:sz w:val="13"/>
                <w:szCs w:val="13"/>
                <w:color w:val="auto"/>
              </w:rPr>
              <w:t>NOTES TO FINANCIAL STATEMENTS</w:t>
            </w:r>
          </w:p>
        </w:tc>
        <w:tc>
          <w:tcPr>
            <w:tcW w:w="380" w:type="dxa"/>
            <w:vAlign w:val="bottom"/>
          </w:tcPr>
          <w:p>
            <w:pPr>
              <w:jc w:val="right"/>
              <w:spacing w:after="0"/>
              <w:rPr>
                <w:sz w:val="20"/>
                <w:szCs w:val="20"/>
                <w:color w:val="auto"/>
              </w:rPr>
            </w:pPr>
            <w:r>
              <w:rPr>
                <w:rFonts w:ascii="Arial" w:cs="Arial" w:eastAsia="Arial" w:hAnsi="Arial"/>
                <w:sz w:val="13"/>
                <w:szCs w:val="13"/>
                <w:color w:val="auto"/>
              </w:rPr>
              <w:t>F-10</w:t>
            </w:r>
          </w:p>
        </w:tc>
      </w:tr>
      <w:tr>
        <w:trPr>
          <w:trHeight w:val="137"/>
        </w:trPr>
        <w:tc>
          <w:tcPr>
            <w:tcW w:w="380" w:type="dxa"/>
            <w:vAlign w:val="bottom"/>
            <w:gridSpan w:val="2"/>
          </w:tcPr>
          <w:p>
            <w:pPr>
              <w:spacing w:after="0" w:line="137" w:lineRule="exact"/>
              <w:rPr>
                <w:rFonts w:ascii="Arial" w:cs="Arial" w:eastAsia="Arial" w:hAnsi="Arial"/>
                <w:sz w:val="13"/>
                <w:szCs w:val="13"/>
                <w:color w:val="0000EE"/>
                <w:w w:val="85"/>
              </w:rPr>
            </w:pPr>
            <w:hyperlink w:anchor="page61">
              <w:r>
                <w:rPr>
                  <w:rFonts w:ascii="Arial" w:cs="Arial" w:eastAsia="Arial" w:hAnsi="Arial"/>
                  <w:sz w:val="13"/>
                  <w:szCs w:val="13"/>
                  <w:color w:val="0000EE"/>
                  <w:w w:val="85"/>
                </w:rPr>
                <w:t>Item 9.</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7" w:lineRule="exact"/>
              <w:rPr>
                <w:rFonts w:ascii="Arial" w:cs="Arial" w:eastAsia="Arial" w:hAnsi="Arial"/>
                <w:sz w:val="13"/>
                <w:szCs w:val="13"/>
                <w:color w:val="0000EE"/>
              </w:rPr>
            </w:pPr>
            <w:hyperlink w:anchor="page61">
              <w:r>
                <w:rPr>
                  <w:rFonts w:ascii="Arial" w:cs="Arial" w:eastAsia="Arial" w:hAnsi="Arial"/>
                  <w:sz w:val="13"/>
                  <w:szCs w:val="13"/>
                  <w:color w:val="0000EE"/>
                </w:rPr>
                <w:t>Changes in and Disagreements with Accountants on Accounting and Financial Disclosure</w:t>
              </w:r>
            </w:hyperlink>
          </w:p>
        </w:tc>
        <w:tc>
          <w:tcPr>
            <w:tcW w:w="380" w:type="dxa"/>
            <w:vAlign w:val="bottom"/>
          </w:tcPr>
          <w:p>
            <w:pPr>
              <w:jc w:val="right"/>
              <w:spacing w:after="0" w:line="137" w:lineRule="exact"/>
              <w:rPr>
                <w:sz w:val="20"/>
                <w:szCs w:val="20"/>
                <w:color w:val="auto"/>
              </w:rPr>
            </w:pPr>
            <w:r>
              <w:rPr>
                <w:rFonts w:ascii="Arial" w:cs="Arial" w:eastAsia="Arial" w:hAnsi="Arial"/>
                <w:sz w:val="13"/>
                <w:szCs w:val="13"/>
                <w:color w:val="auto"/>
              </w:rPr>
              <w:t>60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60" w:type="dxa"/>
            <w:vAlign w:val="bottom"/>
            <w:gridSpan w:val="3"/>
          </w:tcPr>
          <w:p>
            <w:pPr>
              <w:spacing w:after="0" w:line="138" w:lineRule="exact"/>
              <w:rPr>
                <w:rFonts w:ascii="Arial" w:cs="Arial" w:eastAsia="Arial" w:hAnsi="Arial"/>
                <w:sz w:val="13"/>
                <w:szCs w:val="13"/>
                <w:color w:val="0000EE"/>
                <w:w w:val="86"/>
              </w:rPr>
            </w:pPr>
            <w:hyperlink w:anchor="page61">
              <w:r>
                <w:rPr>
                  <w:rFonts w:ascii="Arial" w:cs="Arial" w:eastAsia="Arial" w:hAnsi="Arial"/>
                  <w:sz w:val="13"/>
                  <w:szCs w:val="13"/>
                  <w:color w:val="0000EE"/>
                  <w:w w:val="86"/>
                </w:rPr>
                <w:t>Item 9A.</w:t>
              </w:r>
            </w:hyperlink>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Controls and Procedures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60" w:type="dxa"/>
            <w:vAlign w:val="bottom"/>
            <w:gridSpan w:val="3"/>
          </w:tcPr>
          <w:p>
            <w:pPr>
              <w:spacing w:after="0" w:line="138" w:lineRule="exact"/>
              <w:rPr>
                <w:rFonts w:ascii="Arial" w:cs="Arial" w:eastAsia="Arial" w:hAnsi="Arial"/>
                <w:sz w:val="13"/>
                <w:szCs w:val="13"/>
                <w:color w:val="0000EE"/>
                <w:w w:val="86"/>
              </w:rPr>
            </w:pPr>
            <w:hyperlink w:anchor="page63">
              <w:r>
                <w:rPr>
                  <w:rFonts w:ascii="Arial" w:cs="Arial" w:eastAsia="Arial" w:hAnsi="Arial"/>
                  <w:sz w:val="13"/>
                  <w:szCs w:val="13"/>
                  <w:color w:val="0000EE"/>
                  <w:w w:val="86"/>
                </w:rPr>
                <w:t>Item 9B.</w:t>
              </w:r>
            </w:hyperlink>
          </w:p>
        </w:tc>
        <w:tc>
          <w:tcPr>
            <w:tcW w:w="660" w:type="dxa"/>
            <w:vAlign w:val="bottom"/>
            <w:gridSpan w:val="7"/>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Other Information</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5"/>
        </w:trPr>
        <w:tc>
          <w:tcPr>
            <w:tcW w:w="540" w:type="dxa"/>
            <w:vAlign w:val="bottom"/>
            <w:tcBorders>
              <w:bottom w:val="single" w:sz="8" w:color="0000EE"/>
            </w:tcBorders>
            <w:gridSpan w:val="6"/>
          </w:tcPr>
          <w:p>
            <w:pPr>
              <w:spacing w:after="0"/>
              <w:rPr>
                <w:rFonts w:ascii="Arial" w:cs="Arial" w:eastAsia="Arial" w:hAnsi="Arial"/>
                <w:sz w:val="13"/>
                <w:szCs w:val="13"/>
                <w:b w:val="1"/>
                <w:bCs w:val="1"/>
                <w:color w:val="0000EE"/>
              </w:rPr>
            </w:pPr>
            <w:hyperlink w:anchor="page63">
              <w:r>
                <w:rPr>
                  <w:rFonts w:ascii="Arial" w:cs="Arial" w:eastAsia="Arial" w:hAnsi="Arial"/>
                  <w:sz w:val="13"/>
                  <w:szCs w:val="13"/>
                  <w:b w:val="1"/>
                  <w:bCs w:val="1"/>
                  <w:color w:val="0000EE"/>
                </w:rPr>
                <w:t>PART III</w:t>
              </w:r>
            </w:hyperlink>
          </w:p>
        </w:tc>
        <w:tc>
          <w:tcPr>
            <w:tcW w:w="580" w:type="dxa"/>
            <w:vAlign w:val="bottom"/>
            <w:gridSpan w:val="4"/>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37"/>
        </w:trPr>
        <w:tc>
          <w:tcPr>
            <w:tcW w:w="1120" w:type="dxa"/>
            <w:vAlign w:val="bottom"/>
            <w:gridSpan w:val="1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10.</w:t>
              </w:r>
            </w:hyperlink>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Directors and Executive Officers of the Registrant</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72"/>
              </w:rPr>
            </w:pPr>
            <w:hyperlink w:anchor="page63">
              <w:r>
                <w:rPr>
                  <w:rFonts w:ascii="Arial" w:cs="Arial" w:eastAsia="Arial" w:hAnsi="Arial"/>
                  <w:sz w:val="13"/>
                  <w:szCs w:val="13"/>
                  <w:color w:val="0000EE"/>
                  <w:w w:val="72"/>
                </w:rPr>
                <w:t>Item 11.</w:t>
              </w:r>
            </w:hyperlink>
          </w:p>
        </w:tc>
        <w:tc>
          <w:tcPr>
            <w:tcW w:w="740" w:type="dxa"/>
            <w:vAlign w:val="bottom"/>
            <w:gridSpan w:val="8"/>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Executive Compensation</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120" w:type="dxa"/>
            <w:vAlign w:val="bottom"/>
            <w:gridSpan w:val="1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12.</w:t>
              </w:r>
            </w:hyperlink>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Security Ownership of Certain Beneficial Owners and Management and Related Stockholder Matters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120" w:type="dxa"/>
            <w:vAlign w:val="bottom"/>
            <w:gridSpan w:val="1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13.</w:t>
              </w:r>
            </w:hyperlink>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Certain Relationships and Related Transactions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120" w:type="dxa"/>
            <w:vAlign w:val="bottom"/>
            <w:gridSpan w:val="1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14.</w:t>
              </w:r>
            </w:hyperlink>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Principal Accounting Fees and Services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5"/>
        </w:trPr>
        <w:tc>
          <w:tcPr>
            <w:tcW w:w="1120" w:type="dxa"/>
            <w:vAlign w:val="bottom"/>
            <w:gridSpan w:val="10"/>
          </w:tcPr>
          <w:p>
            <w:pPr>
              <w:spacing w:after="0"/>
              <w:rPr>
                <w:rFonts w:ascii="Arial" w:cs="Arial" w:eastAsia="Arial" w:hAnsi="Arial"/>
                <w:sz w:val="13"/>
                <w:szCs w:val="13"/>
                <w:b w:val="1"/>
                <w:bCs w:val="1"/>
                <w:color w:val="0000EE"/>
              </w:rPr>
            </w:pPr>
            <w:hyperlink w:anchor="page64">
              <w:r>
                <w:rPr>
                  <w:rFonts w:ascii="Arial" w:cs="Arial" w:eastAsia="Arial" w:hAnsi="Arial"/>
                  <w:sz w:val="13"/>
                  <w:szCs w:val="13"/>
                  <w:b w:val="1"/>
                  <w:bCs w:val="1"/>
                  <w:color w:val="0000EE"/>
                </w:rPr>
                <w:t>PART IV</w:t>
              </w:r>
            </w:hyperlink>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37"/>
        </w:trPr>
        <w:tc>
          <w:tcPr>
            <w:tcW w:w="52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64">
              <w:r>
                <w:rPr>
                  <w:rFonts w:ascii="Arial" w:cs="Arial" w:eastAsia="Arial" w:hAnsi="Arial"/>
                  <w:sz w:val="13"/>
                  <w:szCs w:val="13"/>
                  <w:color w:val="0000EE"/>
                </w:rPr>
                <w:t>Item 15.</w:t>
              </w:r>
            </w:hyperlink>
          </w:p>
        </w:tc>
        <w:tc>
          <w:tcPr>
            <w:tcW w:w="600" w:type="dxa"/>
            <w:vAlign w:val="bottom"/>
            <w:gridSpan w:val="5"/>
          </w:tcPr>
          <w:p>
            <w:pPr>
              <w:spacing w:after="0"/>
              <w:rPr>
                <w:sz w:val="11"/>
                <w:szCs w:val="11"/>
                <w:color w:val="auto"/>
              </w:rPr>
            </w:pPr>
          </w:p>
        </w:tc>
        <w:tc>
          <w:tcPr>
            <w:tcW w:w="8480" w:type="dxa"/>
            <w:vAlign w:val="bottom"/>
            <w:gridSpan w:val="20"/>
          </w:tcPr>
          <w:p>
            <w:pPr>
              <w:ind w:left="240"/>
              <w:spacing w:after="0" w:line="138" w:lineRule="exact"/>
              <w:rPr>
                <w:rFonts w:ascii="Arial" w:cs="Arial" w:eastAsia="Arial" w:hAnsi="Arial"/>
                <w:sz w:val="13"/>
                <w:szCs w:val="13"/>
                <w:color w:val="0000EE"/>
              </w:rPr>
            </w:pPr>
            <w:hyperlink w:anchor="page64">
              <w:r>
                <w:rPr>
                  <w:rFonts w:ascii="Arial" w:cs="Arial" w:eastAsia="Arial" w:hAnsi="Arial"/>
                  <w:sz w:val="13"/>
                  <w:szCs w:val="13"/>
                  <w:color w:val="0000EE"/>
                </w:rPr>
                <w:t>Exhibits and Financial Statement Schedules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63</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120" w:type="dxa"/>
            <w:vAlign w:val="bottom"/>
            <w:gridSpan w:val="10"/>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Signatures</w:t>
              </w:r>
            </w:hyperlink>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65</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64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1"/>
              </w:rPr>
              <w:t>Exhibit 10.5</w:t>
            </w:r>
          </w:p>
        </w:tc>
        <w:tc>
          <w:tcPr>
            <w:tcW w:w="44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840" w:type="dxa"/>
            <w:vAlign w:val="bottom"/>
            <w:tcBorders>
              <w:bottom w:val="single" w:sz="8" w:color="0000EE"/>
            </w:tcBorders>
            <w:gridSpan w:val="8"/>
          </w:tcPr>
          <w:p>
            <w:pPr>
              <w:spacing w:after="0" w:line="138" w:lineRule="exact"/>
              <w:rPr>
                <w:sz w:val="20"/>
                <w:szCs w:val="20"/>
                <w:color w:val="auto"/>
              </w:rPr>
            </w:pPr>
            <w:r>
              <w:rPr>
                <w:rFonts w:ascii="Arial" w:cs="Arial" w:eastAsia="Arial" w:hAnsi="Arial"/>
                <w:sz w:val="13"/>
                <w:szCs w:val="13"/>
                <w:color w:val="0000EE"/>
                <w:w w:val="94"/>
              </w:rPr>
              <w:t>EXHIBIT 10.20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64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1"/>
              </w:rPr>
              <w:t>Exhibit 23.1</w:t>
            </w:r>
          </w:p>
        </w:tc>
        <w:tc>
          <w:tcPr>
            <w:tcW w:w="44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64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1"/>
              </w:rPr>
              <w:t>Exhibit 31.1</w:t>
            </w:r>
          </w:p>
        </w:tc>
        <w:tc>
          <w:tcPr>
            <w:tcW w:w="44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Statements in this report that are not strictly historical in nature are forward-looking statements. These statements include, but are not limited to, statements about: the progress or success of our research, development and clinical programs, the timing of completion of enrollment in our clinical trials, the timing of the interim analyses and the timing or success of the commercialization of our Technosphere Insulin System, or any other products or therapies that we may develop; our ability to market, commercialize and achieve market acceptance for our Technosphere Insulin System,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58" w:lineRule="exact"/>
        <w:rPr>
          <w:sz w:val="20"/>
          <w:szCs w:val="20"/>
          <w:color w:val="auto"/>
        </w:rPr>
      </w:pPr>
    </w:p>
    <w:p>
      <w:pPr>
        <w:ind w:left="680" w:right="200"/>
        <w:spacing w:after="0" w:line="280" w:lineRule="auto"/>
        <w:rPr>
          <w:sz w:val="20"/>
          <w:szCs w:val="20"/>
          <w:color w:val="auto"/>
        </w:rPr>
      </w:pPr>
      <w:r>
        <w:rPr>
          <w:rFonts w:ascii="Arial" w:cs="Arial" w:eastAsia="Arial" w:hAnsi="Arial"/>
          <w:sz w:val="13"/>
          <w:szCs w:val="13"/>
          <w:color w:val="auto"/>
        </w:rPr>
        <w:t>Technosphere</w:t>
      </w:r>
      <w:r>
        <w:rPr>
          <w:rFonts w:ascii="Arial" w:cs="Arial" w:eastAsia="Arial" w:hAnsi="Arial"/>
          <w:sz w:val="11"/>
          <w:szCs w:val="11"/>
          <w:color w:val="auto"/>
        </w:rPr>
        <w:t>®</w:t>
      </w:r>
      <w:r>
        <w:rPr>
          <w:rFonts w:ascii="Arial" w:cs="Arial" w:eastAsia="Arial" w:hAnsi="Arial"/>
          <w:sz w:val="13"/>
          <w:szCs w:val="13"/>
          <w:color w:val="auto"/>
        </w:rPr>
        <w:t xml:space="preserve"> and MedTone</w:t>
      </w:r>
      <w:r>
        <w:rPr>
          <w:rFonts w:ascii="Arial" w:cs="Arial" w:eastAsia="Arial" w:hAnsi="Arial"/>
          <w:sz w:val="11"/>
          <w:szCs w:val="11"/>
          <w:color w:val="auto"/>
        </w:rPr>
        <w:t>®</w:t>
      </w:r>
      <w:r>
        <w:rPr>
          <w:rFonts w:ascii="Arial" w:cs="Arial" w:eastAsia="Arial" w:hAnsi="Arial"/>
          <w:sz w:val="13"/>
          <w:szCs w:val="13"/>
          <w:color w:val="auto"/>
        </w:rPr>
        <w:t xml:space="preserve"> are our registered trademark in the United States. We have also applied for or registered company trademarks in other jurisdictions, including Europe and Japan. This document also contains trademarks and service marks of other companies that are the property of their respective owners.</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color w:val="auto"/>
        </w:rPr>
        <w:t>Business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Unless the context requires otherwise, the words “MannKind,” “we,” “company,” “us” and “our” refer to MannKind Corporation and its subsidiary.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and Europe to study its safety and efficacy in the treatment of diabetes. This therapy consists of a proprietary dry powder formulation of insulin that is inhaled into the deep lung using our proprietary inhaler. We believe that the performance characteristics, unique kinetics, convenience and ease of use of the Technosphere Insulin System may have the potential to change the way diabetes is treated.</w:t>
      </w:r>
    </w:p>
    <w:p>
      <w:pPr>
        <w:spacing w:after="0" w:line="53"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all patients with diabetes. As a result, we believe that our Technosphere Insulin System will be beneficial not only for insulin-using diabetes patients but also for patients with type 2 diabetes who are currently using conventional therapies other than insulin. If further clinical trials support our initial observations, we believe the Technosphere Insulin System has the potential to be indicated for the treatment of type 2 diabetes after a patient has failed to respond adequately to diet and exercise. The use of insulin early in the progression of diabetes would represent a paradigm shift in the treatment of this disease.</w:t>
      </w:r>
    </w:p>
    <w:p>
      <w:pPr>
        <w:spacing w:after="0" w:line="55" w:lineRule="exact"/>
        <w:rPr>
          <w:sz w:val="20"/>
          <w:szCs w:val="20"/>
          <w:color w:val="auto"/>
        </w:rPr>
      </w:pPr>
    </w:p>
    <w:p>
      <w:pPr>
        <w:jc w:val="both"/>
        <w:ind w:left="680"/>
        <w:spacing w:after="0" w:line="334" w:lineRule="auto"/>
        <w:rPr>
          <w:sz w:val="20"/>
          <w:szCs w:val="20"/>
          <w:color w:val="auto"/>
        </w:rPr>
      </w:pPr>
      <w:r>
        <w:rPr>
          <w:rFonts w:ascii="Arial" w:cs="Arial" w:eastAsia="Arial" w:hAnsi="Arial"/>
          <w:sz w:val="11"/>
          <w:szCs w:val="11"/>
          <w:color w:val="auto"/>
        </w:rPr>
        <w:t>To date, we have conducted multiple Phase 1 and Phase 2 clinical trials of our Technosphere Insulin System in Europe and the United States, which have involved more than 800 individuals and over 60,000 patient-days of home use. In a Phase 2 clinical trial conducted in the United States, the use of Technosphere Insulin at mealtimes significantly lowered blood glucose levels in patients with type 2 diabetes who previously were experiencing inadequate control of their disease. Even in patients with only mildly elevated blood glucose levels, we observed in</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89" w:lineRule="auto"/>
        <w:rPr>
          <w:sz w:val="20"/>
          <w:szCs w:val="20"/>
          <w:color w:val="auto"/>
        </w:rPr>
      </w:pPr>
      <w:r>
        <w:rPr>
          <w:rFonts w:ascii="Arial" w:cs="Arial" w:eastAsia="Arial" w:hAnsi="Arial"/>
          <w:sz w:val="12"/>
          <w:szCs w:val="12"/>
          <w:color w:val="auto"/>
        </w:rPr>
        <w:t>this study that the typical risks of frequent or severe hypoglycemia generally associated with insulin therapy appear not to be associated with Technosphere Insulin, suggesting that our therapy may have a significant safety advantage over other currently available insulin therapies. In a European Phase 2 dosage-tolerance study, Technosphere Insulin was observed to improve glycemic control in a dose-dependent manner as measured by decreases in HbA1c levels and by reductions in glucose excursions following a meal. In addition, there was no indication of a negative effect on pulmonary function and no weight gain at any dose of Technosphere Insulin over 12 weeks of treatment.</w:t>
      </w:r>
    </w:p>
    <w:p>
      <w:pPr>
        <w:spacing w:after="0" w:line="53"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Currently, we are enrolling patients in three pivotal Phase 3 clinical trials, including a two-year pulmonary safety study that will compare the pulmonary function of patients with type 1 or type 2 diabetes randomized to either Technosphere Insulin or standard diabetes care. Based on our discussions with the FDA, we plan to accumulate two years of controlled safety data from patients with type 1 diabetes as well as patients with type 2 diabetes before we file a new drug application for the Technosphere Insulin System. We anticipate that our entire clinical trial program will involve more than 3,200 patients. Larger populations and longer durations of exposure may be necessary depending on the safety profile of our product.</w:t>
      </w:r>
    </w:p>
    <w:p>
      <w:pPr>
        <w:spacing w:after="0" w:line="53"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We plan to initiate Phase 1 clinical trials of our therapeutic cancer vaccine by the end of 2006.</w:t>
      </w:r>
    </w:p>
    <w:p>
      <w:pPr>
        <w:spacing w:after="0" w:line="67"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We were incorporated in the State of Delaware in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electronically filed with or furnished to the SEC.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DIABETES</w:t>
      </w:r>
    </w:p>
    <w:p>
      <w:pPr>
        <w:spacing w:after="0" w:line="10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Diabetes is a major disease characterized by the body’s inability to properly regulate levels of blood glucose, or blood sugar. The cells of the body use glucose as fuel, which is consumed 24 hours a day. Between meals, when glucose is not being supplied from food, the liver releases glucose into the blood to sustain adequate levels. Insulin is a hormone produced by the pancreas that regulates the body’s blood glucose levels. Patients with diabetes develop abnormally high levels of glucose, a state known as hyperglycemia, either because they produce insufficient levels of insulin or because they fail to respond adequately to insulin produced by the body. Over time, poorly controlled levels of blood glucose can lead to major complications, including high blood pressure, blindness, amputations, kidney failure, heart attack, stroke and death.</w:t>
      </w:r>
    </w:p>
    <w:p>
      <w:pPr>
        <w:spacing w:after="0" w:line="71"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According to the United States Centers for Disease Control, or CDC, as of 2005, approximately 20.8 million people in the United States, or 7% of the population, suffered from diabetes. The CDC estimated that 14.6 million cases of diabetes were diagnosed and under treatment and that 1.5 million new cases would be diagnosed in 2005. The CDC reported that diabetes was the sixth leading cause of death listed on death certificates in 2002, but that diabetes was likely to be underreported as a cause of death. Overall, the CDC found that the risk of death among people with diabetes is about twice that of people without diabetes of similar age. The American Diabetes Association estimated that, in 2002, the total cost of diabetes in the United States was $132 billion. This amount includes $12 billion of direct costs for drug treatment, of which approximately $7 billion were for insulin and delivery supplies and approximately $5 billion were for non-insulin oral medications.</w:t>
      </w:r>
    </w:p>
    <w:p>
      <w:pPr>
        <w:spacing w:after="0" w:line="72"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There are two major forms of diabetes, type 1 and type 2. Type 1 diabetes is an autoimmune disease characterized by a complete lack of insulin secretion by the pancreas, so insulin must be supplied from outside the body in order to sustain life. In type 2 diabetes, the pancreas continues to produce insulin; however, insulin-dependent cells become resistant toward the insulin effect. Over time, the pancreas becomes increasingly unable to secrete adequate amounts of insulin to support metabolism. According to the CDC, type 2 diabetes is the more prevalent form of the disease, affecting approximately 90% to 95% of people diagnosed with diabetes.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Challenges of treating type 2 diabetes</w:t>
      </w:r>
    </w:p>
    <w:p>
      <w:pPr>
        <w:spacing w:after="0" w:line="100"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Typically, the treatment of type 2 diabetes starts with management of diet and exercise and progresses to treatment with various oral medications and then to treatment with insulin. Treatment with diet and exercise alone has not been an effective long-term solution for most patients with type 2 diabetes. Oral medications, which act predominantly by increasing the amount of insulin produced by the pancreas, by increasing the sensitivity of insulin-dependent cells or by reducing the glucose output of the liver, generally have significant adverse effects and are limited in their ability to manage the disease effectively.</w:t>
      </w:r>
    </w:p>
    <w:p>
      <w:pPr>
        <w:spacing w:after="0" w:line="70" w:lineRule="exact"/>
        <w:rPr>
          <w:sz w:val="20"/>
          <w:szCs w:val="20"/>
          <w:color w:val="auto"/>
        </w:rPr>
      </w:pPr>
    </w:p>
    <w:p>
      <w:pPr>
        <w:ind w:left="680" w:right="180"/>
        <w:spacing w:after="0" w:line="308" w:lineRule="auto"/>
        <w:rPr>
          <w:sz w:val="20"/>
          <w:szCs w:val="20"/>
          <w:color w:val="auto"/>
        </w:rPr>
      </w:pPr>
      <w:r>
        <w:rPr>
          <w:rFonts w:ascii="Arial" w:cs="Arial" w:eastAsia="Arial" w:hAnsi="Arial"/>
          <w:sz w:val="11"/>
          <w:szCs w:val="11"/>
          <w:color w:val="auto"/>
        </w:rPr>
        <w:t>Insulin therapy usually involves administering several subcutaneous needle injections of insulin each day. Although this treatment regimen is accepted as effective, it has limitations, most notably the fact that patients dislike injecting themselves with insulin due to the inconvenience and pain of needles. As a result, patients tend not to comply adequately with the prescribed treatment regimens and are often improperly medicated. Moreover, even when properly administered, subcutaneous injections of insulin do not replicate the natural time-action profile of insulin. In a person without diabetes, blood insulin levels rise within several minutes of the entry into the bloodstream of glucose from a meal. By contrast, injected insulin enters the bloodstream slowly, resulting in peak insulin levels in about 120 to 180 minutes for regular human insulin or 30-90 minutes for “rapid-acting” insulin analogs. The consequence is for patients with diabetes to have inadequate levels of insulin present at the initiation of a meal and to be over-insulinized between meals. This lag in insulin delivery results in high blood glucose levels early after meal onset, followed by a tendency for glucose to fall to abnormally low levels, a state known as hypoglycemia, during the period between meals. Hypoglycemia can result in loss of mental acuity, confusion, increased heart rate, hunger, sweating and faintness and, at very low glucose levels, loss of consciousness, seizures, coma and death.</w:t>
      </w:r>
    </w:p>
    <w:p>
      <w:pPr>
        <w:spacing w:after="0" w:line="4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 xml:space="preserve">The following figure illustrates the body’s need to have insulin available shortly after the start of a meal. In a 2004 article in the </w:t>
      </w:r>
      <w:r>
        <w:rPr>
          <w:rFonts w:ascii="Arial" w:cs="Arial" w:eastAsia="Arial" w:hAnsi="Arial"/>
          <w:sz w:val="13"/>
          <w:szCs w:val="13"/>
          <w:i w:val="1"/>
          <w:iCs w:val="1"/>
          <w:color w:val="auto"/>
        </w:rPr>
        <w:t>American Journal of Physiology, Endocrinology and</w:t>
      </w:r>
      <w:r>
        <w:rPr>
          <w:rFonts w:ascii="Arial" w:cs="Arial" w:eastAsia="Arial" w:hAnsi="Arial"/>
          <w:sz w:val="13"/>
          <w:szCs w:val="13"/>
          <w:color w:val="auto"/>
        </w:rPr>
        <w:t xml:space="preserve"> </w:t>
      </w:r>
      <w:r>
        <w:rPr>
          <w:rFonts w:ascii="Arial" w:cs="Arial" w:eastAsia="Arial" w:hAnsi="Arial"/>
          <w:sz w:val="13"/>
          <w:szCs w:val="13"/>
          <w:i w:val="1"/>
          <w:iCs w:val="1"/>
          <w:color w:val="auto"/>
        </w:rPr>
        <w:t>Metabolism</w:t>
      </w:r>
      <w:r>
        <w:rPr>
          <w:rFonts w:ascii="Arial" w:cs="Arial" w:eastAsia="Arial" w:hAnsi="Arial"/>
          <w:sz w:val="13"/>
          <w:szCs w:val="13"/>
          <w:color w:val="auto"/>
        </w:rPr>
        <w:t>, researchers modeled the response of a healthy pancreas to changes in blood glucose. The top panel illustrates the response following the rapid introduction of glucose, such as an</w:t>
      </w:r>
      <w:r>
        <w:rPr>
          <w:rFonts w:ascii="Arial" w:cs="Arial" w:eastAsia="Arial" w:hAnsi="Arial"/>
          <w:sz w:val="13"/>
          <w:szCs w:val="13"/>
          <w:i w:val="1"/>
          <w:iCs w:val="1"/>
          <w:color w:val="auto"/>
        </w:rPr>
        <w:t xml:space="preserve"> </w:t>
      </w:r>
      <w:r>
        <w:rPr>
          <w:rFonts w:ascii="Arial" w:cs="Arial" w:eastAsia="Arial" w:hAnsi="Arial"/>
          <w:sz w:val="13"/>
          <w:szCs w:val="13"/>
          <w:color w:val="auto"/>
        </w:rPr>
        <w:t>intravenous bolus injection of a glucose solution. In this case, the pancreas responds with a sharp spike in insulin secretion followed by an extended wave of insulin secretion. The lower panel illustrates the response to a gradual elevation in glucose levels, such as might occur during ingestion of a meal. In this situation, the insulin concentration rises less briskly and remains elevated. However, as with the intravenous bolus of glucose, there is a fairly tight coupling between the rate of change in blood glucose levels and the response by the pancreas to secrete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100965</wp:posOffset>
            </wp:positionV>
            <wp:extent cx="2677795" cy="1847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7795"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The early insulin response following glucose ingestion is an important part of maintaining control over glucose levels during the post-meal period. It is thought that the early surge of insulin levels shuts off glucose production by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the liver, which otherwise would continue to release glucose into the bloodstream at the same time that glucose is being absorbed from the meal. This avoids high blood sugar levels during mealtime and prevents the pancreas from having to secrete an excessive amount of insulin.</w:t>
      </w:r>
    </w:p>
    <w:p>
      <w:pPr>
        <w:spacing w:after="0" w:line="59"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 xml:space="preserve">In other words, the time-course of insulin delivery to the bloodstream appears to be a significant factor in overall glucose control — a point that was made by a 1996 study reported in the </w:t>
      </w:r>
      <w:r>
        <w:rPr>
          <w:rFonts w:ascii="Arial" w:cs="Arial" w:eastAsia="Arial" w:hAnsi="Arial"/>
          <w:sz w:val="12"/>
          <w:szCs w:val="12"/>
          <w:i w:val="1"/>
          <w:iCs w:val="1"/>
          <w:color w:val="auto"/>
        </w:rPr>
        <w:t xml:space="preserve">Journal of Clinical Investigation. </w:t>
      </w:r>
      <w:r>
        <w:rPr>
          <w:rFonts w:ascii="Arial" w:cs="Arial" w:eastAsia="Arial" w:hAnsi="Arial"/>
          <w:sz w:val="12"/>
          <w:szCs w:val="12"/>
          <w:color w:val="auto"/>
        </w:rPr>
        <w:t>In this study, healthy subjects and patients with type 2 diabetes were given a meal-like intravenous infusion of glucose along with an intravenous infusion of</w:t>
      </w:r>
      <w:r>
        <w:rPr>
          <w:rFonts w:ascii="Arial" w:cs="Arial" w:eastAsia="Arial" w:hAnsi="Arial"/>
          <w:sz w:val="12"/>
          <w:szCs w:val="12"/>
          <w:i w:val="1"/>
          <w:iCs w:val="1"/>
          <w:color w:val="auto"/>
        </w:rPr>
        <w:t xml:space="preserve"> </w:t>
      </w:r>
      <w:r>
        <w:rPr>
          <w:rFonts w:ascii="Arial" w:cs="Arial" w:eastAsia="Arial" w:hAnsi="Arial"/>
          <w:sz w:val="12"/>
          <w:szCs w:val="12"/>
          <w:color w:val="auto"/>
        </w:rPr>
        <w:t>insulin. In all participants, natural insulin secretion was inhibited so that only the infused insulin reached the bloodstream. The top panel shows that when the patient group was administered insulin in a manner that resembled the normal early insulin response, glucose control improved during the post-meal period compared to the effect seen when the same patients were administered insulin in a manner that resembled the typical diabetic profile, i.e., without an early insulin response. The bottom panel shows that when the healthy subjects were administered insulin in a manner that resembled the typical diabetic profile, post-meal blood glucose levels were higher and stayed elevated for a more prolonged period than when the same subjects were administered insulin in a manner resembling the normal early insulin response.</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Profile of insulin release affects post-meal glucose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69215</wp:posOffset>
            </wp:positionV>
            <wp:extent cx="3726180" cy="829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26180" cy="82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w:t>
      </w:r>
    </w:p>
    <w:p>
      <w:pPr>
        <w:spacing w:after="0" w:line="100"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In diabetes, the core defect is insulin deficiency. Even early in the progression of the disease, there is a marked reduction in the ability of patients to secrete insulin rapidly in response to the onset of a meal. Insulin has been used for more than eight decades to treat diabetes and is widely regarded as the preferred form of therapy for the disease. However, the conventional administration of insulin by subcutaneous injection is not able to deliver insulin to the bloodstream rapidly enough to approximate the early insulin secretion seen in healthy individuals following a meal. This shortcoming, combined with the pain and inconvenience of needles, is a significant obstacle to the effectiveness of conventional insulin therapy for the treatment of diabetes.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MANNKIND SOLUTION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Addresses the core defect in diabetes in a manner unlike any other insulin therapy</w:t>
      </w:r>
    </w:p>
    <w:p>
      <w:pPr>
        <w:spacing w:after="0" w:line="100"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In our clinical studies to date, we have consistently observed that the Technosphere Insulin System produces a profile of insulin levels in the bloodstream that approximates the early insulin secretion normally seen in healthy individuals following the beginning of a meal.</w:t>
      </w:r>
    </w:p>
    <w:p>
      <w:pPr>
        <w:spacing w:after="0" w:line="59" w:lineRule="exact"/>
        <w:rPr>
          <w:sz w:val="20"/>
          <w:szCs w:val="20"/>
          <w:color w:val="auto"/>
        </w:rPr>
      </w:pPr>
    </w:p>
    <w:p>
      <w:pPr>
        <w:ind w:left="680" w:right="140"/>
        <w:spacing w:after="0" w:line="289" w:lineRule="auto"/>
        <w:rPr>
          <w:sz w:val="20"/>
          <w:szCs w:val="20"/>
          <w:color w:val="auto"/>
        </w:rPr>
      </w:pPr>
      <w:r>
        <w:rPr>
          <w:rFonts w:ascii="Arial" w:cs="Arial" w:eastAsia="Arial" w:hAnsi="Arial"/>
          <w:sz w:val="12"/>
          <w:szCs w:val="12"/>
          <w:color w:val="auto"/>
        </w:rPr>
        <w:t xml:space="preserve">This performance characteristic distinguishes the Technosphere Insulin System from other insulin therapies. A 2004 review article in the </w:t>
      </w:r>
      <w:r>
        <w:rPr>
          <w:rFonts w:ascii="Arial" w:cs="Arial" w:eastAsia="Arial" w:hAnsi="Arial"/>
          <w:sz w:val="12"/>
          <w:szCs w:val="12"/>
          <w:i w:val="1"/>
          <w:iCs w:val="1"/>
          <w:color w:val="auto"/>
        </w:rPr>
        <w:t>British Journal of Diabetes and Vascular Diseases</w:t>
      </w:r>
      <w:r>
        <w:rPr>
          <w:rFonts w:ascii="Arial" w:cs="Arial" w:eastAsia="Arial" w:hAnsi="Arial"/>
          <w:sz w:val="12"/>
          <w:szCs w:val="12"/>
          <w:color w:val="auto"/>
        </w:rPr>
        <w:t xml:space="preserve"> surveyed the data published on pulmonary insulin products in development and compared their glucose-lowering activity to that of injectable rapid-acting insulin analogs. The graph below from this article shows that most pulmonary insulin formulations have comparable time-action profiles to injectable rapid-acting insulin. The one exception was the Technosphere Insulin System, which has been observed to have a much more rapid onset of action than the other insulin therapies reviewed.</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Time-action profiles of inhaled insulin systems compared to a rapid-acting insulin analog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119380</wp:posOffset>
            </wp:positionV>
            <wp:extent cx="3670300" cy="2359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0300" cy="235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We believe the rapid action of Technosphere Insulin may be related to the unique aspects of both the carrier molecule as well as the insulin in our formulation. Our Technosphere formulation technology is centered on a class of pH-sensitive organic molecules that are designed to self-assemble into small carrier particles. Under mildly acidic conditions, these carrier particles assume a solid state, but at a more neutral pH they spontaneously dissociate into a liquid. Certain drugs, such as insulin, can be loaded onto these particles by combining mildly acidic solutions of the drug and the Technosphere material to form a mixture, which is then dried to form a powder. The structural characteristics of loaded Technosphere particles (i.e., particle size and surface topography) impart aerodynamic properties that enable them to fly deep into the lungs. Our laboratory studies indicate that Technosphere particles, unlike penetration enhancers, do not affect the tight junctions between cells, do not alter cell permeability and do not cause disruption of cell membranes. Instead, the Technosphere particles instantaneously change from a powder to a liquid upon contact with the neutral pH of the moist lung surface, allowing insulin to move rapidly down its concentration gradient into the bloodstream without any active assistance or enhancement.</w:t>
      </w:r>
    </w:p>
    <w:p>
      <w:pPr>
        <w:spacing w:after="0" w:line="76"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Significantly, when the Technosphere particles dissociate, we currently think that the insulin that is released is in a form that can be readily used. Ordinarily, when insulin is in solution, it tends to form a hexamer, a complex of six associated insulin molecules. For example, regular human insulin is hexameric. In order to exert a pharmacological effect, the hexamer must first dissociate into three dimers — complexes of two insulin molecules — which then further dissociate into individual insulin molecules, or monomers. Only monomeric insulin exerts a physiological effect. Rapid-acting insulin analogues are designed to further the dissolution of the hexameric form, thereby reducing the time required to achieve an effect. However, none of these products can approximate the early insulin</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320" w:lineRule="auto"/>
        <w:rPr>
          <w:sz w:val="20"/>
          <w:szCs w:val="20"/>
          <w:color w:val="auto"/>
        </w:rPr>
      </w:pPr>
      <w:r>
        <w:rPr>
          <w:rFonts w:ascii="Arial" w:cs="Arial" w:eastAsia="Arial" w:hAnsi="Arial"/>
          <w:sz w:val="12"/>
          <w:szCs w:val="12"/>
          <w:color w:val="auto"/>
        </w:rPr>
        <w:t>release that follows the beginning of a meal. The Technosphere Insulin System, on the other hand, appears to deliver monomeric insulin to the deep lung, where the individual molecules diffuse across a thin layer of cells to reach the bloodstream. No changes to the insulin molecule are required before it can start exerting its glucose-lowering effect.</w:t>
      </w:r>
    </w:p>
    <w:p>
      <w:pPr>
        <w:spacing w:after="0" w:line="35"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Thus, we currently believe that Technosphere Insulin has the potential to address insulin deficiency in diabetes in a manner unlike any other insulin therapy, either existing or under development. We further believe that our ability to produce a better approximation of normal insulin physiology will translate into better glucose control, thereby giving our investigational product potential clinical and commercial advantages.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More natural insulin profile translates to better glucose control</w:t>
      </w:r>
    </w:p>
    <w:p>
      <w:pPr>
        <w:spacing w:after="0" w:line="100"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When Technosphere Insulin is administered at or shortly after the beginning of a meal, we have observed that blood glucose levels after the meal are more tightly controlled than if patients attempt to control their disease with subcutaneous insulin or oral medications. These observations were made in our clinical studies of the Technosphere Insulin System, three of which are described in more detail below. We believe that this improved glucose control stems from the synchronization of Technosphere Insulin activity to meal digestion. Meal digestion is somewhat variable, but lasts approximately three hours. The figure below, taken from our clinical data, illustrates that over 80% of the glucose-lowering activity of regular subcutaneous insulin is not exerted until at least three hours after a meal. Typically, this situation causes patients to eat snacks between meals, contributing to the weight gain often associated with insulin therapy. By contrast, up to 80% of the action of Technosphere Insulin occurs within the first three hours after a meal. We believe that this phenomenon explains why we have seen almost no risk of severe hypoglycemia and no therapy-related weight gain in our clinical trials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73660</wp:posOffset>
            </wp:positionV>
            <wp:extent cx="1548130" cy="88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8130" cy="88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003b</w:t>
      </w:r>
    </w:p>
    <w:p>
      <w:pPr>
        <w:spacing w:after="0" w:line="96" w:lineRule="exact"/>
        <w:rPr>
          <w:sz w:val="20"/>
          <w:szCs w:val="20"/>
          <w:color w:val="auto"/>
        </w:rPr>
      </w:pPr>
    </w:p>
    <w:p>
      <w:pPr>
        <w:jc w:val="both"/>
        <w:ind w:left="680" w:right="500"/>
        <w:spacing w:after="0" w:line="260" w:lineRule="auto"/>
        <w:rPr>
          <w:sz w:val="20"/>
          <w:szCs w:val="20"/>
          <w:color w:val="auto"/>
        </w:rPr>
      </w:pPr>
      <w:r>
        <w:rPr>
          <w:rFonts w:ascii="Arial" w:cs="Arial" w:eastAsia="Arial" w:hAnsi="Arial"/>
          <w:sz w:val="13"/>
          <w:szCs w:val="13"/>
          <w:color w:val="auto"/>
        </w:rPr>
        <w:t>In a Phase 2 study of 16 patients with type 2 diabetes, we compared the effect of mealtime doses of Technosphere Insulin on blood glucose levels to the effect of mealtime doses of subcutaneous insulin. This study employed a cross-over design, so that patients were treated with either Technosphere Insulin or subcutaneous injections of insulin at mealtimes for approximately one week and then, after a washout period, were treated with the other treatment for a further week. At the end of each treatment period, patients were administered a standardized meal and their blood insulin and glucose levels were monitored for a four-hour period.</w:t>
      </w:r>
    </w:p>
    <w:p>
      <w:pPr>
        <w:spacing w:after="0" w:line="70"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The graphs below show mean blood levels of insulin and glucose following administration of the meal to patients at the end of each treatment period. The panel on the left shows the characteristically rapid appearance of insulin in the bloodstream when Technosphere Insulin is inhaled as compared to the much slower increase following the subcutaneous injection of insulin. The panel on the right shows the corresponding post-meal excursions, or changes from baseline, of glucose absorbed from the meal following administration of either Technosphere Insulin or</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subcutaneous insulin. These data show that Technosphere Insulin was able to limit the excursion of blood glucose during the post-meal period in patients in this trial to a greater extent than insulin administered subcutaneously.</w:t>
      </w:r>
    </w:p>
    <w:p>
      <w:pPr>
        <w:spacing w:after="0" w:line="69" w:lineRule="exact"/>
        <w:rPr>
          <w:sz w:val="20"/>
          <w:szCs w:val="20"/>
          <w:color w:val="auto"/>
        </w:rPr>
      </w:pPr>
    </w:p>
    <w:p>
      <w:pPr>
        <w:ind w:left="2500"/>
        <w:spacing w:after="0"/>
        <w:tabs>
          <w:tab w:leader="none" w:pos="7580" w:val="left"/>
        </w:tabs>
        <w:rPr>
          <w:sz w:val="20"/>
          <w:szCs w:val="20"/>
          <w:color w:val="auto"/>
        </w:rPr>
      </w:pPr>
      <w:r>
        <w:rPr>
          <w:rFonts w:ascii="Arial" w:cs="Arial" w:eastAsia="Arial" w:hAnsi="Arial"/>
          <w:sz w:val="12"/>
          <w:szCs w:val="12"/>
          <w:b w:val="1"/>
          <w:bCs w:val="1"/>
          <w:color w:val="auto"/>
        </w:rPr>
        <w:t>Post-meal insulin levels</w:t>
      </w:r>
      <w:r>
        <w:rPr>
          <w:sz w:val="20"/>
          <w:szCs w:val="20"/>
          <w:color w:val="auto"/>
        </w:rPr>
        <w:tab/>
      </w:r>
      <w:r>
        <w:rPr>
          <w:rFonts w:ascii="Arial" w:cs="Arial" w:eastAsia="Arial" w:hAnsi="Arial"/>
          <w:sz w:val="9"/>
          <w:szCs w:val="9"/>
          <w:b w:val="1"/>
          <w:bCs w:val="1"/>
          <w:color w:val="auto"/>
        </w:rPr>
        <w:t>Post-meal glucose excursions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61595</wp:posOffset>
            </wp:positionV>
            <wp:extent cx="1404620" cy="886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4620" cy="88646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61595</wp:posOffset>
            </wp:positionV>
            <wp:extent cx="1404620" cy="886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4620" cy="88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right="260"/>
        <w:spacing w:after="0" w:line="285" w:lineRule="auto"/>
        <w:rPr>
          <w:sz w:val="20"/>
          <w:szCs w:val="20"/>
          <w:color w:val="auto"/>
        </w:rPr>
      </w:pPr>
      <w:r>
        <w:rPr>
          <w:rFonts w:ascii="Arial" w:cs="Arial" w:eastAsia="Arial" w:hAnsi="Arial"/>
          <w:sz w:val="12"/>
          <w:szCs w:val="12"/>
          <w:color w:val="auto"/>
        </w:rPr>
        <w:t>In study 003b, we quantified the total exposure to insulin and the excursion of blood glucose levels by calculating the areas under the mean insulin and glucose curves, respectively. The results of this analysis are presented in the bar graph below. The bars on the left show that the areas under the insulin curve were virtually identical, indicating that patients in this trial received the same total exposure to insulin, whether from Technosphere Insulin or subcutaneous insulin. However, as shown by the bars on the right, when these patients inhaled Technosphere Insulin, there was a significantly decreased excursion in post-meal levels of blood glucose. Across all these patients, the mean total excursion of post-meal glucose levels following administration of Technosphere Insulin was 48% less than the mean excursion observed following administration of subcutaneous insulin.</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Post-meal insulin levels and glucose excursions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69215</wp:posOffset>
            </wp:positionV>
            <wp:extent cx="3027045" cy="1442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7045"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This latter observation supports our belief that delivering insulin in a manner that approximates the insulin response of healthy individuals allows patients with diabetes to achieve greater control over the glucose levels during the post-meal period.</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008</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In a larger Phase 2 clinical trial, we studied the longer-term effects of meal-time insulin on blood glucose levels in 123 patients with type 2 diabetes whose pre-study treatment regimen consisted of either diet and exercise or one or more diabetes medications. This trial did not include patients whose diabetes had progressed to the point that they were already taking daily insulin. Patients were included in the study if their initial glycolated hemoglobin, or HbA1c, levels were between 6.5% and 10.5%, which is an indication that they were not achieving optimal glucose control on their current therapy. HbAlc levels are a measure of the average blood glucose level over the previous three to four months and an indication of how well a patient is controlling glucose levels. Patients were evaluated in two groups: those with moderate to severe elevations of HbA1c levels with a baseline of 8.0% and above and those with mild to moderate elevations of HbA1c levels with baseline levels ranging from 6.6% to 7.9%. Patients were</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randomized, in a double-blind fashion, into either a group that inhaled Technosphere Insulin at mealtime or a control group that inhaled a placebo at mealtime. The use of a study agent at mealtime was the only variable in this study; all subjects continued their pre-study treatment regimen (diet and exercise or oral medications) and performed home blood glucose monitoring for the 12-week duration of the study.</w:t>
      </w:r>
    </w:p>
    <w:p>
      <w:pPr>
        <w:spacing w:after="0" w:line="6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All patients were started on active or control therapy at a dose of 6 units before each meal. The physicians adjusted the inhaled study drug doses in increments of 6 or 12 units as often as weekly in order to bring blood glucose to the desired level of control. The maximum dose of mealtime Technosphere Insulin allowed in the study was 48 units. In most cases, patients did not reach their final maximum dose level until they had already completed at least 8 out of 12 weeks of treatment.</w:t>
      </w:r>
    </w:p>
    <w:p>
      <w:pPr>
        <w:spacing w:after="0" w:line="67" w:lineRule="exact"/>
        <w:rPr>
          <w:sz w:val="20"/>
          <w:szCs w:val="20"/>
          <w:color w:val="auto"/>
        </w:rPr>
      </w:pPr>
    </w:p>
    <w:p>
      <w:pPr>
        <w:ind w:left="680" w:right="200"/>
        <w:spacing w:after="0" w:line="258" w:lineRule="auto"/>
        <w:rPr>
          <w:sz w:val="20"/>
          <w:szCs w:val="20"/>
          <w:color w:val="auto"/>
        </w:rPr>
      </w:pPr>
      <w:r>
        <w:rPr>
          <w:rFonts w:ascii="Arial" w:cs="Arial" w:eastAsia="Arial" w:hAnsi="Arial"/>
          <w:sz w:val="13"/>
          <w:szCs w:val="13"/>
          <w:color w:val="auto"/>
        </w:rPr>
        <w:t>Patients with moderately severe elevations of HbA1c levels, treated with Technosphere Insulin, experienced a mean reduction in HbAlc levels of 1.37 percentage points over the limited duration of the study, compared to a mean reduction of 0.51 percentage points in the control-treated group. The difference in reduction of HbA1c levels between the Technosphere Insulin and the control groups was statistically and clinically significant in favor of Technosphere Insulin. Patients in this trial with mild to moderate elevations of HbA1c levels, treated with Technosphere Insulin, experienced a mean reduction in HbAlc levels of 0.43 percentage points, compared to a mean reduction of 0.18 percentage points in the control-treated group. This difference was also statistically and clinically significant in favor of Technosphere Insulin.</w:t>
      </w:r>
    </w:p>
    <w:p>
      <w:pPr>
        <w:spacing w:after="0" w:line="71"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In this trial, we also conducted monthly evaluations of the response of patients to a standardized meal, during which we measured their post-meal glucose levels. We observed that the average post-meal glucose excursions fell as patients progressed to higher doses of Technosphere Insulin. At the highest average dose (30 units), the average glucose excursion was 34 mg/dl, which was approximately half the excursion observed in the control group.</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005</w:t>
      </w:r>
    </w:p>
    <w:p>
      <w:pPr>
        <w:spacing w:after="0" w:line="96"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In a Phase 2b dose-ranging study, we evaluated the effect of different mealtime doses of Technosphere Insulin added to a single fixed daily injection of basal insulin glargine (Lantus) in patients with type 2 diabetes. In total, 227 patients were studied. Patients were followed on their existing therapy for four weeks, then transferred to insulin glargine, and subsequently randomized to receive, in a double blind fashion, either inhaled placebo or Technosphere Insulin at dosages of 14, 28, 42 or 56 units. Patients who received Technosphere Insulin were force-titrated weekly to their pre-assigned dose and remained on that dose for the duration of the study. HbA1c levels and post-meal glucose excursions were assessed at the initial visit, at the start of randomized treatment and at study completion. Comparisons were made between the groups receiving Technosphere Insulin and the group receiving placebo.</w:t>
      </w:r>
    </w:p>
    <w:p>
      <w:pPr>
        <w:spacing w:after="0" w:line="55" w:lineRule="exact"/>
        <w:rPr>
          <w:sz w:val="20"/>
          <w:szCs w:val="20"/>
          <w:color w:val="auto"/>
        </w:rPr>
      </w:pPr>
    </w:p>
    <w:p>
      <w:pPr>
        <w:ind w:left="680" w:right="220"/>
        <w:spacing w:after="0" w:line="334" w:lineRule="auto"/>
        <w:rPr>
          <w:sz w:val="20"/>
          <w:szCs w:val="20"/>
          <w:color w:val="auto"/>
        </w:rPr>
      </w:pPr>
      <w:r>
        <w:rPr>
          <w:rFonts w:ascii="Arial" w:cs="Arial" w:eastAsia="Arial" w:hAnsi="Arial"/>
          <w:sz w:val="11"/>
          <w:szCs w:val="11"/>
          <w:color w:val="auto"/>
        </w:rPr>
        <w:t>The study demonstrated that the addition of Technosphere Insulin to insulin glargine produced a statistically significant, dose-dependent reduction in HbA1c levels. In patients treated for eight weeks at 56 units (n=45), the mean reduction in percent HbA1c levels was 0.79 below that observed in the placebo group. We also observed a dose-dependent effect on post-meal glucose excursions. The graph below shows how each increased dose of Technosphere Insulin produced a proportional reduction in the glucose excursion following a standardized meal.</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Dose-dependent reduction of post-meal glucose excursions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69215</wp:posOffset>
            </wp:positionV>
            <wp:extent cx="2453005" cy="1722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300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 the largest dose evaluated, 56 units, the maximal post-meal glucose excursion was reduced to only 34 mg/dl, a 63% reduction compared to the control group.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Summary</w:t>
      </w:r>
    </w:p>
    <w:p>
      <w:pPr>
        <w:spacing w:after="0" w:line="96"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We have seen in Phase 2 studies involving patients with type 2 diabetes that Technosphere Insulin can substantially reduce the excursion of glucose levels during the post-meal period and can lower average glucose levels within a few weeks of treatment. We are presently unable to assess the full glucose lowering effect of Technosphere Insulin from our Phase 2 studies because HbA1c levels are a measure of average blood glucose levels over the preceding three to four months, and in these studies patients were only dosed at their final maximum level for eight weeks or less. In the coming months, we plan to complete studies that have followed patients for a longer period of time, which we hope will give us better insight into the effect of Technosphere Insulin on HbA1c levels.</w:t>
      </w:r>
    </w:p>
    <w:p>
      <w:pPr>
        <w:spacing w:after="0" w:line="71"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 xml:space="preserve">In any event, we believe the ability of Technosphere Insulin to substantially reduce post-meal glucose excursions is a significant performance characteristic. A 2005 report in </w:t>
      </w:r>
      <w:r>
        <w:rPr>
          <w:rFonts w:ascii="Arial" w:cs="Arial" w:eastAsia="Arial" w:hAnsi="Arial"/>
          <w:sz w:val="12"/>
          <w:szCs w:val="12"/>
          <w:i w:val="1"/>
          <w:iCs w:val="1"/>
          <w:color w:val="auto"/>
        </w:rPr>
        <w:t>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Diabetes </w:t>
      </w:r>
      <w:r>
        <w:rPr>
          <w:rFonts w:ascii="Arial" w:cs="Arial" w:eastAsia="Arial" w:hAnsi="Arial"/>
          <w:sz w:val="12"/>
          <w:szCs w:val="12"/>
          <w:color w:val="auto"/>
        </w:rPr>
        <w:t>reviewed evidence that links excessive post-meal glucose excursions to atherosclerosis and diabetic vascular disease, a complication of diabetes that affects the eyes, kidney and</w:t>
      </w:r>
      <w:r>
        <w:rPr>
          <w:rFonts w:ascii="Arial" w:cs="Arial" w:eastAsia="Arial" w:hAnsi="Arial"/>
          <w:sz w:val="12"/>
          <w:szCs w:val="12"/>
          <w:i w:val="1"/>
          <w:iCs w:val="1"/>
          <w:color w:val="auto"/>
        </w:rPr>
        <w:t xml:space="preserve"> </w:t>
      </w:r>
      <w:r>
        <w:rPr>
          <w:rFonts w:ascii="Arial" w:cs="Arial" w:eastAsia="Arial" w:hAnsi="Arial"/>
          <w:sz w:val="12"/>
          <w:szCs w:val="12"/>
          <w:color w:val="auto"/>
        </w:rPr>
        <w:t>peripheral and autonomic nervous systems. The authors recommended that patients with type 2 diabetes be started on aggressive insulin therapy early in the course of the disease rather than using it as a “punishment” for failing to achieve glucose control with oral medications. We believe that the Technosphere Insulin System, if approved and commercialized, may offer physicians a means to help their patients with diabetes reduce post-meal glucose excursions without the pain and inconvenience of multiple daily insulin injections.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Favorable safety profile in clinical trials to date</w:t>
      </w:r>
    </w:p>
    <w:p>
      <w:pPr>
        <w:spacing w:after="0" w:line="100"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To date, we have conducted clinical trials in Europe and the United States that have involved a total of more than 800 individuals and approximately 60,000 patient-days of home use. We have seen a significantly reduced number of mild, moderate and severe hypoglycemic episodes associated with Technosphere Insulin compared with the incidence reported with use of other insulin products. In some patients, we have observed mild coughing, usually limited to the period when learning to use the inhalation technique. Other adverse events reported in our clinical trials — including backache, common cold, pneumonia, anemia and diarrhea — were either found to be unrelated to the administration of Technosphere Insulin or could not be conclusively linked to its usage. We have also found no evidence of treatment-induced insulin antibodies occurring in patients treated with Technosphere Insulin.</w:t>
      </w:r>
    </w:p>
    <w:p>
      <w:pPr>
        <w:spacing w:after="0" w:line="55"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In studies 008 and 005, we assessed pulmonary function in patients that received Technosphere Insulin over a 12 week period. In both studies, we found that there was no clinically or statistically significant difference between the baseline values and the final test results for these patients. In these studies, we also looked for evidence of weight gain in the patients that received Technosphere Insulin. The results indicated that there was no change in weight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over the treatment period. Many of the patients from these studies have been enrolled in a long-term safety study, which should permit us to evaluate pulmonary function, weight gain and other markers over a longer period of time.</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We have an ongoing program of safety surveillance and adverse event reporting for the purpose of evaluating the ongoing safety data related to the use of our Technosphere Insulin System.</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safety data are necessarily preliminary until we have completed longer-term safety studies.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Convenient and easy to use</w:t>
      </w:r>
    </w:p>
    <w:p>
      <w:pPr>
        <w:spacing w:after="0" w:line="100"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To facilitate the delivery of Technosphere-formulated drugs to the deep lung, we developed an inhaler that utilizes single-use, disposable, plastic cartridges containing drug-loaded powder. Our MedTone inhaler is light and easy to use, and fits in the palm of the patient’s hand, which we believe facilitates patient compliance. To administer a dose, the patient opens the device, inserts a cartridge of Technosphere Insulin powder into the inhaler, inserts the mouthpiece into the mouth and takes a deep breath, thereby drawing the powder deep into the lungs. The device incorporates an airflow regulator that is designed to ensure a consistent airflow from patient to patient and from use to use, even in patients with restricted airflow capacity. In addition, the inhaler is breath actuated, which means that the patient does not need to coordinate a breath with any manipulation of the device, such as priming or pumping. In our clinical trials of our Technosphere Insulin System, patients have reported a high level of satisfaction with the MedTone inhaler.</w:t>
      </w:r>
    </w:p>
    <w:p>
      <w:pPr>
        <w:spacing w:after="0" w:line="59"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We believe the ease of use of the MedTone inhaler complements the time-action profile of the Technosphere Insulin powder to produce a highly convenient system. Because insulin is transferred to the bloodstream rapidly with our therapy, we believe that the optimal and most convenient time for patients to take a dose of Technosphere Insulin is right at the start of a meal. In contrast, with subcutaneous regular insulin, it is recommended that the user try to time an injection 15 to 45 minutes before the expected mealtime, raising issues such as miscalculation of time or unanticipated change in meal availability, which could result in an increase in adverse events.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Higher relative bioavailability</w:t>
      </w:r>
    </w:p>
    <w:p>
      <w:pPr>
        <w:spacing w:after="0" w:line="10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Our clinical trials to date have indicated that a substantial percentage of the insulin formulated as Technosphere Insulin enters the bloodstream where it can exert a glucose-lowering effect. Pharmacologists use the term “bioavailability” to describe the percentage of the dosage form of a drug that enters the bloodstream and is available to exert an effect. Unless a drug is administered intravenously, its bioavailability is usually less than 100% because it must first be absorbed into the bloodstream and may be partially metabolized before it can exert an effect. The term “relative bioavailability” is used when the effect of a new formulation is compared to the effect of an established standard formulation, which, for insulin products, is regular human insulin injected subcutaneously.</w:t>
      </w:r>
    </w:p>
    <w:p>
      <w:pPr>
        <w:spacing w:after="0" w:line="71"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Based on the results of our clinical trials and on our analysis of published reports of the performance of other pulmonary insulin systems in development, we believe that the relative bioavailability associated with our Technosphere Insulin System is up to three times greater than that reported for the other inhaled insulin platforms. We have observed that the relative bioavailability of Technosphere Insulin is as high as 28% compared to the approximately 11% relative bioavailability that has been reported by Pfizer for Exubera. In both cases, these measures are based on the amount of insulin present in the dosage form of the product, but we believe that the bioavailability is dependent on the amount that reaches the deep lung. With our Technosphere Insulin System, we know that not all of the powder contained in a cartridge makes it to the deep lung. For example, a small amount of the powder clings to the walls of the cartridge or remains in the mouthpiece. In addition, some of the powder that is discharged from our inhaler upon breath activation does not reach the bloodstream because the particles are not in the size range that we believe would reach the deep lung. Instead, these particles are likely deposited in the mouth and throat where they are swallowed and become not bioavailable. When corrected for these factors, we have calculated the relative bioavailability of Technosphere Insulin as approximately 56%.</w:t>
      </w:r>
    </w:p>
    <w:p>
      <w:pPr>
        <w:spacing w:after="0" w:line="59" w:lineRule="exact"/>
        <w:rPr>
          <w:sz w:val="20"/>
          <w:szCs w:val="20"/>
          <w:color w:val="auto"/>
        </w:rPr>
      </w:pPr>
    </w:p>
    <w:p>
      <w:pPr>
        <w:jc w:val="both"/>
        <w:ind w:left="680" w:right="100"/>
        <w:spacing w:after="0" w:line="334" w:lineRule="auto"/>
        <w:rPr>
          <w:sz w:val="20"/>
          <w:szCs w:val="20"/>
          <w:color w:val="auto"/>
        </w:rPr>
      </w:pPr>
      <w:r>
        <w:rPr>
          <w:rFonts w:ascii="Arial" w:cs="Arial" w:eastAsia="Arial" w:hAnsi="Arial"/>
          <w:sz w:val="11"/>
          <w:szCs w:val="11"/>
          <w:color w:val="auto"/>
        </w:rPr>
        <w:t>One advantage of having a high relative bioavailability compared to other inhaled insulin systems is that the Technosphere Insulin System utilizes less insulin in order to achieve a specific glucose-lowering effect. This is likely to be safer from a clinical perspective and offers a potential cost of goods benefit from a manufacturing perspective. In addition, with a higher relative bioavailability, the response to a given dose would be expected to be less variable because a smaller portion of the insulin in the dosage form is lost before it reaches the bloodstream.</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CLINICAL DEVELOPMENT ACTIVITIES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Technosphere Insulin System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are currently conducting a number of studies of the safety and efficacy of the Technosphere Insulin System, including the following trials that are underway or planned for 2006:</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010</w:t>
      </w:r>
    </w:p>
    <w:p>
      <w:pPr>
        <w:spacing w:after="0" w:line="96" w:lineRule="exact"/>
        <w:rPr>
          <w:sz w:val="20"/>
          <w:szCs w:val="20"/>
          <w:color w:val="auto"/>
        </w:rPr>
      </w:pPr>
    </w:p>
    <w:p>
      <w:pPr>
        <w:jc w:val="both"/>
        <w:ind w:left="680" w:right="360"/>
        <w:spacing w:after="0" w:line="371" w:lineRule="auto"/>
        <w:rPr>
          <w:sz w:val="20"/>
          <w:szCs w:val="20"/>
          <w:color w:val="auto"/>
        </w:rPr>
      </w:pPr>
      <w:r>
        <w:rPr>
          <w:rFonts w:ascii="Arial" w:cs="Arial" w:eastAsia="Arial" w:hAnsi="Arial"/>
          <w:sz w:val="11"/>
          <w:szCs w:val="11"/>
          <w:color w:val="auto"/>
        </w:rPr>
        <w:t>This ongoing trial is a three-year evaluation of the safety and tolerability of Technosphere Insulin in patients with type 2 diabetes who have participated in study 008 or study 005. The primary objective is to evaluate pulmonary function with secondary objectives to examine changes in HbA1c levels, insulin antibodies, frequency of adverse events and quality of life.</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030</w:t>
      </w:r>
    </w:p>
    <w:p>
      <w:pPr>
        <w:spacing w:after="0" w:line="96"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This is a two-year, prospective, multi-site study that incorporates two design strategies. The first component is a randomized, open-label trial comparing pulmonary function in two groups of patients with diabetes. One group of approximately 625 patients is being treated with Technosphere Insulin and the other group of approximately 625 patients is being treated with existing oral and/or injectable therapies. The second component is a comparison of pulmonary function in the patients with diabetes who are not treated with Technosphere Insulin to a group of 125 subjects without any abnormalities in glucose control. Enrollment for this study began in June 2005 and is expected to be complete later in 2006.</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014</w:t>
      </w:r>
    </w:p>
    <w:p>
      <w:pPr>
        <w:spacing w:after="0" w:line="96"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This study compared the efficacy of mealtime use of Technosphere Insulin plus basal insulin to mealtime use of rapid-acting, subcutaneous insulin plus basal insulin in approximately 240 patients with type 2 diabetes who had a baseline HbA1c level greater than 7.0% and less than 11.5%. The primary efficacy endpoint for this study was mean change in HbA1c levels from baseline to treatment week 24. Enrollment was completed in July 2005.</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101</w:t>
      </w:r>
    </w:p>
    <w:p>
      <w:pPr>
        <w:spacing w:after="0" w:line="96"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This trial compared mealtime use of Technosphere Insulin to mealtime use of rapid-acting, subcutaneous insulin in approximately 90 patients with type 1 diabetes, who were evaluated over a 12-week period. The primary efficacy endpoint was the change in blood glucose levels following a standard meal. Enrollment was completed in July 2005.</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009</w:t>
      </w:r>
    </w:p>
    <w:p>
      <w:pPr>
        <w:spacing w:after="0" w:line="96" w:lineRule="exact"/>
        <w:rPr>
          <w:sz w:val="20"/>
          <w:szCs w:val="20"/>
          <w:color w:val="auto"/>
        </w:rPr>
      </w:pPr>
    </w:p>
    <w:p>
      <w:pPr>
        <w:ind w:left="680" w:right="100"/>
        <w:spacing w:after="0" w:line="320" w:lineRule="auto"/>
        <w:rPr>
          <w:sz w:val="20"/>
          <w:szCs w:val="20"/>
          <w:color w:val="auto"/>
        </w:rPr>
      </w:pPr>
      <w:r>
        <w:rPr>
          <w:rFonts w:ascii="Arial" w:cs="Arial" w:eastAsia="Arial" w:hAnsi="Arial"/>
          <w:sz w:val="12"/>
          <w:szCs w:val="12"/>
          <w:color w:val="auto"/>
        </w:rPr>
        <w:t>This study is similar to Study 101, but will follow a population of approximately 500 patients with type 1 diabetes for a 12-month period. Efficacy will be evaluated on the basis of changes in HbA1c levels as well as changes in blood glucose levels after a standardized mixed meal. We began enrolling patients in this study in the first quarter of 2006.</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102</w:t>
      </w:r>
    </w:p>
    <w:p>
      <w:pPr>
        <w:spacing w:after="0" w:line="96"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This study will compare the efficacy of mealtime use of Technosphere Insulin to the twice-daily use of premixed insulin, a mixture of long- and short-acting insulin, in a population of approximately 500 patients with type 2 diabetes. Efficacy will be evaluated on the basis of changes in HbA1c levels as well as changes in blood glucose levels after a standardized mixed meal. We began enrolling patients in this study in the first quarter of 2006.</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Study 103</w:t>
      </w:r>
    </w:p>
    <w:p>
      <w:pPr>
        <w:spacing w:after="0" w:line="96" w:lineRule="exact"/>
        <w:rPr>
          <w:sz w:val="20"/>
          <w:szCs w:val="20"/>
          <w:color w:val="auto"/>
        </w:rPr>
      </w:pPr>
    </w:p>
    <w:p>
      <w:pPr>
        <w:ind w:left="680" w:right="140"/>
        <w:spacing w:after="0" w:line="320" w:lineRule="auto"/>
        <w:rPr>
          <w:sz w:val="20"/>
          <w:szCs w:val="20"/>
          <w:color w:val="auto"/>
        </w:rPr>
      </w:pPr>
      <w:r>
        <w:rPr>
          <w:rFonts w:ascii="Arial" w:cs="Arial" w:eastAsia="Arial" w:hAnsi="Arial"/>
          <w:sz w:val="12"/>
          <w:szCs w:val="12"/>
          <w:color w:val="auto"/>
        </w:rPr>
        <w:t>This study will evaluate the efficacy of Technosphere Insulin alone and in combination with metformin, an oral medication, in approximately 500 patients with type 2 diabetes who are not achieving desired glucose control with a combination of metformin and sulphonylurea, another oral medication. Efficacy will be evaluated on the basis of</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changes in HbA1c levels after 26 weeks of treatment as well as changes in blood glucose levels after a standardized mixed meal. We plan to begin enrolling patients in this study in the second quarter of 2006.</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Special population studies</w:t>
      </w:r>
    </w:p>
    <w:p>
      <w:pPr>
        <w:spacing w:after="0" w:line="96"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We have two ongoing studies: one examining the impact of asthma and the other examining the impact of chronic smoking on the pharmacokinetics associated with Technosphere Insulin. We plan to use the results of these studies to conduct safety studies in patients with asthma and in chronic smokers that also have diabetes. We also plan to conduct a safety study in patients with both diabetes and chronic obstructive pulmonary disease. Other special population studies include a trial that will examine the elimination of Technosphere Insulin in patients with kidney disease and a trial that will examine the effect of Technosphere Insulin in patients with liver disease.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Cancer immunotherapy program</w:t>
      </w:r>
    </w:p>
    <w:p>
      <w:pPr>
        <w:spacing w:after="0" w:line="100"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We are also developing therapies for the treatment of solid tumor cancers. The lead product candidate in this program, MKC1106, is intended for the treatment of several solid-tumor cancers, including ovarian, colorectal, pancreatic, renal, breast and prostate carcinomas. We plan to commence clinical trials for MKC1106 late in the fourth quarter of 2006.</w:t>
      </w:r>
    </w:p>
    <w:p>
      <w:pPr>
        <w:spacing w:after="0" w:line="35"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Our cancer therapy program utilizes the body’s immune system to help eradicate tumor cells. The immune system is a network of cells and organs that defends the body against infection and abnormal cells, such as cancer. A key element of the immune system is its ability to distinguish between healthy cells and foreign or diseased cells that do not belong in the body. The immune system accomplishes this task by recognizing distinctive molecules called epitopes found on the surface of each cell as either normal or abnormal, and responding to them appropriately. Any substance capable of triggering an immune response is known as an antigen. An antigen can be all or part of a pathogenic organism or it can be a by-product of diseased cells. Certain specialized cells of the immune system sample antigens present in the body and present the epitopes associated with foreign antigens to other cells of the immune system whose function is to destroy any cell that expresses the same epitope; this is known as cell-mediated immunity. In this way, the immune system can launch a very specific response to infection or disease.</w:t>
      </w:r>
    </w:p>
    <w:p>
      <w:pPr>
        <w:spacing w:after="0" w:line="73" w:lineRule="exact"/>
        <w:rPr>
          <w:sz w:val="20"/>
          <w:szCs w:val="20"/>
          <w:color w:val="auto"/>
        </w:rPr>
      </w:pPr>
    </w:p>
    <w:p>
      <w:pPr>
        <w:ind w:left="680" w:right="140"/>
        <w:spacing w:after="0" w:line="289" w:lineRule="auto"/>
        <w:rPr>
          <w:sz w:val="20"/>
          <w:szCs w:val="20"/>
          <w:color w:val="auto"/>
        </w:rPr>
      </w:pPr>
      <w:r>
        <w:rPr>
          <w:rFonts w:ascii="Arial" w:cs="Arial" w:eastAsia="Arial" w:hAnsi="Arial"/>
          <w:sz w:val="12"/>
          <w:szCs w:val="12"/>
          <w:color w:val="auto"/>
        </w:rPr>
        <w:t>Our approach uses DNA- and peptide-based compounds that correspond to tumor-associated antigens that are expressed in a range of solid-tumor cancers. A patient is first “primed” by DNA-based compounds, or plasmids, that are injected directly into the patient’s 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This prime-boost regimen is designed to provoke a potent cell-mediated immune response that destroys cancer cells along with the underlying blood supply to a tumor.</w:t>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believe that our therapeutic approach addresses several deficiencies inherent in earlier approaches to cancer immunotherapy, including:</w:t>
      </w:r>
    </w:p>
    <w:p>
      <w:pPr>
        <w:spacing w:after="0" w:line="96" w:lineRule="exact"/>
        <w:rPr>
          <w:sz w:val="20"/>
          <w:szCs w:val="20"/>
          <w:color w:val="auto"/>
        </w:rPr>
      </w:pPr>
    </w:p>
    <w:p>
      <w:pPr>
        <w:ind w:left="1180" w:right="60" w:hanging="90"/>
        <w:spacing w:after="0" w:line="260" w:lineRule="auto"/>
        <w:tabs>
          <w:tab w:leader="none" w:pos="11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Specificity. </w:t>
      </w:r>
      <w:r>
        <w:rPr>
          <w:rFonts w:ascii="Arial" w:cs="Arial" w:eastAsia="Arial" w:hAnsi="Arial"/>
          <w:sz w:val="13"/>
          <w:szCs w:val="13"/>
          <w:color w:val="auto"/>
        </w:rPr>
        <w:t>We target cancer epitopes to which the immune system has not developed a tolerance, instead of targeting the dominant epitopes expressed by cancerous cells, many of</w:t>
      </w:r>
      <w:r>
        <w:rPr>
          <w:rFonts w:ascii="Arial" w:cs="Arial" w:eastAsia="Arial" w:hAnsi="Arial"/>
          <w:sz w:val="13"/>
          <w:szCs w:val="13"/>
          <w:i w:val="1"/>
          <w:iCs w:val="1"/>
          <w:color w:val="auto"/>
        </w:rPr>
        <w:t xml:space="preserve"> </w:t>
      </w:r>
      <w:r>
        <w:rPr>
          <w:rFonts w:ascii="Arial" w:cs="Arial" w:eastAsia="Arial" w:hAnsi="Arial"/>
          <w:sz w:val="13"/>
          <w:szCs w:val="13"/>
          <w:color w:val="auto"/>
        </w:rPr>
        <w:t>which are tolerated by the immune system. We have developed technology designed to identify the non-tolerated epitopes on the cancer cell surface, and we have developed a method of modifying these epitopes that is designed to activate an immune response. Through this process, we believe that the body’s tolerance of the cancer cells can be broken, leading to the destruction of the cancer by the immune system.</w:t>
      </w:r>
    </w:p>
    <w:p>
      <w:pPr>
        <w:spacing w:after="0" w:line="59" w:lineRule="exact"/>
        <w:rPr>
          <w:rFonts w:ascii="Arial" w:cs="Arial" w:eastAsia="Arial" w:hAnsi="Arial"/>
          <w:sz w:val="13"/>
          <w:szCs w:val="13"/>
          <w:color w:val="auto"/>
        </w:rPr>
      </w:pPr>
    </w:p>
    <w:p>
      <w:pPr>
        <w:ind w:left="1180" w:right="100" w:hanging="90"/>
        <w:spacing w:after="0" w:line="264" w:lineRule="auto"/>
        <w:tabs>
          <w:tab w:leader="none" w:pos="11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In contrast to the conventional subcutaneous or intramuscular route of administration, our compounds are delivered directly into the patient’s lymph nodes, where</w:t>
      </w:r>
      <w:r>
        <w:rPr>
          <w:rFonts w:ascii="Arial" w:cs="Arial" w:eastAsia="Arial" w:hAnsi="Arial"/>
          <w:sz w:val="13"/>
          <w:szCs w:val="13"/>
          <w:i w:val="1"/>
          <w:iCs w:val="1"/>
          <w:color w:val="auto"/>
        </w:rPr>
        <w:t xml:space="preserve"> </w:t>
      </w:r>
      <w:r>
        <w:rPr>
          <w:rFonts w:ascii="Arial" w:cs="Arial" w:eastAsia="Arial" w:hAnsi="Arial"/>
          <w:sz w:val="13"/>
          <w:szCs w:val="13"/>
          <w:color w:val="auto"/>
        </w:rPr>
        <w:t>studies have shown they will have the greatest impact. We believe that the direct delivery of our compounds will bring local high concentrations of the active components of our compounds into contact with high concentrations of the cells needed to generate a potent cell-mediated immune response.</w:t>
      </w:r>
    </w:p>
    <w:p>
      <w:pPr>
        <w:spacing w:after="0" w:line="57" w:lineRule="exact"/>
        <w:rPr>
          <w:rFonts w:ascii="Arial" w:cs="Arial" w:eastAsia="Arial" w:hAnsi="Arial"/>
          <w:sz w:val="13"/>
          <w:szCs w:val="13"/>
          <w:color w:val="auto"/>
        </w:rPr>
      </w:pPr>
    </w:p>
    <w:p>
      <w:pPr>
        <w:ind w:left="1180" w:right="120" w:hanging="90"/>
        <w:spacing w:after="0" w:line="276" w:lineRule="auto"/>
        <w:tabs>
          <w:tab w:leader="none" w:pos="11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Selectivity, potency and duration of response. </w:t>
      </w:r>
      <w:r>
        <w:rPr>
          <w:rFonts w:ascii="Arial" w:cs="Arial" w:eastAsia="Arial" w:hAnsi="Arial"/>
          <w:sz w:val="13"/>
          <w:szCs w:val="13"/>
          <w:color w:val="auto"/>
        </w:rPr>
        <w:t>We deliver our therapeutic compounds in a manner that we believe primes the immune system to respond to cancer cells expressing</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 epitopes, in much the same way that a chronic infection evokes a progressively increased immune response to invading bacteria.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administrative regimen is designed to boost the immune response over the course of a treatment cycle so that it becomes increasingly potent and long acting.</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objective is to develop products primarily in the major therapeutic areas of diabetes and cancer. Our strategy is to achieve this objective by doing the following:</w:t>
      </w:r>
    </w:p>
    <w:p>
      <w:pPr>
        <w:spacing w:after="0" w:line="96" w:lineRule="exact"/>
        <w:rPr>
          <w:sz w:val="20"/>
          <w:szCs w:val="20"/>
          <w:color w:val="auto"/>
        </w:rPr>
      </w:pPr>
    </w:p>
    <w:p>
      <w:pPr>
        <w:ind w:left="1180" w:right="40" w:hanging="90"/>
        <w:spacing w:after="0" w:line="258" w:lineRule="auto"/>
        <w:tabs>
          <w:tab w:leader="none" w:pos="11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Commercialize our Technosphere Insulin System for the insulin-using diabetes market. </w:t>
      </w:r>
      <w:r>
        <w:rPr>
          <w:rFonts w:ascii="Arial" w:cs="Arial" w:eastAsia="Arial" w:hAnsi="Arial"/>
          <w:sz w:val="13"/>
          <w:szCs w:val="13"/>
          <w:color w:val="auto"/>
        </w:rPr>
        <w:t>We intend to advance our Technosphere Insulin System through Phase 3 clinical trials and</w:t>
      </w:r>
      <w:r>
        <w:rPr>
          <w:rFonts w:ascii="Arial" w:cs="Arial" w:eastAsia="Arial" w:hAnsi="Arial"/>
          <w:sz w:val="13"/>
          <w:szCs w:val="13"/>
          <w:i w:val="1"/>
          <w:iCs w:val="1"/>
          <w:color w:val="auto"/>
        </w:rPr>
        <w:t xml:space="preserve"> </w:t>
      </w:r>
      <w:r>
        <w:rPr>
          <w:rFonts w:ascii="Arial" w:cs="Arial" w:eastAsia="Arial" w:hAnsi="Arial"/>
          <w:sz w:val="13"/>
          <w:szCs w:val="13"/>
          <w:color w:val="auto"/>
        </w:rPr>
        <w:t>then into commercialization, with the goal of first establishing a significant presence for Technosphere Insulin in the insulin-using diabetes market. We believe that the market for insulin products has the potential to expand as a result of the launch of Exubera, primarily due to the non-invasive nature of pulmonary insulin delivery. We believe the advantages in terms of safety, efficacy and convenience of the Technosphere Insulin System, as compared to other pulmonary insulin products, will enable us to capture a significant portion of the existing and expanded insulin-using diabetes market.</w:t>
      </w:r>
    </w:p>
    <w:p>
      <w:pPr>
        <w:spacing w:after="0" w:line="61" w:lineRule="exact"/>
        <w:rPr>
          <w:rFonts w:ascii="Arial" w:cs="Arial" w:eastAsia="Arial" w:hAnsi="Arial"/>
          <w:sz w:val="13"/>
          <w:szCs w:val="13"/>
          <w:color w:val="auto"/>
        </w:rPr>
      </w:pPr>
    </w:p>
    <w:p>
      <w:pPr>
        <w:ind w:left="1180" w:right="20" w:hanging="90"/>
        <w:spacing w:after="0" w:line="276" w:lineRule="auto"/>
        <w:tabs>
          <w:tab w:leader="none" w:pos="11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Establish our Technosphere Insulin System as the preferred drug therapy within the broader population of people with type 2 diabetes. </w:t>
      </w:r>
      <w:r>
        <w:rPr>
          <w:rFonts w:ascii="Arial" w:cs="Arial" w:eastAsia="Arial" w:hAnsi="Arial"/>
          <w:sz w:val="13"/>
          <w:szCs w:val="13"/>
          <w:color w:val="auto"/>
        </w:rPr>
        <w:t>Our target markets also include patients with</w:t>
      </w:r>
      <w:r>
        <w:rPr>
          <w:rFonts w:ascii="Arial" w:cs="Arial" w:eastAsia="Arial" w:hAnsi="Arial"/>
          <w:sz w:val="13"/>
          <w:szCs w:val="13"/>
          <w:i w:val="1"/>
          <w:iCs w:val="1"/>
          <w:color w:val="auto"/>
        </w:rPr>
        <w:t xml:space="preserve"> </w:t>
      </w:r>
      <w:r>
        <w:rPr>
          <w:rFonts w:ascii="Arial" w:cs="Arial" w:eastAsia="Arial" w:hAnsi="Arial"/>
          <w:sz w:val="13"/>
          <w:szCs w:val="13"/>
          <w:color w:val="auto"/>
        </w:rPr>
        <w:t>type 2 diabetes who are currently using conventional therapies other than insulin, including:</w:t>
      </w:r>
    </w:p>
    <w:p>
      <w:pPr>
        <w:spacing w:after="0" w:line="59" w:lineRule="exact"/>
        <w:rPr>
          <w:rFonts w:ascii="Arial" w:cs="Arial" w:eastAsia="Arial" w:hAnsi="Arial"/>
          <w:sz w:val="13"/>
          <w:szCs w:val="13"/>
          <w:color w:val="auto"/>
        </w:rPr>
      </w:pPr>
    </w:p>
    <w:p>
      <w:pPr>
        <w:ind w:left="1600" w:hanging="107"/>
        <w:spacing w:after="0"/>
        <w:tabs>
          <w:tab w:leader="none" w:pos="16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patients currently using diet and exercise therapy but who are having difficulty achieving proper blood glucose control;</w:t>
      </w:r>
    </w:p>
    <w:p>
      <w:pPr>
        <w:spacing w:after="0" w:line="86" w:lineRule="exact"/>
        <w:rPr>
          <w:rFonts w:ascii="Arial" w:cs="Arial" w:eastAsia="Arial" w:hAnsi="Arial"/>
          <w:sz w:val="13"/>
          <w:szCs w:val="13"/>
          <w:color w:val="auto"/>
        </w:rPr>
      </w:pPr>
    </w:p>
    <w:p>
      <w:pPr>
        <w:ind w:left="1600" w:hanging="107"/>
        <w:spacing w:after="0"/>
        <w:tabs>
          <w:tab w:leader="none" w:pos="16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patients for whom diet and exercise therapy has failed, but who otherwise would have started non-insulin oral medications; and</w:t>
      </w:r>
    </w:p>
    <w:p>
      <w:pPr>
        <w:spacing w:after="0" w:line="86" w:lineRule="exact"/>
        <w:rPr>
          <w:rFonts w:ascii="Arial" w:cs="Arial" w:eastAsia="Arial" w:hAnsi="Arial"/>
          <w:sz w:val="13"/>
          <w:szCs w:val="13"/>
          <w:color w:val="auto"/>
        </w:rPr>
      </w:pPr>
    </w:p>
    <w:p>
      <w:pPr>
        <w:ind w:left="1600" w:hanging="107"/>
        <w:spacing w:after="0"/>
        <w:tabs>
          <w:tab w:leader="none" w:pos="16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patients currently using non-insulin oral medications.</w:t>
      </w:r>
    </w:p>
    <w:p>
      <w:pPr>
        <w:spacing w:after="0" w:line="96" w:lineRule="exact"/>
        <w:rPr>
          <w:sz w:val="20"/>
          <w:szCs w:val="20"/>
          <w:color w:val="auto"/>
        </w:rPr>
      </w:pPr>
    </w:p>
    <w:p>
      <w:pPr>
        <w:ind w:left="1280" w:right="200"/>
        <w:spacing w:after="0" w:line="285" w:lineRule="auto"/>
        <w:rPr>
          <w:sz w:val="20"/>
          <w:szCs w:val="20"/>
          <w:color w:val="auto"/>
        </w:rPr>
      </w:pPr>
      <w:r>
        <w:rPr>
          <w:rFonts w:ascii="Arial" w:cs="Arial" w:eastAsia="Arial" w:hAnsi="Arial"/>
          <w:sz w:val="12"/>
          <w:szCs w:val="12"/>
          <w:color w:val="auto"/>
        </w:rPr>
        <w:t>A 2004 article in the New England Journal of Medicine reported that that aggressive insulin therapy, aimed at limiting post-meal glucose excursions, early in the course of the disease can reduce the risk of long-term cardiovascular complications. We believe that our Technosphere Insulin System, if approved, could be effective in an aggressive early insulin therapy program in two ways: it approximates the natural time-action profile of insulin in a manner that appears to provide better control over post-meal glucose excursions than injections, and it offers a more convenient way to take insulin than injections. As a result, we believe that our Technosphere Insulin System could have the potential to become a preferred drug therapy for a broad population of people with type 2 diabetes.</w:t>
      </w:r>
    </w:p>
    <w:p>
      <w:pPr>
        <w:spacing w:after="0" w:line="55" w:lineRule="exact"/>
        <w:rPr>
          <w:sz w:val="20"/>
          <w:szCs w:val="20"/>
          <w:color w:val="auto"/>
        </w:rPr>
      </w:pPr>
    </w:p>
    <w:p>
      <w:pPr>
        <w:ind w:left="1180" w:right="320" w:hanging="90"/>
        <w:spacing w:after="0" w:line="260" w:lineRule="auto"/>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Evaluate strategic collaborations for the development, marketing and commercialization of our Technosphere Insulin System. </w:t>
      </w:r>
      <w:r>
        <w:rPr>
          <w:rFonts w:ascii="Arial" w:cs="Arial" w:eastAsia="Arial" w:hAnsi="Arial"/>
          <w:sz w:val="13"/>
          <w:szCs w:val="13"/>
          <w:color w:val="auto"/>
        </w:rPr>
        <w:t>We are evaluating potential collaboration</w:t>
      </w:r>
      <w:r>
        <w:rPr>
          <w:rFonts w:ascii="Arial" w:cs="Arial" w:eastAsia="Arial" w:hAnsi="Arial"/>
          <w:sz w:val="13"/>
          <w:szCs w:val="13"/>
          <w:i w:val="1"/>
          <w:iCs w:val="1"/>
          <w:color w:val="auto"/>
        </w:rPr>
        <w:t xml:space="preserve"> </w:t>
      </w:r>
      <w:r>
        <w:rPr>
          <w:rFonts w:ascii="Arial" w:cs="Arial" w:eastAsia="Arial" w:hAnsi="Arial"/>
          <w:sz w:val="13"/>
          <w:szCs w:val="13"/>
          <w:color w:val="auto"/>
        </w:rPr>
        <w:t>opportunities with large pharmaceutical companies in the United States, Europe and Japan to provide marketing, sales and financial resources to commercialize and sell our Technosphere Insulin System. We have not licensed or transferred any of our rights to this product. Our goal is to retain worldwide manufacturing rights for our Technosphere Insulin System.</w:t>
      </w:r>
    </w:p>
    <w:p>
      <w:pPr>
        <w:spacing w:after="0" w:line="59" w:lineRule="exact"/>
        <w:rPr>
          <w:rFonts w:ascii="Arial" w:cs="Arial" w:eastAsia="Arial" w:hAnsi="Arial"/>
          <w:sz w:val="13"/>
          <w:szCs w:val="13"/>
          <w:color w:val="auto"/>
        </w:rPr>
      </w:pPr>
    </w:p>
    <w:p>
      <w:pPr>
        <w:ind w:left="1180" w:right="40" w:hanging="90"/>
        <w:spacing w:after="0" w:line="264" w:lineRule="auto"/>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Advance our cancer immunotherapy program into clinical trials. </w:t>
      </w:r>
      <w:r>
        <w:rPr>
          <w:rFonts w:ascii="Arial" w:cs="Arial" w:eastAsia="Arial" w:hAnsi="Arial"/>
          <w:sz w:val="13"/>
          <w:szCs w:val="13"/>
          <w:color w:val="auto"/>
        </w:rPr>
        <w:t>We intend to commence clinical trials of our first cancer immunotherapy product late in the fourth quarter of</w:t>
      </w:r>
      <w:r>
        <w:rPr>
          <w:rFonts w:ascii="Arial" w:cs="Arial" w:eastAsia="Arial" w:hAnsi="Arial"/>
          <w:sz w:val="13"/>
          <w:szCs w:val="13"/>
          <w:i w:val="1"/>
          <w:iCs w:val="1"/>
          <w:color w:val="auto"/>
        </w:rPr>
        <w:t xml:space="preserve"> </w:t>
      </w:r>
      <w:r>
        <w:rPr>
          <w:rFonts w:ascii="Arial" w:cs="Arial" w:eastAsia="Arial" w:hAnsi="Arial"/>
          <w:sz w:val="13"/>
          <w:szCs w:val="13"/>
          <w:color w:val="auto"/>
        </w:rPr>
        <w:t>2006. Our intent is to evaluate the safety and efficacy of this program for the treatment of a range of solid-tumor cancers, including ovarian, colorectal, pancreatic, renal, breast and prostate carcinomas.</w:t>
      </w:r>
    </w:p>
    <w:p>
      <w:pPr>
        <w:spacing w:after="0" w:line="57" w:lineRule="exact"/>
        <w:rPr>
          <w:rFonts w:ascii="Arial" w:cs="Arial" w:eastAsia="Arial" w:hAnsi="Arial"/>
          <w:sz w:val="13"/>
          <w:szCs w:val="13"/>
          <w:color w:val="auto"/>
        </w:rPr>
      </w:pPr>
    </w:p>
    <w:p>
      <w:pPr>
        <w:ind w:left="1180" w:hanging="90"/>
        <w:spacing w:after="0" w:line="296" w:lineRule="auto"/>
        <w:tabs>
          <w:tab w:leader="none" w:pos="11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Expand our proprietary Technosphere formulation technology for the delivery of other drugs. </w:t>
      </w:r>
      <w:r>
        <w:rPr>
          <w:rFonts w:ascii="Arial" w:cs="Arial" w:eastAsia="Arial" w:hAnsi="Arial"/>
          <w:sz w:val="12"/>
          <w:szCs w:val="12"/>
          <w:color w:val="auto"/>
        </w:rPr>
        <w:t>We are developing additional applications for our proprietary Technosphere</w:t>
      </w:r>
      <w:r>
        <w:rPr>
          <w:rFonts w:ascii="Arial" w:cs="Arial" w:eastAsia="Arial" w:hAnsi="Arial"/>
          <w:sz w:val="12"/>
          <w:szCs w:val="12"/>
          <w:i w:val="1"/>
          <w:iCs w:val="1"/>
          <w:color w:val="auto"/>
        </w:rPr>
        <w:t xml:space="preserve"> </w:t>
      </w:r>
      <w:r>
        <w:rPr>
          <w:rFonts w:ascii="Arial" w:cs="Arial" w:eastAsia="Arial" w:hAnsi="Arial"/>
          <w:sz w:val="12"/>
          <w:szCs w:val="12"/>
          <w:color w:val="auto"/>
        </w:rPr>
        <w:t>formulation technology by formulating other drugs for pulmonary delivery. We believe our proprietary Technosphere formulation technology can also be extended to other forms of local administration, such as gastrointestinal delivery, because of its apparent ability to stabilize drugs and facilitate transport across cellular membranes without damage.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jc w:val="both"/>
        <w:ind w:left="680" w:right="160"/>
        <w:spacing w:after="0" w:line="322" w:lineRule="auto"/>
        <w:rPr>
          <w:sz w:val="20"/>
          <w:szCs w:val="20"/>
          <w:color w:val="auto"/>
        </w:rPr>
      </w:pPr>
      <w:r>
        <w:rPr>
          <w:rFonts w:ascii="Arial" w:cs="Arial" w:eastAsia="Arial" w:hAnsi="Arial"/>
          <w:sz w:val="11"/>
          <w:szCs w:val="11"/>
          <w:color w:val="auto"/>
        </w:rPr>
        <w:t>We currently have no sales, marketing or distribution capabilities and have no experience as a company in marketing or selling pharmaceutical products. Our efforts to date have primarily been directed at developing products for a number of different markets. Assuming that we receive regulatory approval for our product candidates, we anticipate that we will have to pursue different sales and marketing strategies tailored to each particular product and market segment. In order to commercially market any of our products, we will also need either to develop a sales and marketing infrastructure ourselves or collaborate with third parties who have greater sales and marketing capabilities and have access to potentially large markets.</w:t>
      </w:r>
    </w:p>
    <w:p>
      <w:pPr>
        <w:spacing w:after="0" w:line="39"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Although we believe that establishing our own sales and marketing organizations in North America would have substantial advantages, we recognize that this may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products, including our lead product, the Technosphere Insulin System. We believe that this will give us flexibility if we enter into collaborations to provide the necessary sales and marketing support.</w:t>
      </w:r>
    </w:p>
    <w:p>
      <w:pPr>
        <w:spacing w:after="0" w:line="70"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We are evaluating potential collaboration opportunities to assist us in the development and commercialization of our Technosphere Insulin System in the United States, Europe and Japan, and we may also create parallel in-house sales and marketing operations in certain key markets, particularly in the United States.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SUPPLY</w:t>
      </w:r>
    </w:p>
    <w:p>
      <w:pPr>
        <w:spacing w:after="0" w:line="100"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We purchase human recombinant insulin under a long-term contract with Diosynth B.V., a global producer of insulin and a subsidiary of Akzo Nobel. This agreement has no specified termination date, but generally may be terminated upon two-years’ advance notice by either party. In addition, Diosynth has agreed to support our regulatory filings relating to the Technosphere Insulin System in the United States and abroad. We believe Diosynth has sufficient capacity to provide us with sufficient quantities of insulin to support our needs through the initial stages of commercialization. We must rely on our insulin supplier to maintain compliance with relevant regulatory requirements including cGMP.</w:t>
      </w:r>
    </w:p>
    <w:p>
      <w:pPr>
        <w:spacing w:after="0" w:line="53"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We have a long-term supply agreement with Vaupell, Inc., an independent third party, for the manufacture and supply of our MedTone inhaler and the cartridges that are inserted into it. We rely on this manufacturer to comply with relevant regulatory requirements, including compliance with Quality System Regulations, or QSRs. We believe our manufacturer has the capacity to meet our Phase 3 clinical and initial commercial requirements.</w:t>
      </w:r>
    </w:p>
    <w:p>
      <w:pPr>
        <w:spacing w:after="0" w:line="67" w:lineRule="exact"/>
        <w:rPr>
          <w:sz w:val="20"/>
          <w:szCs w:val="20"/>
          <w:color w:val="auto"/>
        </w:rPr>
      </w:pPr>
    </w:p>
    <w:p>
      <w:pPr>
        <w:jc w:val="both"/>
        <w:ind w:left="680"/>
        <w:spacing w:after="0" w:line="296" w:lineRule="auto"/>
        <w:rPr>
          <w:sz w:val="20"/>
          <w:szCs w:val="20"/>
          <w:color w:val="auto"/>
        </w:rPr>
      </w:pPr>
      <w:r>
        <w:rPr>
          <w:rFonts w:ascii="Arial" w:cs="Arial" w:eastAsia="Arial" w:hAnsi="Arial"/>
          <w:sz w:val="12"/>
          <w:szCs w:val="12"/>
          <w:color w:val="auto"/>
        </w:rPr>
        <w:t>Currently, we obtain our Technosphere pre-cursor raw material from Degussa AG, a major chemical manufacturer with facilities in Europe and North America. We also have the capability of manufacturing this chemical ourselves in our Danbury, Connecticut facility, which is now treated as a back up facility. We are in the process of qualifying another secondary manufacturer to supply us with commercial quantities of this raw material. Like us, our third-party manufacturers are subject to extensive governmental regulation.</w:t>
      </w:r>
    </w:p>
    <w:p>
      <w:pPr>
        <w:spacing w:after="0" w:line="50"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We formulate and fill the Technosphere Insulin powder into plastic cartridges and blister package the cartridges in a manufacturing suite in our Danbury facility. We believe that our Danbury facility has adequate capacity to meet our currently anticipated clinical trial needs. We are continuing to increase our filling and packaging capacity through the acquisition of new equipment and the expansion of our clean rooms and other manufacturing facilities. We believe that our building improvements have been adequately validated to date and that the facility continues to substantially conform with cGMP. We have initiated the design and construction of a modular filling and packaging system that will increase our filling and packaging capacity. The new system is designed to operate at high speeds in a very small space, and capacity can be expanded by using multiple units.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AND PROPRIETARY TECHNOLOGY</w:t>
      </w:r>
    </w:p>
    <w:p>
      <w:pPr>
        <w:spacing w:after="0" w:line="100"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59"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With respect to our Technosphere Insulin System, our core patents claim Technosphere particles as compositions of matter as well as methods for manufacturing Technosphere particles that incorporate drugs. The first of these patents expires in 2012, but subsequent patents provide additional coverage for the composition of matter and methods of use of the current product until 2020. We also hold patents that claim methods of using Technosphere particles for the pulmonary delivery of drugs. These patents relating to Technosphere Insulin do not expire until 2015. In addition, we are prosecuting patent applications related to the MedTone inhaler device and the capsules that contain the dry powder. We have filed and intend to continue to file additional patent applications on improvements to the Technosphere technology and its manufacture, as well as on specific compositions of matter formed using this technology in combination with drugs. To date, we have been issued 14 US and foreign Technosphere-related patents and have over 40 pending applications in different jurisdictions claiming inventions related to the Technosphere technology and the dry powder inhaler.</w:t>
      </w:r>
    </w:p>
    <w:p>
      <w:pPr>
        <w:spacing w:after="0" w:line="58" w:lineRule="exact"/>
        <w:rPr>
          <w:sz w:val="20"/>
          <w:szCs w:val="20"/>
          <w:color w:val="auto"/>
        </w:rPr>
      </w:pPr>
    </w:p>
    <w:p>
      <w:pPr>
        <w:ind w:left="680" w:right="20"/>
        <w:spacing w:after="0" w:line="316" w:lineRule="auto"/>
        <w:rPr>
          <w:sz w:val="20"/>
          <w:szCs w:val="20"/>
          <w:color w:val="auto"/>
        </w:rPr>
      </w:pPr>
      <w:r>
        <w:rPr>
          <w:rFonts w:ascii="Arial" w:cs="Arial" w:eastAsia="Arial" w:hAnsi="Arial"/>
          <w:sz w:val="11"/>
          <w:szCs w:val="11"/>
          <w:color w:val="auto"/>
        </w:rPr>
        <w:t>Our cancer immunotherapy program is built on proprietary methods for the selection, design and administration of epitopes. We have 90 pending patent applications relating to this technology, both as methods of use and compositions of matter. We are pursuing patents on the use of our administration method to induce and maintain a cell-mediated immune response. The prosecution is ongoing in many jurisdictions; however, we have been granted four patents related to this method, including two in the United States, which do not expire until 2018. We also have patent applications related to differential antigen processing and product designs. Two patents from this group have issued in the United States, which provides us with protection until 2020. In addition to applications of these broad technologies, we have filed and will continue to file patent applications on specific compounds and the protocols for administering them.</w:t>
      </w:r>
    </w:p>
    <w:p>
      <w:pPr>
        <w:spacing w:after="0" w:line="42" w:lineRule="exact"/>
        <w:rPr>
          <w:sz w:val="20"/>
          <w:szCs w:val="20"/>
          <w:color w:val="auto"/>
        </w:rPr>
      </w:pPr>
    </w:p>
    <w:p>
      <w:pPr>
        <w:ind w:left="680" w:right="200"/>
        <w:spacing w:after="0" w:line="334" w:lineRule="auto"/>
        <w:rPr>
          <w:sz w:val="20"/>
          <w:szCs w:val="20"/>
          <w:color w:val="auto"/>
        </w:rPr>
      </w:pPr>
      <w:r>
        <w:rPr>
          <w:rFonts w:ascii="Arial" w:cs="Arial" w:eastAsia="Arial" w:hAnsi="Arial"/>
          <w:sz w:val="11"/>
          <w:szCs w:val="11"/>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32" w:lineRule="exact"/>
        <w:rPr>
          <w:sz w:val="20"/>
          <w:szCs w:val="20"/>
          <w:color w:val="auto"/>
        </w:rPr>
      </w:pPr>
    </w:p>
    <w:p>
      <w:pPr>
        <w:ind w:left="680"/>
        <w:spacing w:after="0" w:line="275" w:lineRule="auto"/>
        <w:rPr>
          <w:sz w:val="20"/>
          <w:szCs w:val="20"/>
          <w:color w:val="auto"/>
        </w:rPr>
      </w:pPr>
      <w:r>
        <w:rPr>
          <w:rFonts w:ascii="Arial" w:cs="Arial" w:eastAsia="Arial" w:hAnsi="Arial"/>
          <w:sz w:val="12"/>
          <w:szCs w:val="12"/>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w:t>
      </w:r>
    </w:p>
    <w:p>
      <w:pPr>
        <w:spacing w:after="0" w:line="2"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18 months after the application’s priority date. In any event, because publication of discoveries in scientific or patent literature often trails behind actual discoveries, we cannot be certain that we were the first creator of inventions covered by our pending patent applications or that we were the first to file patent applications on such inventions.</w:t>
      </w:r>
    </w:p>
    <w:p>
      <w:pPr>
        <w:spacing w:after="0" w:line="67"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and compositions of matter related to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DNA-based vaccines that also may trigger an allegation of infringement upon the commercial manufacture and sale of cancer therapy. We believe, based in part on advice of counsel, that we are not infringing any valid claims of any patent owned by a third party. However, if a court were to determine that our inhaled insulin products or cancer 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should the patent holder refuse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US Patent and Trademark Office, or USPTO, to determine priority of invention. We may be required to participate in interference proceedings involving our issued patents and pending applications.</w:t>
      </w:r>
    </w:p>
    <w:p>
      <w:pPr>
        <w:spacing w:after="0" w:line="6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72"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We also execute confidentiality agreements with outside collaborators. However, disputes may arise as to the ownership of proprietary rights to the extent that outside collaborators apply technological information developed independently by them or others to our projects,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140"/>
        <w:spacing w:after="0" w:line="322" w:lineRule="auto"/>
        <w:rPr>
          <w:sz w:val="20"/>
          <w:szCs w:val="20"/>
          <w:color w:val="auto"/>
        </w:rPr>
      </w:pPr>
      <w:r>
        <w:rPr>
          <w:rFonts w:ascii="Arial" w:cs="Arial" w:eastAsia="Arial" w:hAnsi="Arial"/>
          <w:sz w:val="11"/>
          <w:szCs w:val="11"/>
          <w:color w:val="auto"/>
        </w:rPr>
        <w:t>The pharmaceutical and biotechnology industries are intensely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ease of use and cost.</w:t>
      </w:r>
    </w:p>
    <w:p>
      <w:pPr>
        <w:spacing w:after="0" w:line="39" w:lineRule="exact"/>
        <w:rPr>
          <w:sz w:val="20"/>
          <w:szCs w:val="20"/>
          <w:color w:val="auto"/>
        </w:rPr>
      </w:pPr>
    </w:p>
    <w:p>
      <w:pPr>
        <w:ind w:left="680" w:right="80"/>
        <w:spacing w:after="0" w:line="296" w:lineRule="auto"/>
        <w:rPr>
          <w:sz w:val="20"/>
          <w:szCs w:val="20"/>
          <w:color w:val="auto"/>
        </w:rPr>
      </w:pPr>
      <w:r>
        <w:rPr>
          <w:rFonts w:ascii="Arial" w:cs="Arial" w:eastAsia="Arial" w:hAnsi="Arial"/>
          <w:sz w:val="12"/>
          <w:szCs w:val="12"/>
          <w:color w:val="auto"/>
        </w:rPr>
        <w:t>We believe our Technosphere Insulin System provides us with important competitive advantages in the delivery of insulin when compared with currently known alternatives. However, new drugs or further developments in alternative drug delivery methods may provide greater therapeutic benefits, or comparable benefits at lower cost, than our Technosphere Insulin System. There can be no assurance that existing or new competitors will not introduce products or processes competitive with or superior to our product candidates.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have set forth below more detailed information about certain of our competitors. The following is based on information currently available to us.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pulmonary and oral insulin delivery systems</w:t>
      </w:r>
    </w:p>
    <w:p>
      <w:pPr>
        <w:spacing w:after="0" w:line="100" w:lineRule="exact"/>
        <w:rPr>
          <w:sz w:val="20"/>
          <w:szCs w:val="20"/>
          <w:color w:val="auto"/>
        </w:rPr>
      </w:pPr>
    </w:p>
    <w:p>
      <w:pPr>
        <w:ind w:left="680" w:right="180"/>
        <w:spacing w:after="0" w:line="289" w:lineRule="auto"/>
        <w:rPr>
          <w:sz w:val="20"/>
          <w:szCs w:val="20"/>
          <w:color w:val="auto"/>
        </w:rPr>
      </w:pPr>
      <w:r>
        <w:rPr>
          <w:rFonts w:ascii="Arial" w:cs="Arial" w:eastAsia="Arial" w:hAnsi="Arial"/>
          <w:sz w:val="12"/>
          <w:szCs w:val="12"/>
          <w:color w:val="auto"/>
        </w:rPr>
        <w:t>In January 2006, the FDA approved Exubera, which was developed by Pfizer, Inc. in collaboration with Nektar Therapeutics, for the treatment of adults with type 1 and type 2 diabetes, as did the European Medicines Evaluation Agency. Eli Lilly and Company, in collaboration with Alkermes, Inc., is also developing a pulmonary insulin product. These companies initiated a Phase 3 clinical trial in July 2005, which is required to define the safety and efficacy of the Lilly/Alkermes product. Novo Nordisk A.S. has announced their intent to re-initiate Phase 3 clinical testing of their pulmonary insulin product. Kos Pharmaceuticals, Inc. is also developing a pulmonary insulin product.</w:t>
      </w:r>
    </w:p>
    <w:p>
      <w:pPr>
        <w:spacing w:after="0" w:line="5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There are also several companies, including Nobex Corporation, Generex Biotechnology Corporation and Emisphere Technologies, Inc., that are pursuing development of products for the oral delivery of insulin. We believe these products are currently in relatively early clinical trials.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Non-insulin oral medications</w:t>
      </w:r>
    </w:p>
    <w:p>
      <w:pPr>
        <w:spacing w:after="0" w:line="100"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We expect that our Technosphere Insulin System will compete with currently available non-insulin oral medications for type 2 diabetes. These products include sulfonylureas, metformin and various insulin sensitizers. The sulfonylureas, which are mostly generic, act by directly stimulating insulin secretion and have been the principal non-insulin oral medication used to treat type 2 diabetes for several decades. Metformin, which is now available as a generic drug and is also marketed by Bristol-Meyers Squibb Company as Glucophage, has also been widely used for the treatment of type 2 diabetes. Insulin sensitizers, including Avandia, which is being marketed by GlaxoSmithKline PLC, and Actos, which is being marketed by Takeda Pharmaceuticals North America, Inc. and Eli Lilly &amp; Company, are increasingly being used to treat type 2 diabetes.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Injected insulin</w:t>
      </w:r>
    </w:p>
    <w:p>
      <w:pPr>
        <w:spacing w:after="0" w:line="100" w:lineRule="exact"/>
        <w:rPr>
          <w:sz w:val="20"/>
          <w:szCs w:val="20"/>
          <w:color w:val="auto"/>
        </w:rPr>
      </w:pPr>
    </w:p>
    <w:p>
      <w:pPr>
        <w:ind w:left="680" w:right="100"/>
        <w:spacing w:after="0" w:line="320" w:lineRule="auto"/>
        <w:rPr>
          <w:sz w:val="20"/>
          <w:szCs w:val="20"/>
          <w:color w:val="auto"/>
        </w:rPr>
      </w:pPr>
      <w:r>
        <w:rPr>
          <w:rFonts w:ascii="Arial" w:cs="Arial" w:eastAsia="Arial" w:hAnsi="Arial"/>
          <w:sz w:val="12"/>
          <w:szCs w:val="12"/>
          <w:color w:val="auto"/>
        </w:rPr>
        <w:t>In the subcutaneous insulin market, our competitors have made considerable efforts to develop faster acting injectable insulin formulations. Humalog, which was developed by Eli Lilly and Company, and Insulin Aspart, or NovoLog, which was developed by Novo Nordisk A/S, are the two principal injectable insulin formulations with which we expect to compete.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injected diabetes medications</w:t>
      </w:r>
    </w:p>
    <w:p>
      <w:pPr>
        <w:spacing w:after="0" w:line="100"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There is considerable interest in a new class of injectible diabetes drugs known as incretin mimetic agents. These drugs simulate or alter the activity of naturally occurring hormones that are released from the digestive system, such as GLP-1, GIP and others. These hormones modulate the metabolism of energy-containing compounds in the body, such as glucose, fat and protein. The most advanced of these drugs are Symlin and Byetta, being marketed by Amylin Pharmaceuticals, Inc. in collaboration with Eli Lilly &amp; Company. Several other pharmaceutical companies are working on additional incretin mimetic agents or on incretin modifiers, such as DPP-IV inhibitors, which act to extend the potency of GLP-1.</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Immunotherapy</w:t>
      </w:r>
    </w:p>
    <w:p>
      <w:pPr>
        <w:spacing w:after="0" w:line="100"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Over the last decade or so, a variety of companies have sought to develop therapeutic compounds that provide a selective immune response against cancer. Some of these companies, including Dendreon Corporation, Antigenics Inc., CancerVax Corporation, Cell Genesys Inc. and Corixa Corporation, have focused on products derived from the patients’ own cancer or other cells, or tumor cell lines, which can take the form of whole cells or cell fragments, or on tumor antigens extracted from cancerous cells. Other companies, including CancerVax Corporation, Progenics Pharmaceuticals, Inc., Therion Biologics Corporation and Vical Incorporated, are pursuing therapies designed to work across a broad spectrum of patients and tumor types.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 AND PRODUCT APPROVAL</w:t>
      </w:r>
    </w:p>
    <w:p>
      <w:pPr>
        <w:spacing w:after="0" w:line="100"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The FDA and comparable regulatory agencies in state, local and foreign jurisdictions impose substantial requirements upon the clinical development, manufacture and marketing of medical devices and new drug products.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agencies, through regulations that implement the Food, Drug and Cosmetic Act, as amended, or FDCA, and other regulations, regulate research and development activities and the development, testing, manufacture, labeling, storage, shipping, approval, advertising, promotion, sale and distribution of such products. In addition, if our products are marketed abroad, they also are subject to export requirements and to regulation by foreign governments. The regulatory clearance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steps typically required before an unapproved new drug product for use in humans may be marketed in the United States include:</w:t>
      </w:r>
    </w:p>
    <w:p>
      <w:pPr>
        <w:spacing w:after="0" w:line="96" w:lineRule="exact"/>
        <w:rPr>
          <w:sz w:val="20"/>
          <w:szCs w:val="20"/>
          <w:color w:val="auto"/>
        </w:rPr>
      </w:pPr>
    </w:p>
    <w:p>
      <w:pPr>
        <w:ind w:left="1180" w:right="180" w:hanging="90"/>
        <w:spacing w:after="0" w:line="296" w:lineRule="auto"/>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replicated. In some cases, long-term preclinical studies are conducted while clinical studies are ongoing.</w:t>
      </w:r>
    </w:p>
    <w:p>
      <w:pPr>
        <w:spacing w:after="0" w:line="39" w:lineRule="exact"/>
        <w:rPr>
          <w:rFonts w:ascii="Arial" w:cs="Arial" w:eastAsia="Arial" w:hAnsi="Arial"/>
          <w:sz w:val="12"/>
          <w:szCs w:val="12"/>
          <w:color w:val="auto"/>
        </w:rPr>
      </w:pPr>
    </w:p>
    <w:p>
      <w:pPr>
        <w:ind w:left="1180" w:right="60" w:hanging="90"/>
        <w:spacing w:after="0" w:line="276"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49" w:lineRule="exact"/>
        <w:rPr>
          <w:rFonts w:ascii="Arial" w:cs="Arial" w:eastAsia="Arial" w:hAnsi="Arial"/>
          <w:sz w:val="13"/>
          <w:szCs w:val="13"/>
          <w:color w:val="auto"/>
        </w:rPr>
      </w:pPr>
    </w:p>
    <w:p>
      <w:pPr>
        <w:ind w:left="1180" w:right="20" w:hanging="90"/>
        <w:spacing w:after="0" w:line="264"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Approval of clinical protocols by independent investigational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7" w:lineRule="exact"/>
        <w:rPr>
          <w:rFonts w:ascii="Arial" w:cs="Arial" w:eastAsia="Arial" w:hAnsi="Arial"/>
          <w:sz w:val="13"/>
          <w:szCs w:val="13"/>
          <w:color w:val="auto"/>
        </w:rPr>
      </w:pPr>
    </w:p>
    <w:p>
      <w:pPr>
        <w:ind w:left="1180" w:hanging="90"/>
        <w:spacing w:after="0" w:line="285" w:lineRule="auto"/>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Companies also must generally determine the details of properly treating pediatric patients with a drug and this can sometimes mean that specific pediatric studies must be performed. Human clinical trials are typically conducted in the following four sequential phases that may overlap or be combined:</w:t>
      </w:r>
    </w:p>
    <w:p>
      <w:pPr>
        <w:spacing w:after="0" w:line="45" w:lineRule="exact"/>
        <w:rPr>
          <w:rFonts w:ascii="Arial" w:cs="Arial" w:eastAsia="Arial" w:hAnsi="Arial"/>
          <w:sz w:val="12"/>
          <w:szCs w:val="12"/>
          <w:color w:val="auto"/>
        </w:rPr>
      </w:pPr>
    </w:p>
    <w:p>
      <w:pPr>
        <w:ind w:left="1180" w:right="60" w:hanging="90"/>
        <w:spacing w:after="0" w:line="257"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Phase 1, the drug is initially introduced into a small number of individuals and tested for safety, dosage tolerance, absorption, metabolism, distribution and excretion. Phase I clinical trials are often conducted in healthy human volunteers and such cases do not provide evidence of efficacy. In case of severe or life-threatening diseases, the initial human testing is often conducted in patients rather than healthy volunteers. Because these patients already have the target disease, these studies may provide initial evidence of efficacy traditionally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1" w:lineRule="exact"/>
        <w:rPr>
          <w:rFonts w:ascii="Arial" w:cs="Arial" w:eastAsia="Arial" w:hAnsi="Arial"/>
          <w:sz w:val="13"/>
          <w:szCs w:val="13"/>
          <w:color w:val="auto"/>
        </w:rPr>
      </w:pPr>
    </w:p>
    <w:p>
      <w:pPr>
        <w:ind w:left="1180" w:right="200" w:hanging="90"/>
        <w:spacing w:after="0" w:line="276"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49" w:lineRule="exact"/>
        <w:rPr>
          <w:rFonts w:ascii="Arial" w:cs="Arial" w:eastAsia="Arial" w:hAnsi="Arial"/>
          <w:sz w:val="13"/>
          <w:szCs w:val="13"/>
          <w:color w:val="auto"/>
        </w:rPr>
      </w:pPr>
    </w:p>
    <w:p>
      <w:pPr>
        <w:ind w:left="1180" w:right="80" w:hanging="90"/>
        <w:spacing w:after="0" w:line="276"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Phase 3 clinical trials begin once Phase 2 evaluations demonstrate that a dosage range of the product may be effective and has an acceptable safety profile.</w:t>
      </w:r>
    </w:p>
    <w:p>
      <w:pPr>
        <w:spacing w:after="0" w:line="96" w:lineRule="exact"/>
        <w:rPr>
          <w:sz w:val="20"/>
          <w:szCs w:val="20"/>
          <w:color w:val="auto"/>
        </w:rPr>
      </w:pPr>
    </w:p>
    <w:p>
      <w:pPr>
        <w:jc w:val="both"/>
        <w:ind w:left="1180" w:hanging="90"/>
        <w:spacing w:after="0" w:line="264"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57" w:lineRule="exact"/>
        <w:rPr>
          <w:rFonts w:ascii="Arial" w:cs="Arial" w:eastAsia="Arial" w:hAnsi="Arial"/>
          <w:sz w:val="13"/>
          <w:szCs w:val="13"/>
          <w:color w:val="auto"/>
        </w:rPr>
      </w:pPr>
    </w:p>
    <w:p>
      <w:pPr>
        <w:ind w:left="1180" w:right="140" w:hanging="90"/>
        <w:spacing w:after="0" w:line="289" w:lineRule="auto"/>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43" w:lineRule="exact"/>
        <w:rPr>
          <w:rFonts w:ascii="Arial" w:cs="Arial" w:eastAsia="Arial" w:hAnsi="Arial"/>
          <w:sz w:val="12"/>
          <w:szCs w:val="12"/>
          <w:color w:val="auto"/>
        </w:rPr>
      </w:pPr>
    </w:p>
    <w:p>
      <w:pPr>
        <w:ind w:left="1180" w:right="140" w:hanging="90"/>
        <w:spacing w:after="0" w:line="258"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Submission to the FDA of a new drug application, or NDA, for non-biological drugs such as insulin, based on the clinical trials. The results of pharmaceutical development, preclinical studies, and clinical trials are submitted to the FDA in the form of an NDA for approval of the marketing and commercial shipment of the product. Under the Pediatric Research Equity Act of 2003, or PREA,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61" w:lineRule="exact"/>
        <w:rPr>
          <w:rFonts w:ascii="Arial" w:cs="Arial" w:eastAsia="Arial" w:hAnsi="Arial"/>
          <w:sz w:val="13"/>
          <w:szCs w:val="13"/>
          <w:color w:val="auto"/>
        </w:rPr>
      </w:pPr>
    </w:p>
    <w:p>
      <w:pPr>
        <w:ind w:left="1180" w:right="40" w:hanging="90"/>
        <w:spacing w:after="0" w:line="278" w:lineRule="auto"/>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FDA reviews all NDAs submitted before it accepts them for filing. It may request additional information rather than accepting an application for filing. In this event, the application must be resubmitted with the additional information. The resubmitted application is also subject to review before the FDA accepts it for filing. Once the submission is accepted for filing, the FDA begins an in-depth review of the NDA. The FDA has substantial discretion in the approval process and may disagree with an applicant’s interpretation of the data submitted in its NDA. Also, as part of this review, the FDA may refer the application to an appropriate advisory committee, typically a panel of clinicians, for review, evaluation and a recommendation. The FDA is not bound by the recommendation of an advisory committee. Manufacturing establishments often also are subject to inspections prior to NDA approval to assure compliance with cGMP and with manufacturing commitments made in the relevant marketing application. Under the Prescription Drug User Fee Act, or PDUFA, certain pharmaceutical establishment, product and application fees were established. Submission of an NDA with clinical data requires payment of a fee. For fiscal year 2005, the required fee is $672,000. Under PDUFA, the FDA assigns a review goal for standard applications of 10 months from acceptance of the application, at which time the FDA may approve the product or request additional information. It is not unusual for the FDA to ask for more information upon completion of this first review cycle. There can be no assurance that an application will be approved during the first review cycle or any subsequent review cycles or that the FDA may not extend the PDUFA deadlines.</w:t>
      </w:r>
    </w:p>
    <w:p>
      <w:pPr>
        <w:spacing w:after="0" w:line="52" w:lineRule="exact"/>
        <w:rPr>
          <w:rFonts w:ascii="Arial" w:cs="Arial" w:eastAsia="Arial" w:hAnsi="Arial"/>
          <w:sz w:val="12"/>
          <w:szCs w:val="12"/>
          <w:color w:val="auto"/>
        </w:rPr>
      </w:pPr>
    </w:p>
    <w:p>
      <w:pPr>
        <w:ind w:left="1180" w:right="80" w:hanging="90"/>
        <w:spacing w:after="0" w:line="258"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FDA approval of the NDA must be granted prior to any commercial sale or shipment of the drug product. The FDA may deny an NDA approval if safety, efficacy or other regulatory requirements are not satisfied. The FDA may also require additional testing or information before approving the NDA. If regulatory approval of the product is granted, such approval may require post-marketing testing and surveillance to monitor the safety of the product or may entail limitations on the indicated uses for which the product may be marketed or advertised. The FDA may require additional testing or information before approving the NDA. In addition, product approval may be withdrawn if compliance with regulatory standards is not maintained or if problems occur following the commencement of marketing.</w:t>
      </w:r>
    </w:p>
    <w:p>
      <w:pPr>
        <w:spacing w:after="0" w:line="71"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Clinical trials are designed and conducted in a variety of ways. A “placebo-controlled” trial is one in which the trial tests the results of a group of patients, referred to as an “arm” of the trial, receiving the drug being tested against those of an arm that receives a placebo, which is a substance of identical appearance that is not therapeutic in a medical or chemical sense. In a “double-blind” study, neither the researcher nor the patient knows into which arm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the trial the patient has been placed, or whether the patient is receiving the drug or the placebo. “Randomized” means that upon enrollment, patients are placed into one arm or the other at random by computer. “Parallel control” trials generally involve a study arm with a patient population that is not exposed to the study medication (i.e., is either on placebo or standard treatment protocols) for comparison to the drug being tested and groups are assigned upon patient admission to the study and remain in those groups for the duration of the study. An “open label” study is one where the researcher and the patient know that the patient is receiving the drug. A trial is said to be “pivotal” if it is designed to meet statistical criteria with respect to pre-determined “endpoints,” or clinical objectives, that the sponsor believes, based usually on its interactions with the relevant regulatory authority, will be sufficient for regulatory approval. In most cases, at least two “pivotal” Phase 3 clinical trials are necessary for approval. Claims regarding the superiority of one drug product over another generally must be supported by so-called head-to-head clinical trials involving comparison of one drug to another to which superiority is claimed. Under the PREA of 2003, an NDA also must include an assessment, generally based on clinical study data, on the safety and efficacy of a drug for all relevant pediatric populations. The statute provides for waivers or deferrals in certain situations but we can make no assurances that such situations will apply to us or our product candidates.</w:t>
      </w:r>
    </w:p>
    <w:p>
      <w:pPr>
        <w:spacing w:after="0" w:line="60" w:lineRule="exact"/>
        <w:rPr>
          <w:sz w:val="20"/>
          <w:szCs w:val="20"/>
          <w:color w:val="auto"/>
        </w:rPr>
      </w:pPr>
    </w:p>
    <w:p>
      <w:pPr>
        <w:ind w:left="680" w:right="80"/>
        <w:spacing w:after="0" w:line="255" w:lineRule="auto"/>
        <w:rPr>
          <w:sz w:val="20"/>
          <w:szCs w:val="20"/>
          <w:color w:val="auto"/>
        </w:rPr>
      </w:pPr>
      <w:r>
        <w:rPr>
          <w:rFonts w:ascii="Arial" w:cs="Arial" w:eastAsia="Arial" w:hAnsi="Arial"/>
          <w:sz w:val="13"/>
          <w:szCs w:val="13"/>
          <w:color w:val="auto"/>
        </w:rPr>
        <w:t>Medical products containing a combination of new drugs, biological products, or medical devices may be regulated as “combination products” in the United States. A combination product generally is defined as a product comprised of components from two or more regulatory categories (</w:t>
      </w:r>
      <w:r>
        <w:rPr>
          <w:rFonts w:ascii="Arial" w:cs="Arial" w:eastAsia="Arial" w:hAnsi="Arial"/>
          <w:sz w:val="13"/>
          <w:szCs w:val="13"/>
          <w:i w:val="1"/>
          <w:iCs w:val="1"/>
          <w:color w:val="auto"/>
        </w:rPr>
        <w:t>e.g.</w:t>
      </w:r>
      <w:r>
        <w:rPr>
          <w:rFonts w:ascii="Arial" w:cs="Arial" w:eastAsia="Arial" w:hAnsi="Arial"/>
          <w:sz w:val="13"/>
          <w:szCs w:val="13"/>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both components. The determination whether a product is a combination product or two separate products is made by the FDA on a case-by-case basis. We have had discussions with the FDA about the status of our Technosphere Insulin System as a combination product and we have been told that the FDA considers our product a combination drug/device. There have been some indications from the FDA that the review of a future drug marketing application for our Technosphere Insulin System will involve three separate review groups of the FDA: (1) the Metabolism and Endocrine Drug Products Division; (2) the Pulmonary Drug Products Division; and (3) the Center for Devices and Radiological Health within the FDA that reviews Medical Devices. Although the FDA has not made an official final decision in this regard, we currently understand that the Metabolic and Endocrine Drug Products Division will be the lead group and obtain consulting reviews from the other two FDA groups.</w:t>
      </w:r>
    </w:p>
    <w:p>
      <w:pPr>
        <w:spacing w:after="0" w:line="73"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The testing and approval process requires substantial time, effort and financial resources.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and the supplier of our MedTone inhaler and cartridges are subject to federal registration and listing requirements and, if applicable, to state licensing requirements. Facilities are subject to inspection by the FDA and similar national agencies, as well as state and local authorities at any time. Failure, including those of our insulin and MedTone inhaler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60"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It is not yet clear to what extent we will be subject to regulations governing premarket approval or clearances of medical devices separate from approval requirements governing drugs. We currently expect that our inhaler will be approved as part of the NDA for our Technosphere Insulin System. No assurances exist that we will not be required to obtain separate device clearances or approval for use of our inhaler with our Technosphere Insulin System. This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 These include:</w:t>
      </w:r>
    </w:p>
    <w:p>
      <w:pPr>
        <w:spacing w:after="0" w:line="67" w:lineRule="exact"/>
        <w:rPr>
          <w:sz w:val="20"/>
          <w:szCs w:val="20"/>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product labeling regulations;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prohibition against promoting products for unapproved or “off-label” uses;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corrections and removals (e.g., recalls);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establishment registration and device listing;</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prohibitions against the manufacture and distribution of adulterated and misbranded devices; and</w:t>
      </w:r>
    </w:p>
    <w:p>
      <w:pPr>
        <w:spacing w:after="0" w:line="86" w:lineRule="exact"/>
        <w:rPr>
          <w:rFonts w:ascii="Arial" w:cs="Arial" w:eastAsia="Arial" w:hAnsi="Arial"/>
          <w:sz w:val="13"/>
          <w:szCs w:val="13"/>
          <w:color w:val="auto"/>
        </w:rPr>
      </w:pPr>
    </w:p>
    <w:p>
      <w:pPr>
        <w:ind w:left="1180" w:hanging="90"/>
        <w:spacing w:after="0" w:line="258" w:lineRule="auto"/>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Failure to comply with these regulatory requirements could result in civil fines, product seizures, injunctions, and/or criminal prosecution of responsible individuals and us. Further, the company we have contracted to manufacture our MedTone inhaler and cartridges will be subject to the QSRs, which require manufacturers to follow elaborate design, testing, control, documentation and other quality assurance procedures during the manufacturing process of medical devices, among other requirements.</w:t>
      </w:r>
    </w:p>
    <w:p>
      <w:pPr>
        <w:spacing w:after="0" w:line="71"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they may change at any time that could delay or prevent regulatory approval of our products under development. For example,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 We cannot predict the likelihood, nature or extent of adverse governmental regulation that might arise from future legislative or administrative action, either in the United States or abroad.</w:t>
      </w:r>
    </w:p>
    <w:p>
      <w:pPr>
        <w:spacing w:after="0" w:line="63" w:lineRule="exact"/>
        <w:rPr>
          <w:sz w:val="20"/>
          <w:szCs w:val="20"/>
          <w:color w:val="auto"/>
        </w:rPr>
      </w:pPr>
    </w:p>
    <w:p>
      <w:pPr>
        <w:ind w:left="680" w:right="80"/>
        <w:spacing w:after="0" w:line="316" w:lineRule="auto"/>
        <w:rPr>
          <w:sz w:val="20"/>
          <w:szCs w:val="20"/>
          <w:color w:val="auto"/>
        </w:rPr>
      </w:pPr>
      <w:r>
        <w:rPr>
          <w:rFonts w:ascii="Arial" w:cs="Arial" w:eastAsia="Arial" w:hAnsi="Arial"/>
          <w:sz w:val="11"/>
          <w:szCs w:val="11"/>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Such advertising and promotional activities are also being scrutinized by the FDA and Congress as a result of recent concerns that have been raised about the safety of marketed drugs. The FDA has very broad enforcement authority under the FDCA, and failure to comply with these regulations can result in penalties, including the issuance of a warning letter directing us to correct deviations from FDA standards, a requirement that future advertising and promotional materials be pre-cleared by the FDA, and state and federal civil and criminal investigations and prosecutions.</w:t>
      </w:r>
    </w:p>
    <w:p>
      <w:pPr>
        <w:spacing w:after="0" w:line="42" w:lineRule="exact"/>
        <w:rPr>
          <w:sz w:val="20"/>
          <w:szCs w:val="20"/>
          <w:color w:val="auto"/>
        </w:rPr>
      </w:pPr>
    </w:p>
    <w:p>
      <w:pPr>
        <w:ind w:left="680"/>
        <w:spacing w:after="0" w:line="334" w:lineRule="auto"/>
        <w:rPr>
          <w:sz w:val="20"/>
          <w:szCs w:val="20"/>
          <w:color w:val="auto"/>
        </w:rPr>
      </w:pPr>
      <w:r>
        <w:rPr>
          <w:rFonts w:ascii="Arial" w:cs="Arial" w:eastAsia="Arial" w:hAnsi="Arial"/>
          <w:sz w:val="11"/>
          <w:szCs w:val="11"/>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marketed abroad. Whether or not FDA approval has been obtained, approval of a product by the comparable regulatory authorities of foreign countries usually must be obtained prior to the marketing of the product in those countries. The approval</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process varies from jurisdiction to jurisdiction and the time required may be longer or shorter than that required for FDA approval.</w:t>
      </w:r>
    </w:p>
    <w:p>
      <w:pPr>
        <w:spacing w:after="0" w:line="96"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9"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However, the chosen regulatory strategy may not secure regulatory approvals or approvals of the chosen product indications. In addition, these approvals, if obtained, may take longer than anticipated.</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cannot assure you that any of our product candidates will prove to be safe or effective, will receive regulatory approvals, or will be successfully commercialized.</w:t>
      </w:r>
    </w:p>
    <w:p>
      <w:pPr>
        <w:spacing w:after="0" w:line="96" w:lineRule="exact"/>
        <w:rPr>
          <w:sz w:val="20"/>
          <w:szCs w:val="20"/>
          <w:color w:val="auto"/>
        </w:rPr>
      </w:pPr>
    </w:p>
    <w:p>
      <w:pPr>
        <w:jc w:val="both"/>
        <w:ind w:left="680" w:right="40"/>
        <w:spacing w:after="0" w:line="264" w:lineRule="auto"/>
        <w:rPr>
          <w:sz w:val="20"/>
          <w:szCs w:val="20"/>
          <w:color w:val="auto"/>
        </w:rPr>
      </w:pPr>
      <w:r>
        <w:rPr>
          <w:rFonts w:ascii="Arial" w:cs="Arial" w:eastAsia="Arial" w:hAnsi="Arial"/>
          <w:sz w:val="13"/>
          <w:szCs w:val="13"/>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 We may incur significant costs to comply with those laws and regulations now or in the future.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 restoration and marketing exclusivity</w:t>
      </w:r>
    </w:p>
    <w:p>
      <w:pPr>
        <w:spacing w:after="0" w:line="100" w:lineRule="exact"/>
        <w:rPr>
          <w:sz w:val="20"/>
          <w:szCs w:val="20"/>
          <w:color w:val="auto"/>
        </w:rPr>
      </w:pPr>
    </w:p>
    <w:p>
      <w:pPr>
        <w:ind w:left="680" w:right="40"/>
        <w:spacing w:after="0" w:line="316" w:lineRule="auto"/>
        <w:rPr>
          <w:sz w:val="20"/>
          <w:szCs w:val="20"/>
          <w:color w:val="auto"/>
        </w:rPr>
      </w:pPr>
      <w:r>
        <w:rPr>
          <w:rFonts w:ascii="Arial" w:cs="Arial" w:eastAsia="Arial" w:hAnsi="Arial"/>
          <w:sz w:val="11"/>
          <w:szCs w:val="11"/>
          <w:color w:val="auto"/>
        </w:rPr>
        <w:t>The Drug Price Competition and Patent Term Restoration Act of 1984, known as the Hatch-Waxman Act, permits the FDA to approve abbreviated NDAs,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clinical studies demonstrating safety and efficacy for that product. Instead of providing completely new safety and efficacy data, therefore, a competitor could make copies of such drugs and only need to submit manufacturing information and clinical data demonstrating that the copy is bioequivalent to the innovator’s product in order to gain marketing approval from the FDA.</w:t>
      </w:r>
    </w:p>
    <w:p>
      <w:pPr>
        <w:spacing w:after="0" w:line="42" w:lineRule="exact"/>
        <w:rPr>
          <w:sz w:val="20"/>
          <w:szCs w:val="20"/>
          <w:color w:val="auto"/>
        </w:rPr>
      </w:pPr>
    </w:p>
    <w:p>
      <w:pPr>
        <w:jc w:val="both"/>
        <w:ind w:left="680" w:right="220"/>
        <w:spacing w:after="0" w:line="264" w:lineRule="auto"/>
        <w:rPr>
          <w:sz w:val="20"/>
          <w:szCs w:val="20"/>
          <w:color w:val="auto"/>
        </w:rPr>
      </w:pPr>
      <w:r>
        <w:rPr>
          <w:rFonts w:ascii="Arial" w:cs="Arial" w:eastAsia="Arial" w:hAnsi="Arial"/>
          <w:sz w:val="13"/>
          <w:szCs w:val="13"/>
          <w:color w:val="auto"/>
        </w:rPr>
        <w:t>Another type of application allowed by the Hatch-Waxman Act, a Section 505(b)(2) application, may be permitted where a company does not own or have a right to reference all the data required for approval. Section 505(b)(2) NDAs are often submitted for drug products that contain the same active ingredient as those in first approved drug products and where additional studies are required for approval, such as for changes in routes of administration or dosage forms.</w:t>
      </w:r>
    </w:p>
    <w:p>
      <w:pPr>
        <w:spacing w:after="0" w:line="67"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Hatch-Waxman requires a competitor that submits an ANDA or a Section 505(b)(2) application with respect to a drug to notify the innovator company of its application and potential infringement of patent rights. Hatch-Waxman places certain timing requirements on us with respect to filing an infringement action against such an applicant. The timing of competitive FDA approvals of ANDAs or Section 505(b)(2) applications is related to the patent status of the approved products, if any.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0" w:lineRule="auto"/>
        <w:rPr>
          <w:sz w:val="20"/>
          <w:szCs w:val="20"/>
          <w:color w:val="auto"/>
        </w:rPr>
      </w:pPr>
      <w:r>
        <w:rPr>
          <w:rFonts w:ascii="Arial" w:cs="Arial" w:eastAsia="Arial" w:hAnsi="Arial"/>
          <w:sz w:val="12"/>
          <w:szCs w:val="12"/>
          <w:color w:val="auto"/>
        </w:rPr>
        <w:t>While the Hatch-Waxman Act provides competitors the ability to market copies of approved innovator drug products with the submission of significantly less clinical data, depending on the patent status of the innovator, the Act also provides under certain circumstances for the restoration of a portion of a product’s patent term that is lost during a drug’s clinical development and NDA review by the FDA. Hatch-Waxman also provides for a statutory protection, known as market exclusivity, which prohibits the FDA’s approval or acceptance of certain competitor new drug applications. Patent term restoration can return up to five years of patent term for a patent that covers a new drug product or its use to compensate for time lost during the regulatory review process. This period is generally one-half the time between the effective date of an IND and the submission date of an NDA, plus the time between the submission date of an NDA and the approval of that application, subject to a maximum extension of five years. No extension can extend the total patent life beyond 14 years after the drug approval date. The application for patent term extension is subject to approval by the USPTO, in conjunction with the FDA. It takes at least six months to obtain approval of the application for patent term extension, and there can be no guarantee that the application will be granted.</w:t>
      </w:r>
    </w:p>
    <w:p>
      <w:pPr>
        <w:spacing w:after="0" w:line="59"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The Hatch-Waxman Act also provides for differing periods of marketing exclusivity for new drugs approved under NDAs. Among the types of exclusivity are those for “new chemical entities” and those for innovative changes to previously approved drugs, where new clinical trials (other than bioavailability studies) are essential to the approval of the NDAs. Our lead product, the Technosphere Insulin System, is an innovative change to a previously approved drug with the same active ingredient, insulin. Marketing exclusivity for the Technosphere Insulin System, if available and granted by the FDA, would prohibit the agency for a period of three years from approving an ANDA or Section 505(b)(2) application for competitive versions of our new formulation. This three-year exclusivity, however, only covers the innovation associated with the NDA to which it attaches. Thus, the three-year exclusivity would not prohibit the FDA from approving ANDAs or Section 505(b)(2) applications for drugs containing the same active ingredient but without our new dosage formulation. Hatch-Waxman also does not prevent the approval of a full NDA containing all the safety and efficacy data and information required for approval, even where approval of the same drug would have been blocked under an ANDA or Section 505(b)(2) application.</w:t>
      </w:r>
    </w:p>
    <w:p>
      <w:pPr>
        <w:spacing w:after="0" w:line="76"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The FDA Modernization Act of 1997 included a pediatric exclusivity provision that was extended by the Best Pharmaceuticals for Children Act of 2002. Pediatric exclusivity is designed to provide an incentive to manufacturers for conducting research about the safety and efficacy of their products in children. Pediatric exclusivity, if granted, provides an additional six months of market exclusivity in the United States for new or currently marketed drugs if certain pediatric studies requested by the FDA are completed by the applicant.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2007, and there can be no assurances that it will be reauthorized.</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As of December 31, 2005, we had 428 full-time employees, all of whom are employed at-will. Ninety-four of these employees were engaged in research and development, 119 in manufacturing, 128 in clinical, regulatory affairs and quality assurance and 87 in administration, finance, management, information systems, corporate development and human resources. Thirty-eight of these employees have a Ph.D. degree and/or M.D. degree and are engaged in activities relating to research and development, manufacturing, quality assurance and business development. None of our employees is subject to a collective bargaining agreement. We believe relations with our employees are good.</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ADVISORS</w:t>
      </w:r>
    </w:p>
    <w:p>
      <w:pPr>
        <w:spacing w:after="0" w:line="100"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our research and development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90"/>
        <w:spacing w:after="0"/>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design and implementation of our clinical programs;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patent and publication strategies;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market opportunities from a clinical perspective;</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9"/>
        </w:numPr>
        <w:rPr>
          <w:rFonts w:ascii="Arial" w:cs="Arial" w:eastAsia="Arial" w:hAnsi="Arial"/>
          <w:sz w:val="11"/>
          <w:szCs w:val="11"/>
          <w:color w:val="auto"/>
        </w:rPr>
      </w:pPr>
      <w:r>
        <w:rPr>
          <w:rFonts w:ascii="Arial" w:cs="Arial" w:eastAsia="Arial" w:hAnsi="Arial"/>
          <w:sz w:val="11"/>
          <w:szCs w:val="11"/>
          <w:color w:val="auto"/>
        </w:rPr>
        <w:t>new technologies relevant to our research and development programs; and</w:t>
      </w:r>
    </w:p>
    <w:p>
      <w:pPr>
        <w:spacing w:after="0" w:line="109" w:lineRule="exact"/>
        <w:rPr>
          <w:rFonts w:ascii="Arial" w:cs="Arial" w:eastAsia="Arial" w:hAnsi="Arial"/>
          <w:sz w:val="11"/>
          <w:szCs w:val="11"/>
          <w:color w:val="auto"/>
        </w:rPr>
      </w:pPr>
    </w:p>
    <w:p>
      <w:pPr>
        <w:ind w:left="1180" w:hanging="90"/>
        <w:spacing w:after="0"/>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specific scientific and technical issues relevant to our 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are our scientific advisors and their primary affiliations:</w:t>
      </w:r>
    </w:p>
    <w:p>
      <w:pPr>
        <w:sectPr>
          <w:pgSz w:w="11900" w:h="16838" w:orient="portrait"/>
          <w:cols w:equalWidth="0" w:num="1">
            <w:col w:w="11460"/>
          </w:cols>
          <w:pgMar w:left="220" w:top="343" w:right="219" w:bottom="1440" w:gutter="0" w:footer="0" w:header="0"/>
        </w:sectPr>
      </w:pPr>
    </w:p>
    <w:p>
      <w:pPr>
        <w:spacing w:after="0" w:line="98" w:lineRule="exact"/>
        <w:rPr>
          <w:sz w:val="20"/>
          <w:szCs w:val="20"/>
          <w:color w:val="auto"/>
        </w:rPr>
      </w:pPr>
    </w:p>
    <w:p>
      <w:pPr>
        <w:ind w:left="6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rimary Affiliation</w:t>
      </w:r>
    </w:p>
    <w:p>
      <w:pPr>
        <w:spacing w:after="0" w:line="71" w:lineRule="exact"/>
        <w:rPr>
          <w:sz w:val="20"/>
          <w:szCs w:val="20"/>
          <w:color w:val="auto"/>
        </w:rPr>
      </w:pPr>
    </w:p>
    <w:p>
      <w:pPr>
        <w:sectPr>
          <w:pgSz w:w="11900" w:h="16838" w:orient="portrait"/>
          <w:cols w:equalWidth="0" w:num="2">
            <w:col w:w="7480" w:space="720"/>
            <w:col w:w="3260"/>
          </w:cols>
          <w:pgMar w:left="220" w:top="343" w:right="2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Richard Bergenstal, M.D.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William Boswell, M.D., FACR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James Bryan,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Alexander Fleming,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Martin Kast,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Thomas Kundig,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Harold E. Lebovitz, M.D., FACE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Frederick Levy,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Robert Morgan, Jr., M.D., FACP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Robert Ozols, M.D.,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Daniel Porte,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Philip Raskin, M.D., FACE, FACP</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Robert Rizza,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Julio Rosenstock,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Jesse Roth,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Jay S. Skyler,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Rolf Zinkernagel, M.D., Ph.D., Nobel Laureate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Bernie Zinman,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International Diabetes Center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University of Southern California School of Medicine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Pharmaceutical Product Development,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Kinexum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Norris Comprehensive Cancer Center, University of Southern California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University of Zurich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State University of New York — Brooklyn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Ludwig Institute for Cancer Research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City of Hope National Medical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Fox Chase Cancer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University of California, San Diego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University of Texas Southwestern Medical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Mayo Clinic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Dallas Diabetes and Endocrine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North Shore Long Island Jewish Medical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University of Miami Diabetes Research Institute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University of Zurich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Mount Sinai Hospital, Toronto</w:t>
      </w:r>
    </w:p>
    <w:p>
      <w:pPr>
        <w:spacing w:after="0" w:line="163" w:lineRule="exact"/>
        <w:rPr>
          <w:sz w:val="20"/>
          <w:szCs w:val="20"/>
          <w:color w:val="auto"/>
        </w:rPr>
      </w:pPr>
    </w:p>
    <w:p>
      <w:pPr>
        <w:sectPr>
          <w:pgSz w:w="11900" w:h="16838" w:orient="portrait"/>
          <w:cols w:equalWidth="0" w:num="2">
            <w:col w:w="5060" w:space="720"/>
            <w:col w:w="5680"/>
          </w:cols>
          <w:pgMar w:left="220" w:top="343" w:right="219" w:bottom="1440" w:gutter="0" w:footer="0" w:header="0"/>
          <w:type w:val="continuous"/>
        </w:sect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sets forth our current executive officers and their ages as of December 31,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80" w:type="dxa"/>
            <w:vAlign w:val="bottom"/>
          </w:tcPr>
          <w:p>
            <w:pPr>
              <w:ind w:left="6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820" w:type="dxa"/>
            <w:vAlign w:val="bottom"/>
          </w:tcPr>
          <w:p>
            <w:pPr>
              <w:jc w:val="right"/>
              <w:spacing w:after="0"/>
              <w:rPr>
                <w:sz w:val="20"/>
                <w:szCs w:val="20"/>
                <w:color w:val="auto"/>
              </w:rPr>
            </w:pPr>
            <w:r>
              <w:rPr>
                <w:rFonts w:ascii="Arial" w:cs="Arial" w:eastAsia="Arial" w:hAnsi="Arial"/>
                <w:sz w:val="10"/>
                <w:szCs w:val="10"/>
                <w:b w:val="1"/>
                <w:bCs w:val="1"/>
                <w:color w:val="auto"/>
              </w:rPr>
              <w:t>Age</w:t>
            </w:r>
          </w:p>
        </w:tc>
        <w:tc>
          <w:tcPr>
            <w:tcW w:w="58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osition(s)</w:t>
            </w:r>
          </w:p>
        </w:tc>
      </w:tr>
      <w:tr>
        <w:trPr>
          <w:trHeight w:val="197"/>
        </w:trPr>
        <w:tc>
          <w:tcPr>
            <w:tcW w:w="3780" w:type="dxa"/>
            <w:vAlign w:val="bottom"/>
          </w:tcPr>
          <w:p>
            <w:pPr>
              <w:ind w:left="680"/>
              <w:spacing w:after="0"/>
              <w:rPr>
                <w:sz w:val="20"/>
                <w:szCs w:val="20"/>
                <w:color w:val="auto"/>
              </w:rPr>
            </w:pPr>
            <w:r>
              <w:rPr>
                <w:rFonts w:ascii="Arial" w:cs="Arial" w:eastAsia="Arial" w:hAnsi="Arial"/>
                <w:sz w:val="13"/>
                <w:szCs w:val="13"/>
                <w:color w:val="auto"/>
              </w:rPr>
              <w:t>Alfred E. Mann</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80</w:t>
            </w:r>
          </w:p>
        </w:tc>
        <w:tc>
          <w:tcPr>
            <w:tcW w:w="5860" w:type="dxa"/>
            <w:vAlign w:val="bottom"/>
          </w:tcPr>
          <w:p>
            <w:pPr>
              <w:ind w:left="180"/>
              <w:spacing w:after="0"/>
              <w:rPr>
                <w:sz w:val="20"/>
                <w:szCs w:val="20"/>
                <w:color w:val="auto"/>
              </w:rPr>
            </w:pPr>
            <w:r>
              <w:rPr>
                <w:rFonts w:ascii="Arial" w:cs="Arial" w:eastAsia="Arial" w:hAnsi="Arial"/>
                <w:sz w:val="13"/>
                <w:szCs w:val="13"/>
                <w:color w:val="auto"/>
              </w:rPr>
              <w:t>Chairman of the Board of Directors and Chief Executive Officer</w:t>
            </w:r>
          </w:p>
        </w:tc>
      </w:tr>
      <w:tr>
        <w:trPr>
          <w:trHeight w:val="157"/>
        </w:trPr>
        <w:tc>
          <w:tcPr>
            <w:tcW w:w="3780" w:type="dxa"/>
            <w:vAlign w:val="bottom"/>
          </w:tcPr>
          <w:p>
            <w:pPr>
              <w:ind w:left="680"/>
              <w:spacing w:after="0"/>
              <w:rPr>
                <w:sz w:val="20"/>
                <w:szCs w:val="20"/>
                <w:color w:val="auto"/>
              </w:rPr>
            </w:pPr>
            <w:r>
              <w:rPr>
                <w:rFonts w:ascii="Arial" w:cs="Arial" w:eastAsia="Arial" w:hAnsi="Arial"/>
                <w:sz w:val="13"/>
                <w:szCs w:val="13"/>
                <w:color w:val="auto"/>
              </w:rPr>
              <w:t>Hakan S. Edstrom</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55</w:t>
            </w:r>
          </w:p>
        </w:tc>
        <w:tc>
          <w:tcPr>
            <w:tcW w:w="5860" w:type="dxa"/>
            <w:vAlign w:val="bottom"/>
          </w:tcPr>
          <w:p>
            <w:pPr>
              <w:ind w:left="180"/>
              <w:spacing w:after="0"/>
              <w:rPr>
                <w:sz w:val="20"/>
                <w:szCs w:val="20"/>
                <w:color w:val="auto"/>
              </w:rPr>
            </w:pPr>
            <w:r>
              <w:rPr>
                <w:rFonts w:ascii="Arial" w:cs="Arial" w:eastAsia="Arial" w:hAnsi="Arial"/>
                <w:sz w:val="13"/>
                <w:szCs w:val="13"/>
                <w:color w:val="auto"/>
              </w:rPr>
              <w:t>President, Chief Operating Officer and Director</w:t>
            </w:r>
          </w:p>
        </w:tc>
      </w:tr>
      <w:tr>
        <w:trPr>
          <w:trHeight w:val="157"/>
        </w:trPr>
        <w:tc>
          <w:tcPr>
            <w:tcW w:w="3780" w:type="dxa"/>
            <w:vAlign w:val="bottom"/>
          </w:tcPr>
          <w:p>
            <w:pPr>
              <w:ind w:left="680"/>
              <w:spacing w:after="0"/>
              <w:rPr>
                <w:sz w:val="20"/>
                <w:szCs w:val="20"/>
                <w:color w:val="auto"/>
              </w:rPr>
            </w:pPr>
            <w:r>
              <w:rPr>
                <w:rFonts w:ascii="Arial" w:cs="Arial" w:eastAsia="Arial" w:hAnsi="Arial"/>
                <w:sz w:val="13"/>
                <w:szCs w:val="13"/>
                <w:color w:val="auto"/>
              </w:rPr>
              <w:t>Richard L. Anderson</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66</w:t>
            </w:r>
          </w:p>
        </w:tc>
        <w:tc>
          <w:tcPr>
            <w:tcW w:w="5860" w:type="dxa"/>
            <w:vAlign w:val="bottom"/>
          </w:tcPr>
          <w:p>
            <w:pPr>
              <w:ind w:left="180"/>
              <w:spacing w:after="0"/>
              <w:rPr>
                <w:sz w:val="20"/>
                <w:szCs w:val="20"/>
                <w:color w:val="auto"/>
              </w:rPr>
            </w:pPr>
            <w:r>
              <w:rPr>
                <w:rFonts w:ascii="Arial" w:cs="Arial" w:eastAsia="Arial" w:hAnsi="Arial"/>
                <w:sz w:val="13"/>
                <w:szCs w:val="13"/>
                <w:color w:val="auto"/>
              </w:rPr>
              <w:t>Corporate Vice President and Chief Financial Officer</w:t>
            </w:r>
          </w:p>
        </w:tc>
      </w:tr>
      <w:tr>
        <w:trPr>
          <w:trHeight w:val="157"/>
        </w:trPr>
        <w:tc>
          <w:tcPr>
            <w:tcW w:w="3780" w:type="dxa"/>
            <w:vAlign w:val="bottom"/>
          </w:tcPr>
          <w:p>
            <w:pPr>
              <w:ind w:left="680"/>
              <w:spacing w:after="0"/>
              <w:rPr>
                <w:sz w:val="20"/>
                <w:szCs w:val="20"/>
                <w:color w:val="auto"/>
              </w:rPr>
            </w:pPr>
            <w:r>
              <w:rPr>
                <w:rFonts w:ascii="Arial" w:cs="Arial" w:eastAsia="Arial" w:hAnsi="Arial"/>
                <w:sz w:val="13"/>
                <w:szCs w:val="13"/>
                <w:color w:val="auto"/>
              </w:rPr>
              <w:t>Peter C. Richardson</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46</w:t>
            </w:r>
          </w:p>
        </w:tc>
        <w:tc>
          <w:tcPr>
            <w:tcW w:w="5860" w:type="dxa"/>
            <w:vAlign w:val="bottom"/>
          </w:tcPr>
          <w:p>
            <w:pPr>
              <w:ind w:left="180"/>
              <w:spacing w:after="0"/>
              <w:rPr>
                <w:sz w:val="20"/>
                <w:szCs w:val="20"/>
                <w:color w:val="auto"/>
              </w:rPr>
            </w:pPr>
            <w:r>
              <w:rPr>
                <w:rFonts w:ascii="Arial" w:cs="Arial" w:eastAsia="Arial" w:hAnsi="Arial"/>
                <w:sz w:val="13"/>
                <w:szCs w:val="13"/>
                <w:color w:val="auto"/>
              </w:rPr>
              <w:t>Corporate Vice President and Chief Scientific Officer</w:t>
            </w:r>
          </w:p>
        </w:tc>
      </w:tr>
      <w:tr>
        <w:trPr>
          <w:trHeight w:val="157"/>
        </w:trPr>
        <w:tc>
          <w:tcPr>
            <w:tcW w:w="3780" w:type="dxa"/>
            <w:vAlign w:val="bottom"/>
          </w:tcPr>
          <w:p>
            <w:pPr>
              <w:ind w:left="680"/>
              <w:spacing w:after="0"/>
              <w:rPr>
                <w:sz w:val="20"/>
                <w:szCs w:val="20"/>
                <w:color w:val="auto"/>
              </w:rPr>
            </w:pPr>
            <w:r>
              <w:rPr>
                <w:rFonts w:ascii="Arial" w:cs="Arial" w:eastAsia="Arial" w:hAnsi="Arial"/>
                <w:sz w:val="13"/>
                <w:szCs w:val="13"/>
                <w:color w:val="auto"/>
              </w:rPr>
              <w:t>Dan R. Burns</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54</w:t>
            </w:r>
          </w:p>
        </w:tc>
        <w:tc>
          <w:tcPr>
            <w:tcW w:w="5860" w:type="dxa"/>
            <w:vAlign w:val="bottom"/>
          </w:tcPr>
          <w:p>
            <w:pPr>
              <w:ind w:left="180"/>
              <w:spacing w:after="0"/>
              <w:rPr>
                <w:sz w:val="20"/>
                <w:szCs w:val="20"/>
                <w:color w:val="auto"/>
              </w:rPr>
            </w:pPr>
            <w:r>
              <w:rPr>
                <w:rFonts w:ascii="Arial" w:cs="Arial" w:eastAsia="Arial" w:hAnsi="Arial"/>
                <w:sz w:val="13"/>
                <w:szCs w:val="13"/>
                <w:color w:val="auto"/>
              </w:rPr>
              <w:t>Corporate Vice President and President, Commercial Operations and Business Development</w:t>
            </w:r>
          </w:p>
        </w:tc>
      </w:tr>
      <w:tr>
        <w:trPr>
          <w:trHeight w:val="157"/>
        </w:trPr>
        <w:tc>
          <w:tcPr>
            <w:tcW w:w="3780" w:type="dxa"/>
            <w:vAlign w:val="bottom"/>
          </w:tcPr>
          <w:p>
            <w:pPr>
              <w:ind w:left="680"/>
              <w:spacing w:after="0"/>
              <w:rPr>
                <w:sz w:val="20"/>
                <w:szCs w:val="20"/>
                <w:color w:val="auto"/>
              </w:rPr>
            </w:pPr>
            <w:r>
              <w:rPr>
                <w:rFonts w:ascii="Arial" w:cs="Arial" w:eastAsia="Arial" w:hAnsi="Arial"/>
                <w:sz w:val="13"/>
                <w:szCs w:val="13"/>
                <w:color w:val="auto"/>
              </w:rPr>
              <w:t>Juergen A. Martens, Ph.D.</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50</w:t>
            </w:r>
          </w:p>
        </w:tc>
        <w:tc>
          <w:tcPr>
            <w:tcW w:w="5860" w:type="dxa"/>
            <w:vAlign w:val="bottom"/>
          </w:tcPr>
          <w:p>
            <w:pPr>
              <w:ind w:left="180"/>
              <w:spacing w:after="0"/>
              <w:rPr>
                <w:sz w:val="20"/>
                <w:szCs w:val="20"/>
                <w:color w:val="auto"/>
              </w:rPr>
            </w:pPr>
            <w:r>
              <w:rPr>
                <w:rFonts w:ascii="Arial" w:cs="Arial" w:eastAsia="Arial" w:hAnsi="Arial"/>
                <w:sz w:val="13"/>
                <w:szCs w:val="13"/>
                <w:color w:val="auto"/>
              </w:rPr>
              <w:t>Corporate Vice President, Operations</w:t>
            </w:r>
          </w:p>
        </w:tc>
      </w:tr>
      <w:tr>
        <w:trPr>
          <w:trHeight w:val="157"/>
        </w:trPr>
        <w:tc>
          <w:tcPr>
            <w:tcW w:w="3780" w:type="dxa"/>
            <w:vAlign w:val="bottom"/>
          </w:tcPr>
          <w:p>
            <w:pPr>
              <w:ind w:left="680"/>
              <w:spacing w:after="0"/>
              <w:rPr>
                <w:sz w:val="20"/>
                <w:szCs w:val="20"/>
                <w:color w:val="auto"/>
              </w:rPr>
            </w:pPr>
            <w:r>
              <w:rPr>
                <w:rFonts w:ascii="Arial" w:cs="Arial" w:eastAsia="Arial" w:hAnsi="Arial"/>
                <w:sz w:val="13"/>
                <w:szCs w:val="13"/>
                <w:color w:val="auto"/>
              </w:rPr>
              <w:t>David Thomson, Ph.D., J.D.</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39</w:t>
            </w:r>
          </w:p>
        </w:tc>
        <w:tc>
          <w:tcPr>
            <w:tcW w:w="5860" w:type="dxa"/>
            <w:vAlign w:val="bottom"/>
          </w:tcPr>
          <w:p>
            <w:pPr>
              <w:ind w:left="180"/>
              <w:spacing w:after="0"/>
              <w:rPr>
                <w:sz w:val="20"/>
                <w:szCs w:val="20"/>
                <w:color w:val="auto"/>
              </w:rPr>
            </w:pPr>
            <w:r>
              <w:rPr>
                <w:rFonts w:ascii="Arial" w:cs="Arial" w:eastAsia="Arial" w:hAnsi="Arial"/>
                <w:sz w:val="13"/>
                <w:szCs w:val="13"/>
                <w:color w:val="auto"/>
              </w:rPr>
              <w:t>Corporate Vice President, General Counsel and Corporate Secretary</w:t>
            </w:r>
          </w:p>
        </w:tc>
      </w:tr>
      <w:tr>
        <w:trPr>
          <w:trHeight w:val="165"/>
        </w:trPr>
        <w:tc>
          <w:tcPr>
            <w:tcW w:w="3780" w:type="dxa"/>
            <w:vAlign w:val="bottom"/>
          </w:tcPr>
          <w:p>
            <w:pPr>
              <w:ind w:left="680"/>
              <w:spacing w:after="0"/>
              <w:rPr>
                <w:sz w:val="20"/>
                <w:szCs w:val="20"/>
                <w:color w:val="auto"/>
              </w:rPr>
            </w:pPr>
            <w:r>
              <w:rPr>
                <w:rFonts w:ascii="Arial" w:cs="Arial" w:eastAsia="Arial" w:hAnsi="Arial"/>
                <w:sz w:val="13"/>
                <w:szCs w:val="13"/>
                <w:color w:val="auto"/>
              </w:rPr>
              <w:t>Diane M. Palumbo</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52</w:t>
            </w:r>
          </w:p>
        </w:tc>
        <w:tc>
          <w:tcPr>
            <w:tcW w:w="5860" w:type="dxa"/>
            <w:vAlign w:val="bottom"/>
          </w:tcPr>
          <w:p>
            <w:pPr>
              <w:ind w:left="180"/>
              <w:spacing w:after="0"/>
              <w:rPr>
                <w:sz w:val="20"/>
                <w:szCs w:val="20"/>
                <w:color w:val="auto"/>
              </w:rPr>
            </w:pPr>
            <w:r>
              <w:rPr>
                <w:rFonts w:ascii="Arial" w:cs="Arial" w:eastAsia="Arial" w:hAnsi="Arial"/>
                <w:sz w:val="13"/>
                <w:szCs w:val="13"/>
                <w:color w:val="auto"/>
              </w:rPr>
              <w:t>Corporate Vice President, Human Resources</w:t>
            </w:r>
          </w:p>
        </w:tc>
      </w:tr>
      <w:tr>
        <w:trPr>
          <w:trHeight w:val="452"/>
        </w:trPr>
        <w:tc>
          <w:tcPr>
            <w:tcW w:w="3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3"/>
                <w:szCs w:val="13"/>
                <w:color w:val="auto"/>
              </w:rPr>
              <w:t>26</w:t>
            </w:r>
          </w:p>
        </w:tc>
      </w:tr>
      <w:tr>
        <w:trPr>
          <w:trHeight w:val="163"/>
        </w:trPr>
        <w:tc>
          <w:tcPr>
            <w:tcW w:w="3780" w:type="dxa"/>
            <w:vAlign w:val="bottom"/>
            <w:tcBorders>
              <w:bottom w:val="single" w:sz="8" w:color="808080"/>
            </w:tcBorders>
          </w:tcPr>
          <w:p>
            <w:pPr>
              <w:spacing w:after="0"/>
              <w:rPr>
                <w:sz w:val="14"/>
                <w:szCs w:val="14"/>
                <w:color w:val="auto"/>
              </w:rPr>
            </w:pPr>
          </w:p>
        </w:tc>
        <w:tc>
          <w:tcPr>
            <w:tcW w:w="1820" w:type="dxa"/>
            <w:vAlign w:val="bottom"/>
            <w:tcBorders>
              <w:bottom w:val="single" w:sz="8" w:color="808080"/>
            </w:tcBorders>
          </w:tcPr>
          <w:p>
            <w:pPr>
              <w:spacing w:after="0"/>
              <w:rPr>
                <w:sz w:val="14"/>
                <w:szCs w:val="14"/>
                <w:color w:val="auto"/>
              </w:rPr>
            </w:pPr>
          </w:p>
        </w:tc>
        <w:tc>
          <w:tcPr>
            <w:tcW w:w="58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type w:val="continuous"/>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06" w:lineRule="auto"/>
        <w:rPr>
          <w:sz w:val="20"/>
          <w:szCs w:val="20"/>
          <w:color w:val="auto"/>
        </w:rPr>
      </w:pPr>
      <w:r>
        <w:rPr>
          <w:rFonts w:ascii="Arial" w:cs="Arial" w:eastAsia="Arial" w:hAnsi="Arial"/>
          <w:sz w:val="11"/>
          <w:szCs w:val="11"/>
          <w:b w:val="1"/>
          <w:bCs w:val="1"/>
          <w:i w:val="1"/>
          <w:iCs w:val="1"/>
          <w:color w:val="auto"/>
        </w:rPr>
        <w:t xml:space="preserve">Alfred E. Mann </w:t>
      </w:r>
      <w:r>
        <w:rPr>
          <w:rFonts w:ascii="Arial" w:cs="Arial" w:eastAsia="Arial" w:hAnsi="Arial"/>
          <w:sz w:val="11"/>
          <w:szCs w:val="11"/>
          <w:color w:val="auto"/>
        </w:rPr>
        <w:t>has been one of our directors since April 1999, our Chairman of the Board since December 2001 and our Chief Executive Officer since October 2003. He founded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Co-Chief Executive Officer of Advanced Bionics Corporation, a medical device manufacturer focused on neurostimulation to restore hearing to the deaf and to treat chronic pain and other neural deficits, that was acquired by Boston Scientific Corporation in June 2004. Mr. Mann has also founded and is non-executive Chairman of Second Sight, which is developing a visual prosthesis for the blind and Quallion, which produces batteries for medical products and for the military and aerospace industries. Mr. Mann is also non-executive Chairman of the Alfred Mann Foundation and Alfred Mann Institute at the University of Southern California, and the Alfred Mann Foundation for Biomedical Engineering, which is establishing additional institutes at other research universities. Mr. Mann holds a bachelor’s and master’s degree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4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b w:val="1"/>
          <w:bCs w:val="1"/>
          <w:i w:val="1"/>
          <w:iCs w:val="1"/>
          <w:color w:val="auto"/>
        </w:rPr>
        <w:t xml:space="preserve">Hakan S. Edstrom </w:t>
      </w:r>
      <w:r>
        <w:rPr>
          <w:rFonts w:ascii="Arial" w:cs="Arial" w:eastAsia="Arial" w:hAnsi="Arial"/>
          <w:sz w:val="12"/>
          <w:szCs w:val="12"/>
          <w:color w:val="auto"/>
        </w:rPr>
        <w:t>has been our President and Chief Operating Officer since April 2001 and has served as one of our directors since December 2001. Mr. Edstrom was with Bausch &amp; Lomb,</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Opthalmics Inc. Mr. Edstrom is currently a director of Q-Med AB, a biotechnology and medical device company, and Ixion Biotechnology, Inc., a biotechnology company. Mr. Edstrom was educated in Sweden and holds a master’s degree in business administration from the Stockholm School of Economics.</w:t>
      </w:r>
    </w:p>
    <w:p>
      <w:pPr>
        <w:spacing w:after="0" w:line="55"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b w:val="1"/>
          <w:bCs w:val="1"/>
          <w:i w:val="1"/>
          <w:iCs w:val="1"/>
          <w:color w:val="auto"/>
        </w:rPr>
        <w:t xml:space="preserve">Richard L. Anderson </w:t>
      </w:r>
      <w:r>
        <w:rPr>
          <w:rFonts w:ascii="Arial" w:cs="Arial" w:eastAsia="Arial" w:hAnsi="Arial"/>
          <w:sz w:val="13"/>
          <w:szCs w:val="13"/>
          <w:color w:val="auto"/>
        </w:rPr>
        <w:t>has been our Corporate Vice President and Chief Financial Officer since October 2002. . From January 1997 to September 2002, Mr. Anderson held various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positions at NeoRx Corporation, a Seattle-based publicly traded biotechnology company, including President, Chief Operating Officer, Chief Financial Officer and Senior Vice President, Finance and Operations. Mr. Anderson holds a master’s degree in Management from Johns Hopkins University, a master’s degree in solid state physics from the University of Maryland and a bachelor’s degree in physics from Bucknell University</w:t>
      </w:r>
    </w:p>
    <w:p>
      <w:pPr>
        <w:spacing w:after="0" w:line="70"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b w:val="1"/>
          <w:bCs w:val="1"/>
          <w:i w:val="1"/>
          <w:iCs w:val="1"/>
          <w:color w:val="auto"/>
        </w:rPr>
        <w:t xml:space="preserve">Peter C. Richardson </w:t>
      </w:r>
      <w:r>
        <w:rPr>
          <w:rFonts w:ascii="Arial" w:cs="Arial" w:eastAsia="Arial" w:hAnsi="Arial"/>
          <w:sz w:val="12"/>
          <w:szCs w:val="12"/>
          <w:color w:val="auto"/>
        </w:rPr>
        <w:t>has been our Corporate Vice President and Chief Scientific Officer since October 2005. From 1991 to October 2005, he was employed by Novartis Pharmaceuticals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Corporation, which is the U.S. affiliate of Novartis AG, a world leader in healthcare, most recently as Senior Vice President, Global Head of Development Alliances. From 2003 until 2005, he was Senior Vice President and Head of Development of Novartis Pharmaceuticals KK Japan. He earlier practiced as an endocrinologist. Dr. Richardson holds a B.Med.Sci (Hons.) and a BM.BS (Hons.) from University of Nottingham Medical School; an MRCP (UK) from the Royal College of Physicians, UK; a Certificate in Pharmaceutical Medicine from Universities of Freibourg, Strasbourg and Basle; and a Diploma in Pharmaceutical Medicine from the Royal College of Physicians Faculty of Pharmaceutical Medicine.</w:t>
      </w:r>
    </w:p>
    <w:p>
      <w:pPr>
        <w:spacing w:after="0" w:line="55"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b w:val="1"/>
          <w:bCs w:val="1"/>
          <w:i w:val="1"/>
          <w:iCs w:val="1"/>
          <w:color w:val="auto"/>
        </w:rPr>
        <w:t xml:space="preserve">Dan R. Burns </w:t>
      </w:r>
      <w:r>
        <w:rPr>
          <w:rFonts w:ascii="Arial" w:cs="Arial" w:eastAsia="Arial" w:hAnsi="Arial"/>
          <w:sz w:val="13"/>
          <w:szCs w:val="13"/>
          <w:color w:val="auto"/>
        </w:rPr>
        <w:t>has been our Corporate Vice President and President, Commercial Operations and Business Development since September 2002. Prior to joining us, he served as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Executive Officer of HealthTalk Interactive, a pharmaceutical services firm, from 2000 to 2002. From 1998 to 1999 Mr. Burns served as Chief Executive Officer of ProScript, a biopharmaceutical company. He served as President and Chief Operating Officer of Trophix Pharmaceuticals, Inc. from 1997 to 1998. Prior to joining Trophix Pharmaceuticals, for 18 years, Mr. Burns held a number of senior executive positions both internationally and domestically with Bristol Myers Squibb. Mr. Burns holds degrees in psychology and business administration from McMaster University and Mohawk College.</w:t>
      </w:r>
    </w:p>
    <w:p>
      <w:pPr>
        <w:spacing w:after="0" w:line="32"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b w:val="1"/>
          <w:bCs w:val="1"/>
          <w:i w:val="1"/>
          <w:iCs w:val="1"/>
          <w:color w:val="auto"/>
        </w:rPr>
        <w:t xml:space="preserve">Juergen A. Martens, Ph.D. </w:t>
      </w:r>
      <w:r>
        <w:rPr>
          <w:rFonts w:ascii="Arial" w:cs="Arial" w:eastAsia="Arial" w:hAnsi="Arial"/>
          <w:sz w:val="12"/>
          <w:szCs w:val="12"/>
          <w:color w:val="auto"/>
        </w:rPr>
        <w:t>has been our Corporate Vice President of Operations since September 2005. From 2000 to August 2005, he was employed by Nektar Therapeutics, Inc., most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recently as Vice President of Pharmaceutical Technology Development Previously, he held technical management positions at Aerojet Fine Chemicals from</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BS in chemical engineering from the Technical College Mannheim/Germany, a BS/MS in chemistry and a doctorate in physical chemistry from the University of Marburg/Germany.</w:t>
      </w:r>
    </w:p>
    <w:p>
      <w:pPr>
        <w:spacing w:after="0" w:line="28" w:lineRule="exact"/>
        <w:rPr>
          <w:sz w:val="20"/>
          <w:szCs w:val="20"/>
          <w:color w:val="auto"/>
        </w:rPr>
      </w:pPr>
    </w:p>
    <w:p>
      <w:pPr>
        <w:ind w:left="680" w:right="200"/>
        <w:spacing w:after="0" w:line="258" w:lineRule="auto"/>
        <w:rPr>
          <w:sz w:val="20"/>
          <w:szCs w:val="20"/>
          <w:color w:val="auto"/>
        </w:rPr>
      </w:pPr>
      <w:r>
        <w:rPr>
          <w:rFonts w:ascii="Arial" w:cs="Arial" w:eastAsia="Arial" w:hAnsi="Arial"/>
          <w:sz w:val="13"/>
          <w:szCs w:val="13"/>
          <w:b w:val="1"/>
          <w:bCs w:val="1"/>
          <w:i w:val="1"/>
          <w:iCs w:val="1"/>
          <w:color w:val="auto"/>
        </w:rPr>
        <w:t xml:space="preserve">David Thomson, Ph.D., J.D. </w:t>
      </w:r>
      <w:r>
        <w:rPr>
          <w:rFonts w:ascii="Arial" w:cs="Arial" w:eastAsia="Arial" w:hAnsi="Arial"/>
          <w:sz w:val="13"/>
          <w:szCs w:val="13"/>
          <w:color w:val="auto"/>
        </w:rPr>
        <w:t>has been our Corporate Vice President, General Counsel and Corporate Secretary since January 2002. Prior to joining us, he practiced corporate/commercial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securities law at the Toronto law firm of Davies Ward Phillips &amp; Vineberg LLP from May 1999 through December 2001, except for a period from May to December 2000, when he served as Vice President, Business Development for CTL ImmunoTherapies Corp. From March 1994 to August 1996, Dr. Thomson held a post-doctoral position at the Rockefeller University, where he conducted medical research in the Laboratory of Neurophysiology. Dr. Thomson obtained his bachelor’s degree, master’s degree and Ph.D. degree from Queens University and obtained his J.D. degree from the University of Toronto.</w:t>
      </w:r>
    </w:p>
    <w:p>
      <w:pPr>
        <w:spacing w:after="0" w:line="71"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b w:val="1"/>
          <w:bCs w:val="1"/>
          <w:i w:val="1"/>
          <w:iCs w:val="1"/>
          <w:color w:val="auto"/>
        </w:rPr>
        <w:t xml:space="preserve">Diane M. Palumbo </w:t>
      </w:r>
      <w:r>
        <w:rPr>
          <w:rFonts w:ascii="Arial" w:cs="Arial" w:eastAsia="Arial" w:hAnsi="Arial"/>
          <w:sz w:val="13"/>
          <w:szCs w:val="13"/>
          <w:color w:val="auto"/>
        </w:rPr>
        <w:t>has been our Corporate Vice President of Human Resources since November 2004. From July 2003 to November 2004, she was President of her own human resources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NY and a bachelor of science degree, magna cum laude, also from St. John’s University, NY.</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Executive officers serve at the discretion of the Board of Directors. There are no family relationships between any of the directors and executive officers of MannKind.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1A. </w:t>
      </w:r>
      <w:r>
        <w:rPr>
          <w:rFonts w:ascii="Arial" w:cs="Arial" w:eastAsia="Arial" w:hAnsi="Arial"/>
          <w:sz w:val="13"/>
          <w:szCs w:val="13"/>
          <w:b w:val="1"/>
          <w:bCs w:val="1"/>
          <w:i w:val="1"/>
          <w:iCs w:val="1"/>
          <w:color w:val="auto"/>
        </w:rPr>
        <w:t>Risk Factors</w:t>
      </w:r>
    </w:p>
    <w:p>
      <w:pPr>
        <w:spacing w:after="0" w:line="100"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i w:val="1"/>
          <w:iCs w:val="1"/>
          <w:color w:val="auto"/>
        </w:rPr>
        <w:t>You should consider carefully the following information about the risks described below, together with the other information contained in this report, before you decide to buy or maintain an investment in our common stock. We believe the risks described below are the risks that are material to us as of the date of this annual report. Additional risks and uncertainties not presently known to us or that we currently deem immaterial may also affect our business.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have a history of operating losses, we expect to continue to incur losses, and we may never become profitable.</w:t>
      </w:r>
    </w:p>
    <w:p>
      <w:pPr>
        <w:spacing w:after="0" w:line="100"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67" w:lineRule="exact"/>
        <w:rPr>
          <w:sz w:val="20"/>
          <w:szCs w:val="20"/>
          <w:color w:val="auto"/>
        </w:rPr>
      </w:pPr>
    </w:p>
    <w:p>
      <w:pPr>
        <w:ind w:left="680" w:right="140"/>
        <w:spacing w:after="0" w:line="289" w:lineRule="auto"/>
        <w:rPr>
          <w:sz w:val="20"/>
          <w:szCs w:val="20"/>
          <w:color w:val="auto"/>
        </w:rPr>
      </w:pPr>
      <w:r>
        <w:rPr>
          <w:rFonts w:ascii="Arial" w:cs="Arial" w:eastAsia="Arial" w:hAnsi="Arial"/>
          <w:sz w:val="12"/>
          <w:szCs w:val="12"/>
          <w:color w:val="auto"/>
        </w:rPr>
        <w:t>We have never been profitable, and, as of December 31, 2005, we had an accumulated deficit of $557.3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53"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not be profitable even if we succeed in commercializing any of our product candidates. As a result, we cannot be sure when we will become profitable, if at all.</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we fail to raise additional capital, our financial condition and business would suffer.</w:t>
      </w:r>
    </w:p>
    <w:p>
      <w:pPr>
        <w:spacing w:after="0" w:line="100" w:lineRule="exact"/>
        <w:rPr>
          <w:sz w:val="20"/>
          <w:szCs w:val="20"/>
          <w:color w:val="auto"/>
        </w:rPr>
      </w:pPr>
    </w:p>
    <w:p>
      <w:pPr>
        <w:ind w:left="680" w:right="260"/>
        <w:spacing w:after="0" w:line="371" w:lineRule="auto"/>
        <w:rPr>
          <w:sz w:val="20"/>
          <w:szCs w:val="20"/>
          <w:color w:val="auto"/>
        </w:rPr>
      </w:pPr>
      <w:r>
        <w:rPr>
          <w:rFonts w:ascii="Arial" w:cs="Arial" w:eastAsia="Arial" w:hAnsi="Arial"/>
          <w:sz w:val="11"/>
          <w:szCs w:val="11"/>
          <w:color w:val="auto"/>
        </w:rPr>
        <w:t>It is costly to develop therapeutic products and conduct clinical trials for these products.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12"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Based upon our current expectations, we believe that our existing capital resources, including the net proceeds from our private placement in August 2005, will enable us to continue planned operations into the third quarter of 2006.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55" w:lineRule="exact"/>
        <w:rPr>
          <w:sz w:val="20"/>
          <w:szCs w:val="20"/>
          <w:color w:val="auto"/>
        </w:rPr>
      </w:pPr>
    </w:p>
    <w:p>
      <w:pPr>
        <w:ind w:left="800" w:hanging="113"/>
        <w:spacing w:after="0"/>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rate of progress and costs of our clinical trials and research and development activities, including costs of procuring clinical materials and expanding our own manufacturing facilities;</w:t>
      </w:r>
    </w:p>
    <w:p>
      <w:pPr>
        <w:spacing w:after="0" w:line="97" w:lineRule="exact"/>
        <w:rPr>
          <w:rFonts w:ascii="Arial" w:cs="Arial" w:eastAsia="Arial" w:hAnsi="Arial"/>
          <w:sz w:val="12"/>
          <w:szCs w:val="12"/>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success in establishing strategic business collaborations and the timing and amount of any payments we might receive from any collaboration we are able to establish;</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actions taken by the FDA and other regulatory authorities affecting our products and competitive products;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degree of success in commercializing our Technosphere Insulin System or our other product candidates;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emergence of competing technologies and products and other adverse market developments;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timing and amount of payments we might receive from potential licensees;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costs of preparing, filing, prosecuting, maintaining and enforcing patent claims and other intellectual property rights or defending against claims of infringement by others; and</w:t>
      </w:r>
    </w:p>
    <w:p>
      <w:pPr>
        <w:spacing w:after="0" w:line="97" w:lineRule="exact"/>
        <w:rPr>
          <w:rFonts w:ascii="Arial" w:cs="Arial" w:eastAsia="Arial" w:hAnsi="Arial"/>
          <w:sz w:val="12"/>
          <w:szCs w:val="12"/>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costs of discontinuing projects and technologies or decommissioning existing facilities, if we undertake those activities.</w:t>
      </w:r>
    </w:p>
    <w:p>
      <w:pPr>
        <w:spacing w:after="0" w:line="96"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ind w:left="680" w:right="240"/>
        <w:spacing w:after="0" w:line="289" w:lineRule="auto"/>
        <w:rPr>
          <w:sz w:val="20"/>
          <w:szCs w:val="20"/>
          <w:color w:val="auto"/>
        </w:rPr>
      </w:pPr>
      <w:r>
        <w:rPr>
          <w:rFonts w:ascii="Arial" w:cs="Arial" w:eastAsia="Arial" w:hAnsi="Arial"/>
          <w:sz w:val="12"/>
          <w:szCs w:val="12"/>
          <w:color w:val="auto"/>
        </w:rPr>
        <w:t>We also may seek to raise additional capital by pursuing opportunities for the licensing, sale or divestiture of certain intellectual property and other assets, including our Technosphere technology platform. We cannot offer assurances,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53"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160"/>
        <w:spacing w:after="0" w:line="283" w:lineRule="auto"/>
        <w:rPr>
          <w:sz w:val="20"/>
          <w:szCs w:val="20"/>
          <w:color w:val="auto"/>
        </w:rPr>
      </w:pPr>
      <w:r>
        <w:rPr>
          <w:rFonts w:ascii="Arial" w:cs="Arial" w:eastAsia="Arial" w:hAnsi="Arial"/>
          <w:sz w:val="13"/>
          <w:szCs w:val="13"/>
          <w:b w:val="1"/>
          <w:bCs w:val="1"/>
          <w:color w:val="auto"/>
        </w:rPr>
        <w:t>We depend heavily on the successful development and commercialization of our lead product candidate, the Technosphere Insulin System, which is still under development, and our other product candidates, which are in preclinical development.</w:t>
      </w:r>
    </w:p>
    <w:p>
      <w:pPr>
        <w:spacing w:after="0" w:line="54"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67"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currently anticipate conducting several pivotal Phase 3 clinical trials as well as several special population studies involving, in total, more than 3,200 patients, which will require additional time and substantial expenditure of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59"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We are seeking to develop and expand our portfolio of product candidates through our internal research programs and through licensing or otherwise acquiring the rights to therapeutics in the areas of cancer and other areas.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67" w:lineRule="exact"/>
        <w:rPr>
          <w:sz w:val="20"/>
          <w:szCs w:val="20"/>
          <w:color w:val="auto"/>
        </w:rPr>
      </w:pPr>
    </w:p>
    <w:p>
      <w:pPr>
        <w:ind w:left="680" w:right="80"/>
        <w:spacing w:after="0" w:line="282" w:lineRule="auto"/>
        <w:rPr>
          <w:sz w:val="20"/>
          <w:szCs w:val="20"/>
          <w:color w:val="auto"/>
        </w:rPr>
      </w:pPr>
      <w:r>
        <w:rPr>
          <w:rFonts w:ascii="Arial" w:cs="Arial" w:eastAsia="Arial" w:hAnsi="Arial"/>
          <w:sz w:val="12"/>
          <w:szCs w:val="12"/>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34" w:lineRule="exact"/>
        <w:rPr>
          <w:sz w:val="20"/>
          <w:szCs w:val="20"/>
          <w:color w:val="auto"/>
        </w:rPr>
      </w:pPr>
    </w:p>
    <w:p>
      <w:pPr>
        <w:ind w:left="680" w:right="80"/>
        <w:spacing w:after="0" w:line="283" w:lineRule="auto"/>
        <w:rPr>
          <w:sz w:val="20"/>
          <w:szCs w:val="20"/>
          <w:color w:val="auto"/>
        </w:rPr>
      </w:pPr>
      <w:r>
        <w:rPr>
          <w:rFonts w:ascii="Arial" w:cs="Arial" w:eastAsia="Arial" w:hAnsi="Arial"/>
          <w:sz w:val="13"/>
          <w:szCs w:val="13"/>
          <w:b w:val="1"/>
          <w:bCs w:val="1"/>
          <w:color w:val="auto"/>
        </w:rPr>
        <w:t>If we do not achieve our projected development goals in the timeframes we announce and expect, our business would be harmed and the market price of our common stock could decline.</w:t>
      </w:r>
    </w:p>
    <w:p>
      <w:pPr>
        <w:spacing w:after="0" w:line="54" w:lineRule="exact"/>
        <w:rPr>
          <w:sz w:val="20"/>
          <w:szCs w:val="20"/>
          <w:color w:val="auto"/>
        </w:rPr>
      </w:pPr>
    </w:p>
    <w:p>
      <w:pPr>
        <w:ind w:left="680" w:right="120"/>
        <w:spacing w:after="0" w:line="289" w:lineRule="auto"/>
        <w:rPr>
          <w:sz w:val="20"/>
          <w:szCs w:val="20"/>
          <w:color w:val="auto"/>
        </w:rPr>
      </w:pPr>
      <w:r>
        <w:rPr>
          <w:rFonts w:ascii="Arial" w:cs="Arial" w:eastAsia="Arial" w:hAnsi="Arial"/>
          <w:sz w:val="12"/>
          <w:szCs w:val="12"/>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 in many cases for reasons beyond our control — depending on numerous factors, including:</w:t>
      </w:r>
    </w:p>
    <w:p>
      <w:pPr>
        <w:spacing w:after="0" w:line="53" w:lineRule="exact"/>
        <w:rPr>
          <w:sz w:val="20"/>
          <w:szCs w:val="20"/>
          <w:color w:val="auto"/>
        </w:rPr>
      </w:pPr>
    </w:p>
    <w:p>
      <w:pPr>
        <w:ind w:left="1180" w:right="100" w:hanging="90"/>
        <w:spacing w:after="0" w:line="276"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rate of progress, costs and results of our clinical trial and research and development activities, which will be impacted by the level of proficiency and experience of our clinical staff;</w:t>
      </w:r>
    </w:p>
    <w:p>
      <w:pPr>
        <w:spacing w:after="0" w:line="49" w:lineRule="exact"/>
        <w:rPr>
          <w:rFonts w:ascii="Arial" w:cs="Arial" w:eastAsia="Arial" w:hAnsi="Arial"/>
          <w:sz w:val="13"/>
          <w:szCs w:val="13"/>
          <w:color w:val="auto"/>
        </w:rPr>
      </w:pPr>
    </w:p>
    <w:p>
      <w:pPr>
        <w:ind w:left="1180" w:hanging="90"/>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identify and enroll patients who meet clinical trial eligibility criteria;</w:t>
      </w:r>
    </w:p>
    <w:p>
      <w:pPr>
        <w:spacing w:after="0" w:line="86" w:lineRule="exact"/>
        <w:rPr>
          <w:rFonts w:ascii="Arial" w:cs="Arial" w:eastAsia="Arial" w:hAnsi="Arial"/>
          <w:sz w:val="13"/>
          <w:szCs w:val="13"/>
          <w:color w:val="auto"/>
        </w:rPr>
      </w:pPr>
    </w:p>
    <w:p>
      <w:pPr>
        <w:ind w:left="1180" w:right="340" w:hanging="90"/>
        <w:spacing w:after="0" w:line="276"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access sufficient, reliable and affordable supplies of components used in the manufacture of our product candidates, including insulin and other materials for our Technosphere Insulin System;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90"/>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costs of expanding and maintaining manufacturing operations, as necessary;</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extent of scheduling conflicts with participating clinicians and clinical institutions;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receipt of approvals by our competitors and by us from the FDA and other regulatory agencies;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other actions by regulators.</w:t>
      </w:r>
    </w:p>
    <w:p>
      <w:pPr>
        <w:spacing w:after="0" w:line="96"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28" w:lineRule="exact"/>
        <w:rPr>
          <w:sz w:val="20"/>
          <w:szCs w:val="20"/>
          <w:color w:val="auto"/>
        </w:rPr>
      </w:pPr>
    </w:p>
    <w:p>
      <w:pPr>
        <w:ind w:left="680" w:right="80"/>
        <w:spacing w:after="0" w:line="283" w:lineRule="auto"/>
        <w:rPr>
          <w:sz w:val="20"/>
          <w:szCs w:val="20"/>
          <w:color w:val="auto"/>
        </w:rPr>
      </w:pPr>
      <w:r>
        <w:rPr>
          <w:rFonts w:ascii="Arial" w:cs="Arial" w:eastAsia="Arial" w:hAnsi="Arial"/>
          <w:sz w:val="13"/>
          <w:szCs w:val="13"/>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4"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We initially are focusing on the development of the Technosphere Insulin System for the treatment of diabetes, and we face intense competition in this area. In January 2006, the FDA and the European Commission approved Exubera, developed by Pfizer, Inc. in collaboration with Nektar Therapeutics, for the treatment of adults with type 1 and type 2 diabetes. Eli Lilly and Company, in collaboration with Alkermes, Inc., initiated a Phase 3 clinical trial in July 2005, required for registration of their inhaled insulin system. Novo Nordisk A.S. has announced their intention to re-initiate Phase 3 clinical trials of their pulmonary insulin product. In addition, a number of established pharmaceutical companies have or are developing technologies for the treatment of diabetes. We also face substantial competition for the development of our other product candidates.</w:t>
      </w:r>
    </w:p>
    <w:p>
      <w:pPr>
        <w:spacing w:after="0" w:line="55" w:lineRule="exact"/>
        <w:rPr>
          <w:sz w:val="20"/>
          <w:szCs w:val="20"/>
          <w:color w:val="auto"/>
        </w:rPr>
      </w:pPr>
    </w:p>
    <w:p>
      <w:pPr>
        <w:ind w:left="680" w:right="20"/>
        <w:spacing w:after="0" w:line="371" w:lineRule="auto"/>
        <w:rPr>
          <w:sz w:val="20"/>
          <w:szCs w:val="20"/>
          <w:color w:val="auto"/>
        </w:rPr>
      </w:pPr>
      <w:r>
        <w:rPr>
          <w:rFonts w:ascii="Arial" w:cs="Arial" w:eastAsia="Arial" w:hAnsi="Arial"/>
          <w:sz w:val="11"/>
          <w:szCs w:val="11"/>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2" w:lineRule="exact"/>
        <w:rPr>
          <w:sz w:val="20"/>
          <w:szCs w:val="20"/>
          <w:color w:val="auto"/>
        </w:rPr>
      </w:pPr>
    </w:p>
    <w:p>
      <w:pPr>
        <w:ind w:left="680" w:right="140"/>
        <w:spacing w:after="0" w:line="322" w:lineRule="auto"/>
        <w:rPr>
          <w:sz w:val="20"/>
          <w:szCs w:val="20"/>
          <w:color w:val="auto"/>
        </w:rPr>
      </w:pPr>
      <w:r>
        <w:rPr>
          <w:rFonts w:ascii="Arial" w:cs="Arial" w:eastAsia="Arial" w:hAnsi="Arial"/>
          <w:sz w:val="11"/>
          <w:szCs w:val="11"/>
          <w:color w:val="auto"/>
        </w:rPr>
        <w:t>The rapid rate of scientific discoveries and technological changes could result in one or more of our products becoming obsolete or noncompetitive. Our competitors may develop or introduce new products that render our technology and our Technosphere Insulin System less competitive, uneconomical or obsolete. Pfizer, the first to commercialize a pulmonary insulin system, will have an advantage in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39"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we fail to enter into a strategic collaboration with respect to our Technosphere Insulin System, we may not be able to execute on our business model.</w:t>
      </w:r>
    </w:p>
    <w:p>
      <w:pPr>
        <w:spacing w:after="0" w:line="10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We are currently evaluating potential collaborations with respect to our Technosphere Insulin System. If we are not able to enter into a collaboration on terms that are favorable to us, we could be required to undertake and fund product development, clinical trials, manufacturing and marketing activities solely at our own expense. We currently estimate that the cost to continue the development of the Technosphere Insulin System over the next 12 months would be up to $200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substantially reduce our development efforts, which would delay or otherwise impede the commercialization of our Technosphere Insulin System.</w:t>
      </w:r>
    </w:p>
    <w:p>
      <w:pPr>
        <w:spacing w:after="0" w:line="96"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46" w:lineRule="exact"/>
        <w:rPr>
          <w:sz w:val="20"/>
          <w:szCs w:val="20"/>
          <w:color w:val="auto"/>
        </w:rPr>
      </w:pPr>
    </w:p>
    <w:p>
      <w:pPr>
        <w:ind w:left="680" w:right="120"/>
        <w:spacing w:after="0" w:line="283" w:lineRule="auto"/>
        <w:rPr>
          <w:sz w:val="20"/>
          <w:szCs w:val="20"/>
          <w:color w:val="auto"/>
        </w:rPr>
      </w:pPr>
      <w:r>
        <w:rPr>
          <w:rFonts w:ascii="Arial" w:cs="Arial" w:eastAsia="Arial" w:hAnsi="Arial"/>
          <w:sz w:val="13"/>
          <w:szCs w:val="13"/>
          <w:b w:val="1"/>
          <w:bCs w:val="1"/>
          <w:color w:val="auto"/>
        </w:rPr>
        <w:t>If we enter into collaborative agreements and if our third-party collaborators do not perform satisfactorily or if our collaborations fail, development or commercialization of our Technosphere Insulin System may be delayed and our business could be harmed.</w:t>
      </w:r>
    </w:p>
    <w:p>
      <w:pPr>
        <w:spacing w:after="0" w:line="54" w:lineRule="exact"/>
        <w:rPr>
          <w:sz w:val="20"/>
          <w:szCs w:val="20"/>
          <w:color w:val="auto"/>
        </w:rPr>
      </w:pPr>
    </w:p>
    <w:p>
      <w:pPr>
        <w:jc w:val="both"/>
        <w:ind w:left="680" w:right="80"/>
        <w:spacing w:after="0" w:line="289" w:lineRule="auto"/>
        <w:rPr>
          <w:sz w:val="20"/>
          <w:szCs w:val="20"/>
          <w:color w:val="auto"/>
        </w:rPr>
      </w:pPr>
      <w:r>
        <w:rPr>
          <w:rFonts w:ascii="Arial" w:cs="Arial" w:eastAsia="Arial" w:hAnsi="Arial"/>
          <w:sz w:val="12"/>
          <w:szCs w:val="12"/>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53"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142" w:lineRule="exact"/>
        <w:rPr>
          <w:sz w:val="20"/>
          <w:szCs w:val="20"/>
          <w:color w:val="auto"/>
        </w:rPr>
      </w:pPr>
    </w:p>
    <w:p>
      <w:pPr>
        <w:ind w:left="680"/>
        <w:spacing w:after="0" w:line="283" w:lineRule="auto"/>
        <w:rPr>
          <w:sz w:val="20"/>
          <w:szCs w:val="20"/>
          <w:color w:val="auto"/>
        </w:rPr>
      </w:pPr>
      <w:r>
        <w:rPr>
          <w:rFonts w:ascii="Arial" w:cs="Arial" w:eastAsia="Arial" w:hAnsi="Arial"/>
          <w:sz w:val="13"/>
          <w:szCs w:val="13"/>
          <w:b w:val="1"/>
          <w:bCs w:val="1"/>
          <w:color w:val="auto"/>
        </w:rPr>
        <w:t>Testing of our Technosphere Insulin System or another product candidate may not yield successful results, and even if it does, we may still be unable to commercialize that product candidate.</w:t>
      </w:r>
    </w:p>
    <w:p>
      <w:pPr>
        <w:spacing w:after="0" w:line="54"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Our research and development programs are designed to test the safety and efficacy of our Technosphere Insulin System and our other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67" w:lineRule="exact"/>
        <w:rPr>
          <w:sz w:val="20"/>
          <w:szCs w:val="20"/>
          <w:color w:val="auto"/>
        </w:rPr>
      </w:pPr>
    </w:p>
    <w:p>
      <w:pPr>
        <w:ind w:left="1180" w:right="340" w:hanging="90"/>
        <w:spacing w:after="0" w:line="320" w:lineRule="auto"/>
        <w:tabs>
          <w:tab w:leader="none" w:pos="1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25" w:lineRule="exact"/>
        <w:rPr>
          <w:rFonts w:ascii="Arial" w:cs="Arial" w:eastAsia="Arial" w:hAnsi="Arial"/>
          <w:sz w:val="12"/>
          <w:szCs w:val="12"/>
          <w:color w:val="auto"/>
        </w:rPr>
      </w:pPr>
    </w:p>
    <w:p>
      <w:pPr>
        <w:ind w:left="1180" w:hanging="90"/>
        <w:spacing w:after="0"/>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data collected from clinical trials of our product candidates may not be sufficient to support FDA or other regulatory approval;</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after reviewing test results, we or any potential collaborators may abandon projects that we previously believed were promising; and</w:t>
      </w:r>
    </w:p>
    <w:p>
      <w:pPr>
        <w:spacing w:after="0" w:line="86" w:lineRule="exact"/>
        <w:rPr>
          <w:rFonts w:ascii="Arial" w:cs="Arial" w:eastAsia="Arial" w:hAnsi="Arial"/>
          <w:sz w:val="13"/>
          <w:szCs w:val="13"/>
          <w:color w:val="auto"/>
        </w:rPr>
      </w:pPr>
    </w:p>
    <w:p>
      <w:pPr>
        <w:ind w:left="1180" w:right="20" w:hanging="90"/>
        <w:spacing w:after="0" w:line="276" w:lineRule="auto"/>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product candidates may not produce the desired effects or may result in adverse health effects or other characteristics that preclude regulatory approval or limit their commercial use if approved.</w:t>
      </w:r>
    </w:p>
    <w:p>
      <w:pPr>
        <w:spacing w:after="0" w:line="59"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long-term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labeling or marketing, or may require further clinical trials, which may be time-consuming and expensive, and may not produce favorable results.</w:t>
      </w:r>
    </w:p>
    <w:p>
      <w:pPr>
        <w:spacing w:after="0" w:line="96" w:lineRule="exact"/>
        <w:rPr>
          <w:sz w:val="20"/>
          <w:szCs w:val="20"/>
          <w:color w:val="auto"/>
        </w:rPr>
      </w:pPr>
    </w:p>
    <w:p>
      <w:pPr>
        <w:ind w:left="680" w:right="40"/>
        <w:spacing w:after="0" w:line="371" w:lineRule="auto"/>
        <w:rPr>
          <w:sz w:val="20"/>
          <w:szCs w:val="20"/>
          <w:color w:val="auto"/>
        </w:rPr>
      </w:pPr>
      <w:r>
        <w:rPr>
          <w:rFonts w:ascii="Arial" w:cs="Arial" w:eastAsia="Arial" w:hAnsi="Arial"/>
          <w:sz w:val="11"/>
          <w:szCs w:val="11"/>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If we are unable to transition successfully from an early-stage development company to a company that commercializes therapeutics, our operations would suffer.</w:t>
      </w:r>
    </w:p>
    <w:p>
      <w:pPr>
        <w:spacing w:after="0" w:line="112"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We are reaching a critical juncture in our development, transitioning from an early-stage development company to one with multiple Phase 3 clinical trials. Phase 3 development of the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3-through-new drug application, or NDA, stage of product development.</w:t>
      </w:r>
    </w:p>
    <w:p>
      <w:pPr>
        <w:spacing w:after="0" w:line="70" w:lineRule="exact"/>
        <w:rPr>
          <w:sz w:val="20"/>
          <w:szCs w:val="20"/>
          <w:color w:val="auto"/>
        </w:rPr>
      </w:pPr>
    </w:p>
    <w:p>
      <w:pPr>
        <w:jc w:val="both"/>
        <w:ind w:left="680" w:right="200"/>
        <w:spacing w:after="0" w:line="260" w:lineRule="auto"/>
        <w:rPr>
          <w:sz w:val="20"/>
          <w:szCs w:val="20"/>
          <w:color w:val="auto"/>
        </w:rPr>
      </w:pPr>
      <w:r>
        <w:rPr>
          <w:rFonts w:ascii="Arial" w:cs="Arial" w:eastAsia="Arial" w:hAnsi="Arial"/>
          <w:sz w:val="13"/>
          <w:szCs w:val="13"/>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70" w:lineRule="exact"/>
        <w:rPr>
          <w:sz w:val="20"/>
          <w:szCs w:val="20"/>
          <w:color w:val="auto"/>
        </w:rPr>
      </w:pPr>
    </w:p>
    <w:p>
      <w:pPr>
        <w:ind w:left="800" w:hanging="113"/>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expand our manufacturing capabilities;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 comprehensive and detailed commercialization, clinical development and regulatory plans; and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implement standard operating procedures, including those for protocol development.</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we are unable to accomplish these measures in a timely manner, we would be at considerable risk of failing to:</w:t>
      </w:r>
    </w:p>
    <w:p>
      <w:pPr>
        <w:spacing w:after="0" w:line="96" w:lineRule="exact"/>
        <w:rPr>
          <w:sz w:val="20"/>
          <w:szCs w:val="20"/>
          <w:color w:val="auto"/>
        </w:rPr>
      </w:pPr>
    </w:p>
    <w:p>
      <w:pPr>
        <w:ind w:left="800" w:hanging="113"/>
        <w:spacing w:after="0"/>
        <w:tabs>
          <w:tab w:leader="none" w:pos="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complete our Phase 3 clinical trial program in a deliberate fashion, on time and within budget; and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develop through our Phase 3 trials the key clinical data needed to obtain regulatory approval and compete successfully in the marketplace.</w:t>
      </w:r>
    </w:p>
    <w:p>
      <w:pPr>
        <w:spacing w:after="0" w:line="171" w:lineRule="exact"/>
        <w:rPr>
          <w:sz w:val="20"/>
          <w:szCs w:val="20"/>
          <w:color w:val="auto"/>
        </w:rPr>
      </w:pPr>
    </w:p>
    <w:p>
      <w:pPr>
        <w:ind w:left="680" w:right="140"/>
        <w:spacing w:after="0" w:line="283" w:lineRule="auto"/>
        <w:rPr>
          <w:sz w:val="20"/>
          <w:szCs w:val="20"/>
          <w:color w:val="auto"/>
        </w:rPr>
      </w:pPr>
      <w:r>
        <w:rPr>
          <w:rFonts w:ascii="Arial" w:cs="Arial" w:eastAsia="Arial" w:hAnsi="Arial"/>
          <w:sz w:val="13"/>
          <w:szCs w:val="13"/>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54" w:lineRule="exact"/>
        <w:rPr>
          <w:sz w:val="20"/>
          <w:szCs w:val="20"/>
          <w:color w:val="auto"/>
        </w:rPr>
      </w:pPr>
    </w:p>
    <w:p>
      <w:pPr>
        <w:ind w:left="680"/>
        <w:spacing w:after="0" w:line="307" w:lineRule="auto"/>
        <w:rPr>
          <w:sz w:val="20"/>
          <w:szCs w:val="20"/>
          <w:color w:val="auto"/>
        </w:rPr>
      </w:pPr>
      <w:r>
        <w:rPr>
          <w:rFonts w:ascii="Arial" w:cs="Arial" w:eastAsia="Arial" w:hAnsi="Arial"/>
          <w:sz w:val="11"/>
          <w:szCs w:val="11"/>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obtain our Technosphere pre-cursor raw material from Degussa AG, a major chemical manufacturer with facilities in Europe and North America. We utilize our in-house chemical manufacturing plant as a back up facility.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134" w:lineRule="exact"/>
        <w:rPr>
          <w:sz w:val="20"/>
          <w:szCs w:val="20"/>
          <w:color w:val="auto"/>
        </w:rPr>
      </w:pPr>
    </w:p>
    <w:p>
      <w:pPr>
        <w:ind w:left="680" w:right="320"/>
        <w:spacing w:after="0" w:line="327" w:lineRule="auto"/>
        <w:rPr>
          <w:sz w:val="20"/>
          <w:szCs w:val="20"/>
          <w:color w:val="auto"/>
        </w:rPr>
      </w:pPr>
      <w:r>
        <w:rPr>
          <w:rFonts w:ascii="Arial" w:cs="Arial" w:eastAsia="Arial" w:hAnsi="Arial"/>
          <w:sz w:val="12"/>
          <w:szCs w:val="12"/>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31" w:lineRule="exact"/>
        <w:rPr>
          <w:sz w:val="20"/>
          <w:szCs w:val="20"/>
          <w:color w:val="auto"/>
        </w:rPr>
      </w:pPr>
    </w:p>
    <w:p>
      <w:pPr>
        <w:ind w:left="680" w:right="140"/>
        <w:spacing w:after="0" w:line="257" w:lineRule="auto"/>
        <w:rPr>
          <w:sz w:val="20"/>
          <w:szCs w:val="20"/>
          <w:color w:val="auto"/>
        </w:rPr>
      </w:pPr>
      <w:r>
        <w:rPr>
          <w:rFonts w:ascii="Arial" w:cs="Arial" w:eastAsia="Arial" w:hAnsi="Arial"/>
          <w:sz w:val="13"/>
          <w:szCs w:val="13"/>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72"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We have never manufactured our Techosphere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60" w:lineRule="exact"/>
        <w:rPr>
          <w:sz w:val="20"/>
          <w:szCs w:val="20"/>
          <w:color w:val="auto"/>
        </w:rPr>
      </w:pPr>
    </w:p>
    <w:p>
      <w:pPr>
        <w:ind w:left="680" w:right="100"/>
        <w:spacing w:after="0" w:line="289" w:lineRule="auto"/>
        <w:rPr>
          <w:sz w:val="20"/>
          <w:szCs w:val="20"/>
          <w:color w:val="auto"/>
        </w:rPr>
      </w:pPr>
      <w:r>
        <w:rPr>
          <w:rFonts w:ascii="Arial" w:cs="Arial" w:eastAsia="Arial" w:hAnsi="Arial"/>
          <w:sz w:val="12"/>
          <w:szCs w:val="12"/>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such products and we would lose potential revenues.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deal with hazardous materials and must comply with environmental laws and regulations, which can be expensive and restrict how we do business.</w:t>
      </w:r>
    </w:p>
    <w:p>
      <w:pPr>
        <w:spacing w:after="0" w:line="100" w:lineRule="exact"/>
        <w:rPr>
          <w:sz w:val="20"/>
          <w:szCs w:val="20"/>
          <w:color w:val="auto"/>
        </w:rPr>
      </w:pPr>
    </w:p>
    <w:p>
      <w:pPr>
        <w:jc w:val="both"/>
        <w:ind w:left="680" w:right="100"/>
        <w:spacing w:after="0" w:line="303" w:lineRule="auto"/>
        <w:rPr>
          <w:sz w:val="20"/>
          <w:szCs w:val="20"/>
          <w:color w:val="auto"/>
        </w:rPr>
      </w:pPr>
      <w:r>
        <w:rPr>
          <w:rFonts w:ascii="Arial" w:cs="Arial" w:eastAsia="Arial" w:hAnsi="Arial"/>
          <w:sz w:val="11"/>
          <w:szCs w:val="11"/>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w:t>
      </w:r>
    </w:p>
    <w:p>
      <w:pPr>
        <w:ind w:left="680"/>
        <w:spacing w:after="0" w:line="258" w:lineRule="auto"/>
        <w:rPr>
          <w:sz w:val="20"/>
          <w:szCs w:val="20"/>
          <w:color w:val="auto"/>
        </w:rPr>
      </w:pPr>
      <w:r>
        <w:rPr>
          <w:rFonts w:ascii="Arial" w:cs="Arial" w:eastAsia="Arial" w:hAnsi="Arial"/>
          <w:sz w:val="13"/>
          <w:szCs w:val="13"/>
          <w:color w:val="auto"/>
        </w:rPr>
        <w:t>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67"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estimate that the cost to complete the soil cleanup plan for industrial use is $1.5 to $3.0 million over the next 18 to 24 months.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48" w:lineRule="exact"/>
        <w:rPr>
          <w:sz w:val="20"/>
          <w:szCs w:val="20"/>
          <w:color w:val="auto"/>
        </w:rPr>
      </w:pPr>
    </w:p>
    <w:p>
      <w:pPr>
        <w:ind w:left="680" w:right="580"/>
        <w:spacing w:after="0" w:line="283" w:lineRule="auto"/>
        <w:rPr>
          <w:sz w:val="20"/>
          <w:szCs w:val="20"/>
          <w:color w:val="auto"/>
        </w:rPr>
      </w:pPr>
      <w:r>
        <w:rPr>
          <w:rFonts w:ascii="Arial" w:cs="Arial" w:eastAsia="Arial" w:hAnsi="Arial"/>
          <w:sz w:val="13"/>
          <w:szCs w:val="13"/>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4"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a specialty sales force would cost more than $35 million. Because of our size, we would be at a disadvantage to our potential competitors, all of which either are or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33" w:lineRule="exact"/>
        <w:rPr>
          <w:sz w:val="20"/>
          <w:szCs w:val="20"/>
          <w:color w:val="auto"/>
        </w:rPr>
      </w:pPr>
    </w:p>
    <w:p>
      <w:pPr>
        <w:ind w:left="680" w:right="260"/>
        <w:spacing w:after="0" w:line="283" w:lineRule="auto"/>
        <w:rPr>
          <w:sz w:val="20"/>
          <w:szCs w:val="20"/>
          <w:color w:val="auto"/>
        </w:rPr>
      </w:pPr>
      <w:r>
        <w:rPr>
          <w:rFonts w:ascii="Arial" w:cs="Arial" w:eastAsia="Arial" w:hAnsi="Arial"/>
          <w:sz w:val="13"/>
          <w:szCs w:val="13"/>
          <w:b w:val="1"/>
          <w:bCs w:val="1"/>
          <w:color w:val="auto"/>
        </w:rPr>
        <w:t>If any product that we may develop does not become widely accepted by physicians, patients, third-party payors and the healthcare community, we may be unable to generate significant revenue, if any.</w:t>
      </w:r>
    </w:p>
    <w:p>
      <w:pPr>
        <w:spacing w:after="0" w:line="54"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Technosphere Insulin System and our other product candidates are new and unproven. Even if any of our product candidates obtain regulatory approvals, it may not gain market acceptance among physicians, patients, third-party payors and the healthcare community. Failure to achieve market acceptance would limit our ability to generate revenue and would adversely affect our results of operations.</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degree of market acceptance of our Technosphere Insulin System and our other product candidates will depend on many factors, including:</w:t>
      </w:r>
    </w:p>
    <w:p>
      <w:pPr>
        <w:spacing w:after="0" w:line="96" w:lineRule="exact"/>
        <w:rPr>
          <w:sz w:val="20"/>
          <w:szCs w:val="20"/>
          <w:color w:val="auto"/>
        </w:rPr>
      </w:pPr>
    </w:p>
    <w:p>
      <w:pPr>
        <w:ind w:left="1180" w:hanging="90"/>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claims for which FDA approval can be obtained, including superiority claims;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perceived advantages and disadvantages of competitive products;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willingness and ability of patients and the healthcare community to adopt new technologies;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to manufacture the product in sufficient quantities with acceptable quality and at an acceptable cost;</w:t>
      </w:r>
    </w:p>
    <w:p>
      <w:pPr>
        <w:spacing w:after="0" w:line="86" w:lineRule="exact"/>
        <w:rPr>
          <w:rFonts w:ascii="Arial" w:cs="Arial" w:eastAsia="Arial" w:hAnsi="Arial"/>
          <w:sz w:val="13"/>
          <w:szCs w:val="13"/>
          <w:color w:val="auto"/>
        </w:rPr>
      </w:pPr>
    </w:p>
    <w:p>
      <w:pPr>
        <w:ind w:left="1180" w:right="260" w:hanging="90"/>
        <w:spacing w:after="0" w:line="27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perception of patients and the healthcare community, including third-party payors, regarding the safety, efficacy and benefits of the product compared to those of competing products or therapies;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convenience and ease of administration of the product relative to existing treatment methods;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pricing and reimbursement of the product relative to existing treatment therapeutics and methods;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marketing and distribution support for the product.</w:t>
      </w:r>
    </w:p>
    <w:p>
      <w:pPr>
        <w:spacing w:after="0" w:line="96"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third-party payors do not reimburse customers for our products, our products might not be used or purchased, which would adversely affect our revenues.</w:t>
      </w:r>
    </w:p>
    <w:p>
      <w:pPr>
        <w:spacing w:after="0" w:line="100"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Our future revenues and potential for profitability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58" w:lineRule="exact"/>
        <w:rPr>
          <w:sz w:val="20"/>
          <w:szCs w:val="20"/>
          <w:color w:val="auto"/>
        </w:rPr>
      </w:pPr>
    </w:p>
    <w:p>
      <w:pPr>
        <w:ind w:left="680" w:right="140"/>
        <w:spacing w:after="0" w:line="256" w:lineRule="auto"/>
        <w:rPr>
          <w:sz w:val="20"/>
          <w:szCs w:val="20"/>
          <w:color w:val="auto"/>
        </w:rPr>
      </w:pPr>
      <w:r>
        <w:rPr>
          <w:rFonts w:ascii="Arial" w:cs="Arial" w:eastAsia="Arial" w:hAnsi="Arial"/>
          <w:sz w:val="13"/>
          <w:szCs w:val="13"/>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product liability claims are brought against us, we may incur significant liabilities and suffer damage to our reputation.</w:t>
      </w:r>
    </w:p>
    <w:p>
      <w:pPr>
        <w:spacing w:after="0" w:line="100"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spacing w:after="0" w:line="320" w:lineRule="auto"/>
        <w:rPr>
          <w:sz w:val="20"/>
          <w:szCs w:val="20"/>
          <w:color w:val="auto"/>
        </w:rPr>
      </w:pPr>
      <w:r>
        <w:rPr>
          <w:rFonts w:ascii="Arial" w:cs="Arial" w:eastAsia="Arial" w:hAnsi="Arial"/>
          <w:sz w:val="12"/>
          <w:szCs w:val="12"/>
          <w:color w:val="auto"/>
        </w:rPr>
        <w:t>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we lose any key employees or scientific advisors, our operations and our ability to execute our business strategy could be materially harmed.</w:t>
      </w:r>
    </w:p>
    <w:p>
      <w:pPr>
        <w:spacing w:after="0" w:line="10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In October 2005, Dr. Peter Richardson joined us as Corporate Vice President and Chief Scientific Officer, and Dr. Juergen Martens, who joined us in September 2005, was appointed our Corporate Vice President of Operations in February 2006.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72"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53"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46" w:lineRule="exact"/>
        <w:rPr>
          <w:sz w:val="20"/>
          <w:szCs w:val="20"/>
          <w:color w:val="auto"/>
        </w:rPr>
      </w:pPr>
    </w:p>
    <w:p>
      <w:pPr>
        <w:ind w:left="680" w:right="100"/>
        <w:spacing w:after="0" w:line="283" w:lineRule="auto"/>
        <w:rPr>
          <w:sz w:val="20"/>
          <w:szCs w:val="20"/>
          <w:color w:val="auto"/>
        </w:rPr>
      </w:pPr>
      <w:r>
        <w:rPr>
          <w:rFonts w:ascii="Arial" w:cs="Arial" w:eastAsia="Arial" w:hAnsi="Arial"/>
          <w:sz w:val="13"/>
          <w:szCs w:val="13"/>
          <w:b w:val="1"/>
          <w:bCs w:val="1"/>
          <w:color w:val="auto"/>
        </w:rPr>
        <w:t>If our Chief Executive Officer is unable to devote sufficient time and attention to our business, our operations and our ability to execute our business strategy could be materially harmed.</w:t>
      </w:r>
    </w:p>
    <w:p>
      <w:pPr>
        <w:spacing w:after="0" w:line="54"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1"/>
          <w:szCs w:val="11"/>
          <w:b w:val="1"/>
          <w:bCs w:val="1"/>
          <w:color w:val="auto"/>
        </w:rPr>
        <w:t>We have been sued by our former Chief Medical Officer. As a result of this litigation, we may incur material costs and suffer other consequences, which may adversely affect us.</w:t>
      </w:r>
    </w:p>
    <w:p>
      <w:pPr>
        <w:spacing w:after="0" w:line="123"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 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motion to strike our cross-complaint under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California’s anti-SLAPP statute. In September 2005, the California Superior Court overruled Dr. Cheatham’s demurrer and denied his motion to strike the Company’s cross-complaint. Dr. Cheatham then filed a notice of appeal of the Court’s ruling denying his motion to strike. Discovery as to Dr. Cheatham’s claims against us is proceeding, and this case is scheduled for trial to commence in October 2006.</w:t>
      </w:r>
    </w:p>
    <w:p>
      <w:pPr>
        <w:spacing w:after="0" w:line="67"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To date, we have not been notified of any investigation by the FDA. If we are not successful in this litigation, we could be forced to make a significant settlement or judgment payment to Dr. Cheatham, which could adversely affect our business, results of operations or financial position.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facilities that are located in Southern California may be affected by natural disasters.</w:t>
      </w:r>
    </w:p>
    <w:p>
      <w:pPr>
        <w:spacing w:after="0" w:line="100" w:lineRule="exact"/>
        <w:rPr>
          <w:sz w:val="20"/>
          <w:szCs w:val="20"/>
          <w:color w:val="auto"/>
        </w:rPr>
      </w:pPr>
    </w:p>
    <w:p>
      <w:pPr>
        <w:jc w:val="both"/>
        <w:ind w:left="680" w:right="180"/>
        <w:spacing w:after="0" w:line="260" w:lineRule="auto"/>
        <w:rPr>
          <w:sz w:val="20"/>
          <w:szCs w:val="20"/>
          <w:color w:val="auto"/>
        </w:rPr>
      </w:pPr>
      <w:r>
        <w:rPr>
          <w:rFonts w:ascii="Arial" w:cs="Arial" w:eastAsia="Arial" w:hAnsi="Arial"/>
          <w:sz w:val="13"/>
          <w:szCs w:val="13"/>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change in the accounting treatment of stock-based awards will adversely affect our results of operations.</w:t>
      </w:r>
    </w:p>
    <w:p>
      <w:pPr>
        <w:spacing w:after="0" w:line="100"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 xml:space="preserve">In December 2004, the Financial Accounting Standards Board issued revised SFAS No. 123,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or SFAS No. 123R, which requires companies to expense employee stock options and other stock-based awards for financial reporting purposes. Under SFAS No. 123R, beginning with our first quarter of 2006, we are required to value our employee stock option grants pursuant to an option valuation model, and then amortize that value against our reported earnings over the vesting period in effect for those options. We previously accounted for stock-based awards to employees in accordance with Accounting Principles Board Opinion (“APB”)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had adopted the disclosure-only alternative of SFAS No. 123 and SFAS No. 128, each of which has been superseded by SFAS No. 123R. The change in accounting treatment resulting from SFAS No. 123R may materially and adversely affect our reported results of operations as stock-based compensation expense is charged directly against our reported earnings. We continue to believe that expensing stock-based compensation will have an impact on our statement of operations similar to the pro forma disclosure under SFAS No. 123 (see Note 2 — Summary of Significant Accounting Policies — Stock-Based Compensation).</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our internal controls over financial reporting are not considered effective, our business and stock price could be adversely affected.</w:t>
      </w:r>
    </w:p>
    <w:p>
      <w:pPr>
        <w:spacing w:after="0" w:line="100"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 Our management has concluded, and our independent registered public accounting firm has attested, that our internal control over financial reporting was effective as of December 31, 2005.</w:t>
      </w:r>
    </w:p>
    <w:p>
      <w:pPr>
        <w:spacing w:after="0" w:line="53"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1" w:lineRule="auto"/>
        <w:rPr>
          <w:sz w:val="20"/>
          <w:szCs w:val="20"/>
          <w:color w:val="auto"/>
        </w:rPr>
      </w:pPr>
      <w:r>
        <w:rPr>
          <w:rFonts w:ascii="Arial" w:cs="Arial" w:eastAsia="Arial" w:hAnsi="Arial"/>
          <w:sz w:val="12"/>
          <w:szCs w:val="12"/>
          <w:color w:val="auto"/>
        </w:rPr>
        <w:t>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REGULATORY APPROVALS</w:t>
      </w:r>
    </w:p>
    <w:p>
      <w:pPr>
        <w:spacing w:after="0" w:line="96" w:lineRule="exact"/>
        <w:rPr>
          <w:sz w:val="20"/>
          <w:szCs w:val="20"/>
          <w:color w:val="auto"/>
        </w:rPr>
      </w:pPr>
    </w:p>
    <w:p>
      <w:pPr>
        <w:ind w:left="680" w:right="40"/>
        <w:spacing w:after="0" w:line="283" w:lineRule="auto"/>
        <w:rPr>
          <w:sz w:val="20"/>
          <w:szCs w:val="20"/>
          <w:color w:val="auto"/>
        </w:rPr>
      </w:pPr>
      <w:r>
        <w:rPr>
          <w:rFonts w:ascii="Arial" w:cs="Arial" w:eastAsia="Arial" w:hAnsi="Arial"/>
          <w:sz w:val="13"/>
          <w:szCs w:val="13"/>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4"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67" w:lineRule="exact"/>
        <w:rPr>
          <w:sz w:val="20"/>
          <w:szCs w:val="20"/>
          <w:color w:val="auto"/>
        </w:rPr>
      </w:pPr>
    </w:p>
    <w:p>
      <w:pPr>
        <w:ind w:left="1180" w:hanging="90"/>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product design, development, manufacture and testing;</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product labeling;</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product storage and shipping;</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pre-market clearance or approval;</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advertising and promotion;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product sales and distribution.</w:t>
      </w:r>
    </w:p>
    <w:p>
      <w:pPr>
        <w:spacing w:after="0" w:line="96"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inhaled insulin delivery systems, that we will need safety data covering at least two years from patients treated with our Technosphere Insulin System and that we must complete a two-year carcinogenicity study of Technosphere Insulin in rodents to obtain approval, among other requirements.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4"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the period of product development and regulatory agency review of each submitted new application may cause delays or rejections.</w:t>
      </w:r>
    </w:p>
    <w:p>
      <w:pPr>
        <w:spacing w:after="0" w:line="96" w:lineRule="exact"/>
        <w:rPr>
          <w:sz w:val="20"/>
          <w:szCs w:val="20"/>
          <w:color w:val="auto"/>
        </w:rPr>
      </w:pPr>
    </w:p>
    <w:p>
      <w:pPr>
        <w:ind w:left="680"/>
        <w:spacing w:after="0" w:line="300" w:lineRule="auto"/>
        <w:rPr>
          <w:sz w:val="20"/>
          <w:szCs w:val="20"/>
          <w:color w:val="auto"/>
        </w:rPr>
      </w:pPr>
      <w:r>
        <w:rPr>
          <w:rFonts w:ascii="Arial" w:cs="Arial" w:eastAsia="Arial" w:hAnsi="Arial"/>
          <w:sz w:val="11"/>
          <w:szCs w:val="11"/>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may impact the development and registration of our Technosphere Insulin System in many ways, including: the approval of Exubera may increase the difficulty of enrolling patients in our clinical trials; Exubera may be viewed as standard of care by the FDA and used as a reference for the safety/efficacy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w:t>
      </w:r>
    </w:p>
    <w:p>
      <w:pPr>
        <w:spacing w:after="0" w:line="1" w:lineRule="exact"/>
        <w:rPr>
          <w:sz w:val="20"/>
          <w:szCs w:val="20"/>
          <w:color w:val="auto"/>
        </w:rPr>
      </w:pPr>
    </w:p>
    <w:p>
      <w:pPr>
        <w:ind w:left="680" w:firstLine="7"/>
        <w:spacing w:after="0" w:line="256" w:lineRule="auto"/>
        <w:tabs>
          <w:tab w:leader="none" w:pos="866"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72"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71"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53" w:lineRule="exact"/>
        <w:rPr>
          <w:sz w:val="20"/>
          <w:szCs w:val="20"/>
          <w:color w:val="auto"/>
        </w:rPr>
      </w:pPr>
    </w:p>
    <w:p>
      <w:pPr>
        <w:ind w:left="680" w:right="300"/>
        <w:spacing w:after="0" w:line="289" w:lineRule="auto"/>
        <w:rPr>
          <w:sz w:val="20"/>
          <w:szCs w:val="20"/>
          <w:color w:val="auto"/>
        </w:rPr>
      </w:pPr>
      <w:r>
        <w:rPr>
          <w:rFonts w:ascii="Arial" w:cs="Arial" w:eastAsia="Arial" w:hAnsi="Arial"/>
          <w:sz w:val="12"/>
          <w:szCs w:val="12"/>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128" w:lineRule="exact"/>
        <w:rPr>
          <w:sz w:val="20"/>
          <w:szCs w:val="20"/>
          <w:color w:val="auto"/>
        </w:rPr>
      </w:pPr>
    </w:p>
    <w:p>
      <w:pPr>
        <w:ind w:left="680" w:right="280"/>
        <w:spacing w:after="0" w:line="283" w:lineRule="auto"/>
        <w:rPr>
          <w:sz w:val="20"/>
          <w:szCs w:val="20"/>
          <w:color w:val="auto"/>
        </w:rPr>
      </w:pPr>
      <w:r>
        <w:rPr>
          <w:rFonts w:ascii="Arial" w:cs="Arial" w:eastAsia="Arial" w:hAnsi="Arial"/>
          <w:sz w:val="13"/>
          <w:szCs w:val="13"/>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4" w:lineRule="exact"/>
        <w:rPr>
          <w:sz w:val="20"/>
          <w:szCs w:val="20"/>
          <w:color w:val="auto"/>
        </w:rPr>
      </w:pPr>
    </w:p>
    <w:p>
      <w:pPr>
        <w:jc w:val="both"/>
        <w:ind w:left="680" w:right="260"/>
        <w:spacing w:after="0" w:line="264" w:lineRule="auto"/>
        <w:rPr>
          <w:sz w:val="20"/>
          <w:szCs w:val="20"/>
          <w:color w:val="auto"/>
        </w:rPr>
      </w:pPr>
      <w:r>
        <w:rPr>
          <w:rFonts w:ascii="Arial" w:cs="Arial" w:eastAsia="Arial" w:hAnsi="Arial"/>
          <w:sz w:val="13"/>
          <w:szCs w:val="13"/>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line="327" w:lineRule="auto"/>
        <w:rPr>
          <w:sz w:val="20"/>
          <w:szCs w:val="20"/>
          <w:color w:val="auto"/>
        </w:rPr>
      </w:pPr>
      <w:r>
        <w:rPr>
          <w:rFonts w:ascii="Arial" w:cs="Arial" w:eastAsia="Arial" w:hAnsi="Arial"/>
          <w:sz w:val="12"/>
          <w:szCs w:val="12"/>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31"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Even if we obtain regulatory approval for our product candidates, such approval may be limited and we will be subject to stringent, ongoing government regulation.</w:t>
      </w:r>
    </w:p>
    <w:p>
      <w:pPr>
        <w:spacing w:after="0" w:line="112" w:lineRule="exact"/>
        <w:rPr>
          <w:sz w:val="20"/>
          <w:szCs w:val="20"/>
          <w:color w:val="auto"/>
        </w:rPr>
      </w:pPr>
    </w:p>
    <w:p>
      <w:pPr>
        <w:ind w:left="680" w:right="100"/>
        <w:spacing w:after="0" w:line="280" w:lineRule="auto"/>
        <w:rPr>
          <w:sz w:val="20"/>
          <w:szCs w:val="20"/>
          <w:color w:val="auto"/>
        </w:rPr>
      </w:pPr>
      <w:r>
        <w:rPr>
          <w:rFonts w:ascii="Arial" w:cs="Arial" w:eastAsia="Arial" w:hAnsi="Arial"/>
          <w:sz w:val="12"/>
          <w:szCs w:val="12"/>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59"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72"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result in civil fines, product seizures, injunctions and/or criminal prosecution of responsible individuals and us. Any such actions would have a material adverse effect on our business and results of operations.</w:t>
      </w:r>
    </w:p>
    <w:p>
      <w:pPr>
        <w:spacing w:after="0" w:line="134" w:lineRule="exact"/>
        <w:rPr>
          <w:sz w:val="20"/>
          <w:szCs w:val="20"/>
          <w:color w:val="auto"/>
        </w:rPr>
      </w:pPr>
    </w:p>
    <w:p>
      <w:pPr>
        <w:ind w:left="680" w:right="80"/>
        <w:spacing w:after="0" w:line="283" w:lineRule="auto"/>
        <w:rPr>
          <w:sz w:val="20"/>
          <w:szCs w:val="20"/>
          <w:color w:val="auto"/>
        </w:rPr>
      </w:pPr>
      <w:r>
        <w:rPr>
          <w:rFonts w:ascii="Arial" w:cs="Arial" w:eastAsia="Arial" w:hAnsi="Arial"/>
          <w:sz w:val="13"/>
          <w:szCs w:val="13"/>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4"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4"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134" w:lineRule="exact"/>
        <w:rPr>
          <w:sz w:val="20"/>
          <w:szCs w:val="20"/>
          <w:color w:val="auto"/>
        </w:rPr>
      </w:pPr>
    </w:p>
    <w:p>
      <w:pPr>
        <w:ind w:left="680" w:right="500"/>
        <w:spacing w:after="0" w:line="283" w:lineRule="auto"/>
        <w:rPr>
          <w:sz w:val="20"/>
          <w:szCs w:val="20"/>
          <w:color w:val="auto"/>
        </w:rPr>
      </w:pPr>
      <w:r>
        <w:rPr>
          <w:rFonts w:ascii="Arial" w:cs="Arial" w:eastAsia="Arial" w:hAnsi="Arial"/>
          <w:sz w:val="13"/>
          <w:szCs w:val="13"/>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4"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71"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 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70"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If we are unable to protect our proprietary rights, we may not be able to compete effectively, or operate profitably.</w:t>
      </w:r>
    </w:p>
    <w:p>
      <w:pPr>
        <w:spacing w:after="0" w:line="10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72"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US. If we attempt to enforce our patents, they may be challenged in court where they could be held invalid, unenforceable, or have their breadth narrowed to an extent that would destroy their value.</w:t>
      </w:r>
    </w:p>
    <w:p>
      <w:pPr>
        <w:spacing w:after="0" w:line="50"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46" w:lineRule="exact"/>
        <w:rPr>
          <w:sz w:val="20"/>
          <w:szCs w:val="20"/>
          <w:color w:val="auto"/>
        </w:rPr>
      </w:pPr>
    </w:p>
    <w:p>
      <w:pPr>
        <w:ind w:left="680" w:right="100"/>
        <w:spacing w:after="0" w:line="283" w:lineRule="auto"/>
        <w:rPr>
          <w:sz w:val="20"/>
          <w:szCs w:val="20"/>
          <w:color w:val="auto"/>
        </w:rPr>
      </w:pPr>
      <w:r>
        <w:rPr>
          <w:rFonts w:ascii="Arial" w:cs="Arial" w:eastAsia="Arial" w:hAnsi="Arial"/>
          <w:sz w:val="13"/>
          <w:szCs w:val="13"/>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4"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70"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71"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520"/>
        <w:spacing w:after="0" w:line="283" w:lineRule="auto"/>
        <w:rPr>
          <w:sz w:val="20"/>
          <w:szCs w:val="20"/>
          <w:color w:val="auto"/>
        </w:rPr>
      </w:pPr>
      <w:r>
        <w:rPr>
          <w:rFonts w:ascii="Arial" w:cs="Arial" w:eastAsia="Arial" w:hAnsi="Arial"/>
          <w:sz w:val="13"/>
          <w:szCs w:val="13"/>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54"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67" w:lineRule="exact"/>
        <w:rPr>
          <w:sz w:val="20"/>
          <w:szCs w:val="20"/>
          <w:color w:val="auto"/>
        </w:rPr>
      </w:pPr>
    </w:p>
    <w:p>
      <w:pPr>
        <w:ind w:left="680" w:right="80"/>
        <w:spacing w:after="0" w:line="281" w:lineRule="auto"/>
        <w:rPr>
          <w:sz w:val="20"/>
          <w:szCs w:val="20"/>
          <w:color w:val="auto"/>
        </w:rPr>
      </w:pPr>
      <w:r>
        <w:rPr>
          <w:rFonts w:ascii="Arial" w:cs="Arial" w:eastAsia="Arial" w:hAnsi="Arial"/>
          <w:sz w:val="12"/>
          <w:szCs w:val="12"/>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0"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50"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not obtain trademark registrations for our potential trade names.</w:t>
      </w:r>
    </w:p>
    <w:p>
      <w:pPr>
        <w:spacing w:after="0" w:line="100"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stock price is volatile.</w:t>
      </w:r>
    </w:p>
    <w:p>
      <w:pPr>
        <w:spacing w:after="0" w:line="100"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The stock market, particularly in recent years, has experienced significant volatility particularly with respect to pharmaceutical and biotechnology stocks. Since our initial public offering in August 2004, the high and low sales price of our common stock has varied significantly, from a low of $8.42 to a high of $24.31.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70" w:lineRule="exact"/>
        <w:rPr>
          <w:sz w:val="20"/>
          <w:szCs w:val="20"/>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progress and results of our clinical trials;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by us or our competitors concerning their clinical trial results, acquisitions, strategic alliances, technological innovations and newly approved commercial products;</w:t>
      </w:r>
    </w:p>
    <w:p>
      <w:pPr>
        <w:spacing w:after="0" w:line="97" w:lineRule="exact"/>
        <w:rPr>
          <w:rFonts w:ascii="Arial" w:cs="Arial" w:eastAsia="Arial" w:hAnsi="Arial"/>
          <w:sz w:val="12"/>
          <w:szCs w:val="12"/>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availability of critical materials used in developing and manufacturing our Technosphere Insulin System or other product candidates;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developments concerning our patents, proprietary rights and potential infringement claims;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developments in our litigation with our former Chief Medical Officer;</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expense and time associated with, and the extent of our ultimate success in, securing regulatory approvals;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securities analysts’ estimates of our financial and operating performance;</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sales of large blocks of our common stock, including sales by our executive officers, directors and significant stockholders; and</w:t>
      </w:r>
    </w:p>
    <w:p>
      <w:pPr>
        <w:spacing w:after="0" w:line="86" w:lineRule="exact"/>
        <w:rPr>
          <w:rFonts w:ascii="Arial" w:cs="Arial" w:eastAsia="Arial" w:hAnsi="Arial"/>
          <w:sz w:val="13"/>
          <w:szCs w:val="13"/>
          <w:color w:val="auto"/>
        </w:rPr>
      </w:pPr>
    </w:p>
    <w:p>
      <w:pPr>
        <w:ind w:left="1180" w:right="560" w:hanging="90"/>
        <w:spacing w:after="0" w:line="276" w:lineRule="auto"/>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of these risks, as well as other factors, could cause the market price of our common stock to decline.</w:t>
      </w:r>
    </w:p>
    <w:p>
      <w:pPr>
        <w:spacing w:after="0" w:line="171" w:lineRule="exact"/>
        <w:rPr>
          <w:sz w:val="20"/>
          <w:szCs w:val="20"/>
          <w:color w:val="auto"/>
        </w:rPr>
      </w:pPr>
    </w:p>
    <w:p>
      <w:pPr>
        <w:ind w:left="680" w:right="360"/>
        <w:spacing w:after="0" w:line="283" w:lineRule="auto"/>
        <w:rPr>
          <w:sz w:val="20"/>
          <w:szCs w:val="20"/>
          <w:color w:val="auto"/>
        </w:rPr>
      </w:pPr>
      <w:r>
        <w:rPr>
          <w:rFonts w:ascii="Arial" w:cs="Arial" w:eastAsia="Arial" w:hAnsi="Arial"/>
          <w:sz w:val="13"/>
          <w:szCs w:val="13"/>
          <w:b w:val="1"/>
          <w:bCs w:val="1"/>
          <w:color w:val="auto"/>
        </w:rPr>
        <w:t>If other biotechnology and biopharmaceutical companies or the securities markets in general encounter problems, the market price of our common stock could be adversely affected.</w:t>
      </w:r>
    </w:p>
    <w:p>
      <w:pPr>
        <w:spacing w:after="0" w:line="54"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regardless of our operating performance. We have no control over this volatility and can only focus our efforts on our own operations, and even these may be affected due to the state of the capital markets.</w:t>
      </w:r>
    </w:p>
    <w:p>
      <w:pPr>
        <w:spacing w:after="0" w:line="59"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2" w:lineRule="exact"/>
        <w:rPr>
          <w:sz w:val="20"/>
          <w:szCs w:val="20"/>
          <w:color w:val="auto"/>
        </w:rPr>
      </w:pPr>
    </w:p>
    <w:p>
      <w:pPr>
        <w:ind w:left="680" w:right="80"/>
        <w:spacing w:after="0" w:line="267" w:lineRule="auto"/>
        <w:rPr>
          <w:sz w:val="20"/>
          <w:szCs w:val="20"/>
          <w:color w:val="auto"/>
        </w:rPr>
      </w:pPr>
      <w:r>
        <w:rPr>
          <w:rFonts w:ascii="Arial" w:cs="Arial" w:eastAsia="Arial" w:hAnsi="Arial"/>
          <w:sz w:val="13"/>
          <w:szCs w:val="13"/>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65"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Mr. Mann has been our primary source of financing to date. At December 31, 2005, Mr. Mann beneficially owned approximately 48.5% of our outstanding shares of capital stock. Members of Mr. Mann’s family beneficially owned at least an additional 2.0%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71" w:lineRule="exact"/>
        <w:rPr>
          <w:sz w:val="20"/>
          <w:szCs w:val="20"/>
          <w:color w:val="auto"/>
        </w:rPr>
      </w:pPr>
    </w:p>
    <w:p>
      <w:pPr>
        <w:ind w:left="680" w:right="20"/>
        <w:spacing w:after="0" w:line="276" w:lineRule="auto"/>
        <w:rPr>
          <w:sz w:val="20"/>
          <w:szCs w:val="20"/>
          <w:color w:val="auto"/>
        </w:rPr>
      </w:pPr>
      <w:r>
        <w:rPr>
          <w:rFonts w:ascii="Arial" w:cs="Arial" w:eastAsia="Arial" w:hAnsi="Arial"/>
          <w:sz w:val="12"/>
          <w:szCs w:val="12"/>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 Mr. Mann, four of his children and Dr. Joseph Schulman, the director of AMF. The AEMFBE is a membership foundation consisting of five members, including</w:t>
      </w:r>
    </w:p>
    <w:p>
      <w:pPr>
        <w:ind w:left="680" w:right="20"/>
        <w:spacing w:after="0" w:line="307" w:lineRule="auto"/>
        <w:rPr>
          <w:sz w:val="20"/>
          <w:szCs w:val="20"/>
          <w:color w:val="auto"/>
        </w:rPr>
      </w:pPr>
      <w:r>
        <w:rPr>
          <w:rFonts w:ascii="Arial" w:cs="Arial" w:eastAsia="Arial" w:hAnsi="Arial"/>
          <w:sz w:val="12"/>
          <w:szCs w:val="12"/>
          <w:color w:val="auto"/>
        </w:rPr>
        <w:t>Mr. Mann and the same four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future sale of our common stock could negatively affect our stock price.</w:t>
      </w:r>
    </w:p>
    <w:p>
      <w:pPr>
        <w:spacing w:after="0" w:line="100" w:lineRule="exact"/>
        <w:rPr>
          <w:sz w:val="20"/>
          <w:szCs w:val="20"/>
          <w:color w:val="auto"/>
        </w:rPr>
      </w:pPr>
    </w:p>
    <w:p>
      <w:pPr>
        <w:ind w:left="680" w:right="60"/>
        <w:spacing w:after="0" w:line="322" w:lineRule="auto"/>
        <w:rPr>
          <w:sz w:val="20"/>
          <w:szCs w:val="20"/>
          <w:color w:val="auto"/>
        </w:rPr>
      </w:pPr>
      <w:r>
        <w:rPr>
          <w:rFonts w:ascii="Arial" w:cs="Arial" w:eastAsia="Arial" w:hAnsi="Arial"/>
          <w:sz w:val="11"/>
          <w:szCs w:val="11"/>
          <w:color w:val="auto"/>
        </w:rPr>
        <w:t>As of December 31, 2005, we had approximately 50.3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39"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134" w:lineRule="exact"/>
        <w:rPr>
          <w:sz w:val="20"/>
          <w:szCs w:val="20"/>
          <w:color w:val="auto"/>
        </w:rPr>
      </w:pPr>
    </w:p>
    <w:p>
      <w:pPr>
        <w:ind w:left="680" w:right="40"/>
        <w:spacing w:after="0" w:line="283" w:lineRule="auto"/>
        <w:rPr>
          <w:sz w:val="20"/>
          <w:szCs w:val="20"/>
          <w:color w:val="auto"/>
        </w:rPr>
      </w:pPr>
      <w:r>
        <w:rPr>
          <w:rFonts w:ascii="Arial" w:cs="Arial" w:eastAsia="Arial" w:hAnsi="Arial"/>
          <w:sz w:val="13"/>
          <w:szCs w:val="13"/>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4"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9" w:lineRule="auto"/>
        <w:rPr>
          <w:sz w:val="20"/>
          <w:szCs w:val="20"/>
          <w:color w:val="auto"/>
        </w:rPr>
      </w:pPr>
      <w:r>
        <w:rPr>
          <w:rFonts w:ascii="Arial" w:cs="Arial" w:eastAsia="Arial" w:hAnsi="Arial"/>
          <w:sz w:val="12"/>
          <w:szCs w:val="12"/>
          <w:color w:val="auto"/>
        </w:rPr>
        <w:t>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Because we do not expect to pay dividends in the foreseeable future, you must rely on stock appreciation for any return on your investment.</w:t>
      </w:r>
    </w:p>
    <w:p>
      <w:pPr>
        <w:spacing w:after="0" w:line="100"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1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This item is 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100" w:lineRule="exact"/>
        <w:rPr>
          <w:sz w:val="20"/>
          <w:szCs w:val="20"/>
          <w:color w:val="auto"/>
        </w:rPr>
      </w:pPr>
    </w:p>
    <w:p>
      <w:pPr>
        <w:ind w:left="680" w:right="200"/>
        <w:spacing w:after="0" w:line="260" w:lineRule="auto"/>
        <w:rPr>
          <w:sz w:val="20"/>
          <w:szCs w:val="20"/>
          <w:color w:val="auto"/>
        </w:rPr>
      </w:pPr>
      <w:r>
        <w:rPr>
          <w:rFonts w:ascii="Arial" w:cs="Arial" w:eastAsia="Arial" w:hAnsi="Arial"/>
          <w:sz w:val="13"/>
          <w:szCs w:val="13"/>
          <w:color w:val="auto"/>
        </w:rPr>
        <w:t>In 2001, we acquired a facility in Danbury, Connecticut that includes two buildings comprising approximately 190,000 square feet and currently house our research and development, administrative and manufacturing functions, primarily for Technosphere Insulin formulation, filling and packaging. We believe that our facility in Danbury has sufficient space to contain additional Technosphere Insulin manufacturing capacity necessary to satisfy potential commercial demand for the launch of our Technosphere Insulin System and the first few years thereafter for our Technosphere Insulin System and other Technosphere-related products.</w:t>
      </w:r>
    </w:p>
    <w:p>
      <w:pPr>
        <w:spacing w:after="0" w:line="70"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We own and occupy approximately 147,000 square feet of laboratory, office and manufacturing space in Valencia, California. The facility contains our principal executive offices and houses our research and development laboratories for our cancer and other programs. We also use this facility to provide support for the development of our Technosphere programs.</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lease approximately 34,000 square feet of office space in Paramus, New Jersey pursuant to a lease that ends in January 2009.</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60"/>
        <w:spacing w:after="0" w:line="255" w:lineRule="auto"/>
        <w:rPr>
          <w:sz w:val="20"/>
          <w:szCs w:val="20"/>
          <w:color w:val="auto"/>
        </w:rPr>
      </w:pPr>
      <w:r>
        <w:rPr>
          <w:rFonts w:ascii="Arial" w:cs="Arial" w:eastAsia="Arial" w:hAnsi="Arial"/>
          <w:sz w:val="13"/>
          <w:szCs w:val="13"/>
          <w:color w:val="auto"/>
        </w:rPr>
        <w:t xml:space="preserve">In May 2005, our former Chief Medical Officer filed a complaint against us in the California Superior Court, County of Los Angeles, </w:t>
      </w:r>
      <w:r>
        <w:rPr>
          <w:rFonts w:ascii="Arial" w:cs="Arial" w:eastAsia="Arial" w:hAnsi="Arial"/>
          <w:sz w:val="13"/>
          <w:szCs w:val="13"/>
          <w:i w:val="1"/>
          <w:iCs w:val="1"/>
          <w:color w:val="auto"/>
        </w:rPr>
        <w:t>Wayman Wendell Cheatham, M.D. v. MannKind</w:t>
      </w:r>
      <w:r>
        <w:rPr>
          <w:rFonts w:ascii="Arial" w:cs="Arial" w:eastAsia="Arial" w:hAnsi="Arial"/>
          <w:sz w:val="13"/>
          <w:szCs w:val="13"/>
          <w:color w:val="auto"/>
        </w:rPr>
        <w:t xml:space="preserve"> </w:t>
      </w:r>
      <w:r>
        <w:rPr>
          <w:rFonts w:ascii="Arial" w:cs="Arial" w:eastAsia="Arial" w:hAnsi="Arial"/>
          <w:sz w:val="13"/>
          <w:szCs w:val="13"/>
          <w:i w:val="1"/>
          <w:iCs w:val="1"/>
          <w:color w:val="auto"/>
        </w:rPr>
        <w:t>Corporation</w:t>
      </w:r>
      <w:r>
        <w:rPr>
          <w:rFonts w:ascii="Arial" w:cs="Arial" w:eastAsia="Arial" w:hAnsi="Arial"/>
          <w:sz w:val="13"/>
          <w:szCs w:val="13"/>
          <w:color w:val="auto"/>
        </w:rPr>
        <w:t>, Case No. BC333845. The complaint alleges causes of action for wrongful termination in violation of public policy, breach of contract and retaliation in connection with our</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of Dr. Cheatham’s employment. In the complaint, Dr. Cheatham seeks compensatory, punitive and exemplary damages in excess of $2.0 million, as well as reimbursement of attorneys’ fees. In June 2005, we answered the complaint, generally denying each of Dr. Cheatham’s allegations and asserting various defenses. We believe the allegations in the complaint are without merit and intend to vigorously defend against them. We also filed a cross-complaint against Dr. Cheatham, alleging claims for libel per se, trade libel, breach of contract, breach of the implied covenant of good faith and fair dealing and breach of the duty of loyalty. The libel claims allege that Dr. Cheatham made certain false and malicious statements about us in a letter to the FDA with regard to a request by us to hold a meeting with the FDA. The remaining causes of action in the cross-complaint arise out of our allegations that Dr. Cheatham had an undisclosed consulting relationship with a</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competitor during his employment with us, in violation of our agreement. In July 2005, Dr. Cheatham filed a demurrer and motion to strike our cross-complaint under California’s anti-SLAPP statute. In September 2005, the California Superior Court overruled Dr. Cheatham’s demurrer and denied his motion to strike our cross-complaint. Dr. Cheatham then filed a notice of appeal of the Court’s ruling denying his motion to strike. Discovery as to Dr. Cheatham’s claims against us is proceeding, and this case is scheduled for trial to commence in October 2006. We believe that the ultimate resolution of this matter will not have a material impact on our financial position or results of operations.</w:t>
      </w:r>
    </w:p>
    <w:p>
      <w:pPr>
        <w:spacing w:after="0" w:line="53" w:lineRule="exact"/>
        <w:rPr>
          <w:sz w:val="20"/>
          <w:szCs w:val="20"/>
          <w:color w:val="auto"/>
        </w:rPr>
      </w:pPr>
    </w:p>
    <w:p>
      <w:pPr>
        <w:ind w:left="680" w:right="40"/>
        <w:spacing w:after="0" w:line="278" w:lineRule="auto"/>
        <w:rPr>
          <w:sz w:val="20"/>
          <w:szCs w:val="20"/>
          <w:color w:val="auto"/>
        </w:rPr>
      </w:pPr>
      <w:r>
        <w:rPr>
          <w:rFonts w:ascii="Arial" w:cs="Arial" w:eastAsia="Arial" w:hAnsi="Arial"/>
          <w:sz w:val="12"/>
          <w:szCs w:val="12"/>
          <w:color w:val="auto"/>
        </w:rPr>
        <w:t xml:space="preserve">In 2000, we issued 699,972 shares of common stock to three consultants in exchange for notes receivable aggregating approximately $10.9 million. The fixed interest bearing notes were collateralized by the underlying common stock. The notes-for-stock transactions were accounted for as in-substance stock option grants to non-employees. In November 2004, the consultants informed us that they had entered into an agreement in October 2001 with Mr. Mann, our Chairman, Chief Executive Officer and principal stockholder, under which Mr. Mann would purchase a portion of the consultants’ common stock, and that MannKind was to apply the proceeds to the amounts owed under the consultants’ respective notes. The consultants informed us that they believed both we and Mr. Mann were in breach of the alleged agreement, and indicated their intent to seek alleged damages arising from our failure to perform the alleged agreement. On October 19, 2005, the principal and interest on the notes aggregating $14.6 million became due and payable and we pursued collection. On November 21, 2005, the consultants filed a complaint against us in the California Superior Court, County of Los Angeles, </w:t>
      </w:r>
      <w:r>
        <w:rPr>
          <w:rFonts w:ascii="Arial" w:cs="Arial" w:eastAsia="Arial" w:hAnsi="Arial"/>
          <w:sz w:val="12"/>
          <w:szCs w:val="12"/>
          <w:i w:val="1"/>
          <w:iCs w:val="1"/>
          <w:color w:val="auto"/>
        </w:rPr>
        <w:t>Rollins et al. v. MannKind et al</w:t>
      </w:r>
      <w:r>
        <w:rPr>
          <w:rFonts w:ascii="Arial" w:cs="Arial" w:eastAsia="Arial" w:hAnsi="Arial"/>
          <w:sz w:val="12"/>
          <w:szCs w:val="12"/>
          <w:color w:val="auto"/>
        </w:rPr>
        <w:t>, Case No. BC343381. The complaint alleges causes of action for breach of the abovementioned agreement, among other things. On January 19, 2006, the parties mediated and settled the case. Under the settlement, MannKind repurchased 620,697 shares from the consultants in full satisfaction of the notes. MannKind also agreed to repurchase the remaining 79,275 shares held by the consultants for $1.4 million. The complaint has been dismissed in its entirety with prejudice.</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Submission of Matters to a Vote of Security Holders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 matters were submitted to a vote of our security holders during the quarter ended December 31, 2005.</w:t>
      </w:r>
    </w:p>
    <w:p>
      <w:pPr>
        <w:spacing w:after="0" w:line="250"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color w:val="auto"/>
        </w:rPr>
        <w:t>Market for the Registrant’s Common Equity, Related Stockholder Matters and Issuer Purchase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 Market Price</w:t>
      </w:r>
    </w:p>
    <w:p>
      <w:pPr>
        <w:spacing w:after="0" w:line="100"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Our common stock has been traded on the Nasdaq National Market under the symbol “MNKD” since July 28, 2004. The following table sets forth for the quarterly periods indicated, the high and low bid prices for our common stock as reported by Nasdaq. These quotations reflect inter-dealer prices, without retail mark-up, markdown or commission, and may not represent actual transactions.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 (from July 28, 2004)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10.71</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14.32</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Year ended December 31, 2005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11.67</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8.58</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13.85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10.60</w:t>
            </w:r>
          </w:p>
        </w:tc>
      </w:tr>
    </w:tbl>
    <w:p>
      <w:pPr>
        <w:spacing w:after="0" w:line="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closing sales price of our common stock on the Nasdaq National Market was $17.86 on March 8, 2006 and there were 230 registered holders of record as of that date.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information required to be disclosed by Item 201(d) of Regulation S-K is incorporated herein by reference to the proxy Statement.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were no sales of equity securities by us that were not registered under the Securities Act of 1933 during the fourth quarter of 2005.</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The initial public offering of our common stock, par value $0.01 per share, was effected through a Registration Statement on Form S-1 (File No. 333-115020) that was declared effective by the SEC on July 27, 2004, and a Registration Statement on Form S-1 (File No. 333-117702) that became effective upon filing with the SEC on July 28, 2004. The Registration Statements covered the offer and sale of up to 7,187,500 shares of our common stock, including an over-allotment option we granted to the underwriters to purchase up to 937,500 shares of our common stock from us, for an aggregate offering price of $100.6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 &amp; Company, Inc. and Harris Nesbitt. The underwriters exercised 307,100 shares of the over-allotment option on August 28, 2004 and the closing occurred on September 1, 2004.</w:t>
      </w:r>
    </w:p>
    <w:p>
      <w:pPr>
        <w:spacing w:after="0" w:line="59"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Our initial public offering resulted in aggregate net proceeds to us of approximately $83.2 million, including approximately $4.0 million in proceeds from the exercise of the underwriter’s over-allotment option. In connection with the offering, we paid $6.4 million in underwriting discounts and commissions and offering expenses of approximately $2.2 million.</w:t>
      </w:r>
    </w:p>
    <w:p>
      <w:pPr>
        <w:spacing w:after="0" w:line="35"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 of December 31, 2005, we estimate that we had used approximately $73.6 million of the total net proceeds of our initial public offering for operating activities and approximately</w:t>
      </w:r>
    </w:p>
    <w:p>
      <w:pPr>
        <w:spacing w:after="0" w:line="27"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$9.6 million of the net proceeds for the purchase of manufacturing equipment. 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 The use of proceeds does not represent a material change from the use of proceeds described in the prospectus we filed pursuant to Rule 424(b) of the Securities Act with the SEC on July 28, 2004.</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00"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following selected consolidated financial data should be read in conjunction with MannKind consolidated financial statements and notes thereto and with “Management’s Discussion and Analysis of Financial Condition and Results of Operations,” which are included elsewhere in this report.</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tatement of Operations Data:</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5"/>
              <w:spacing w:after="0" w:line="108" w:lineRule="exact"/>
              <w:rPr>
                <w:sz w:val="20"/>
                <w:szCs w:val="20"/>
                <w:color w:val="auto"/>
              </w:rPr>
            </w:pPr>
            <w:r>
              <w:rPr>
                <w:rFonts w:ascii="Arial" w:cs="Arial" w:eastAsia="Arial" w:hAnsi="Arial"/>
                <w:sz w:val="10"/>
                <w:szCs w:val="10"/>
                <w:b w:val="1"/>
                <w:bCs w:val="1"/>
                <w:color w:val="auto"/>
              </w:rPr>
              <w:t>2001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3"/>
          </w:tcPr>
          <w:p>
            <w:pPr>
              <w:jc w:val="right"/>
              <w:ind w:right="197"/>
              <w:spacing w:after="0" w:line="108" w:lineRule="exact"/>
              <w:rPr>
                <w:sz w:val="20"/>
                <w:szCs w:val="20"/>
                <w:color w:val="auto"/>
              </w:rPr>
            </w:pPr>
            <w:r>
              <w:rPr>
                <w:rFonts w:ascii="Arial" w:cs="Arial" w:eastAsia="Arial" w:hAnsi="Arial"/>
                <w:sz w:val="10"/>
                <w:szCs w:val="10"/>
                <w:b w:val="1"/>
                <w:bCs w:val="1"/>
                <w:color w:val="auto"/>
              </w:rPr>
              <w:t>2002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15"/>
              <w:spacing w:after="0" w:line="108" w:lineRule="exact"/>
              <w:rPr>
                <w:sz w:val="20"/>
                <w:szCs w:val="20"/>
                <w:color w:val="auto"/>
              </w:rPr>
            </w:pPr>
            <w:r>
              <w:rPr>
                <w:rFonts w:ascii="Arial" w:cs="Arial" w:eastAsia="Arial" w:hAnsi="Arial"/>
                <w:sz w:val="10"/>
                <w:szCs w:val="10"/>
                <w:b w:val="1"/>
                <w:bCs w:val="1"/>
                <w:color w:val="auto"/>
                <w:w w:val="89"/>
              </w:rPr>
              <w:t>2003</w:t>
            </w:r>
          </w:p>
        </w:tc>
        <w:tc>
          <w:tcPr>
            <w:tcW w:w="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jc w:val="right"/>
              <w:ind w:right="114"/>
              <w:spacing w:after="0" w:line="108" w:lineRule="exact"/>
              <w:rPr>
                <w:sz w:val="20"/>
                <w:szCs w:val="20"/>
                <w:color w:val="auto"/>
              </w:rPr>
            </w:pPr>
            <w:r>
              <w:rPr>
                <w:rFonts w:ascii="Arial" w:cs="Arial" w:eastAsia="Arial" w:hAnsi="Arial"/>
                <w:sz w:val="10"/>
                <w:szCs w:val="10"/>
                <w:b w:val="1"/>
                <w:bCs w:val="1"/>
                <w:color w:val="auto"/>
              </w:rPr>
              <w:t>2004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gridSpan w:val="14"/>
          </w:tcPr>
          <w:p>
            <w:pPr>
              <w:jc w:val="right"/>
              <w:ind w:right="460"/>
              <w:spacing w:after="0"/>
              <w:rPr>
                <w:sz w:val="20"/>
                <w:szCs w:val="20"/>
                <w:color w:val="auto"/>
              </w:rPr>
            </w:pPr>
            <w:r>
              <w:rPr>
                <w:rFonts w:ascii="Arial" w:cs="Arial" w:eastAsia="Arial" w:hAnsi="Arial"/>
                <w:sz w:val="10"/>
                <w:szCs w:val="10"/>
                <w:b w:val="1"/>
                <w:bCs w:val="1"/>
                <w:color w:val="auto"/>
                <w:w w:val="94"/>
              </w:rPr>
              <w:t>(In thousands, except per share amounts)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420" w:type="dxa"/>
            <w:vAlign w:val="bottom"/>
          </w:tcPr>
          <w:p>
            <w:pPr>
              <w:spacing w:after="0"/>
              <w:rPr>
                <w:sz w:val="20"/>
                <w:szCs w:val="20"/>
                <w:color w:val="auto"/>
              </w:rPr>
            </w:pPr>
            <w:r>
              <w:rPr>
                <w:rFonts w:ascii="Arial" w:cs="Arial" w:eastAsia="Arial" w:hAnsi="Arial"/>
                <w:sz w:val="13"/>
                <w:szCs w:val="13"/>
                <w:color w:val="auto"/>
              </w:rPr>
              <w:t>Operating expenses: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42,724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45,613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59,406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95,347</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10,629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3"/>
                <w:szCs w:val="13"/>
                <w:color w:val="auto"/>
              </w:rPr>
              <w:t>13,215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20,699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3"/>
                <w:szCs w:val="13"/>
                <w:color w:val="auto"/>
              </w:rPr>
              <w:t>17,743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22,775</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 costs</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19,726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tcPr>
          <w:p>
            <w:pPr>
              <w:ind w:left="140"/>
              <w:spacing w:after="0"/>
              <w:rPr>
                <w:sz w:val="20"/>
                <w:szCs w:val="20"/>
                <w:color w:val="auto"/>
              </w:rPr>
            </w:pPr>
            <w:r>
              <w:rPr>
                <w:rFonts w:ascii="Arial" w:cs="Arial" w:eastAsia="Arial" w:hAnsi="Arial"/>
                <w:sz w:val="13"/>
                <w:szCs w:val="13"/>
                <w:color w:val="auto"/>
              </w:rPr>
              <w:t>Goodwill impairment</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151,428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207,367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66,312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77,149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118,122</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(49,792)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3"/>
                <w:szCs w:val="13"/>
                <w:color w:val="auto"/>
              </w:rPr>
              <w:t>(207,367)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w w:val="90"/>
              </w:rPr>
              <w:t>(66,312)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w w:val="94"/>
              </w:rPr>
              <w:t>(77,149)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(118,122)</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Interest income</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1,261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3"/>
                <w:szCs w:val="13"/>
                <w:color w:val="auto"/>
              </w:rPr>
              <w:t>932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3,707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for income taxes</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(48,243)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(206,263)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0"/>
              </w:rPr>
              <w:t>(65,878)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w w:val="94"/>
              </w:rPr>
              <w:t>(75,991)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(114,337)</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Income tax provision</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(48,245)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(206,265)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0"/>
              </w:rPr>
              <w:t>(65,879)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w w:val="94"/>
              </w:rPr>
              <w:t>(75,992)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(114,338)</w:t>
            </w:r>
          </w:p>
        </w:tc>
        <w:tc>
          <w:tcPr>
            <w:tcW w:w="0" w:type="dxa"/>
            <w:vAlign w:val="bottom"/>
          </w:tcPr>
          <w:p>
            <w:pPr>
              <w:spacing w:after="0"/>
              <w:rPr>
                <w:sz w:val="1"/>
                <w:szCs w:val="1"/>
                <w:color w:val="auto"/>
              </w:rPr>
            </w:pP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w w:val="91"/>
              </w:rPr>
              <w:t>Deemed dividends related to beneficial conversion feature of convertible preferred stock</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(1,421)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(1,017)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w w:val="94"/>
              </w:rPr>
              <w:t>(19,822)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Accretion on redeemable preferred stock</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(253)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3"/>
                <w:szCs w:val="13"/>
                <w:color w:val="auto"/>
              </w:rPr>
              <w:t>Net loss applicable to common stockholders</w:t>
            </w: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ind w:right="47"/>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(48,484)</w:t>
            </w:r>
          </w:p>
        </w:tc>
        <w:tc>
          <w:tcPr>
            <w:tcW w:w="1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4"/>
          </w:tcPr>
          <w:p>
            <w:pPr>
              <w:jc w:val="right"/>
              <w:ind w:right="40"/>
              <w:spacing w:after="0"/>
              <w:rPr>
                <w:sz w:val="20"/>
                <w:szCs w:val="20"/>
                <w:color w:val="auto"/>
              </w:rPr>
            </w:pPr>
            <w:r>
              <w:rPr>
                <w:rFonts w:ascii="Arial" w:cs="Arial" w:eastAsia="Arial" w:hAnsi="Arial"/>
                <w:sz w:val="13"/>
                <w:szCs w:val="13"/>
                <w:color w:val="auto"/>
              </w:rPr>
              <w:t>(207,937)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w w:val="90"/>
              </w:rPr>
              <w:t>(67,149)</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w w:val="94"/>
              </w:rPr>
              <w:t>(95,874)</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(114,338)</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(15.43)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(3.63)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29"/>
        </w:trPr>
        <w:tc>
          <w:tcPr>
            <w:tcW w:w="4420" w:type="dxa"/>
            <w:vAlign w:val="bottom"/>
            <w:vMerge w:val="restart"/>
          </w:tcPr>
          <w:p>
            <w:pPr>
              <w:spacing w:after="0"/>
              <w:rPr>
                <w:sz w:val="20"/>
                <w:szCs w:val="20"/>
                <w:color w:val="auto"/>
              </w:rPr>
            </w:pPr>
            <w:r>
              <w:rPr>
                <w:rFonts w:ascii="Arial" w:cs="Arial" w:eastAsia="Arial" w:hAnsi="Arial"/>
                <w:sz w:val="13"/>
                <w:szCs w:val="13"/>
                <w:color w:val="auto"/>
              </w:rPr>
              <w:t>Shares used to compute basic and diluted net loss per share</w:t>
            </w: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10,534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13,472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18,488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3"/>
                <w:szCs w:val="13"/>
                <w:color w:val="auto"/>
              </w:rPr>
              <w:t>25,221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39,871</w:t>
            </w:r>
          </w:p>
        </w:tc>
        <w:tc>
          <w:tcPr>
            <w:tcW w:w="0" w:type="dxa"/>
            <w:vAlign w:val="bottom"/>
          </w:tcPr>
          <w:p>
            <w:pPr>
              <w:spacing w:after="0"/>
              <w:rPr>
                <w:sz w:val="1"/>
                <w:szCs w:val="1"/>
                <w:color w:val="auto"/>
              </w:rPr>
            </w:pPr>
          </w:p>
        </w:tc>
      </w:tr>
      <w:tr>
        <w:trPr>
          <w:trHeight w:val="295"/>
        </w:trPr>
        <w:tc>
          <w:tcPr>
            <w:tcW w:w="44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B</w:t>
            </w:r>
            <w:r>
              <w:rPr>
                <w:rFonts w:ascii="Arial" w:cs="Arial" w:eastAsia="Arial" w:hAnsi="Arial"/>
                <w:sz w:val="10"/>
                <w:szCs w:val="10"/>
                <w:b w:val="1"/>
                <w:bCs w:val="1"/>
                <w:color w:val="auto"/>
              </w:rPr>
              <w:t>alance Sheet Data:</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0"/>
                <w:szCs w:val="10"/>
                <w:b w:val="1"/>
                <w:bCs w:val="1"/>
                <w:color w:val="auto"/>
                <w:w w:val="92"/>
              </w:rPr>
              <w:t>As of December 31,</w:t>
            </w:r>
          </w:p>
        </w:tc>
        <w:tc>
          <w:tcPr>
            <w:tcW w:w="3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76"/>
              <w:spacing w:after="0" w:line="108" w:lineRule="exact"/>
              <w:rPr>
                <w:sz w:val="20"/>
                <w:szCs w:val="20"/>
                <w:color w:val="auto"/>
              </w:rPr>
            </w:pPr>
            <w:r>
              <w:rPr>
                <w:rFonts w:ascii="Arial" w:cs="Arial" w:eastAsia="Arial" w:hAnsi="Arial"/>
                <w:sz w:val="10"/>
                <w:szCs w:val="10"/>
                <w:b w:val="1"/>
                <w:bCs w:val="1"/>
                <w:color w:val="auto"/>
                <w:w w:val="89"/>
              </w:rPr>
              <w:t>2001</w:t>
            </w: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35"/>
              <w:spacing w:after="0" w:line="108" w:lineRule="exact"/>
              <w:rPr>
                <w:sz w:val="20"/>
                <w:szCs w:val="20"/>
                <w:color w:val="auto"/>
              </w:rPr>
            </w:pPr>
            <w:r>
              <w:rPr>
                <w:rFonts w:ascii="Arial" w:cs="Arial" w:eastAsia="Arial" w:hAnsi="Arial"/>
                <w:sz w:val="10"/>
                <w:szCs w:val="10"/>
                <w:b w:val="1"/>
                <w:bCs w:val="1"/>
                <w:color w:val="auto"/>
              </w:rPr>
              <w:t>2002</w:t>
            </w: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jc w:val="right"/>
              <w:spacing w:after="0" w:line="108" w:lineRule="exact"/>
              <w:rPr>
                <w:sz w:val="20"/>
                <w:szCs w:val="20"/>
                <w:color w:val="auto"/>
              </w:rPr>
            </w:pPr>
            <w:r>
              <w:rPr>
                <w:rFonts w:ascii="Arial" w:cs="Arial" w:eastAsia="Arial" w:hAnsi="Arial"/>
                <w:sz w:val="10"/>
                <w:szCs w:val="10"/>
                <w:b w:val="1"/>
                <w:bCs w:val="1"/>
                <w:color w:val="auto"/>
              </w:rPr>
              <w:t>2003</w:t>
            </w: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60"/>
              <w:spacing w:after="0" w:line="108" w:lineRule="exact"/>
              <w:rPr>
                <w:sz w:val="20"/>
                <w:szCs w:val="20"/>
                <w:color w:val="auto"/>
              </w:rPr>
            </w:pPr>
            <w:r>
              <w:rPr>
                <w:rFonts w:ascii="Arial" w:cs="Arial" w:eastAsia="Arial" w:hAnsi="Arial"/>
                <w:sz w:val="10"/>
                <w:szCs w:val="10"/>
                <w:b w:val="1"/>
                <w:bCs w:val="1"/>
                <w:color w:val="auto"/>
              </w:rPr>
              <w:t>2004</w:t>
            </w:r>
          </w:p>
        </w:tc>
        <w:tc>
          <w:tcPr>
            <w:tcW w:w="2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15"/>
              <w:spacing w:after="0" w:line="10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w w:val="98"/>
              </w:rPr>
              <w:t>(In thousands)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marketable securities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53,730</w:t>
            </w:r>
          </w:p>
        </w:tc>
        <w:tc>
          <w:tcPr>
            <w:tcW w:w="12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31,052</w:t>
            </w: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55,945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90,533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145,634</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Working capital</w:t>
            </w:r>
          </w:p>
        </w:tc>
        <w:tc>
          <w:tcPr>
            <w:tcW w:w="2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47,477</w:t>
            </w: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24,171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3"/>
                <w:szCs w:val="13"/>
                <w:color w:val="auto"/>
              </w:rPr>
              <w:t>49,097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134"/>
              <w:spacing w:after="0"/>
              <w:rPr>
                <w:sz w:val="20"/>
                <w:szCs w:val="20"/>
                <w:color w:val="auto"/>
              </w:rPr>
            </w:pPr>
            <w:r>
              <w:rPr>
                <w:rFonts w:ascii="Arial" w:cs="Arial" w:eastAsia="Arial" w:hAnsi="Arial"/>
                <w:sz w:val="13"/>
                <w:szCs w:val="13"/>
                <w:color w:val="auto"/>
              </w:rPr>
              <w:t>82,837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128,507</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4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251,487</w:t>
            </w: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104,773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125,876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163,483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228,371</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Deferred compensation and other liabilities</w:t>
            </w:r>
          </w:p>
        </w:tc>
        <w:tc>
          <w:tcPr>
            <w:tcW w:w="2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207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3"/>
                <w:szCs w:val="13"/>
                <w:color w:val="auto"/>
              </w:rPr>
              <w:t>404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34"/>
              <w:spacing w:after="0"/>
              <w:rPr>
                <w:sz w:val="20"/>
                <w:szCs w:val="20"/>
                <w:color w:val="auto"/>
              </w:rPr>
            </w:pPr>
            <w:r>
              <w:rPr>
                <w:rFonts w:ascii="Arial" w:cs="Arial" w:eastAsia="Arial" w:hAnsi="Arial"/>
                <w:sz w:val="13"/>
                <w:szCs w:val="13"/>
                <w:color w:val="auto"/>
              </w:rPr>
              <w:t>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Redeemable convertible preferred stock</w:t>
            </w:r>
          </w:p>
        </w:tc>
        <w:tc>
          <w:tcPr>
            <w:tcW w:w="24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4,684</w:t>
            </w: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4,935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79"/>
              </w:rPr>
              <w:t>5,188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Deficit accumulated during the development stage</w:t>
            </w:r>
          </w:p>
        </w:tc>
        <w:tc>
          <w:tcPr>
            <w:tcW w:w="2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(94,827)</w:t>
            </w:r>
          </w:p>
        </w:tc>
        <w:tc>
          <w:tcPr>
            <w:tcW w:w="120" w:type="dxa"/>
            <w:vAlign w:val="bottom"/>
          </w:tcPr>
          <w:p>
            <w:pPr>
              <w:spacing w:after="0"/>
              <w:rPr>
                <w:sz w:val="13"/>
                <w:szCs w:val="13"/>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(301,092)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3"/>
                <w:szCs w:val="13"/>
                <w:color w:val="auto"/>
              </w:rPr>
              <w:t>(366,971)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94"/>
              <w:spacing w:after="0"/>
              <w:rPr>
                <w:sz w:val="20"/>
                <w:szCs w:val="20"/>
                <w:color w:val="auto"/>
              </w:rPr>
            </w:pPr>
            <w:r>
              <w:rPr>
                <w:rFonts w:ascii="Arial" w:cs="Arial" w:eastAsia="Arial" w:hAnsi="Arial"/>
                <w:sz w:val="13"/>
                <w:szCs w:val="13"/>
                <w:color w:val="auto"/>
              </w:rPr>
              <w:t>(442,963)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(557,301)</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235,017</w:t>
            </w: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90,773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111,577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150,363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206,977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00"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The following discussion of our financial condition and results of operations should be read in conjunction with our consolidated financial statements and notes thereto included in this report.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We are a biopharmaceutical company focused on the discovery, development and commercialization of therapeutic products for diseases such as diabetes and cancer. We are currently in Phase 3 clinical trials in the United States and Europe of our lead product, the Technosphere Insulin System, to study its safety and efficacy in the treatment of diabetes. This therapy consists of a proprietary dry powder formulation of insulin that is inhaled into the deep lung using our proprietary inhaler. We believe that the combination of the performance characteristics, unique kinetics, convenience and ease of use of the Technosphere Insulin System may have the potential to change the way diabetes is treated. We are developing additional applications for our proprietary Technosphere platform technology by formulating other drugs for pulmonary delivery. We are also developing therapies for the treatment of solid-tumor cancers. Our other product candidates are in research and pre-clinical development.</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We are a development stage enterprise and have incurred significant losses since our inception in 1991. As of December 31, 2005, we have incurred a cumulative net loss of $557.3 million.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date, we have not generated any product revenues and have funded our operations primarily through the sale of equity securities.</w:t>
      </w:r>
    </w:p>
    <w:p>
      <w:pPr>
        <w:spacing w:after="0" w:line="89"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We do not anticipate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67" w:lineRule="exact"/>
        <w:rPr>
          <w:sz w:val="20"/>
          <w:szCs w:val="20"/>
          <w:color w:val="auto"/>
        </w:rPr>
      </w:pPr>
    </w:p>
    <w:p>
      <w:pPr>
        <w:ind w:left="1180" w:hanging="90"/>
        <w:spacing w:after="0"/>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continue the clinical development and commercialization of our Technosphere Insulin System for the treatment of diabetes;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expand our manufacturing operations for our Technosphere Insulin System to meet our currently anticipated commercial production needs;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expand our other research, discovery and development programs;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expand our proprietary Technosphere platform technology and develop additional applications for the pulmonary delivery of other drugs;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enter into sales and marketing collaborations with other companies, if available on commercially reasonable terms, or develop these capabilities ourselves.</w:t>
      </w:r>
    </w:p>
    <w:p>
      <w:pPr>
        <w:spacing w:after="0" w:line="96"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1" w:lineRule="exact"/>
        <w:rPr>
          <w:sz w:val="20"/>
          <w:szCs w:val="20"/>
          <w:color w:val="auto"/>
        </w:rPr>
      </w:pPr>
    </w:p>
    <w:p>
      <w:pPr>
        <w:ind w:left="680"/>
        <w:spacing w:after="0" w:line="371" w:lineRule="auto"/>
        <w:rPr>
          <w:sz w:val="20"/>
          <w:szCs w:val="20"/>
          <w:color w:val="auto"/>
        </w:rPr>
      </w:pPr>
      <w:r>
        <w:rPr>
          <w:rFonts w:ascii="Arial" w:cs="Arial" w:eastAsia="Arial" w:hAnsi="Arial"/>
          <w:sz w:val="11"/>
          <w:szCs w:val="11"/>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2"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67" w:lineRule="exact"/>
        <w:rPr>
          <w:sz w:val="20"/>
          <w:szCs w:val="20"/>
          <w:color w:val="auto"/>
        </w:rPr>
      </w:pPr>
    </w:p>
    <w:p>
      <w:pPr>
        <w:ind w:left="680" w:right="80"/>
        <w:spacing w:after="0" w:line="280" w:lineRule="auto"/>
        <w:rPr>
          <w:sz w:val="20"/>
          <w:szCs w:val="20"/>
          <w:color w:val="auto"/>
        </w:rPr>
      </w:pPr>
      <w:r>
        <w:rPr>
          <w:rFonts w:ascii="Arial" w:cs="Arial" w:eastAsia="Arial" w:hAnsi="Arial"/>
          <w:sz w:val="12"/>
          <w:szCs w:val="12"/>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Statement of Financial Accounting Standards (“SFAS”) No. 123R, </w:t>
      </w:r>
      <w:r>
        <w:rPr>
          <w:rFonts w:ascii="Arial" w:cs="Arial" w:eastAsia="Arial" w:hAnsi="Arial"/>
          <w:sz w:val="12"/>
          <w:szCs w:val="12"/>
          <w:i w:val="1"/>
          <w:iCs w:val="1"/>
          <w:color w:val="auto"/>
        </w:rPr>
        <w:t>Share-based Payment: an Amendment of FASB Statement 123 and 95,</w:t>
      </w:r>
      <w:r>
        <w:rPr>
          <w:rFonts w:ascii="Arial" w:cs="Arial" w:eastAsia="Arial" w:hAnsi="Arial"/>
          <w:sz w:val="12"/>
          <w:szCs w:val="12"/>
          <w:color w:val="auto"/>
        </w:rPr>
        <w:t xml:space="preserve"> effective as of January 1, 2006, to increase in the future. See Note 2 — Summary of Significant Accounting Policies — Stock-Based Compensation in the notes to our financial statements.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59" w:lineRule="exact"/>
        <w:rPr>
          <w:sz w:val="20"/>
          <w:szCs w:val="20"/>
          <w:color w:val="auto"/>
        </w:rPr>
      </w:pPr>
    </w:p>
    <w:p>
      <w:pPr>
        <w:ind w:left="680" w:right="140"/>
        <w:spacing w:after="0" w:line="296" w:lineRule="auto"/>
        <w:rPr>
          <w:sz w:val="20"/>
          <w:szCs w:val="20"/>
          <w:color w:val="auto"/>
        </w:rPr>
      </w:pPr>
      <w:r>
        <w:rPr>
          <w:rFonts w:ascii="Arial" w:cs="Arial" w:eastAsia="Arial" w:hAnsi="Arial"/>
          <w:sz w:val="12"/>
          <w:szCs w:val="12"/>
          <w:color w:val="auto"/>
        </w:rPr>
        <w:t>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increase significantly as a result of the adoption of SFAS No. 123R. See Note 2 — Summary of Significant Accounting Policies — Stock-Based Compensation in the notes to our financial statements.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Impairment of long-lived assets</w:t>
      </w:r>
    </w:p>
    <w:p>
      <w:pPr>
        <w:spacing w:after="0" w:line="100"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7" w:lineRule="exact"/>
        <w:rPr>
          <w:sz w:val="20"/>
          <w:szCs w:val="20"/>
          <w:color w:val="auto"/>
        </w:rPr>
      </w:pPr>
    </w:p>
    <w:p>
      <w:pPr>
        <w:ind w:left="1180" w:hanging="90"/>
        <w:spacing w:after="0"/>
        <w:tabs>
          <w:tab w:leader="none" w:pos="1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significant changes in our strategic business objectives and utilization of the assets;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determination that the carrying value of such assets cannot be recovered through undiscounted cash flows;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90"/>
        <w:spacing w:after="0"/>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loss of legal ownership or title to the assets; or</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impact of significant negative industry or economic trends.</w:t>
      </w:r>
    </w:p>
    <w:p>
      <w:pPr>
        <w:spacing w:after="0" w:line="96" w:lineRule="exact"/>
        <w:rPr>
          <w:sz w:val="20"/>
          <w:szCs w:val="20"/>
          <w:color w:val="auto"/>
        </w:rPr>
      </w:pPr>
    </w:p>
    <w:p>
      <w:pPr>
        <w:jc w:val="both"/>
        <w:ind w:left="680" w:right="120"/>
        <w:spacing w:after="0" w:line="334" w:lineRule="auto"/>
        <w:rPr>
          <w:sz w:val="20"/>
          <w:szCs w:val="20"/>
          <w:color w:val="auto"/>
        </w:rPr>
      </w:pPr>
      <w:r>
        <w:rPr>
          <w:rFonts w:ascii="Arial" w:cs="Arial" w:eastAsia="Arial" w:hAnsi="Arial"/>
          <w:sz w:val="11"/>
          <w:szCs w:val="11"/>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32"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Clinical trial expenses</w:t>
      </w:r>
    </w:p>
    <w:p>
      <w:pPr>
        <w:spacing w:after="0" w:line="100"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Prior to December 31, 2005, we accounted for employee stock options and the employee stock purchase plan using the intrinsic value method in accordance with APB No. 25 and adopted the disclosure only alternative of SFAS No. 123. In December 2004, the FASB issued SFAS No. 123R which requires companies to expense share-based payments to employees, including stock options, based on the fair value of the award at the grant date. SFAS No. 123R also eliminates the intrinsic value method of accounting for stock options which we followed until December 31, 2005. We are required to adopt SFAS No. 123R beginning with the first quarter of 2006. Upon adoption of SFAS No. 123R, we are required to select an adoption method and a valuation method that requires the input of highly subjective assumptions, including the expected volatility of our stock price and an expected option term. The first adoption method is a modified prospective transition method whereby a company would recognize share-based employee costs from the beginning of the fiscal period in which the recognition provisions are first applied as if the fair value accounting method had been used to account for all employee awards granted, modified, or settled after the effective date and to any awards that were not fully vested as of the effective date. Measurement and attribution of compensation cost for awards that are unvested as of the effective date of SFAS No. 123R would be based on the same estimate of the grant-date fair value and the same attribution method used previously under SFAS No. 123. The second adoption method is a modified retrospective transition method whereby a company would recognize employee compensation cost for periods presented prior to the adoption of SFAS No. 123R in accordance with the original provisions of SFAS 123; that is, an entity would recognize employee compensation costs in the amounts reported in the pro forma disclosures provided in accordance with SFAS No. 123. A company would not be permitted to make any changes to those amounts upon adoption of SFAS No. 123R unless those changes represent a correction of an error. For periods after the date of adoption of SFAS No. 123R, the modified</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prospective transition method described above would be applied. We continue to review our alternatives for adoption under this new pronouncement. We believe that the expensing of stock-based compensation will have an impact on our statement of operations similar to the pro forma disclosure under SFAS No. 123. See Note 2 — Summary of Significant Accounting Policies — Stock-Based Compensation.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Accounting for income taxes</w:t>
      </w:r>
    </w:p>
    <w:p>
      <w:pPr>
        <w:spacing w:after="0" w:line="100"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We must make significant management judgments when determining our provision for income taxes, our deferred tax assets and liabilities and any valuation allowance recorded against our net deferred tax assets. At December 31, 2005, we have established a valuation allowance of $155.8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December 31, 2005 and 2004</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0" w:lineRule="exact"/>
        <w:rPr>
          <w:sz w:val="20"/>
          <w:szCs w:val="20"/>
          <w:color w:val="auto"/>
        </w:rPr>
      </w:pPr>
    </w:p>
    <w:p>
      <w:pPr>
        <w:ind w:left="680" w:right="720"/>
        <w:spacing w:after="0" w:line="276" w:lineRule="auto"/>
        <w:rPr>
          <w:sz w:val="20"/>
          <w:szCs w:val="20"/>
          <w:color w:val="auto"/>
        </w:rPr>
      </w:pPr>
      <w:r>
        <w:rPr>
          <w:rFonts w:ascii="Arial" w:cs="Arial" w:eastAsia="Arial" w:hAnsi="Arial"/>
          <w:sz w:val="13"/>
          <w:szCs w:val="13"/>
          <w:color w:val="auto"/>
        </w:rPr>
        <w:t>No revenues were recorded for the years ended December 31, 2005 or 2004. We do not anticipate sales of any product prior to regulatory approval and commercialization of our Technosphere Insulin System.</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provides a comparison of the research and development expense categories for the years ended December 31, 2005 and 2004 (dollars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19"/>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Clinical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23,477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26,006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25,401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19,714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5,687</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22,449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17,309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(1,666)</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(4,030)</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2,364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 (benefit)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3"/>
                <w:szCs w:val="13"/>
                <w:color w:val="auto"/>
              </w:rPr>
              <w:t>Research and development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line="20" w:lineRule="exact"/>
              <w:rPr>
                <w:sz w:val="1"/>
                <w:szCs w:val="1"/>
                <w:color w:val="auto"/>
              </w:rPr>
            </w:pPr>
          </w:p>
        </w:tc>
      </w:tr>
      <w:tr>
        <w:trPr>
          <w:trHeight w:val="156"/>
        </w:trPr>
        <w:tc>
          <w:tcPr>
            <w:tcW w:w="618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95,347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59,406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35,941</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The increase in research and development expenses for the year ended December 31, 2005, as compared to the year ended December 31, 2004 was primarily due to ongoing expenses related to the clinical development of our Technosphere Insulin System. The expansion of our phase 3 clinical trial program for our Technosphere Insulin System and the continuation of other preclinical studies significantly increased our clinical research expenditures in 2005. This also resulted in increased Technosphere Insulin manufacturing costs to supply clinical trial materials. We continue to expand our qualification and validation of our manufacturing system. Additionally, research activities related to toxicology studies for our Technosphere Insulin System, expanding our proprietary Technosphere platform technology, developing additional applications for the pulmonary delivery of other drugs and the discovery and development of programs primarily focused on cancer therapies resulted in increased research expenditures. We anticipate that our research and development expenses associated with our Technosphere Insulin System, expanding our Technosphere platform technology and the pursuit of cancer therapies will increase significantly in 2006. Specifically, we anticipate increased expenses related to the continuation of existing and initiation of new clinical trials, and the resulting manufacturing costs associated with producing clinical trial materials.</w:t>
      </w:r>
    </w:p>
    <w:p>
      <w:pPr>
        <w:spacing w:after="0" w:line="59"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The research and development tax credit recognized for the years ended December 31, 2005 and 2004 partially offsets our research and development expenses. The State of Connecticut provides an opportunity to exchange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2004 and 2005, research and development expenses were offset by $4.0 million and $1.7 million, respectively, in connection with the program. The three months ended September 30, 2004 was the first period in which we were able to recognize the benefit of these credits for financial reporting purposes and accordingly the $4.0 million recognized in the year ended December 31, 2004 included amounts attributable to 2004 and prior years.</w:t>
      </w:r>
    </w:p>
    <w:p>
      <w:pPr>
        <w:spacing w:after="0" w:line="71" w:lineRule="exact"/>
        <w:rPr>
          <w:sz w:val="20"/>
          <w:szCs w:val="20"/>
          <w:color w:val="auto"/>
        </w:rPr>
      </w:pPr>
    </w:p>
    <w:p>
      <w:pPr>
        <w:jc w:val="both"/>
        <w:ind w:left="680" w:right="60"/>
        <w:spacing w:after="0" w:line="289" w:lineRule="auto"/>
        <w:rPr>
          <w:sz w:val="20"/>
          <w:szCs w:val="20"/>
          <w:color w:val="auto"/>
        </w:rPr>
      </w:pPr>
      <w:r>
        <w:rPr>
          <w:rFonts w:ascii="Arial" w:cs="Arial" w:eastAsia="Arial" w:hAnsi="Arial"/>
          <w:sz w:val="12"/>
          <w:szCs w:val="12"/>
          <w:color w:val="auto"/>
        </w:rPr>
        <w:t>The decrease in stock-based compensation expense for the year ended December 31, 2005 compared to the year ended December 31, 2004 primarily resulted from the effect of the decrease of our stock price from December 31, 2004 to December 31, 2005. A significant portion of the compensation expense is tied to the stock options that were repriced in November 2003 as the compensation cost for all repriced options was measured on a quarterly basis until the options expired or were exercised or canceled. With the adoption of SFAS No. 123R, we expect stock-based compensation to increase significantly in the future. See Note 2 — Summary of Significant Accounting Policies — Stock-Based Compensation.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provides a comparison of the general and administrative expense categories for the years ended December 31, 2005 and 2004 (dollars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21"/>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Salaries, employee related and other general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13,869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Stock-based compensation expense (benefit)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(1,408)</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3,874</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(5,282)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17,743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5,032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40"/>
        <w:spacing w:after="0" w:line="281" w:lineRule="auto"/>
        <w:rPr>
          <w:sz w:val="20"/>
          <w:szCs w:val="20"/>
          <w:color w:val="auto"/>
        </w:rPr>
      </w:pPr>
      <w:r>
        <w:rPr>
          <w:rFonts w:ascii="Arial" w:cs="Arial" w:eastAsia="Arial" w:hAnsi="Arial"/>
          <w:sz w:val="12"/>
          <w:szCs w:val="12"/>
          <w:color w:val="auto"/>
        </w:rPr>
        <w:t>General and administrative expenses for the year ended December 31, 2005 increased as compared to the year ended December 31, 2004. Increased administrative services resulted in increased headcount, compensation adjustments and other employee related expenses. Additionally, litigation, public company compliance (including the Sarbanes-Oxley Act) and our establishment of a marketing function in 2005 increased both professional fees and consulting expenses. Offsetting increases to general and administrative expenses for these periods was a decrease in stock-based compensation expense resulting from the effect of the fluctuation of our stock price on the valuation of stock options that were repriced in November 2003. 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increase significantly as a result of the adoption of SFAS 123R. See Note 2 — Summary of Significant Accounting Policies — Stock-Based Compensation in the footnotes to our financial statements.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Deemed Dividend</w:t>
      </w:r>
    </w:p>
    <w:p>
      <w:pPr>
        <w:spacing w:after="0" w:line="100" w:lineRule="exact"/>
        <w:rPr>
          <w:sz w:val="20"/>
          <w:szCs w:val="20"/>
          <w:color w:val="auto"/>
        </w:rPr>
      </w:pPr>
    </w:p>
    <w:p>
      <w:pPr>
        <w:jc w:val="both"/>
        <w:ind w:left="680" w:right="80"/>
        <w:spacing w:after="0" w:line="264" w:lineRule="auto"/>
        <w:rPr>
          <w:sz w:val="20"/>
          <w:szCs w:val="20"/>
          <w:color w:val="auto"/>
        </w:rPr>
      </w:pPr>
      <w:r>
        <w:rPr>
          <w:rFonts w:ascii="Arial" w:cs="Arial" w:eastAsia="Arial" w:hAnsi="Arial"/>
          <w:sz w:val="13"/>
          <w:szCs w:val="13"/>
          <w:color w:val="auto"/>
        </w:rPr>
        <w:t>Deemed dividend for 2004 represents the beneficial conversion charge to common stockholders related to the downward adjustment of the Series B and C preferred stock conversion price. All outstanding preferred stock automatically converted into common stock at the close of the initial public offering in the third quarter of 2004, and no further deemed dividend has been or will be recognized.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December 31, 2004 and 2003</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 revenues were recorded for the years ended December 31, 2004 or 2003.</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provides a comparison of the research and development expense categories for the years ended December 31, 2004 and 2003 (dollars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19"/>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Clinical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23,477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11,290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19,714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12,246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7,468</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17,309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618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(4,030)</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(4,030)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3"/>
                <w:szCs w:val="13"/>
                <w:color w:val="auto"/>
              </w:rPr>
              <w:t>Research and development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line="20" w:lineRule="exact"/>
              <w:rPr>
                <w:sz w:val="1"/>
                <w:szCs w:val="1"/>
                <w:color w:val="auto"/>
              </w:rPr>
            </w:pPr>
          </w:p>
        </w:tc>
      </w:tr>
      <w:tr>
        <w:trPr>
          <w:trHeight w:val="156"/>
        </w:trPr>
        <w:tc>
          <w:tcPr>
            <w:tcW w:w="618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59,406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45,613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13,793</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spacing w:after="0" w:line="257" w:lineRule="auto"/>
        <w:rPr>
          <w:sz w:val="20"/>
          <w:szCs w:val="20"/>
          <w:color w:val="auto"/>
        </w:rPr>
      </w:pPr>
      <w:r>
        <w:rPr>
          <w:rFonts w:ascii="Arial" w:cs="Arial" w:eastAsia="Arial" w:hAnsi="Arial"/>
          <w:sz w:val="13"/>
          <w:szCs w:val="13"/>
          <w:color w:val="auto"/>
        </w:rPr>
        <w:t>Research and development expenses increased for the year ended December 31, 2004 compared to the year ended December 31, 2003 primarily due to ongoing expenditures in 2004 related to our Technosphere Insulin System. Continuation of preclinical and clinical studies in 2004 increased research expenditures, which also resulted in increased manufacturing costs to supply clinical trial materials and to continue the validation of our manufacturing system. The overall increase in research and development costs for 2004 were offset by decreased costs resulting from the termination of AlleCure product development programs and the redesign of CTL product development programs initiated in the first quarter of 2003. Further offsetting the total increase in research and development expenses is an estimated $4.0 million benefit recognized pursuant to a program under which we can exchange qualified research and development income tax credits for cash in the State of Connecticut.</w:t>
      </w:r>
    </w:p>
    <w:p>
      <w:pPr>
        <w:spacing w:after="0" w:line="7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The increase in stock-based compensation expense for the year ended December 31, 2004 compared to the year ended December 31, 2003 primarily resulted from the effect of the increase of our stock price from December 31, 2003 to December 31, 2004. A significant portion of the compensation expense is tied to the stock options that were repriced in November 2003 as the compensation cost for all options repriced is measured on a quarterly basis until the options expire or are exercised or canceled.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provides a comparison of the general and administrative expense categories for the years ended December 31, 2004 and 2003 (dollars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121"/>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Salaries, employee related and other general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13,869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17,159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618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3,874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3,540</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334</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17,743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20,699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General and administrative expenses for the year ended December 31, 2004 decreased compared to the year ended December 31, 2003. The decrease was primarily due to transition and severance expenses resulting from the consolidation in 2003 of our California operations into our Valencia, California facility and reduction of our California workforce, offset by an increase in 2004 in non-cash stock-based compensation expense.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Deemed dividends</w:t>
      </w:r>
    </w:p>
    <w:p>
      <w:pPr>
        <w:spacing w:after="0" w:line="100"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Deemed dividends of $19.8 million and $1.0 million for the years ended December 31, 2004 and 2003, respectively, represent the beneficial conversion charge to common stockholders related to the downward adjustment of the Series B and C preferred stock conversion price.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560"/>
        <w:spacing w:after="0" w:line="305" w:lineRule="auto"/>
        <w:rPr>
          <w:sz w:val="20"/>
          <w:szCs w:val="20"/>
          <w:color w:val="auto"/>
        </w:rPr>
      </w:pPr>
      <w:r>
        <w:rPr>
          <w:rFonts w:ascii="Arial" w:cs="Arial" w:eastAsia="Arial" w:hAnsi="Arial"/>
          <w:sz w:val="11"/>
          <w:szCs w:val="11"/>
          <w:color w:val="auto"/>
        </w:rPr>
        <w:t>We have funded our operations primarily through the sale of equity securities. On August 5, 2005, we closed a $175.0 million private placement of shares of common stock and the concurrent issuance of warrants for the purchase of additional shares of common stock to accredited investors including our principal stockholder who purchased approximately</w:t>
      </w:r>
    </w:p>
    <w:p>
      <w:pPr>
        <w:spacing w:after="0" w:line="1"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$87.3 million. We sold 17,132,000 shares of our common stock in the private placement, together with warrants to purchase up to 3,426,000 shares of common stock at an exercise price of $12.228 per share. In connection with this private placement, we paid $4.5 million in commissions to our placements agents and incurred $0.3 million in other offering expenses which resulted in net proceeds of approximately $170.2 million.</w:t>
      </w:r>
    </w:p>
    <w:p>
      <w:pPr>
        <w:spacing w:after="0" w:line="71"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During the year ended December 31, 2005, we used $101.2 million of cash for our operations compared to using $59.9 million for our operations in the year ended December 31, 2004. We had a net loss of $114.3 million for the year ended December 31, 2005, of which $5.5 million consisted of non-cash charges such as depreciation and amortization, stock-based compensation, losses on sale and abandonment or disposal of property and equipment. Deferred compensation of $1.4 million was repaid in May 2005 and $1.5 million was received in April 2005 related to the Connecticut research and development tax credit exchange. We expect our negative operating cash flow to continue at least until we obtain regulatory approval and achieve commercialization of our Technosphere Insulin System.</w:t>
      </w:r>
    </w:p>
    <w:p>
      <w:pPr>
        <w:spacing w:after="0" w:line="71" w:lineRule="exact"/>
        <w:rPr>
          <w:sz w:val="20"/>
          <w:szCs w:val="20"/>
          <w:color w:val="auto"/>
        </w:rPr>
      </w:pPr>
    </w:p>
    <w:p>
      <w:pPr>
        <w:ind w:left="680" w:right="20"/>
        <w:spacing w:after="0" w:line="334" w:lineRule="auto"/>
        <w:rPr>
          <w:sz w:val="20"/>
          <w:szCs w:val="20"/>
          <w:color w:val="auto"/>
        </w:rPr>
      </w:pPr>
      <w:r>
        <w:rPr>
          <w:rFonts w:ascii="Arial" w:cs="Arial" w:eastAsia="Arial" w:hAnsi="Arial"/>
          <w:sz w:val="11"/>
          <w:szCs w:val="11"/>
          <w:color w:val="auto"/>
        </w:rPr>
        <w:t>We used $94.4 million of cash for investing activities during the year ended December 31, 2005, compared to using $9.6 million for the year ended December 31, 2004. Cash used in investing activities was primarily from net purchases of marketable securities of $77.9 million and $17.2 million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32"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Our financing activities provided cash of $172.7 million for the year ended December 31, 2005 compared to $101.5 million for 2004. Cash from financing activities in 2005 was primarily from the private placement in August 2005 and the exercise of stock options. For 2004, cash from financing activities was primarily from the receipt of $83.2 million in net proceeds from our initial public offering in the third quarter of 2004 and $18.2 million from the collection of stock subscriptions for 355,943 shares of Series C convertible preferred stock in the first quarter of 2004.</w:t>
      </w:r>
    </w:p>
    <w:p>
      <w:pPr>
        <w:spacing w:after="0" w:line="70"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As of December 31, 2005, we had $145.6 million in cash, cash equivalents and marketable securities. Although we believe our existing cash resources will be sufficient to fund our anticipated cash requirements into the third quarter of 2006, we will require significant additional financing in the future to fund our operations. If adequate funds are not available, we may be required to delay, reduce or eliminate expenditures for certain of our programs, including our Technosphere Insulin System development activities. Because the majority of our anticipated expenses in the near term can be reduced or eliminated in a relatively short period, we believe that if we are unable to obtain additional capital we can continue activities, on a reduced basis, through the first quarter of 2007. Additionally, our principal stockholder has given assurances that he will provide additional funding for our operations, if necessary through the first quarter of 2007.</w:t>
      </w:r>
    </w:p>
    <w:p>
      <w:pPr>
        <w:spacing w:after="0" w:line="72"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70" w:lineRule="exact"/>
        <w:rPr>
          <w:sz w:val="20"/>
          <w:szCs w:val="20"/>
          <w:color w:val="auto"/>
        </w:rPr>
      </w:pPr>
    </w:p>
    <w:p>
      <w:pPr>
        <w:ind w:left="680" w:right="740"/>
        <w:spacing w:after="0" w:line="276" w:lineRule="auto"/>
        <w:rPr>
          <w:sz w:val="20"/>
          <w:szCs w:val="20"/>
          <w:color w:val="auto"/>
        </w:rPr>
      </w:pPr>
      <w:r>
        <w:rPr>
          <w:rFonts w:ascii="Arial" w:cs="Arial" w:eastAsia="Arial" w:hAnsi="Arial"/>
          <w:sz w:val="13"/>
          <w:szCs w:val="13"/>
          <w:color w:val="auto"/>
        </w:rPr>
        <w:t>If we enter into a strategic business collaboration with a pharmaceutical or biotechnology company, we would expect, as part of the transaction, to receive additional capital and reimbursements for a portion of the costs associated with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10" w:lineRule="auto"/>
        <w:rPr>
          <w:sz w:val="20"/>
          <w:szCs w:val="20"/>
          <w:color w:val="auto"/>
        </w:rPr>
      </w:pPr>
      <w:r>
        <w:rPr>
          <w:rFonts w:ascii="Arial" w:cs="Arial" w:eastAsia="Arial" w:hAnsi="Arial"/>
          <w:sz w:val="11"/>
          <w:szCs w:val="11"/>
          <w:color w:val="auto"/>
        </w:rPr>
        <w:t>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46"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Effects of Inflation</w:t>
      </w:r>
    </w:p>
    <w:p>
      <w:pPr>
        <w:spacing w:after="0" w:line="100"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cash resources.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of December 31, 2005, we did not have any off-balance sheet arrangements.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Our contractual obligations consist of operating leases, purchase obligations and capital lease commitments. Future payments under our operating lease obligations, including facility leases executed in March 2005 and November 2005, and open purchase commitments consisted of the following at December 31, 2005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Payments Due in</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4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80" w:type="dxa"/>
            <w:vAlign w:val="bottom"/>
          </w:tcPr>
          <w:p>
            <w:pPr>
              <w:spacing w:after="0"/>
              <w:rPr>
                <w:sz w:val="7"/>
                <w:szCs w:val="7"/>
                <w:color w:val="auto"/>
              </w:rPr>
            </w:pPr>
          </w:p>
        </w:tc>
        <w:tc>
          <w:tcPr>
            <w:tcW w:w="940" w:type="dxa"/>
            <w:vAlign w:val="bottom"/>
            <w:gridSpan w:val="2"/>
          </w:tcPr>
          <w:p>
            <w:pPr>
              <w:ind w:left="20"/>
              <w:spacing w:after="0" w:line="91" w:lineRule="exact"/>
              <w:rPr>
                <w:sz w:val="20"/>
                <w:szCs w:val="20"/>
                <w:color w:val="auto"/>
              </w:rPr>
            </w:pPr>
            <w:r>
              <w:rPr>
                <w:rFonts w:ascii="Arial" w:cs="Arial" w:eastAsia="Arial" w:hAnsi="Arial"/>
                <w:sz w:val="10"/>
                <w:szCs w:val="10"/>
                <w:b w:val="1"/>
                <w:bCs w:val="1"/>
                <w:color w:val="auto"/>
              </w:rPr>
              <w:t>Less than</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0"/>
                <w:szCs w:val="10"/>
                <w:b w:val="1"/>
                <w:bCs w:val="1"/>
                <w:color w:val="auto"/>
              </w:rPr>
              <w:t>One Year</w:t>
            </w:r>
          </w:p>
        </w:tc>
        <w:tc>
          <w:tcPr>
            <w:tcW w:w="8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1-3 Years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3-5 Years</w:t>
            </w:r>
          </w:p>
        </w:tc>
        <w:tc>
          <w:tcPr>
            <w:tcW w:w="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0"/>
                <w:szCs w:val="10"/>
                <w:b w:val="1"/>
                <w:bCs w:val="1"/>
                <w:color w:val="auto"/>
              </w:rPr>
              <w:t>5 Years</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Open purchase order commitments(1)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44,731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87,481</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849</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1,454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60" w:type="dxa"/>
            <w:vAlign w:val="bottom"/>
          </w:tcPr>
          <w:p>
            <w:pPr>
              <w:spacing w:after="0"/>
              <w:rPr>
                <w:sz w:val="13"/>
                <w:szCs w:val="13"/>
                <w:color w:val="auto"/>
              </w:rPr>
            </w:pP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2,364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40"/>
              <w:spacing w:after="0"/>
              <w:rPr>
                <w:sz w:val="20"/>
                <w:szCs w:val="20"/>
                <w:color w:val="auto"/>
              </w:rPr>
            </w:pPr>
            <w:r>
              <w:rPr>
                <w:rFonts w:ascii="Arial" w:cs="Arial" w:eastAsia="Arial" w:hAnsi="Arial"/>
                <w:sz w:val="13"/>
                <w:szCs w:val="13"/>
                <w:color w:val="auto"/>
              </w:rPr>
              <w:t>Total contractual obligations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43,673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46,185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89,919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right="280" w:hanging="259"/>
        <w:spacing w:after="0" w:line="264"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the acquisition of manufacturing equipment and commitments related to our manufacturing plant expansion.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a description of our related party transactions see Note 15 — Certain Relationships and Related Party Transactions” in the notes to our financial statements.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 xml:space="preserve">In May 2005, the FASB issued SFAS No. 154, </w:t>
      </w:r>
      <w:r>
        <w:rPr>
          <w:rFonts w:ascii="Arial" w:cs="Arial" w:eastAsia="Arial" w:hAnsi="Arial"/>
          <w:sz w:val="13"/>
          <w:szCs w:val="13"/>
          <w:i w:val="1"/>
          <w:iCs w:val="1"/>
          <w:color w:val="auto"/>
        </w:rPr>
        <w:t>Accounting Changes and Error Corrections</w:t>
      </w:r>
      <w:r>
        <w:rPr>
          <w:rFonts w:ascii="Arial" w:cs="Arial" w:eastAsia="Arial" w:hAnsi="Arial"/>
          <w:sz w:val="13"/>
          <w:szCs w:val="13"/>
          <w:color w:val="auto"/>
        </w:rPr>
        <w:t xml:space="preserve"> (“SFAS No. 154”), which replaces APB Opinion No. 20, </w:t>
      </w:r>
      <w:r>
        <w:rPr>
          <w:rFonts w:ascii="Arial" w:cs="Arial" w:eastAsia="Arial" w:hAnsi="Arial"/>
          <w:sz w:val="13"/>
          <w:szCs w:val="13"/>
          <w:i w:val="1"/>
          <w:iCs w:val="1"/>
          <w:color w:val="auto"/>
        </w:rPr>
        <w:t>Accounting Changes</w:t>
      </w:r>
      <w:r>
        <w:rPr>
          <w:rFonts w:ascii="Arial" w:cs="Arial" w:eastAsia="Arial" w:hAnsi="Arial"/>
          <w:sz w:val="13"/>
          <w:szCs w:val="13"/>
          <w:color w:val="auto"/>
        </w:rPr>
        <w:t xml:space="preserve"> and SFAS No. 3, </w:t>
      </w:r>
      <w:r>
        <w:rPr>
          <w:rFonts w:ascii="Arial" w:cs="Arial" w:eastAsia="Arial" w:hAnsi="Arial"/>
          <w:sz w:val="13"/>
          <w:szCs w:val="13"/>
          <w:i w:val="1"/>
          <w:iCs w:val="1"/>
          <w:color w:val="auto"/>
        </w:rPr>
        <w:t xml:space="preserve">Reporting Accounting Changes in Interim Financial Statements — An Amendment of APB Opinion No. 28. </w:t>
      </w:r>
      <w:r>
        <w:rPr>
          <w:rFonts w:ascii="Arial" w:cs="Arial" w:eastAsia="Arial" w:hAnsi="Arial"/>
          <w:sz w:val="13"/>
          <w:szCs w:val="13"/>
          <w:color w:val="auto"/>
        </w:rPr>
        <w:t>SFAS No. 154 provides guidance on the accounting for and reporting of</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We believe that the adoption of this statement will not have a material effect on our financial condition or results of operations.</w:t>
      </w:r>
    </w:p>
    <w:p>
      <w:pPr>
        <w:spacing w:after="0" w:line="71"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 xml:space="preserve">In March 2005, the FASB issued Interpretation No. 47, </w:t>
      </w:r>
      <w:r>
        <w:rPr>
          <w:rFonts w:ascii="Arial" w:cs="Arial" w:eastAsia="Arial" w:hAnsi="Arial"/>
          <w:sz w:val="13"/>
          <w:szCs w:val="13"/>
          <w:i w:val="1"/>
          <w:iCs w:val="1"/>
          <w:color w:val="auto"/>
        </w:rPr>
        <w:t>Accounting for Conditional Asset Retirement Obligations</w:t>
      </w:r>
      <w:r>
        <w:rPr>
          <w:rFonts w:ascii="Arial" w:cs="Arial" w:eastAsia="Arial" w:hAnsi="Arial"/>
          <w:sz w:val="13"/>
          <w:szCs w:val="13"/>
          <w:color w:val="auto"/>
        </w:rPr>
        <w:t xml:space="preserve"> (“FIN 47”), which clarifies that the term conditional asset retirement obligation as used in SFAS No. 143, </w:t>
      </w:r>
      <w:r>
        <w:rPr>
          <w:rFonts w:ascii="Arial" w:cs="Arial" w:eastAsia="Arial" w:hAnsi="Arial"/>
          <w:sz w:val="13"/>
          <w:szCs w:val="13"/>
          <w:i w:val="1"/>
          <w:iCs w:val="1"/>
          <w:color w:val="auto"/>
        </w:rPr>
        <w:t>Accounting for Asset Retirement Obligations</w:t>
      </w:r>
      <w:r>
        <w:rPr>
          <w:rFonts w:ascii="Arial" w:cs="Arial" w:eastAsia="Arial" w:hAnsi="Arial"/>
          <w:sz w:val="13"/>
          <w:szCs w:val="13"/>
          <w:color w:val="auto"/>
        </w:rPr>
        <w:t>, refers to a legal obligation to perform an asset retirement activity in which the timing and (or) method of settlement are conditional on a future event that may or may not be within the control of the entity. FIN 47, which went into effect in December 2005, governs the disclosures related to future environmental liabilities and affected companies must recognize future estimated cleanup costs on current financial statements. We believe the estimated costs associated with potential environmental liabilities are not material.</w:t>
      </w:r>
    </w:p>
    <w:p>
      <w:pPr>
        <w:spacing w:after="0" w:line="71"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In December 2004, the FASB issued SFAS No. 123R which requires companies to expense share-based payments to employees, including stock options, based on the fair value of the award at the grant date. SFAS No. 123R also eliminates the intrinsic value method of accounting for stock options which we followed until December 31, 2005. We are required to adopt SFAS No. 123R beginning with the first quarter of 2006. Upon adoption of SFAS No. 123R, we are required to select an adoption method and a valuation method that requires the input of highly subjective assumptions, including the expected volatility of our stock price and an expected option term. The first adoption method is a modified prospective transition method whereby a company would recognize share-based employee costs from the beginning of the fiscal period in which the recognition provisions are first applied as if the fair value accounting method had been used to account for all employee awards granted, modified, or settled after the effective date and to any awards that were not fully vested as of the effective date. Measurement and attribution of compensation cost for awards that are unvested as of the effective date of SFAS No. 123R would be based on the same estimate of the grant-date fair value and the same attribution method used previously under SFAS No. 123. The second adoption method is a modified retrospective transition method whereby a company would recognize employee compensation cost for periods presented prior to the adoption of SFAS No. 123R in accordance with the original provisions of SFAS 123; that is, an entity would recognize employee compensation costs in the amounts reported in the pro forma disclosures provided in accordance with SFAS No. 123. A company would not be permitted to make any changes to those amounts upon adoption of SFAS No. 123R unless those changes represent a correction of an error. For periods after the date of adoption of SFAS No. 123R, the modified prospective transition method described above would be applied. We continue to review our alternatives for adoption under this new pronouncement. We believe that the expensing of stock-based compensation will have an impact on our statement of operations similar to the pro forma disclosure under SFAS No. 123. See Note 2 — Summary of Significant Accounting Policies — Stock-Based Compensation.</w:t>
      </w:r>
    </w:p>
    <w:p>
      <w:pPr>
        <w:spacing w:after="0" w:line="61"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 xml:space="preserve">In March 2004, the FASB ratified the measurement and recognition guidance and certain disclosure requirements for impaired securities as described in EITF Issue No. 03-1, </w:t>
      </w:r>
      <w:r>
        <w:rPr>
          <w:rFonts w:ascii="Arial" w:cs="Arial" w:eastAsia="Arial" w:hAnsi="Arial"/>
          <w:sz w:val="12"/>
          <w:szCs w:val="12"/>
          <w:i w:val="1"/>
          <w:iCs w:val="1"/>
          <w:color w:val="auto"/>
        </w:rPr>
        <w:t>The Meaning of</w:t>
      </w:r>
      <w:r>
        <w:rPr>
          <w:rFonts w:ascii="Arial" w:cs="Arial" w:eastAsia="Arial" w:hAnsi="Arial"/>
          <w:sz w:val="12"/>
          <w:szCs w:val="12"/>
          <w:color w:val="auto"/>
        </w:rPr>
        <w:t xml:space="preserve"> </w:t>
      </w:r>
      <w:r>
        <w:rPr>
          <w:rFonts w:ascii="Arial" w:cs="Arial" w:eastAsia="Arial" w:hAnsi="Arial"/>
          <w:sz w:val="12"/>
          <w:szCs w:val="12"/>
          <w:i w:val="1"/>
          <w:iCs w:val="1"/>
          <w:color w:val="auto"/>
        </w:rPr>
        <w:t>Other-Than-Temporary Impairment and Its Application to Certain Investments</w:t>
      </w:r>
      <w:r>
        <w:rPr>
          <w:rFonts w:ascii="Arial" w:cs="Arial" w:eastAsia="Arial" w:hAnsi="Arial"/>
          <w:sz w:val="12"/>
          <w:szCs w:val="12"/>
          <w:color w:val="auto"/>
        </w:rPr>
        <w:t>. On November 3, 2005, the FASB issued FASB Staff Position (“FSP”) Nos. FAS 115-1 and FAS 124-1 which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FASB Statements No. 115, </w:t>
      </w:r>
      <w:r>
        <w:rPr>
          <w:rFonts w:ascii="Arial" w:cs="Arial" w:eastAsia="Arial" w:hAnsi="Arial"/>
          <w:sz w:val="12"/>
          <w:szCs w:val="12"/>
          <w:i w:val="1"/>
          <w:iCs w:val="1"/>
          <w:color w:val="auto"/>
        </w:rPr>
        <w:t>Accounting for Certain Investments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i w:val="1"/>
          <w:iCs w:val="1"/>
          <w:color w:val="auto"/>
        </w:rPr>
        <w:t>in Debt and Equity Securities</w:t>
      </w:r>
      <w:r>
        <w:rPr>
          <w:rFonts w:ascii="Arial" w:cs="Arial" w:eastAsia="Arial" w:hAnsi="Arial"/>
          <w:sz w:val="13"/>
          <w:szCs w:val="13"/>
          <w:color w:val="auto"/>
        </w:rPr>
        <w:t>, and No. 124,</w:t>
      </w:r>
      <w:r>
        <w:rPr>
          <w:rFonts w:ascii="Arial" w:cs="Arial" w:eastAsia="Arial" w:hAnsi="Arial"/>
          <w:sz w:val="13"/>
          <w:szCs w:val="13"/>
          <w:i w:val="1"/>
          <w:iCs w:val="1"/>
          <w:color w:val="auto"/>
        </w:rPr>
        <w:t xml:space="preserve"> Accounting for Certain Investments Held by Not-for-Profit Organizations </w:t>
      </w:r>
      <w:r>
        <w:rPr>
          <w:rFonts w:ascii="Arial" w:cs="Arial" w:eastAsia="Arial" w:hAnsi="Arial"/>
          <w:sz w:val="13"/>
          <w:szCs w:val="13"/>
          <w:color w:val="auto"/>
        </w:rPr>
        <w:t>and APB Opinion No. 18,</w:t>
      </w:r>
      <w:r>
        <w:rPr>
          <w:rFonts w:ascii="Arial" w:cs="Arial" w:eastAsia="Arial" w:hAnsi="Arial"/>
          <w:sz w:val="13"/>
          <w:szCs w:val="13"/>
          <w:i w:val="1"/>
          <w:iCs w:val="1"/>
          <w:color w:val="auto"/>
        </w:rPr>
        <w:t xml:space="preserve"> The Equity Method of Accounting for Investments in Common Stock</w:t>
      </w:r>
      <w:r>
        <w:rPr>
          <w:rFonts w:ascii="Arial" w:cs="Arial" w:eastAsia="Arial" w:hAnsi="Arial"/>
          <w:sz w:val="13"/>
          <w:szCs w:val="13"/>
          <w:color w:val="auto"/>
        </w:rPr>
        <w:t>. The FSP is effective for reporting periods beginning after December 15, 2005. Our investment portfolio at December 31, 2005 is comprised of highly liquid</w:t>
      </w:r>
      <w:r>
        <w:rPr>
          <w:rFonts w:ascii="Arial" w:cs="Arial" w:eastAsia="Arial" w:hAnsi="Arial"/>
          <w:sz w:val="13"/>
          <w:szCs w:val="13"/>
          <w:i w:val="1"/>
          <w:iCs w:val="1"/>
          <w:color w:val="auto"/>
        </w:rPr>
        <w:t xml:space="preserve"> </w:t>
      </w:r>
      <w:r>
        <w:rPr>
          <w:rFonts w:ascii="Arial" w:cs="Arial" w:eastAsia="Arial" w:hAnsi="Arial"/>
          <w:sz w:val="13"/>
          <w:szCs w:val="13"/>
          <w:color w:val="auto"/>
        </w:rPr>
        <w:t>short-term securities. Unrealized losses for these securities are not material.</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00" w:lineRule="exact"/>
        <w:rPr>
          <w:sz w:val="20"/>
          <w:szCs w:val="20"/>
          <w:color w:val="auto"/>
        </w:rPr>
      </w:pPr>
    </w:p>
    <w:p>
      <w:pPr>
        <w:ind w:left="680" w:right="180"/>
        <w:spacing w:after="0" w:line="322" w:lineRule="auto"/>
        <w:rPr>
          <w:sz w:val="20"/>
          <w:szCs w:val="20"/>
          <w:color w:val="auto"/>
        </w:rPr>
      </w:pPr>
      <w:r>
        <w:rPr>
          <w:rFonts w:ascii="Arial" w:cs="Arial" w:eastAsia="Arial" w:hAnsi="Arial"/>
          <w:sz w:val="11"/>
          <w:szCs w:val="11"/>
          <w:color w:val="auto"/>
        </w:rPr>
        <w:t>We have not used derivative financial instruments. However, we are exposed to market risk related to changes in interest rates. Our current policy is to maintain a highly liquid short-term investment portfolio consisting mainly of U.S. money market funds and government and investment-grade corporate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December 31, 2005, we estimate that the fair value of our investment portfolio would decline by an immaterial amount.</w:t>
      </w:r>
    </w:p>
    <w:p>
      <w:pPr>
        <w:spacing w:after="0" w:line="11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information required by this Item is included in Items 15(a)(1) and (2) of Part IV of this report.</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w:t>
      </w:r>
    </w:p>
    <w:p>
      <w:pPr>
        <w:spacing w:after="0" w:line="100" w:lineRule="exact"/>
        <w:rPr>
          <w:sz w:val="20"/>
          <w:szCs w:val="20"/>
          <w:color w:val="auto"/>
        </w:rPr>
      </w:pPr>
    </w:p>
    <w:p>
      <w:pPr>
        <w:ind w:left="680" w:right="240"/>
        <w:spacing w:after="0" w:line="257"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Our chief executive officer and chief financial officer performed an evaluation under the supervision and with the participation of our management, of our disclosure controls and procedures (as defined in Rule 13a-15(b) of the Securities Exchange Act of 1934) as of December 31, 2005. Based on that evaluation, our chief executive officer and chief financial officer concluded that our disclosure controls and procedures were effective at the reasonable assurance level.</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180"/>
        <w:spacing w:after="0" w:line="282" w:lineRule="auto"/>
        <w:rPr>
          <w:sz w:val="20"/>
          <w:szCs w:val="20"/>
          <w:color w:val="auto"/>
        </w:rPr>
      </w:pPr>
      <w:r>
        <w:rPr>
          <w:rFonts w:ascii="Arial" w:cs="Arial" w:eastAsia="Arial" w:hAnsi="Arial"/>
          <w:sz w:val="12"/>
          <w:szCs w:val="12"/>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Based on our evaluation under the framework set forth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our management concluded that our internal control over financial reporting was effective as of December 31, 2005. Our management’s assessment of the effectiveness of our internal control over financial reporting as of December 31, 2005 has been audited by Deloitte &amp; Touche LLP, an independent registered public accounting firm, as stated in their report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MannKind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Valencia, California</w:t>
      </w:r>
    </w:p>
    <w:p>
      <w:pPr>
        <w:spacing w:after="0" w:line="89" w:lineRule="exact"/>
        <w:rPr>
          <w:sz w:val="20"/>
          <w:szCs w:val="20"/>
          <w:color w:val="auto"/>
        </w:rPr>
      </w:pPr>
    </w:p>
    <w:p>
      <w:pPr>
        <w:ind w:left="680" w:right="60"/>
        <w:spacing w:after="0" w:line="305" w:lineRule="auto"/>
        <w:rPr>
          <w:sz w:val="20"/>
          <w:szCs w:val="20"/>
          <w:color w:val="auto"/>
        </w:rPr>
      </w:pPr>
      <w:r>
        <w:rPr>
          <w:rFonts w:ascii="Arial" w:cs="Arial" w:eastAsia="Arial" w:hAnsi="Arial"/>
          <w:sz w:val="11"/>
          <w:szCs w:val="11"/>
          <w:color w:val="auto"/>
        </w:rPr>
        <w:t>We have audited management’s assessment, included in the accompanying Management’s Report on Internal Control Over Financial Reporting, that MannKind Corporation and subsidiaries (a development stage company) (the “Company”) maintained effective internal control over financial reporting as of December 31, 2005, based on criteria established in Internal</w:t>
      </w:r>
    </w:p>
    <w:p>
      <w:pPr>
        <w:spacing w:after="0" w:line="1"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1"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53"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0" w:lineRule="exact"/>
        <w:rPr>
          <w:sz w:val="20"/>
          <w:szCs w:val="20"/>
          <w:color w:val="auto"/>
        </w:rPr>
      </w:pPr>
    </w:p>
    <w:p>
      <w:pPr>
        <w:jc w:val="both"/>
        <w:ind w:left="680" w:right="160"/>
        <w:spacing w:after="0" w:line="260" w:lineRule="auto"/>
        <w:rPr>
          <w:sz w:val="20"/>
          <w:szCs w:val="20"/>
          <w:color w:val="auto"/>
        </w:rPr>
      </w:pPr>
      <w:r>
        <w:rPr>
          <w:rFonts w:ascii="Arial" w:cs="Arial" w:eastAsia="Arial" w:hAnsi="Arial"/>
          <w:sz w:val="13"/>
          <w:szCs w:val="13"/>
          <w:color w:val="auto"/>
        </w:rPr>
        <w:t>In our opinion, management’s assessment that the Company maintained effective internal control over financial reporting as of December 31, 2005, is fairly stated, in all material respects, based on the criteria established in Internal Control — Integrated Framework issued by the Committee of Sponsoring Organizations of the Treadway Commission. Also in our opinion, the Company maintained, in all material respects, effective internal control over financial reporting as of December 31, 2005, based on the criteria established in Internal Control — Integrated Framework issued by the Committee of Sponsoring Organizations of the Treadway Commission.</w:t>
      </w:r>
    </w:p>
    <w:p>
      <w:pPr>
        <w:spacing w:after="0" w:line="70"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as of and for the year ended December 31, 2005 of the Company and our report dated March 15, 2006 expressed an unqualified opinion on those financial statements.</w:t>
      </w:r>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15, 2006</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00" w:lineRule="exact"/>
        <w:rPr>
          <w:sz w:val="20"/>
          <w:szCs w:val="20"/>
          <w:color w:val="auto"/>
        </w:rPr>
      </w:pPr>
    </w:p>
    <w:p>
      <w:pPr>
        <w:ind w:left="680" w:right="760"/>
        <w:spacing w:after="0" w:line="320" w:lineRule="auto"/>
        <w:rPr>
          <w:sz w:val="20"/>
          <w:szCs w:val="20"/>
          <w:color w:val="auto"/>
        </w:rPr>
      </w:pPr>
      <w:r>
        <w:rPr>
          <w:rFonts w:ascii="Arial" w:cs="Arial" w:eastAsia="Arial" w:hAnsi="Arial"/>
          <w:sz w:val="12"/>
          <w:szCs w:val="12"/>
          <w:color w:val="auto"/>
        </w:rPr>
        <w:t>Certain information required by Part III is omitted from this report because we will file a definitive proxy statement within 120 days after the end of our fiscal year pursuant to Regulation 14A for our 2006 annual meeting of stockholders, and the information included in the proxy statement is incorporated herein by reference.</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color w:val="auto"/>
        </w:rPr>
        <w:t>Directors and Executive Officers of the Registrant.</w:t>
      </w:r>
    </w:p>
    <w:p>
      <w:pPr>
        <w:spacing w:after="0" w:line="100" w:lineRule="exact"/>
        <w:rPr>
          <w:sz w:val="20"/>
          <w:szCs w:val="20"/>
          <w:color w:val="auto"/>
        </w:rPr>
      </w:pPr>
    </w:p>
    <w:p>
      <w:pPr>
        <w:ind w:left="860" w:hanging="173"/>
        <w:spacing w:after="0"/>
        <w:tabs>
          <w:tab w:leader="none" w:pos="860" w:val="left"/>
        </w:tabs>
        <w:numPr>
          <w:ilvl w:val="0"/>
          <w:numId w:val="25"/>
        </w:numPr>
        <w:rPr>
          <w:rFonts w:ascii="Arial" w:cs="Arial" w:eastAsia="Arial" w:hAnsi="Arial"/>
          <w:sz w:val="13"/>
          <w:szCs w:val="13"/>
          <w:color w:val="auto"/>
        </w:rPr>
      </w:pPr>
      <w:r>
        <w:rPr>
          <w:rFonts w:ascii="Arial" w:cs="Arial" w:eastAsia="Arial" w:hAnsi="Arial"/>
          <w:sz w:val="13"/>
          <w:szCs w:val="13"/>
          <w:i w:val="1"/>
          <w:iCs w:val="1"/>
          <w:color w:val="auto"/>
        </w:rPr>
        <w:t xml:space="preserve">Executive Officers </w:t>
      </w:r>
      <w:r>
        <w:rPr>
          <w:rFonts w:ascii="Arial" w:cs="Arial" w:eastAsia="Arial" w:hAnsi="Arial"/>
          <w:sz w:val="13"/>
          <w:szCs w:val="13"/>
          <w:color w:val="auto"/>
        </w:rPr>
        <w:t>— For information regarding the identification and business experience of our executive officers, see “Executive Officers” in Part I, Item 1 of this report.</w:t>
      </w:r>
    </w:p>
    <w:p>
      <w:pPr>
        <w:spacing w:after="0" w:line="96" w:lineRule="exact"/>
        <w:rPr>
          <w:rFonts w:ascii="Arial" w:cs="Arial" w:eastAsia="Arial" w:hAnsi="Arial"/>
          <w:sz w:val="13"/>
          <w:szCs w:val="13"/>
          <w:color w:val="auto"/>
        </w:rPr>
      </w:pPr>
    </w:p>
    <w:p>
      <w:pPr>
        <w:ind w:left="880" w:hanging="193"/>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Directors </w:t>
      </w:r>
      <w:r>
        <w:rPr>
          <w:rFonts w:ascii="Arial" w:cs="Arial" w:eastAsia="Arial" w:hAnsi="Arial"/>
          <w:sz w:val="12"/>
          <w:szCs w:val="12"/>
          <w:color w:val="auto"/>
        </w:rPr>
        <w:t>— The information required by this Item regarding the identification and business experience of our directors is contained in the section entitled “Proposal 1 — Election of</w:t>
      </w:r>
    </w:p>
    <w:p>
      <w:pPr>
        <w:spacing w:after="0" w:line="26" w:lineRule="exact"/>
        <w:rPr>
          <w:rFonts w:ascii="Arial" w:cs="Arial" w:eastAsia="Arial" w:hAnsi="Arial"/>
          <w:sz w:val="12"/>
          <w:szCs w:val="12"/>
          <w:color w:val="auto"/>
        </w:rPr>
      </w:pPr>
    </w:p>
    <w:p>
      <w:pPr>
        <w:ind w:left="680" w:right="20"/>
        <w:spacing w:after="0" w:line="264" w:lineRule="auto"/>
        <w:rPr>
          <w:rFonts w:ascii="Arial" w:cs="Arial" w:eastAsia="Arial" w:hAnsi="Arial"/>
          <w:sz w:val="12"/>
          <w:szCs w:val="12"/>
          <w:color w:val="auto"/>
        </w:rPr>
      </w:pPr>
      <w:r>
        <w:rPr>
          <w:rFonts w:ascii="Arial" w:cs="Arial" w:eastAsia="Arial" w:hAnsi="Arial"/>
          <w:sz w:val="13"/>
          <w:szCs w:val="13"/>
          <w:color w:val="auto"/>
        </w:rPr>
        <w:t>Directors” in the proxy statement for the May 2006 annual meeting of stockholders to be filed with the Securities and Exchange Commission within 120 days after the end of our fiscal year ended December 31, 2005, and is incorporated herein by reference.</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Additional information required by this Item is incorporated by reference to the section entitled “Section 16(a) Beneficial Ownership Reporting Compliance” in the proxy statement.</w:t>
      </w:r>
    </w:p>
    <w:p>
      <w:pPr>
        <w:spacing w:after="0" w:line="10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(www.mannkindcorp.com) in connection with “Investor Relations” materials. In addition, we intend to promptly disclose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on our website in the future.</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information under the caption “Executive Compensation” in the proxy statement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The information under the captions “Security Ownership of Certain Beneficial Owners and Management” and “Executive Compensation — Securities Authorized for Issuance under Equity Compensation Plans” in the proxy statement is incorporated herein by this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w:t>
      </w:r>
    </w:p>
    <w:p>
      <w:pPr>
        <w:spacing w:after="0" w:line="100"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The information under the caption “Certain Transactions” in the proxy statement is incorporated herein by reference. With the exception of the information specifically incorporated by reference from the proxy statement in this report, the proxy statement shall not be deemed to be filed as part of this report. Without limiting the foregoing, the information under the captions “Report of the Audit Committee of the Board of Directors,” “Report of the Compensation Committee of the Board of Directors” and “Performance Measurement Comparison” in the proxy statement is not incorporated by reference in this report.</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information under the caption “Principal Accounting Fees and Services” in the proxy statement is incorporated herein by reference.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The following documents are filed as part of, or incorporated by reference into, this report:</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(1)(2) Financial Statements and Financial Statement Schedules. The following Financial Statements of MannKind Corporation, Financial Statement Schedules and Report of</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Independent Registered Public Accounting Firm are included in a separate section of this report beginning on page F-2:</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36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F-2</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Consolidated Balance Sheets</w:t>
            </w:r>
          </w:p>
        </w:tc>
        <w:tc>
          <w:tcPr>
            <w:tcW w:w="3620" w:type="dxa"/>
            <w:vAlign w:val="bottom"/>
          </w:tcPr>
          <w:p>
            <w:pPr>
              <w:jc w:val="right"/>
              <w:ind w:right="34"/>
              <w:spacing w:after="0"/>
              <w:rPr>
                <w:sz w:val="20"/>
                <w:szCs w:val="20"/>
                <w:color w:val="auto"/>
              </w:rPr>
            </w:pPr>
            <w:r>
              <w:rPr>
                <w:rFonts w:ascii="Arial" w:cs="Arial" w:eastAsia="Arial" w:hAnsi="Arial"/>
                <w:sz w:val="13"/>
                <w:szCs w:val="13"/>
                <w:color w:val="auto"/>
              </w:rPr>
              <w:t>F-3</w:t>
            </w:r>
          </w:p>
        </w:tc>
      </w:t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Statements of Operations</w:t>
            </w:r>
          </w:p>
        </w:tc>
        <w:tc>
          <w:tcPr>
            <w:tcW w:w="36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F-4</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Statements of Stockholders’ Equity (Deficit)</w:t>
            </w:r>
          </w:p>
        </w:tc>
        <w:tc>
          <w:tcPr>
            <w:tcW w:w="3620" w:type="dxa"/>
            <w:vAlign w:val="bottom"/>
          </w:tcPr>
          <w:p>
            <w:pPr>
              <w:jc w:val="right"/>
              <w:ind w:right="34"/>
              <w:spacing w:after="0"/>
              <w:rPr>
                <w:sz w:val="20"/>
                <w:szCs w:val="20"/>
                <w:color w:val="auto"/>
              </w:rPr>
            </w:pPr>
            <w:r>
              <w:rPr>
                <w:rFonts w:ascii="Arial" w:cs="Arial" w:eastAsia="Arial" w:hAnsi="Arial"/>
                <w:sz w:val="13"/>
                <w:szCs w:val="13"/>
                <w:color w:val="auto"/>
              </w:rPr>
              <w:t>F-5</w:t>
            </w:r>
          </w:p>
        </w:tc>
      </w:t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Statements of Cash Flows</w:t>
            </w:r>
          </w:p>
        </w:tc>
        <w:tc>
          <w:tcPr>
            <w:tcW w:w="36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F-8</w:t>
            </w:r>
          </w:p>
        </w:tc>
      </w:tr>
      <w:tr>
        <w:trPr>
          <w:trHeight w:val="165"/>
        </w:trPr>
        <w:tc>
          <w:tcPr>
            <w:tcW w:w="6360" w:type="dxa"/>
            <w:vAlign w:val="bottom"/>
          </w:tcPr>
          <w:p>
            <w:pPr>
              <w:spacing w:after="0"/>
              <w:rPr>
                <w:sz w:val="20"/>
                <w:szCs w:val="20"/>
                <w:color w:val="auto"/>
              </w:rPr>
            </w:pPr>
            <w:r>
              <w:rPr>
                <w:rFonts w:ascii="Arial" w:cs="Arial" w:eastAsia="Arial" w:hAnsi="Arial"/>
                <w:sz w:val="13"/>
                <w:szCs w:val="13"/>
                <w:color w:val="auto"/>
              </w:rPr>
              <w:t>Notes to Financial Statements</w:t>
            </w:r>
          </w:p>
        </w:tc>
        <w:tc>
          <w:tcPr>
            <w:tcW w:w="3620" w:type="dxa"/>
            <w:vAlign w:val="bottom"/>
          </w:tcPr>
          <w:p>
            <w:pPr>
              <w:jc w:val="right"/>
              <w:ind w:right="34"/>
              <w:spacing w:after="0"/>
              <w:rPr>
                <w:sz w:val="20"/>
                <w:szCs w:val="20"/>
                <w:color w:val="auto"/>
              </w:rPr>
            </w:pPr>
            <w:r>
              <w:rPr>
                <w:rFonts w:ascii="Arial" w:cs="Arial" w:eastAsia="Arial" w:hAnsi="Arial"/>
                <w:sz w:val="13"/>
                <w:szCs w:val="13"/>
                <w:color w:val="auto"/>
              </w:rPr>
              <w:t>F-10</w:t>
            </w:r>
          </w:p>
        </w:tc>
      </w:tr>
    </w:tbl>
    <w:p>
      <w:pPr>
        <w:spacing w:after="0" w:line="72" w:lineRule="exact"/>
        <w:rPr>
          <w:sz w:val="20"/>
          <w:szCs w:val="20"/>
          <w:color w:val="auto"/>
        </w:rPr>
      </w:pPr>
    </w:p>
    <w:p>
      <w:pPr>
        <w:ind w:left="1080" w:right="1220" w:firstLine="383"/>
        <w:spacing w:after="0" w:line="276" w:lineRule="auto"/>
        <w:rPr>
          <w:sz w:val="20"/>
          <w:szCs w:val="20"/>
          <w:color w:val="auto"/>
        </w:rPr>
      </w:pPr>
      <w:r>
        <w:rPr>
          <w:rFonts w:ascii="Arial" w:cs="Arial" w:eastAsia="Arial" w:hAnsi="Arial"/>
          <w:sz w:val="13"/>
          <w:szCs w:val="13"/>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59" w:lineRule="exact"/>
        <w:rPr>
          <w:sz w:val="20"/>
          <w:szCs w:val="20"/>
          <w:color w:val="auto"/>
        </w:rPr>
      </w:pPr>
    </w:p>
    <w:p>
      <w:pPr>
        <w:ind w:left="1080" w:right="1140" w:firstLine="389"/>
        <w:spacing w:after="0" w:line="276" w:lineRule="auto"/>
        <w:tabs>
          <w:tab w:leader="none" w:pos="1649" w:val="left"/>
        </w:tabs>
        <w:numPr>
          <w:ilvl w:val="1"/>
          <w:numId w:val="26"/>
        </w:numPr>
        <w:rPr>
          <w:rFonts w:ascii="Arial" w:cs="Arial" w:eastAsia="Arial" w:hAnsi="Arial"/>
          <w:sz w:val="13"/>
          <w:szCs w:val="13"/>
          <w:color w:val="auto"/>
        </w:rPr>
      </w:pPr>
      <w:r>
        <w:rPr>
          <w:rFonts w:ascii="Arial" w:cs="Arial" w:eastAsia="Arial" w:hAnsi="Arial"/>
          <w:sz w:val="13"/>
          <w:szCs w:val="13"/>
          <w:color w:val="auto"/>
        </w:rPr>
        <w:t>Exhibits. The exhibits listed under Item 15(c) hereof are filed with, or incorporated by reference into, this report. Each management contract or compensatory plan or arrangement is identified separately in Item 15(c) hereof.</w:t>
      </w:r>
    </w:p>
    <w:p>
      <w:pPr>
        <w:spacing w:after="0" w:line="59" w:lineRule="exact"/>
        <w:rPr>
          <w:rFonts w:ascii="Arial" w:cs="Arial" w:eastAsia="Arial" w:hAnsi="Arial"/>
          <w:sz w:val="13"/>
          <w:szCs w:val="13"/>
          <w:color w:val="auto"/>
        </w:rPr>
      </w:pPr>
    </w:p>
    <w:p>
      <w:pPr>
        <w:ind w:left="860" w:hanging="173"/>
        <w:spacing w:after="0"/>
        <w:tabs>
          <w:tab w:leader="none" w:pos="8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Exhibits. The following exhibits are filed as part of, or incorporated by reference into, this report: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9760" w:type="dxa"/>
            <w:vAlign w:val="bottom"/>
            <w:gridSpan w:val="3"/>
          </w:tcPr>
          <w:p>
            <w:pPr>
              <w:ind w:left="360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1700" w:type="dxa"/>
            <w:vAlign w:val="bottom"/>
          </w:tcPr>
          <w:p>
            <w:pPr>
              <w:ind w:left="980"/>
              <w:spacing w:after="0"/>
              <w:rPr>
                <w:sz w:val="20"/>
                <w:szCs w:val="20"/>
                <w:color w:val="auto"/>
              </w:rPr>
            </w:pPr>
            <w:r>
              <w:rPr>
                <w:rFonts w:ascii="Arial" w:cs="Arial" w:eastAsia="Arial" w:hAnsi="Arial"/>
                <w:sz w:val="10"/>
                <w:szCs w:val="10"/>
                <w:b w:val="1"/>
                <w:bCs w:val="1"/>
                <w:color w:val="auto"/>
              </w:rPr>
              <w:t>Exhibit</w:t>
            </w:r>
          </w:p>
        </w:tc>
        <w:tc>
          <w:tcPr>
            <w:tcW w:w="9760" w:type="dxa"/>
            <w:vAlign w:val="bottom"/>
            <w:gridSpan w:val="3"/>
            <w:vMerge w:val="restart"/>
          </w:tcPr>
          <w:p>
            <w:pPr>
              <w:ind w:left="4480"/>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1700" w:type="dxa"/>
            <w:vAlign w:val="bottom"/>
          </w:tcPr>
          <w:p>
            <w:pPr>
              <w:ind w:left="1140"/>
              <w:spacing w:after="0"/>
              <w:rPr>
                <w:sz w:val="20"/>
                <w:szCs w:val="20"/>
                <w:color w:val="auto"/>
              </w:rPr>
            </w:pPr>
            <w:r>
              <w:rPr>
                <w:rFonts w:ascii="Arial" w:cs="Arial" w:eastAsia="Arial" w:hAnsi="Arial"/>
                <w:sz w:val="10"/>
                <w:szCs w:val="10"/>
                <w:b w:val="1"/>
                <w:bCs w:val="1"/>
                <w:color w:val="auto"/>
              </w:rPr>
              <w:t>Number</w:t>
            </w:r>
          </w:p>
        </w:tc>
        <w:tc>
          <w:tcPr>
            <w:tcW w:w="9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00" w:type="dxa"/>
            <w:vAlign w:val="bottom"/>
          </w:tcPr>
          <w:p>
            <w:pPr>
              <w:ind w:left="1140"/>
              <w:spacing w:after="0"/>
              <w:rPr>
                <w:sz w:val="20"/>
                <w:szCs w:val="20"/>
                <w:color w:val="auto"/>
              </w:rPr>
            </w:pPr>
            <w:r>
              <w:rPr>
                <w:rFonts w:ascii="Arial" w:cs="Arial" w:eastAsia="Arial" w:hAnsi="Arial"/>
                <w:sz w:val="13"/>
                <w:szCs w:val="13"/>
                <w:color w:val="auto"/>
              </w:rPr>
              <w:t>3.1(1)</w:t>
            </w:r>
          </w:p>
        </w:tc>
        <w:tc>
          <w:tcPr>
            <w:tcW w:w="4500" w:type="dxa"/>
            <w:vAlign w:val="bottom"/>
          </w:tcPr>
          <w:p>
            <w:pPr>
              <w:ind w:left="100"/>
              <w:spacing w:after="0"/>
              <w:rPr>
                <w:sz w:val="20"/>
                <w:szCs w:val="20"/>
                <w:color w:val="auto"/>
              </w:rPr>
            </w:pPr>
            <w:r>
              <w:rPr>
                <w:rFonts w:ascii="Arial" w:cs="Arial" w:eastAsia="Arial" w:hAnsi="Arial"/>
                <w:sz w:val="13"/>
                <w:szCs w:val="13"/>
                <w:color w:val="auto"/>
              </w:rPr>
              <w:t>Restated Certificate of Incorporation.</w:t>
            </w:r>
          </w:p>
        </w:tc>
        <w:tc>
          <w:tcPr>
            <w:tcW w:w="80" w:type="dxa"/>
            <w:vAlign w:val="bottom"/>
            <w:tcBorders>
              <w:top w:val="single" w:sz="8" w:color="auto"/>
            </w:tcBorders>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3.2(1)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Amended and Restated Bylaws.</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4.1(1)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Form of common stock certificate.</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4.2(1)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Registration Rights Agreement, dated October 15, 1998 by and among CTL ImmunoTherapies Corp., Medical Research Group, LLC, McLean Watson Advisory Inc.</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and Alfred E. Mann, as amended.</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10.1(2)</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August 2, 2005 by and among MannKind and the purchasers listed on Exhibit A thereto.</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10.2†(3)</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Supply Agreement, dated December 31, 2004, between MannKind and Vaupell,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Supply Agreement, dated January 1, 2000, between Diosynth B.V. and Pharmaceutical Discovery Corporation.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10.4*(1)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10.5*</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Description of Officers’ Incentive Program.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10.6*(4)</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Description of 2006 executive officer salaries.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10.7*(4)</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Description of 2006 non-employee director compensation.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10.8*(1)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Wendell Cheatham.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10.9*(1)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Hakan Edstrom.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10.10*(1)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David Thomson.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Dick Anderson.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10.12*(1)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August 1, 2003, between MannKind and Dan Burns.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10.13*(1)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Wendell Cheatham.</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10.14*(1)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Hakan Edstrom.</w:t>
            </w:r>
          </w:p>
        </w:tc>
        <w:tc>
          <w:tcPr>
            <w:tcW w:w="0" w:type="dxa"/>
            <w:vAlign w:val="bottom"/>
          </w:tcPr>
          <w:p>
            <w:pPr>
              <w:spacing w:after="0"/>
              <w:rPr>
                <w:sz w:val="1"/>
                <w:szCs w:val="1"/>
                <w:color w:val="auto"/>
              </w:rPr>
            </w:pPr>
          </w:p>
        </w:tc>
      </w:tr>
      <w:tr>
        <w:trPr>
          <w:trHeight w:val="165"/>
        </w:trPr>
        <w:tc>
          <w:tcPr>
            <w:tcW w:w="1700" w:type="dxa"/>
            <w:vAlign w:val="bottom"/>
          </w:tcPr>
          <w:p>
            <w:pPr>
              <w:ind w:left="1080"/>
              <w:spacing w:after="0"/>
              <w:rPr>
                <w:sz w:val="20"/>
                <w:szCs w:val="20"/>
                <w:color w:val="auto"/>
              </w:rPr>
            </w:pPr>
            <w:r>
              <w:rPr>
                <w:rFonts w:ascii="Arial" w:cs="Arial" w:eastAsia="Arial" w:hAnsi="Arial"/>
                <w:sz w:val="13"/>
                <w:szCs w:val="13"/>
                <w:color w:val="auto"/>
              </w:rPr>
              <w:t>10.15*(1)</w:t>
            </w:r>
          </w:p>
        </w:tc>
        <w:tc>
          <w:tcPr>
            <w:tcW w:w="9760" w:type="dxa"/>
            <w:vAlign w:val="bottom"/>
            <w:gridSpan w:val="3"/>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David Thomson.</w:t>
            </w:r>
          </w:p>
        </w:tc>
        <w:tc>
          <w:tcPr>
            <w:tcW w:w="0" w:type="dxa"/>
            <w:vAlign w:val="bottom"/>
          </w:tcPr>
          <w:p>
            <w:pPr>
              <w:spacing w:after="0"/>
              <w:rPr>
                <w:sz w:val="1"/>
                <w:szCs w:val="1"/>
                <w:color w:val="auto"/>
              </w:rPr>
            </w:pPr>
          </w:p>
        </w:tc>
      </w:tr>
      <w:tr>
        <w:trPr>
          <w:trHeight w:val="452"/>
        </w:trPr>
        <w:tc>
          <w:tcPr>
            <w:tcW w:w="1700" w:type="dxa"/>
            <w:vAlign w:val="bottom"/>
          </w:tcPr>
          <w:p>
            <w:pPr>
              <w:spacing w:after="0"/>
              <w:rPr>
                <w:sz w:val="24"/>
                <w:szCs w:val="24"/>
                <w:color w:val="auto"/>
              </w:rPr>
            </w:pPr>
          </w:p>
        </w:tc>
        <w:tc>
          <w:tcPr>
            <w:tcW w:w="4500" w:type="dxa"/>
            <w:vAlign w:val="bottom"/>
          </w:tcPr>
          <w:p>
            <w:pPr>
              <w:ind w:left="392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0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-2430780</wp:posOffset>
            </wp:positionV>
            <wp:extent cx="63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380" w:type="dxa"/>
            <w:vAlign w:val="bottom"/>
          </w:tcPr>
          <w:p>
            <w:pPr>
              <w:spacing w:after="0"/>
              <w:rPr>
                <w:sz w:val="10"/>
                <w:szCs w:val="10"/>
                <w:color w:val="auto"/>
              </w:rPr>
            </w:pPr>
          </w:p>
        </w:tc>
        <w:tc>
          <w:tcPr>
            <w:tcW w:w="7080" w:type="dxa"/>
            <w:vAlign w:val="bottom"/>
            <w:gridSpan w:val="3"/>
            <w:vMerge w:val="restart"/>
          </w:tcPr>
          <w:p>
            <w:pPr>
              <w:ind w:left="4100"/>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spacing w:after="0"/>
              <w:rPr>
                <w:sz w:val="11"/>
                <w:szCs w:val="11"/>
                <w:color w:val="auto"/>
              </w:rPr>
            </w:pPr>
          </w:p>
        </w:tc>
        <w:tc>
          <w:tcPr>
            <w:tcW w:w="7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ind w:left="100"/>
              <w:spacing w:after="0"/>
              <w:rPr>
                <w:sz w:val="20"/>
                <w:szCs w:val="20"/>
                <w:color w:val="auto"/>
              </w:rPr>
            </w:pPr>
            <w:r>
              <w:rPr>
                <w:rFonts w:ascii="Arial" w:cs="Arial" w:eastAsia="Arial" w:hAnsi="Arial"/>
                <w:sz w:val="13"/>
                <w:szCs w:val="13"/>
                <w:color w:val="auto"/>
              </w:rPr>
              <w:t>10.16*(1)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Dick Anderson.</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10.17*(1)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Change of Control Agreement, dated August 1, 2003, between MannKind and Dan Burns.</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10.18*(1)</w:t>
            </w:r>
          </w:p>
        </w:tc>
        <w:tc>
          <w:tcPr>
            <w:tcW w:w="380" w:type="dxa"/>
            <w:vAlign w:val="bottom"/>
          </w:tcPr>
          <w:p>
            <w:pPr>
              <w:ind w:left="100"/>
              <w:spacing w:after="0"/>
              <w:rPr>
                <w:sz w:val="20"/>
                <w:szCs w:val="20"/>
                <w:color w:val="auto"/>
              </w:rPr>
            </w:pPr>
            <w:r>
              <w:rPr>
                <w:rFonts w:ascii="Arial" w:cs="Arial" w:eastAsia="Arial" w:hAnsi="Arial"/>
                <w:sz w:val="13"/>
                <w:szCs w:val="13"/>
                <w:color w:val="auto"/>
                <w:w w:val="89"/>
              </w:rPr>
              <w:t>2004</w:t>
            </w:r>
          </w:p>
        </w:tc>
        <w:tc>
          <w:tcPr>
            <w:tcW w:w="7080" w:type="dxa"/>
            <w:vAlign w:val="bottom"/>
            <w:gridSpan w:val="3"/>
          </w:tcPr>
          <w:p>
            <w:pPr>
              <w:ind w:left="20"/>
              <w:spacing w:after="0"/>
              <w:rPr>
                <w:sz w:val="20"/>
                <w:szCs w:val="20"/>
                <w:color w:val="auto"/>
              </w:rPr>
            </w:pPr>
            <w:r>
              <w:rPr>
                <w:rFonts w:ascii="Arial" w:cs="Arial" w:eastAsia="Arial" w:hAnsi="Arial"/>
                <w:sz w:val="13"/>
                <w:szCs w:val="13"/>
                <w:color w:val="auto"/>
              </w:rPr>
              <w:t>Equity Incentive Plan and form of stock option agreement thereunder.</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10.19*(5)</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Form of Phantom Stock Award Agreement under the 2004 Equity Incentive Plan.</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10.20*</w:t>
            </w:r>
          </w:p>
        </w:tc>
        <w:tc>
          <w:tcPr>
            <w:tcW w:w="380" w:type="dxa"/>
            <w:vAlign w:val="bottom"/>
          </w:tcPr>
          <w:p>
            <w:pPr>
              <w:ind w:left="100"/>
              <w:spacing w:after="0"/>
              <w:rPr>
                <w:sz w:val="20"/>
                <w:szCs w:val="20"/>
                <w:color w:val="auto"/>
              </w:rPr>
            </w:pPr>
            <w:r>
              <w:rPr>
                <w:rFonts w:ascii="Arial" w:cs="Arial" w:eastAsia="Arial" w:hAnsi="Arial"/>
                <w:sz w:val="13"/>
                <w:szCs w:val="13"/>
                <w:color w:val="auto"/>
                <w:w w:val="89"/>
              </w:rPr>
              <w:t>2004</w:t>
            </w:r>
          </w:p>
        </w:tc>
        <w:tc>
          <w:tcPr>
            <w:tcW w:w="7080" w:type="dxa"/>
            <w:vAlign w:val="bottom"/>
            <w:gridSpan w:val="3"/>
          </w:tcPr>
          <w:p>
            <w:pPr>
              <w:ind w:left="20"/>
              <w:spacing w:after="0"/>
              <w:rPr>
                <w:sz w:val="20"/>
                <w:szCs w:val="20"/>
                <w:color w:val="auto"/>
              </w:rPr>
            </w:pPr>
            <w:r>
              <w:rPr>
                <w:rFonts w:ascii="Arial" w:cs="Arial" w:eastAsia="Arial" w:hAnsi="Arial"/>
                <w:sz w:val="13"/>
                <w:szCs w:val="13"/>
                <w:color w:val="auto"/>
              </w:rPr>
              <w:t>Non-Employee Directors’ Stock Option Plan and form of stock option agreement thereunder.</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10.21*(1)</w:t>
            </w:r>
          </w:p>
        </w:tc>
        <w:tc>
          <w:tcPr>
            <w:tcW w:w="380" w:type="dxa"/>
            <w:vAlign w:val="bottom"/>
          </w:tcPr>
          <w:p>
            <w:pPr>
              <w:ind w:left="100"/>
              <w:spacing w:after="0"/>
              <w:rPr>
                <w:sz w:val="20"/>
                <w:szCs w:val="20"/>
                <w:color w:val="auto"/>
              </w:rPr>
            </w:pPr>
            <w:r>
              <w:rPr>
                <w:rFonts w:ascii="Arial" w:cs="Arial" w:eastAsia="Arial" w:hAnsi="Arial"/>
                <w:sz w:val="13"/>
                <w:szCs w:val="13"/>
                <w:color w:val="auto"/>
                <w:w w:val="89"/>
              </w:rPr>
              <w:t>2004</w:t>
            </w:r>
          </w:p>
        </w:tc>
        <w:tc>
          <w:tcPr>
            <w:tcW w:w="7080" w:type="dxa"/>
            <w:vAlign w:val="bottom"/>
            <w:gridSpan w:val="3"/>
          </w:tcPr>
          <w:p>
            <w:pPr>
              <w:ind w:left="20"/>
              <w:spacing w:after="0"/>
              <w:rPr>
                <w:sz w:val="20"/>
                <w:szCs w:val="20"/>
                <w:color w:val="auto"/>
              </w:rPr>
            </w:pPr>
            <w:r>
              <w:rPr>
                <w:rFonts w:ascii="Arial" w:cs="Arial" w:eastAsia="Arial" w:hAnsi="Arial"/>
                <w:sz w:val="13"/>
                <w:szCs w:val="13"/>
                <w:color w:val="auto"/>
              </w:rPr>
              <w:t>Employee Stock Purchase Plan and form of offering document thereunder.</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10.22*(1)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Pharmaceutical Discovery Corporation 1991 Stock Option Plan.</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10.23*(1)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Pharmaceutical Discovery Corporation 1999 Stock Plan and form of stock option plan thereunder.</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10.24*(1)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AlleCure Corp. 2000 Stock Option and Stock Plan.</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10.25*(1)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rPr>
              <w:t>CTL Immunotherapies Corp. 2000 Stock Option and Stock Plan.</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10.26*(1)</w:t>
            </w:r>
          </w:p>
        </w:tc>
        <w:tc>
          <w:tcPr>
            <w:tcW w:w="380" w:type="dxa"/>
            <w:vAlign w:val="bottom"/>
          </w:tcPr>
          <w:p>
            <w:pPr>
              <w:ind w:left="100"/>
              <w:spacing w:after="0"/>
              <w:rPr>
                <w:sz w:val="20"/>
                <w:szCs w:val="20"/>
                <w:color w:val="auto"/>
              </w:rPr>
            </w:pPr>
            <w:r>
              <w:rPr>
                <w:rFonts w:ascii="Arial" w:cs="Arial" w:eastAsia="Arial" w:hAnsi="Arial"/>
                <w:sz w:val="13"/>
                <w:szCs w:val="13"/>
                <w:color w:val="auto"/>
                <w:w w:val="89"/>
              </w:rPr>
              <w:t>2001</w:t>
            </w:r>
          </w:p>
        </w:tc>
        <w:tc>
          <w:tcPr>
            <w:tcW w:w="7080" w:type="dxa"/>
            <w:vAlign w:val="bottom"/>
            <w:gridSpan w:val="3"/>
          </w:tcPr>
          <w:p>
            <w:pPr>
              <w:ind w:left="20"/>
              <w:spacing w:after="0"/>
              <w:rPr>
                <w:sz w:val="20"/>
                <w:szCs w:val="20"/>
                <w:color w:val="auto"/>
              </w:rPr>
            </w:pPr>
            <w:r>
              <w:rPr>
                <w:rFonts w:ascii="Arial" w:cs="Arial" w:eastAsia="Arial" w:hAnsi="Arial"/>
                <w:sz w:val="13"/>
                <w:szCs w:val="13"/>
                <w:color w:val="auto"/>
              </w:rPr>
              <w:t>Stock Awards Plan.</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31.1</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w w:val="91"/>
              </w:rPr>
              <w:t>Certification of the Chief Executive Officer pursuant to Rules 13a-14(a) and 15d-14(a) of the Securities Exchange Act of 1934, as amended.</w:t>
            </w:r>
          </w:p>
        </w:tc>
        <w:tc>
          <w:tcPr>
            <w:tcW w:w="0" w:type="dxa"/>
            <w:vAlign w:val="bottom"/>
          </w:tcPr>
          <w:p>
            <w:pPr>
              <w:spacing w:after="0"/>
              <w:rPr>
                <w:sz w:val="1"/>
                <w:szCs w:val="1"/>
                <w:color w:val="auto"/>
              </w:rPr>
            </w:pPr>
          </w:p>
        </w:tc>
      </w:tr>
      <w:tr>
        <w:trPr>
          <w:trHeight w:val="165"/>
        </w:trPr>
        <w:tc>
          <w:tcPr>
            <w:tcW w:w="720" w:type="dxa"/>
            <w:vAlign w:val="bottom"/>
          </w:tcPr>
          <w:p>
            <w:pPr>
              <w:ind w:left="100"/>
              <w:spacing w:after="0"/>
              <w:rPr>
                <w:sz w:val="20"/>
                <w:szCs w:val="20"/>
                <w:color w:val="auto"/>
              </w:rPr>
            </w:pPr>
            <w:r>
              <w:rPr>
                <w:rFonts w:ascii="Arial" w:cs="Arial" w:eastAsia="Arial" w:hAnsi="Arial"/>
                <w:sz w:val="13"/>
                <w:szCs w:val="13"/>
                <w:color w:val="auto"/>
              </w:rPr>
              <w:t>31.2</w:t>
            </w:r>
          </w:p>
        </w:tc>
        <w:tc>
          <w:tcPr>
            <w:tcW w:w="7460" w:type="dxa"/>
            <w:vAlign w:val="bottom"/>
            <w:gridSpan w:val="4"/>
          </w:tcPr>
          <w:p>
            <w:pPr>
              <w:ind w:left="100"/>
              <w:spacing w:after="0"/>
              <w:rPr>
                <w:sz w:val="20"/>
                <w:szCs w:val="20"/>
                <w:color w:val="auto"/>
              </w:rPr>
            </w:pPr>
            <w:r>
              <w:rPr>
                <w:rFonts w:ascii="Arial" w:cs="Arial" w:eastAsia="Arial" w:hAnsi="Arial"/>
                <w:sz w:val="13"/>
                <w:szCs w:val="13"/>
                <w:color w:val="auto"/>
                <w:w w:val="92"/>
              </w:rPr>
              <w:t>Certification of the Chief Financial Officer pursuant to Rules 13a-14(a) and 15d-14(a) of the Securities Exchange Act of 1934, as 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-1327785</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800" w:hanging="722"/>
        <w:spacing w:after="0" w:line="264" w:lineRule="auto"/>
        <w:tabs>
          <w:tab w:leader="none" w:pos="1800" w:val="left"/>
        </w:tabs>
        <w:numPr>
          <w:ilvl w:val="1"/>
          <w:numId w:val="28"/>
        </w:numPr>
        <w:rPr>
          <w:rFonts w:ascii="Arial" w:cs="Arial" w:eastAsia="Arial" w:hAnsi="Arial"/>
          <w:sz w:val="13"/>
          <w:szCs w:val="13"/>
          <w:color w:val="auto"/>
        </w:rPr>
      </w:pPr>
      <w:r>
        <w:rPr>
          <w:rFonts w:ascii="Arial" w:cs="Arial" w:eastAsia="Arial" w:hAnsi="Arial"/>
          <w:sz w:val="13"/>
          <w:szCs w:val="13"/>
          <w:color w:val="auto"/>
        </w:rPr>
        <w:t>Certifications of the Chief Executive Officer and Chief Financial Officer pursuant to Rules 13a-14(b) and 15d-14(b) of the Securities Exchange Act of 1934, as amended and Section 1350 of Chapter 63 of Title 18 of the United States Code (18 U.S.C. § 1350)</w:t>
      </w:r>
    </w:p>
    <w:p>
      <w:pPr>
        <w:spacing w:after="0" w:line="135" w:lineRule="exact"/>
        <w:rPr>
          <w:rFonts w:ascii="Arial" w:cs="Arial" w:eastAsia="Arial" w:hAnsi="Arial"/>
          <w:sz w:val="13"/>
          <w:szCs w:val="13"/>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-126365</wp:posOffset>
            </wp:positionV>
            <wp:extent cx="82359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 w:lineRule="exact"/>
        <w:rPr>
          <w:sz w:val="20"/>
          <w:szCs w:val="20"/>
          <w:color w:val="auto"/>
        </w:rPr>
      </w:pPr>
    </w:p>
    <w:p>
      <w:pPr>
        <w:ind w:left="1000" w:hanging="280"/>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Confidential treatment has been granted with respect to certain portions of this exhibit. Omitted portions have been filed separately with the SEC.</w:t>
      </w:r>
    </w:p>
    <w:p>
      <w:pPr>
        <w:spacing w:after="0" w:line="47"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Incorporated by reference to MannKind’s registration statement on Form S-1 (File No. 333-115020), filed with the SEC on April 30, 2004, as amended.</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August 5, 2005.</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February 23, 2005.</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February 22, 2006.</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December 14, 2005.</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80"/>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ANNKIND</w:t>
      </w:r>
      <w:r>
        <w:rPr>
          <w:rFonts w:ascii="Arial" w:cs="Arial" w:eastAsia="Arial" w:hAnsi="Arial"/>
          <w:sz w:val="13"/>
          <w:szCs w:val="13"/>
          <w:color w:val="auto"/>
        </w:rPr>
        <w:t xml:space="preserve"> C</w:t>
      </w:r>
      <w:r>
        <w:rPr>
          <w:rFonts w:ascii="Arial" w:cs="Arial" w:eastAsia="Arial" w:hAnsi="Arial"/>
          <w:sz w:val="8"/>
          <w:szCs w:val="8"/>
          <w:color w:val="auto"/>
        </w:rPr>
        <w:t>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15, 2006</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840"/>
        <w:spacing w:after="0" w:line="282" w:lineRule="auto"/>
        <w:rPr>
          <w:sz w:val="20"/>
          <w:szCs w:val="20"/>
          <w:color w:val="auto"/>
        </w:rPr>
      </w:pPr>
      <w:r>
        <w:rPr>
          <w:rFonts w:ascii="Arial" w:cs="Arial" w:eastAsia="Arial" w:hAnsi="Arial"/>
          <w:sz w:val="12"/>
          <w:szCs w:val="12"/>
          <w:color w:val="auto"/>
        </w:rPr>
        <w:t>KNOW ALL BY THESE PRESENTS, that each person whose signature appears below constitutes and appoints Hakan S. Edstrom, Richard L. Anderson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59" w:lineRule="exact"/>
        <w:rPr>
          <w:sz w:val="20"/>
          <w:szCs w:val="20"/>
          <w:color w:val="auto"/>
        </w:rPr>
      </w:pPr>
    </w:p>
    <w:p>
      <w:pPr>
        <w:ind w:left="680" w:right="880"/>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340" w:type="dxa"/>
            <w:vAlign w:val="bottom"/>
          </w:tcPr>
          <w:p>
            <w:pPr>
              <w:jc w:val="right"/>
              <w:ind w:right="1856"/>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320" w:type="dxa"/>
            <w:vAlign w:val="bottom"/>
          </w:tcPr>
          <w:p>
            <w:pPr>
              <w:ind w:left="82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Alfred E. Mann</w:t>
            </w:r>
          </w:p>
        </w:tc>
        <w:tc>
          <w:tcPr>
            <w:tcW w:w="4340" w:type="dxa"/>
            <w:vAlign w:val="bottom"/>
          </w:tcPr>
          <w:p>
            <w:pPr>
              <w:jc w:val="center"/>
              <w:ind w:left="56"/>
              <w:spacing w:after="0"/>
              <w:rPr>
                <w:sz w:val="20"/>
                <w:szCs w:val="20"/>
                <w:color w:val="auto"/>
              </w:rPr>
            </w:pPr>
            <w:r>
              <w:rPr>
                <w:rFonts w:ascii="Arial" w:cs="Arial" w:eastAsia="Arial" w:hAnsi="Arial"/>
                <w:sz w:val="13"/>
                <w:szCs w:val="13"/>
                <w:color w:val="auto"/>
                <w:w w:val="93"/>
              </w:rPr>
              <w:t>Chief Executive Officer and Chairman of the Board of Directors</w:t>
            </w:r>
          </w:p>
        </w:tc>
        <w:tc>
          <w:tcPr>
            <w:tcW w:w="2320" w:type="dxa"/>
            <w:vAlign w:val="bottom"/>
          </w:tcPr>
          <w:p>
            <w:pPr>
              <w:ind w:left="420"/>
              <w:spacing w:after="0"/>
              <w:rPr>
                <w:sz w:val="20"/>
                <w:szCs w:val="20"/>
                <w:color w:val="auto"/>
              </w:rPr>
            </w:pPr>
            <w:r>
              <w:rPr>
                <w:rFonts w:ascii="Arial" w:cs="Arial" w:eastAsia="Arial" w:hAnsi="Arial"/>
                <w:sz w:val="13"/>
                <w:szCs w:val="13"/>
                <w:color w:val="auto"/>
              </w:rPr>
              <w:t>March 15, 2006</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Alfred E. Mann</w:t>
            </w:r>
          </w:p>
        </w:tc>
        <w:tc>
          <w:tcPr>
            <w:tcW w:w="4340" w:type="dxa"/>
            <w:vAlign w:val="bottom"/>
          </w:tcPr>
          <w:p>
            <w:pPr>
              <w:jc w:val="center"/>
              <w:ind w:left="56"/>
              <w:spacing w:after="0" w:line="145" w:lineRule="exact"/>
              <w:rPr>
                <w:sz w:val="20"/>
                <w:szCs w:val="20"/>
                <w:color w:val="auto"/>
              </w:rPr>
            </w:pPr>
            <w:r>
              <w:rPr>
                <w:rFonts w:ascii="Arial" w:cs="Arial" w:eastAsia="Arial" w:hAnsi="Arial"/>
                <w:sz w:val="13"/>
                <w:szCs w:val="13"/>
                <w:i w:val="1"/>
                <w:iCs w:val="1"/>
                <w:color w:val="auto"/>
                <w:w w:val="95"/>
              </w:rPr>
              <w:t>(Principal Executive Officer)</w:t>
            </w:r>
          </w:p>
        </w:tc>
        <w:tc>
          <w:tcPr>
            <w:tcW w:w="23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Hakan S. Edstrom</w:t>
            </w:r>
          </w:p>
        </w:tc>
        <w:tc>
          <w:tcPr>
            <w:tcW w:w="4340" w:type="dxa"/>
            <w:vAlign w:val="bottom"/>
          </w:tcPr>
          <w:p>
            <w:pPr>
              <w:jc w:val="center"/>
              <w:ind w:left="56"/>
              <w:spacing w:after="0"/>
              <w:rPr>
                <w:sz w:val="20"/>
                <w:szCs w:val="20"/>
                <w:color w:val="auto"/>
              </w:rPr>
            </w:pPr>
            <w:r>
              <w:rPr>
                <w:rFonts w:ascii="Arial" w:cs="Arial" w:eastAsia="Arial" w:hAnsi="Arial"/>
                <w:sz w:val="13"/>
                <w:szCs w:val="13"/>
                <w:color w:val="auto"/>
                <w:w w:val="92"/>
              </w:rPr>
              <w:t>President, Chief Operating Officer and Director</w:t>
            </w:r>
          </w:p>
        </w:tc>
        <w:tc>
          <w:tcPr>
            <w:tcW w:w="2320" w:type="dxa"/>
            <w:vAlign w:val="bottom"/>
          </w:tcPr>
          <w:p>
            <w:pPr>
              <w:ind w:left="420"/>
              <w:spacing w:after="0"/>
              <w:rPr>
                <w:sz w:val="20"/>
                <w:szCs w:val="20"/>
                <w:color w:val="auto"/>
              </w:rPr>
            </w:pPr>
            <w:r>
              <w:rPr>
                <w:rFonts w:ascii="Arial" w:cs="Arial" w:eastAsia="Arial" w:hAnsi="Arial"/>
                <w:sz w:val="13"/>
                <w:szCs w:val="13"/>
                <w:color w:val="auto"/>
              </w:rPr>
              <w:t>March 15, 2006</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Hakan S. Edstrom</w:t>
            </w:r>
          </w:p>
        </w:tc>
        <w:tc>
          <w:tcPr>
            <w:tcW w:w="43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Richard L. Anderson</w:t>
            </w:r>
          </w:p>
        </w:tc>
        <w:tc>
          <w:tcPr>
            <w:tcW w:w="4340" w:type="dxa"/>
            <w:vAlign w:val="bottom"/>
          </w:tcPr>
          <w:p>
            <w:pPr>
              <w:jc w:val="center"/>
              <w:ind w:left="76"/>
              <w:spacing w:after="0"/>
              <w:rPr>
                <w:sz w:val="20"/>
                <w:szCs w:val="20"/>
                <w:color w:val="auto"/>
              </w:rPr>
            </w:pPr>
            <w:r>
              <w:rPr>
                <w:rFonts w:ascii="Arial" w:cs="Arial" w:eastAsia="Arial" w:hAnsi="Arial"/>
                <w:sz w:val="13"/>
                <w:szCs w:val="13"/>
                <w:color w:val="auto"/>
                <w:w w:val="93"/>
              </w:rPr>
              <w:t xml:space="preserve">Corporate Vice President and Chief Financial Officer </w:t>
            </w:r>
            <w:r>
              <w:rPr>
                <w:rFonts w:ascii="Arial" w:cs="Arial" w:eastAsia="Arial" w:hAnsi="Arial"/>
                <w:sz w:val="13"/>
                <w:szCs w:val="13"/>
                <w:i w:val="1"/>
                <w:iCs w:val="1"/>
                <w:color w:val="auto"/>
                <w:w w:val="93"/>
              </w:rPr>
              <w:t>(Principal</w:t>
            </w:r>
          </w:p>
        </w:tc>
        <w:tc>
          <w:tcPr>
            <w:tcW w:w="2320" w:type="dxa"/>
            <w:vAlign w:val="bottom"/>
          </w:tcPr>
          <w:p>
            <w:pPr>
              <w:ind w:left="420"/>
              <w:spacing w:after="0"/>
              <w:rPr>
                <w:sz w:val="20"/>
                <w:szCs w:val="20"/>
                <w:color w:val="auto"/>
              </w:rPr>
            </w:pPr>
            <w:r>
              <w:rPr>
                <w:rFonts w:ascii="Arial" w:cs="Arial" w:eastAsia="Arial" w:hAnsi="Arial"/>
                <w:sz w:val="13"/>
                <w:szCs w:val="13"/>
                <w:color w:val="auto"/>
              </w:rPr>
              <w:t>March 15, 2006</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Richard L. Anderson</w:t>
            </w:r>
          </w:p>
        </w:tc>
        <w:tc>
          <w:tcPr>
            <w:tcW w:w="4340" w:type="dxa"/>
            <w:vAlign w:val="bottom"/>
          </w:tcPr>
          <w:p>
            <w:pPr>
              <w:jc w:val="center"/>
              <w:ind w:left="56"/>
              <w:spacing w:after="0" w:line="145" w:lineRule="exact"/>
              <w:rPr>
                <w:sz w:val="20"/>
                <w:szCs w:val="20"/>
                <w:color w:val="auto"/>
              </w:rPr>
            </w:pPr>
            <w:r>
              <w:rPr>
                <w:rFonts w:ascii="Arial" w:cs="Arial" w:eastAsia="Arial" w:hAnsi="Arial"/>
                <w:sz w:val="13"/>
                <w:szCs w:val="13"/>
                <w:i w:val="1"/>
                <w:iCs w:val="1"/>
                <w:color w:val="auto"/>
                <w:w w:val="95"/>
              </w:rPr>
              <w:t>Financial and Accounting Officer)</w:t>
            </w:r>
          </w:p>
        </w:tc>
        <w:tc>
          <w:tcPr>
            <w:tcW w:w="23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Kathleen Connell, Ph.D.</w:t>
            </w:r>
          </w:p>
        </w:tc>
        <w:tc>
          <w:tcPr>
            <w:tcW w:w="4340" w:type="dxa"/>
            <w:vAlign w:val="bottom"/>
          </w:tcPr>
          <w:p>
            <w:pPr>
              <w:jc w:val="center"/>
              <w:ind w:left="76"/>
              <w:spacing w:after="0"/>
              <w:rPr>
                <w:sz w:val="20"/>
                <w:szCs w:val="20"/>
                <w:color w:val="auto"/>
              </w:rPr>
            </w:pPr>
            <w:r>
              <w:rPr>
                <w:rFonts w:ascii="Arial" w:cs="Arial" w:eastAsia="Arial" w:hAnsi="Arial"/>
                <w:sz w:val="13"/>
                <w:szCs w:val="13"/>
                <w:color w:val="auto"/>
                <w:w w:val="96"/>
              </w:rPr>
              <w:t>Director</w:t>
            </w:r>
          </w:p>
        </w:tc>
        <w:tc>
          <w:tcPr>
            <w:tcW w:w="2320" w:type="dxa"/>
            <w:vAlign w:val="bottom"/>
          </w:tcPr>
          <w:p>
            <w:pPr>
              <w:ind w:left="420"/>
              <w:spacing w:after="0"/>
              <w:rPr>
                <w:sz w:val="20"/>
                <w:szCs w:val="20"/>
                <w:color w:val="auto"/>
              </w:rPr>
            </w:pPr>
            <w:r>
              <w:rPr>
                <w:rFonts w:ascii="Arial" w:cs="Arial" w:eastAsia="Arial" w:hAnsi="Arial"/>
                <w:sz w:val="13"/>
                <w:szCs w:val="13"/>
                <w:color w:val="auto"/>
              </w:rPr>
              <w:t>March 15, 2006</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Kathleen Connell, Ph.D.</w:t>
            </w:r>
          </w:p>
        </w:tc>
        <w:tc>
          <w:tcPr>
            <w:tcW w:w="43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Ronald J. Consiglio</w:t>
            </w:r>
          </w:p>
        </w:tc>
        <w:tc>
          <w:tcPr>
            <w:tcW w:w="4340" w:type="dxa"/>
            <w:vAlign w:val="bottom"/>
          </w:tcPr>
          <w:p>
            <w:pPr>
              <w:jc w:val="center"/>
              <w:ind w:left="76"/>
              <w:spacing w:after="0"/>
              <w:rPr>
                <w:sz w:val="20"/>
                <w:szCs w:val="20"/>
                <w:color w:val="auto"/>
              </w:rPr>
            </w:pPr>
            <w:r>
              <w:rPr>
                <w:rFonts w:ascii="Arial" w:cs="Arial" w:eastAsia="Arial" w:hAnsi="Arial"/>
                <w:sz w:val="13"/>
                <w:szCs w:val="13"/>
                <w:color w:val="auto"/>
                <w:w w:val="96"/>
              </w:rPr>
              <w:t>Director</w:t>
            </w:r>
          </w:p>
        </w:tc>
        <w:tc>
          <w:tcPr>
            <w:tcW w:w="2320" w:type="dxa"/>
            <w:vAlign w:val="bottom"/>
          </w:tcPr>
          <w:p>
            <w:pPr>
              <w:ind w:left="420"/>
              <w:spacing w:after="0"/>
              <w:rPr>
                <w:sz w:val="20"/>
                <w:szCs w:val="20"/>
                <w:color w:val="auto"/>
              </w:rPr>
            </w:pPr>
            <w:r>
              <w:rPr>
                <w:rFonts w:ascii="Arial" w:cs="Arial" w:eastAsia="Arial" w:hAnsi="Arial"/>
                <w:sz w:val="13"/>
                <w:szCs w:val="13"/>
                <w:color w:val="auto"/>
              </w:rPr>
              <w:t>March 15, 2006</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Ronald J. Consiglio</w:t>
            </w:r>
          </w:p>
        </w:tc>
        <w:tc>
          <w:tcPr>
            <w:tcW w:w="43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Friedman, M.D.</w:t>
            </w:r>
          </w:p>
        </w:tc>
        <w:tc>
          <w:tcPr>
            <w:tcW w:w="4340" w:type="dxa"/>
            <w:vAlign w:val="bottom"/>
          </w:tcPr>
          <w:p>
            <w:pPr>
              <w:jc w:val="center"/>
              <w:ind w:left="76"/>
              <w:spacing w:after="0"/>
              <w:rPr>
                <w:sz w:val="20"/>
                <w:szCs w:val="20"/>
                <w:color w:val="auto"/>
              </w:rPr>
            </w:pPr>
            <w:r>
              <w:rPr>
                <w:rFonts w:ascii="Arial" w:cs="Arial" w:eastAsia="Arial" w:hAnsi="Arial"/>
                <w:sz w:val="13"/>
                <w:szCs w:val="13"/>
                <w:color w:val="auto"/>
                <w:w w:val="96"/>
              </w:rPr>
              <w:t>Director</w:t>
            </w:r>
          </w:p>
        </w:tc>
        <w:tc>
          <w:tcPr>
            <w:tcW w:w="2320" w:type="dxa"/>
            <w:vAlign w:val="bottom"/>
          </w:tcPr>
          <w:p>
            <w:pPr>
              <w:ind w:left="420"/>
              <w:spacing w:after="0"/>
              <w:rPr>
                <w:sz w:val="20"/>
                <w:szCs w:val="20"/>
                <w:color w:val="auto"/>
              </w:rPr>
            </w:pPr>
            <w:r>
              <w:rPr>
                <w:rFonts w:ascii="Arial" w:cs="Arial" w:eastAsia="Arial" w:hAnsi="Arial"/>
                <w:sz w:val="13"/>
                <w:szCs w:val="13"/>
                <w:color w:val="auto"/>
              </w:rPr>
              <w:t>March 15, 2006</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Michael Friedman, M.D.</w:t>
            </w:r>
          </w:p>
        </w:tc>
        <w:tc>
          <w:tcPr>
            <w:tcW w:w="43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340" w:type="dxa"/>
            <w:vAlign w:val="bottom"/>
          </w:tcPr>
          <w:p>
            <w:pPr>
              <w:jc w:val="right"/>
              <w:ind w:right="3336"/>
              <w:spacing w:after="0"/>
              <w:rPr>
                <w:sz w:val="20"/>
                <w:szCs w:val="20"/>
                <w:color w:val="auto"/>
              </w:rPr>
            </w:pPr>
            <w:r>
              <w:rPr>
                <w:rFonts w:ascii="Arial" w:cs="Arial" w:eastAsia="Arial" w:hAnsi="Arial"/>
                <w:sz w:val="13"/>
                <w:szCs w:val="13"/>
                <w:color w:val="auto"/>
              </w:rPr>
              <w:t>65</w:t>
            </w:r>
          </w:p>
        </w:tc>
        <w:tc>
          <w:tcPr>
            <w:tcW w:w="23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-2237105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700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Llew Keltner M.D., Ph.D.</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15, 2006</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Llew Keltner M.D., Ph.D.</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15, 2006</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Kent Kresa</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15, 2006</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David H. MacCallum</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Henry L. Nordhoff</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15, 2006</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Henry L. Nordhoff</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276"/>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0" w:type="dxa"/>
            <w:vAlign w:val="bottom"/>
          </w:tcPr>
          <w:p>
            <w:pPr>
              <w:ind w:left="820"/>
              <w:spacing w:after="0"/>
              <w:rPr>
                <w:sz w:val="20"/>
                <w:szCs w:val="20"/>
                <w:color w:val="auto"/>
              </w:rPr>
            </w:pPr>
            <w:r>
              <w:rPr>
                <w:rFonts w:ascii="Arial" w:cs="Arial" w:eastAsia="Arial" w:hAnsi="Arial"/>
                <w:sz w:val="13"/>
                <w:szCs w:val="13"/>
                <w:color w:val="auto"/>
              </w:rPr>
              <w:t>66</w:t>
            </w:r>
          </w:p>
        </w:tc>
        <w:tc>
          <w:tcPr>
            <w:tcW w:w="30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3960" w:type="dxa"/>
            <w:vAlign w:val="bottom"/>
            <w:gridSpan w:val="9"/>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7500" w:type="dxa"/>
            <w:vAlign w:val="bottom"/>
          </w:tcPr>
          <w:p>
            <w:pPr>
              <w:spacing w:after="0"/>
              <w:rPr>
                <w:sz w:val="13"/>
                <w:szCs w:val="13"/>
                <w:color w:val="auto"/>
              </w:rPr>
            </w:pPr>
          </w:p>
        </w:tc>
      </w:tr>
      <w:tr>
        <w:trPr>
          <w:trHeight w:val="370"/>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b w:val="1"/>
                <w:bCs w:val="1"/>
                <w:color w:val="auto"/>
              </w:rPr>
              <w:t>MANNKIND CORPORATION AND SUBSIDIARIES</w:t>
            </w: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00" w:type="dxa"/>
            <w:vAlign w:val="bottom"/>
          </w:tcPr>
          <w:p>
            <w:pPr>
              <w:jc w:val="center"/>
              <w:ind w:right="4014"/>
              <w:spacing w:after="0"/>
              <w:rPr>
                <w:sz w:val="20"/>
                <w:szCs w:val="20"/>
                <w:color w:val="auto"/>
              </w:rPr>
            </w:pPr>
            <w:r>
              <w:rPr>
                <w:rFonts w:ascii="Arial" w:cs="Arial" w:eastAsia="Arial" w:hAnsi="Arial"/>
                <w:sz w:val="13"/>
                <w:szCs w:val="13"/>
                <w:b w:val="1"/>
                <w:bCs w:val="1"/>
                <w:color w:val="auto"/>
                <w:w w:val="90"/>
              </w:rPr>
              <w:t>(A Development Stage Company)</w:t>
            </w: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b w:val="1"/>
                <w:bCs w:val="1"/>
                <w:color w:val="auto"/>
              </w:rPr>
              <w:t>INDEX TO FINANCIAL STATEMENTS</w:t>
            </w:r>
          </w:p>
        </w:tc>
      </w:tr>
      <w:tr>
        <w:trPr>
          <w:trHeight w:val="306"/>
        </w:trPr>
        <w:tc>
          <w:tcPr>
            <w:tcW w:w="680" w:type="dxa"/>
            <w:vAlign w:val="bottom"/>
          </w:tcPr>
          <w:p>
            <w:pPr>
              <w:spacing w:after="0"/>
              <w:rPr>
                <w:sz w:val="24"/>
                <w:szCs w:val="24"/>
                <w:color w:val="auto"/>
              </w:rPr>
            </w:pPr>
          </w:p>
        </w:tc>
        <w:tc>
          <w:tcPr>
            <w:tcW w:w="3080" w:type="dxa"/>
            <w:vAlign w:val="bottom"/>
            <w:tcBorders>
              <w:bottom w:val="single" w:sz="8" w:color="0000EE"/>
            </w:tcBorders>
            <w:gridSpan w:val="7"/>
          </w:tcPr>
          <w:p>
            <w:pPr>
              <w:spacing w:after="0"/>
              <w:rPr>
                <w:rFonts w:ascii="Arial" w:cs="Arial" w:eastAsia="Arial" w:hAnsi="Arial"/>
                <w:sz w:val="13"/>
                <w:szCs w:val="13"/>
                <w:color w:val="0000EE"/>
                <w:w w:val="92"/>
              </w:rPr>
            </w:pPr>
            <w:hyperlink w:anchor="page69">
              <w:r>
                <w:rPr>
                  <w:rFonts w:ascii="Arial" w:cs="Arial" w:eastAsia="Arial" w:hAnsi="Arial"/>
                  <w:sz w:val="13"/>
                  <w:szCs w:val="13"/>
                  <w:color w:val="0000EE"/>
                  <w:w w:val="92"/>
                </w:rPr>
                <w:t>Report of Independent Registered Public Accounting Firm</w:t>
              </w:r>
            </w:hyperlink>
          </w:p>
        </w:tc>
        <w:tc>
          <w:tcPr>
            <w:tcW w:w="200" w:type="dxa"/>
            <w:vAlign w:val="bottom"/>
          </w:tcPr>
          <w:p>
            <w:pPr>
              <w:spacing w:after="0"/>
              <w:rPr>
                <w:sz w:val="24"/>
                <w:szCs w:val="24"/>
                <w:color w:val="auto"/>
              </w:rPr>
            </w:pPr>
          </w:p>
        </w:tc>
        <w:tc>
          <w:tcPr>
            <w:tcW w:w="7500" w:type="dxa"/>
            <w:vAlign w:val="bottom"/>
          </w:tcPr>
          <w:p>
            <w:pPr>
              <w:jc w:val="right"/>
              <w:ind w:right="734"/>
              <w:spacing w:after="0"/>
              <w:rPr>
                <w:sz w:val="20"/>
                <w:szCs w:val="20"/>
                <w:color w:val="auto"/>
              </w:rPr>
            </w:pPr>
            <w:r>
              <w:rPr>
                <w:rFonts w:ascii="Arial" w:cs="Arial" w:eastAsia="Arial" w:hAnsi="Arial"/>
                <w:sz w:val="13"/>
                <w:szCs w:val="13"/>
                <w:color w:val="auto"/>
              </w:rPr>
              <w:t>F-2</w:t>
            </w:r>
          </w:p>
        </w:tc>
      </w:tr>
      <w:tr>
        <w:trPr>
          <w:trHeight w:val="137"/>
        </w:trPr>
        <w:tc>
          <w:tcPr>
            <w:tcW w:w="680" w:type="dxa"/>
            <w:vAlign w:val="bottom"/>
          </w:tcPr>
          <w:p>
            <w:pPr>
              <w:spacing w:after="0"/>
              <w:rPr>
                <w:sz w:val="11"/>
                <w:szCs w:val="11"/>
                <w:color w:val="auto"/>
              </w:rPr>
            </w:pPr>
          </w:p>
        </w:tc>
        <w:tc>
          <w:tcPr>
            <w:tcW w:w="3280" w:type="dxa"/>
            <w:vAlign w:val="bottom"/>
            <w:gridSpan w:val="8"/>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Consolidated Balance Sheets</w:t>
              </w:r>
            </w:hyperlink>
          </w:p>
        </w:tc>
        <w:tc>
          <w:tcPr>
            <w:tcW w:w="7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F-3</w:t>
            </w:r>
          </w:p>
        </w:tc>
      </w:tr>
      <w:tr>
        <w:trPr>
          <w:trHeight w:val="137"/>
        </w:trPr>
        <w:tc>
          <w:tcPr>
            <w:tcW w:w="680" w:type="dxa"/>
            <w:vAlign w:val="bottom"/>
          </w:tcPr>
          <w:p>
            <w:pPr>
              <w:spacing w:after="0"/>
              <w:rPr>
                <w:sz w:val="11"/>
                <w:szCs w:val="11"/>
                <w:color w:val="auto"/>
              </w:rPr>
            </w:pPr>
          </w:p>
        </w:tc>
        <w:tc>
          <w:tcPr>
            <w:tcW w:w="13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9"/>
              </w:rPr>
            </w:pPr>
            <w:hyperlink w:anchor="page71">
              <w:r>
                <w:rPr>
                  <w:rFonts w:ascii="Arial" w:cs="Arial" w:eastAsia="Arial" w:hAnsi="Arial"/>
                  <w:sz w:val="13"/>
                  <w:szCs w:val="13"/>
                  <w:color w:val="0000EE"/>
                  <w:w w:val="89"/>
                </w:rPr>
                <w:t>Statements of Operations</w:t>
              </w:r>
            </w:hyperlink>
          </w:p>
        </w:tc>
        <w:tc>
          <w:tcPr>
            <w:tcW w:w="180" w:type="dxa"/>
            <w:vAlign w:val="bottom"/>
            <w:tcBorders>
              <w:top w:val="single" w:sz="8" w:color="0000EE"/>
            </w:tcBorders>
            <w:gridSpan w:val="2"/>
          </w:tcPr>
          <w:p>
            <w:pPr>
              <w:spacing w:after="0"/>
              <w:rPr>
                <w:sz w:val="11"/>
                <w:szCs w:val="11"/>
                <w:color w:val="auto"/>
              </w:rPr>
            </w:pPr>
          </w:p>
        </w:tc>
        <w:tc>
          <w:tcPr>
            <w:tcW w:w="1760" w:type="dxa"/>
            <w:vAlign w:val="bottom"/>
            <w:gridSpan w:val="4"/>
          </w:tcPr>
          <w:p>
            <w:pPr>
              <w:spacing w:after="0"/>
              <w:rPr>
                <w:sz w:val="11"/>
                <w:szCs w:val="11"/>
                <w:color w:val="auto"/>
              </w:rPr>
            </w:pPr>
          </w:p>
        </w:tc>
        <w:tc>
          <w:tcPr>
            <w:tcW w:w="7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F-4</w:t>
            </w:r>
          </w:p>
        </w:tc>
      </w:tr>
      <w:tr>
        <w:trPr>
          <w:trHeight w:val="137"/>
        </w:trPr>
        <w:tc>
          <w:tcPr>
            <w:tcW w:w="680" w:type="dxa"/>
            <w:vAlign w:val="bottom"/>
          </w:tcPr>
          <w:p>
            <w:pPr>
              <w:spacing w:after="0"/>
              <w:rPr>
                <w:sz w:val="11"/>
                <w:szCs w:val="11"/>
                <w:color w:val="auto"/>
              </w:rPr>
            </w:pPr>
          </w:p>
        </w:tc>
        <w:tc>
          <w:tcPr>
            <w:tcW w:w="2360" w:type="dxa"/>
            <w:vAlign w:val="bottom"/>
            <w:tcBorders>
              <w:bottom w:val="single" w:sz="8" w:color="0000EE"/>
            </w:tcBorders>
            <w:gridSpan w:val="6"/>
          </w:tcPr>
          <w:p>
            <w:pPr>
              <w:spacing w:after="0" w:line="138" w:lineRule="exact"/>
              <w:rPr>
                <w:rFonts w:ascii="Arial" w:cs="Arial" w:eastAsia="Arial" w:hAnsi="Arial"/>
                <w:sz w:val="13"/>
                <w:szCs w:val="13"/>
                <w:color w:val="0000EE"/>
                <w:w w:val="93"/>
              </w:rPr>
            </w:pPr>
            <w:hyperlink w:anchor="page72">
              <w:r>
                <w:rPr>
                  <w:rFonts w:ascii="Arial" w:cs="Arial" w:eastAsia="Arial" w:hAnsi="Arial"/>
                  <w:sz w:val="13"/>
                  <w:szCs w:val="13"/>
                  <w:color w:val="0000EE"/>
                  <w:w w:val="93"/>
                </w:rPr>
                <w:t>Statements of Stockholders’ Equity (Deficit)</w:t>
              </w:r>
            </w:hyperlink>
          </w:p>
        </w:tc>
        <w:tc>
          <w:tcPr>
            <w:tcW w:w="920" w:type="dxa"/>
            <w:vAlign w:val="bottom"/>
            <w:gridSpan w:val="2"/>
          </w:tcPr>
          <w:p>
            <w:pPr>
              <w:spacing w:after="0"/>
              <w:rPr>
                <w:sz w:val="11"/>
                <w:szCs w:val="11"/>
                <w:color w:val="auto"/>
              </w:rPr>
            </w:pPr>
          </w:p>
        </w:tc>
        <w:tc>
          <w:tcPr>
            <w:tcW w:w="7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F-5</w:t>
            </w:r>
          </w:p>
        </w:tc>
      </w:tr>
      <w:tr>
        <w:trPr>
          <w:trHeight w:val="137"/>
        </w:trPr>
        <w:tc>
          <w:tcPr>
            <w:tcW w:w="680" w:type="dxa"/>
            <w:vAlign w:val="bottom"/>
          </w:tcPr>
          <w:p>
            <w:pPr>
              <w:spacing w:after="0"/>
              <w:rPr>
                <w:sz w:val="11"/>
                <w:szCs w:val="11"/>
                <w:color w:val="auto"/>
              </w:rPr>
            </w:pPr>
          </w:p>
        </w:tc>
        <w:tc>
          <w:tcPr>
            <w:tcW w:w="138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75">
              <w:r>
                <w:rPr>
                  <w:rFonts w:ascii="Arial" w:cs="Arial" w:eastAsia="Arial" w:hAnsi="Arial"/>
                  <w:sz w:val="13"/>
                  <w:szCs w:val="13"/>
                  <w:color w:val="0000EE"/>
                  <w:w w:val="89"/>
                </w:rPr>
                <w:t>Statements of Cash Flows</w:t>
              </w:r>
            </w:hyperlink>
          </w:p>
        </w:tc>
        <w:tc>
          <w:tcPr>
            <w:tcW w:w="1900" w:type="dxa"/>
            <w:vAlign w:val="bottom"/>
            <w:gridSpan w:val="5"/>
          </w:tcPr>
          <w:p>
            <w:pPr>
              <w:spacing w:after="0"/>
              <w:rPr>
                <w:sz w:val="11"/>
                <w:szCs w:val="11"/>
                <w:color w:val="auto"/>
              </w:rPr>
            </w:pPr>
          </w:p>
        </w:tc>
        <w:tc>
          <w:tcPr>
            <w:tcW w:w="7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F-8</w:t>
            </w:r>
          </w:p>
        </w:tc>
      </w:tr>
      <w:tr>
        <w:trPr>
          <w:trHeight w:val="137"/>
        </w:trPr>
        <w:tc>
          <w:tcPr>
            <w:tcW w:w="680" w:type="dxa"/>
            <w:vAlign w:val="bottom"/>
          </w:tcPr>
          <w:p>
            <w:pPr>
              <w:spacing w:after="0"/>
              <w:rPr>
                <w:sz w:val="11"/>
                <w:szCs w:val="11"/>
                <w:color w:val="auto"/>
              </w:rPr>
            </w:pPr>
          </w:p>
        </w:tc>
        <w:tc>
          <w:tcPr>
            <w:tcW w:w="3280" w:type="dxa"/>
            <w:vAlign w:val="bottom"/>
            <w:gridSpan w:val="8"/>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Notes to Financial Statements</w:t>
              </w:r>
            </w:hyperlink>
          </w:p>
        </w:tc>
        <w:tc>
          <w:tcPr>
            <w:tcW w:w="7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F-10</w:t>
            </w:r>
          </w:p>
        </w:tc>
      </w:tr>
      <w:tr>
        <w:trPr>
          <w:trHeight w:val="460"/>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tcPr>
          <w:p>
            <w:pPr>
              <w:jc w:val="center"/>
              <w:ind w:right="4014"/>
              <w:spacing w:after="0"/>
              <w:rPr>
                <w:sz w:val="20"/>
                <w:szCs w:val="20"/>
                <w:color w:val="auto"/>
              </w:rPr>
            </w:pPr>
            <w:r>
              <w:rPr>
                <w:rFonts w:ascii="Arial" w:cs="Arial" w:eastAsia="Arial" w:hAnsi="Arial"/>
                <w:sz w:val="13"/>
                <w:szCs w:val="13"/>
                <w:color w:val="auto"/>
                <w:w w:val="92"/>
              </w:rPr>
              <w:t>F-1</w:t>
            </w: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MannKind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Valencia, California</w:t>
      </w:r>
    </w:p>
    <w:p>
      <w:pPr>
        <w:spacing w:after="0" w:line="89"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We have audited the accompanying consolidated balance sheets of MannKind Corporation and subsidiaries (a development stage company) (the “Company”) as of December 31, 2004 and 2005 and the related statements of operations, stockholders’ equity (deficit) and cash flows for each of the three years in the period ended December 31, 2005 and for the period from February 14, 1991 (date of inception) to December 31, 2005. These financial statements are the responsibility of the Company’s management. Our responsibility is to express an opinion on these financial statements based on our audits.</w:t>
      </w:r>
    </w:p>
    <w:p>
      <w:pPr>
        <w:spacing w:after="0" w:line="70"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In our opinion, such financial statements present fairly, in all material respects, the financial position of MannKind Corporation and subsidiaries at December 31, 2004 and 2005 and the results of their operations and their cash flows for each of the three years in the period ended December 31, 2005 and for the period from February 14, 1991 (date of inception) to December 31, 2005 in conformity with accounting principles generally accepted in the United States of America.</w:t>
      </w:r>
    </w:p>
    <w:p>
      <w:pPr>
        <w:spacing w:after="0" w:line="67" w:lineRule="exact"/>
        <w:rPr>
          <w:sz w:val="20"/>
          <w:szCs w:val="20"/>
          <w:color w:val="auto"/>
        </w:rPr>
      </w:pPr>
    </w:p>
    <w:p>
      <w:pPr>
        <w:ind w:left="680" w:right="220"/>
        <w:spacing w:after="0" w:line="289"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effectiveness of the Company’s internal control over financial reporting as of December 31, 2005, based on the criteria established in Internal Control — Integrated Framework issued by the Committee of Sponsoring Organizations of the Treadway Commission and our report dated March 15,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15, 2006</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 thousands, except share data)</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78,987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56,037</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11,546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89,597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cash</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State research and development credit exchange receivable — current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1,194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95,881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149,872</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 net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76,183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State research and development credit exchange receivable — net of current portion</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1,030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163,483</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228,371</w:t>
            </w: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3,547</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8,632</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17,818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13,044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21,365</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13,120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21,394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w w:val="96"/>
              </w:rPr>
              <w:t>Undesignated preferred stock, $0.01 par value — 10,000,000 shares authorized; no shares issued or outstanding at December 31, 2004 and 2005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100" w:type="dxa"/>
            <w:vAlign w:val="bottom"/>
          </w:tcPr>
          <w:p>
            <w:pPr>
              <w:spacing w:after="0" w:line="149" w:lineRule="exact"/>
              <w:rPr>
                <w:sz w:val="20"/>
                <w:szCs w:val="20"/>
                <w:color w:val="auto"/>
              </w:rPr>
            </w:pPr>
            <w:r>
              <w:rPr>
                <w:rFonts w:ascii="Arial" w:cs="Arial" w:eastAsia="Arial" w:hAnsi="Arial"/>
                <w:sz w:val="13"/>
                <w:szCs w:val="13"/>
                <w:color w:val="auto"/>
                <w:w w:val="94"/>
              </w:rPr>
              <w:t>Common stock, $0.01 par value — 90,000,000 shares authorized; 32,756,237 and 50,314,108 shares issued and outstanding at December 31, 2004</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00" w:type="dxa"/>
            <w:vAlign w:val="bottom"/>
          </w:tcPr>
          <w:p>
            <w:pPr>
              <w:ind w:left="140"/>
              <w:spacing w:after="0"/>
              <w:rPr>
                <w:sz w:val="20"/>
                <w:szCs w:val="20"/>
                <w:color w:val="auto"/>
              </w:rPr>
            </w:pPr>
            <w:r>
              <w:rPr>
                <w:rFonts w:ascii="Arial" w:cs="Arial" w:eastAsia="Arial" w:hAnsi="Arial"/>
                <w:sz w:val="13"/>
                <w:szCs w:val="13"/>
                <w:color w:val="auto"/>
              </w:rPr>
              <w:t>and 2005, respectively</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592,999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763,775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Deficit accumulated during the development stage</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(442,963)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(557,301)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150,363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206,977</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163,483</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228,371</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See notes to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vMerge w:val="restart"/>
          </w:tcPr>
          <w:p>
            <w:pPr>
              <w:jc w:val="right"/>
              <w:ind w:right="60"/>
              <w:spacing w:after="0"/>
              <w:rPr>
                <w:sz w:val="20"/>
                <w:szCs w:val="20"/>
                <w:color w:val="auto"/>
              </w:rPr>
            </w:pPr>
            <w:r>
              <w:rPr>
                <w:rFonts w:ascii="Arial" w:cs="Arial" w:eastAsia="Arial" w:hAnsi="Arial"/>
                <w:sz w:val="10"/>
                <w:szCs w:val="10"/>
                <w:b w:val="1"/>
                <w:bCs w:val="1"/>
                <w:color w:val="auto"/>
                <w:w w:val="97"/>
              </w:rPr>
              <w:t>Year Ended December 31,</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2004</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9"/>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45,613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59,406</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95,347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298,400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20,699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17,743</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22,775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97,975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 costs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ind w:left="140"/>
              <w:spacing w:after="0"/>
              <w:rPr>
                <w:sz w:val="20"/>
                <w:szCs w:val="20"/>
                <w:color w:val="auto"/>
              </w:rPr>
            </w:pPr>
            <w:r>
              <w:rPr>
                <w:rFonts w:ascii="Arial" w:cs="Arial" w:eastAsia="Arial" w:hAnsi="Arial"/>
                <w:sz w:val="13"/>
                <w:szCs w:val="13"/>
                <w:color w:val="auto"/>
              </w:rPr>
              <w:t>Goodwill impairment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66,312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77,149</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567,529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(66,312)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w w:val="99"/>
              </w:rPr>
              <w:t>(77,149)</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(118,122)</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(564,671)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226</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932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3,707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9,278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for income taxes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(65,878)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9"/>
              </w:rPr>
              <w:t>(75,991)</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(114,337)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(557,285)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Income taxes</w:t>
            </w: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(65,879)</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9"/>
              </w:rPr>
              <w:t>(75,992)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(114,338)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(557,301)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Deemed dividend related to beneficial conversion feature of convertible preferred stock</w:t>
            </w: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(1,017)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w w:val="99"/>
              </w:rPr>
              <w:t>(19,822)</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(22,260)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Accretion on redeemable preferred stock</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3"/>
                <w:szCs w:val="13"/>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9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(67,149)</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w w:val="99"/>
              </w:rPr>
              <w:t>(95,874)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(114,338)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(580,513)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Shares used to compute basic and diluted net loss per share applicable to common stockholders</w:t>
            </w: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25,221</w:t>
            </w: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39,871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900" w:type="dxa"/>
            <w:vAlign w:val="bottom"/>
          </w:tcPr>
          <w:p>
            <w:pPr>
              <w:ind w:left="4120"/>
              <w:spacing w:after="0"/>
              <w:rPr>
                <w:sz w:val="20"/>
                <w:szCs w:val="20"/>
                <w:color w:val="auto"/>
              </w:rPr>
            </w:pPr>
            <w:r>
              <w:rPr>
                <w:rFonts w:ascii="Arial" w:cs="Arial" w:eastAsia="Arial" w:hAnsi="Arial"/>
                <w:sz w:val="13"/>
                <w:szCs w:val="13"/>
                <w:color w:val="auto"/>
                <w:w w:val="90"/>
              </w:rPr>
              <w:t>See notes to financial statements.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5900" w:type="dxa"/>
            <w:vAlign w:val="bottom"/>
          </w:tcPr>
          <w:p>
            <w:pPr>
              <w:ind w:left="4900"/>
              <w:spacing w:after="0"/>
              <w:rPr>
                <w:sz w:val="20"/>
                <w:szCs w:val="20"/>
                <w:color w:val="auto"/>
              </w:rPr>
            </w:pPr>
            <w:r>
              <w:rPr>
                <w:rFonts w:ascii="Arial" w:cs="Arial" w:eastAsia="Arial" w:hAnsi="Arial"/>
                <w:sz w:val="13"/>
                <w:szCs w:val="13"/>
                <w:color w:val="auto"/>
              </w:rPr>
              <w:t>F-4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STATEMENTS OF STOCKHOLDERS’ EQUITY (DEFICIT)</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92"/>
        </w:trPr>
        <w:tc>
          <w:tcPr>
            <w:tcW w:w="3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Series C</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C</w:t>
            </w:r>
          </w:p>
        </w:tc>
        <w:tc>
          <w:tcPr>
            <w:tcW w:w="6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Deficit</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3"/>
          </w:tcPr>
          <w:p>
            <w:pPr>
              <w:jc w:val="center"/>
              <w:ind w:right="460"/>
              <w:spacing w:after="0" w:line="89" w:lineRule="exact"/>
              <w:rPr>
                <w:sz w:val="20"/>
                <w:szCs w:val="20"/>
                <w:color w:val="auto"/>
              </w:rPr>
            </w:pPr>
            <w:r>
              <w:rPr>
                <w:rFonts w:ascii="Arial" w:cs="Arial" w:eastAsia="Arial" w:hAnsi="Arial"/>
                <w:sz w:val="8"/>
                <w:szCs w:val="8"/>
                <w:b w:val="1"/>
                <w:bCs w:val="1"/>
                <w:color w:val="auto"/>
                <w:w w:val="87"/>
              </w:rPr>
              <w:t>Series B</w:t>
            </w:r>
          </w:p>
        </w:tc>
        <w:tc>
          <w:tcPr>
            <w:tcW w:w="86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C</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6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5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0"/>
              </w:rPr>
              <w:t>Notes</w:t>
            </w:r>
          </w:p>
        </w:tc>
        <w:tc>
          <w:tcPr>
            <w:tcW w:w="6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1"/>
              </w:rPr>
              <w:t>Accumulated</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580" w:type="dxa"/>
            <w:vAlign w:val="bottom"/>
          </w:tcPr>
          <w:p>
            <w:pPr>
              <w:spacing w:after="0"/>
              <w:rPr>
                <w:sz w:val="7"/>
                <w:szCs w:val="7"/>
                <w:color w:val="auto"/>
              </w:rPr>
            </w:pPr>
          </w:p>
        </w:tc>
        <w:tc>
          <w:tcPr>
            <w:tcW w:w="1020" w:type="dxa"/>
            <w:vAlign w:val="bottom"/>
            <w:gridSpan w:val="5"/>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86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6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1"/>
              </w:rPr>
              <w:t>Stock</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w w:val="91"/>
              </w:rPr>
              <w:t>Additional</w:t>
            </w:r>
          </w:p>
        </w:tc>
        <w:tc>
          <w:tcPr>
            <w:tcW w:w="6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52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6"/>
              </w:rPr>
              <w:t>Receivable</w:t>
            </w:r>
          </w:p>
        </w:tc>
        <w:tc>
          <w:tcPr>
            <w:tcW w:w="6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4"/>
              </w:rPr>
              <w:t>During the</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8"/>
        </w:trPr>
        <w:tc>
          <w:tcPr>
            <w:tcW w:w="3580" w:type="dxa"/>
            <w:vAlign w:val="bottom"/>
          </w:tcPr>
          <w:p>
            <w:pPr>
              <w:spacing w:after="0"/>
              <w:rPr>
                <w:sz w:val="8"/>
                <w:szCs w:val="8"/>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86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5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1"/>
              </w:rPr>
              <w:t>Stock</w:t>
            </w:r>
          </w:p>
        </w:tc>
        <w:tc>
          <w:tcPr>
            <w:tcW w:w="6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6"/>
              </w:rPr>
              <w:t>Subscriptions</w:t>
            </w:r>
          </w:p>
        </w:tc>
        <w:tc>
          <w:tcPr>
            <w:tcW w:w="960" w:type="dxa"/>
            <w:vAlign w:val="bottom"/>
            <w:gridSpan w:val="4"/>
          </w:tcPr>
          <w:p>
            <w:pPr>
              <w:jc w:val="right"/>
              <w:ind w:right="300"/>
              <w:spacing w:after="0"/>
              <w:rPr>
                <w:sz w:val="20"/>
                <w:szCs w:val="20"/>
                <w:color w:val="auto"/>
              </w:rPr>
            </w:pPr>
            <w:r>
              <w:rPr>
                <w:rFonts w:ascii="Arial" w:cs="Arial" w:eastAsia="Arial" w:hAnsi="Arial"/>
                <w:sz w:val="8"/>
                <w:szCs w:val="8"/>
                <w:b w:val="1"/>
                <w:bCs w:val="1"/>
                <w:color w:val="auto"/>
              </w:rPr>
              <w:t>Common Stock</w:t>
            </w:r>
          </w:p>
        </w:tc>
        <w:tc>
          <w:tcPr>
            <w:tcW w:w="6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62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from</w:t>
            </w:r>
          </w:p>
        </w:tc>
        <w:tc>
          <w:tcPr>
            <w:tcW w:w="5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9"/>
              </w:rPr>
              <w:t>from</w:t>
            </w:r>
          </w:p>
        </w:tc>
        <w:tc>
          <w:tcPr>
            <w:tcW w:w="6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7"/>
              </w:rPr>
              <w:t>Development</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8"/>
        </w:trPr>
        <w:tc>
          <w:tcPr>
            <w:tcW w:w="3580" w:type="dxa"/>
            <w:vAlign w:val="bottom"/>
          </w:tcPr>
          <w:p>
            <w:pPr>
              <w:spacing w:after="0"/>
              <w:rPr>
                <w:sz w:val="6"/>
                <w:szCs w:val="6"/>
                <w:color w:val="auto"/>
              </w:rPr>
            </w:pPr>
          </w:p>
        </w:tc>
        <w:tc>
          <w:tcPr>
            <w:tcW w:w="2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2"/>
              </w:rPr>
              <w:t>Shares</w:t>
            </w: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jc w:val="right"/>
              <w:ind w:right="9"/>
              <w:spacing w:after="0" w:line="79" w:lineRule="exact"/>
              <w:rPr>
                <w:sz w:val="20"/>
                <w:szCs w:val="20"/>
                <w:color w:val="auto"/>
              </w:rPr>
            </w:pPr>
            <w:r>
              <w:rPr>
                <w:rFonts w:ascii="Arial" w:cs="Arial" w:eastAsia="Arial" w:hAnsi="Arial"/>
                <w:sz w:val="8"/>
                <w:szCs w:val="8"/>
                <w:b w:val="1"/>
                <w:bCs w:val="1"/>
                <w:color w:val="auto"/>
              </w:rPr>
              <w:t>Amount</w:t>
            </w:r>
          </w:p>
        </w:tc>
        <w:tc>
          <w:tcPr>
            <w:tcW w:w="180" w:type="dxa"/>
            <w:vAlign w:val="bottom"/>
          </w:tcPr>
          <w:p>
            <w:pPr>
              <w:spacing w:after="0"/>
              <w:rPr>
                <w:sz w:val="6"/>
                <w:szCs w:val="6"/>
                <w:color w:val="auto"/>
              </w:rPr>
            </w:pPr>
          </w:p>
        </w:tc>
        <w:tc>
          <w:tcPr>
            <w:tcW w:w="3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58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7"/>
              </w:rPr>
              <w:t>Issuable</w:t>
            </w:r>
          </w:p>
        </w:tc>
        <w:tc>
          <w:tcPr>
            <w:tcW w:w="62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6"/>
              </w:rPr>
              <w:t>Receivable</w:t>
            </w:r>
          </w:p>
        </w:tc>
        <w:tc>
          <w:tcPr>
            <w:tcW w:w="500" w:type="dxa"/>
            <w:vAlign w:val="bottom"/>
            <w:tcBorders>
              <w:top w:val="single" w:sz="8" w:color="auto"/>
            </w:tcBorders>
            <w:gridSpan w:val="2"/>
          </w:tcPr>
          <w:p>
            <w:pPr>
              <w:jc w:val="right"/>
              <w:ind w:right="220"/>
              <w:spacing w:after="0" w:line="79" w:lineRule="exact"/>
              <w:rPr>
                <w:sz w:val="20"/>
                <w:szCs w:val="20"/>
                <w:color w:val="auto"/>
              </w:rPr>
            </w:pPr>
            <w:r>
              <w:rPr>
                <w:rFonts w:ascii="Arial" w:cs="Arial" w:eastAsia="Arial" w:hAnsi="Arial"/>
                <w:sz w:val="8"/>
                <w:szCs w:val="8"/>
                <w:b w:val="1"/>
                <w:bCs w:val="1"/>
                <w:color w:val="auto"/>
                <w:w w:val="97"/>
              </w:rPr>
              <w:t>Shares</w:t>
            </w:r>
          </w:p>
        </w:tc>
        <w:tc>
          <w:tcPr>
            <w:tcW w:w="2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60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rPr>
              <w:t>Capital</w:t>
            </w:r>
          </w:p>
        </w:tc>
        <w:tc>
          <w:tcPr>
            <w:tcW w:w="62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6"/>
              </w:rPr>
              <w:t>Stockholders</w:t>
            </w:r>
          </w:p>
        </w:tc>
        <w:tc>
          <w:tcPr>
            <w:tcW w:w="52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92"/>
              </w:rPr>
              <w:t>Officers</w:t>
            </w:r>
          </w:p>
        </w:tc>
        <w:tc>
          <w:tcPr>
            <w:tcW w:w="64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2"/>
              </w:rPr>
              <w:t>Stage</w:t>
            </w:r>
          </w:p>
        </w:tc>
        <w:tc>
          <w:tcPr>
            <w:tcW w:w="420" w:type="dxa"/>
            <w:vAlign w:val="bottom"/>
            <w:gridSpan w:val="2"/>
          </w:tcPr>
          <w:p>
            <w:pPr>
              <w:jc w:val="right"/>
              <w:ind w:right="14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3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
        </w:trPr>
        <w:tc>
          <w:tcPr>
            <w:tcW w:w="3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4"/>
          </w:tcPr>
          <w:p>
            <w:pPr>
              <w:jc w:val="right"/>
              <w:ind w:right="400"/>
              <w:spacing w:after="0" w:line="90" w:lineRule="exact"/>
              <w:rPr>
                <w:sz w:val="20"/>
                <w:szCs w:val="20"/>
                <w:color w:val="auto"/>
              </w:rPr>
            </w:pPr>
            <w:r>
              <w:rPr>
                <w:rFonts w:ascii="Arial" w:cs="Arial" w:eastAsia="Arial" w:hAnsi="Arial"/>
                <w:sz w:val="8"/>
                <w:szCs w:val="8"/>
                <w:b w:val="1"/>
                <w:bCs w:val="1"/>
                <w:color w:val="auto"/>
                <w:w w:val="97"/>
              </w:rPr>
              <w:t>(In thousands)</w:t>
            </w: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08"/>
        </w:trPr>
        <w:tc>
          <w:tcPr>
            <w:tcW w:w="3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FEBRUARY 14, 1991</w:t>
            </w: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stock for cash</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spacing w:after="0" w:line="108" w:lineRule="exact"/>
              <w:rPr>
                <w:sz w:val="20"/>
                <w:szCs w:val="20"/>
                <w:color w:val="auto"/>
              </w:rPr>
            </w:pPr>
            <w:r>
              <w:rPr>
                <w:rFonts w:ascii="Arial" w:cs="Arial" w:eastAsia="Arial" w:hAnsi="Arial"/>
                <w:sz w:val="10"/>
                <w:szCs w:val="10"/>
                <w:color w:val="auto"/>
              </w:rPr>
              <w:t>$   —</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20" w:type="dxa"/>
            <w:vAlign w:val="bottom"/>
            <w:gridSpan w:val="2"/>
          </w:tcPr>
          <w:p>
            <w:pPr>
              <w:jc w:val="center"/>
              <w:ind w:right="180"/>
              <w:spacing w:after="0" w:line="108" w:lineRule="exact"/>
              <w:rPr>
                <w:sz w:val="20"/>
                <w:szCs w:val="20"/>
                <w:color w:val="auto"/>
              </w:rPr>
            </w:pPr>
            <w:r>
              <w:rPr>
                <w:rFonts w:ascii="Arial" w:cs="Arial" w:eastAsia="Arial" w:hAnsi="Arial"/>
                <w:sz w:val="10"/>
                <w:szCs w:val="10"/>
                <w:color w:val="auto"/>
                <w:w w:val="99"/>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998</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  10</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5"/>
              </w:rPr>
              <w:t>$890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    900</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(911)</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(911)</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FEBRUARY 29, 1992</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998</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890</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(911)</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and services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73</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887</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888</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Capital contribution</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20</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(1,175)</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(1,175)</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FEBRUARY 28, 1993</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1,071</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1,797</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(2,086)</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(278)</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526</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526</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Issuance of stock for notes receivable</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400</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(1,156)</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(1,156)</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FEBRUARY 28, 1994</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1,090</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2,723</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(400)</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(3,242)</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(908)</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and services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1,805</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1,805</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Collection of stock subscription</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400</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400</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(2,004)</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(2,004)</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DECEMBER 31, 1994</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1,126</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4,528</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(5,246)</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(707)</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services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22</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Stock compensation</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384</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384</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(2,815)</w:t>
            </w:r>
          </w:p>
        </w:tc>
        <w:tc>
          <w:tcPr>
            <w:tcW w:w="4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(2,815)</w:t>
            </w:r>
          </w:p>
        </w:tc>
      </w:tr>
      <w:tr>
        <w:trPr>
          <w:trHeight w:val="20"/>
        </w:trPr>
        <w:tc>
          <w:tcPr>
            <w:tcW w:w="3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3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1995</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1,127</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4,942</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(8,061)</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(3,108)</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stock for cash and services</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59</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59</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12</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Stock compensation</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126</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126</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(2,570)</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(2,570)</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DECEMBER 31, 1996</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1,131</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5,139</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(10,631)</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(5,481)</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and services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548</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190</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196</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Stock compensation</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135</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135</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Conversion of notes payable</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60</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(2,280)</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(2,280)</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DECEMBER 31, 1997</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1,718</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5,526</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(12,911)</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(7,368)</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and services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2,253</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12,703</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12,726</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Stock compensation</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150</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68</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25</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Conversion of notes payable</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215</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1,200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1,202</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(3,331)</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(3,331)</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DECEMBER 31, 1998</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4,254</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43</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19,603</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(16,242)</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3,404</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162</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532</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534</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Conversion of notes payable</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80</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994</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995</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(5,679)</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(5,679)</w:t>
            </w:r>
          </w:p>
        </w:tc>
      </w:tr>
      <w:tr>
        <w:trPr>
          <w:trHeight w:val="108"/>
        </w:trPr>
        <w:tc>
          <w:tcPr>
            <w:tcW w:w="3580" w:type="dxa"/>
            <w:vAlign w:val="bottom"/>
          </w:tcPr>
          <w:p>
            <w:pPr>
              <w:spacing w:after="0" w:line="108" w:lineRule="exact"/>
              <w:rPr>
                <w:sz w:val="20"/>
                <w:szCs w:val="20"/>
                <w:color w:val="auto"/>
              </w:rPr>
            </w:pPr>
            <w:r>
              <w:rPr>
                <w:rFonts w:ascii="Arial" w:cs="Arial" w:eastAsia="Arial" w:hAnsi="Arial"/>
                <w:sz w:val="10"/>
                <w:szCs w:val="10"/>
                <w:color w:val="auto"/>
              </w:rPr>
              <w:t>BALANCE, DECEMBER 31, 1999</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0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ind w:left="20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40" w:type="dxa"/>
            <w:vAlign w:val="bottom"/>
            <w:tcBorders>
              <w:top w:val="single" w:sz="8" w:color="auto"/>
            </w:tcBorders>
          </w:tcPr>
          <w:p>
            <w:pPr>
              <w:ind w:left="34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4,496</w:t>
            </w:r>
          </w:p>
        </w:tc>
        <w:tc>
          <w:tcPr>
            <w:tcW w:w="18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46</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21,129</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(21,921)</w:t>
            </w:r>
          </w:p>
        </w:tc>
        <w:tc>
          <w:tcPr>
            <w:tcW w:w="18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(746)</w:t>
            </w:r>
          </w:p>
        </w:tc>
        <w:tc>
          <w:tcPr>
            <w:tcW w:w="20" w:type="dxa"/>
            <w:vAlign w:val="bottom"/>
          </w:tcPr>
          <w:p>
            <w:pPr>
              <w:spacing w:after="0"/>
              <w:rPr>
                <w:sz w:val="9"/>
                <w:szCs w:val="9"/>
                <w:color w:val="auto"/>
              </w:rPr>
            </w:pP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Conversion of notes payable</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63</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1,073</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1,074</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Issuance of Series B preferred stock for cash</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193</w:t>
            </w:r>
          </w:p>
        </w:tc>
        <w:tc>
          <w:tcPr>
            <w:tcW w:w="740" w:type="dxa"/>
            <w:vAlign w:val="bottom"/>
            <w:gridSpan w:val="3"/>
          </w:tcPr>
          <w:p>
            <w:pPr>
              <w:jc w:val="right"/>
              <w:ind w:right="180"/>
              <w:spacing w:after="0" w:line="108" w:lineRule="exact"/>
              <w:rPr>
                <w:sz w:val="20"/>
                <w:szCs w:val="20"/>
                <w:color w:val="auto"/>
              </w:rPr>
            </w:pPr>
            <w:r>
              <w:rPr>
                <w:rFonts w:ascii="Arial" w:cs="Arial" w:eastAsia="Arial" w:hAnsi="Arial"/>
                <w:sz w:val="10"/>
                <w:szCs w:val="10"/>
                <w:color w:val="auto"/>
              </w:rPr>
              <w:t>15,000</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15,000</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services and notes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4,690</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33,945</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(2,358)</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31,633</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Discount on notes below market rate</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241</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241</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Accrued interest on notes</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(117)</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(117)</w:t>
            </w:r>
          </w:p>
        </w:tc>
      </w:tr>
      <w:tr>
        <w:trPr>
          <w:trHeight w:val="108"/>
        </w:trPr>
        <w:tc>
          <w:tcPr>
            <w:tcW w:w="3580" w:type="dxa"/>
            <w:vAlign w:val="bottom"/>
          </w:tcPr>
          <w:p>
            <w:pPr>
              <w:ind w:left="80"/>
              <w:spacing w:after="0" w:line="108" w:lineRule="exact"/>
              <w:rPr>
                <w:sz w:val="20"/>
                <w:szCs w:val="20"/>
                <w:color w:val="auto"/>
              </w:rPr>
            </w:pPr>
            <w:r>
              <w:rPr>
                <w:rFonts w:ascii="Arial" w:cs="Arial" w:eastAsia="Arial" w:hAnsi="Arial"/>
                <w:sz w:val="10"/>
                <w:szCs w:val="10"/>
                <w:color w:val="auto"/>
              </w:rPr>
              <w:t>Purchase of Series A redeemable convertible preferred stock</w:t>
            </w:r>
          </w:p>
        </w:tc>
        <w:tc>
          <w:tcPr>
            <w:tcW w:w="2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(993)</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(993)</w:t>
            </w:r>
          </w:p>
        </w:tc>
      </w:tr>
      <w:tr>
        <w:trPr>
          <w:trHeight w:val="108"/>
        </w:trPr>
        <w:tc>
          <w:tcPr>
            <w:tcW w:w="358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Amount in excess of redemption obligation</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999</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999</w:t>
            </w:r>
          </w:p>
        </w:tc>
      </w:tr>
    </w:tbl>
    <w:p>
      <w:pPr>
        <w:spacing w:after="0" w:line="286"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343" w:right="79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92"/>
        </w:trPr>
        <w:tc>
          <w:tcPr>
            <w:tcW w:w="3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Series C</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7"/>
              </w:rPr>
              <w:t>Series C</w:t>
            </w:r>
          </w:p>
        </w:tc>
        <w:tc>
          <w:tcPr>
            <w:tcW w:w="6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ind w:right="220"/>
              <w:spacing w:after="0" w:line="89" w:lineRule="exact"/>
              <w:rPr>
                <w:sz w:val="20"/>
                <w:szCs w:val="20"/>
                <w:color w:val="auto"/>
              </w:rPr>
            </w:pPr>
            <w:r>
              <w:rPr>
                <w:rFonts w:ascii="Arial" w:cs="Arial" w:eastAsia="Arial" w:hAnsi="Arial"/>
                <w:sz w:val="8"/>
                <w:szCs w:val="8"/>
                <w:b w:val="1"/>
                <w:bCs w:val="1"/>
                <w:color w:val="auto"/>
                <w:w w:val="89"/>
              </w:rPr>
              <w:t>Deficit</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3"/>
          </w:tcPr>
          <w:p>
            <w:pPr>
              <w:jc w:val="center"/>
              <w:ind w:right="440"/>
              <w:spacing w:after="0" w:line="89" w:lineRule="exact"/>
              <w:rPr>
                <w:sz w:val="20"/>
                <w:szCs w:val="20"/>
                <w:color w:val="auto"/>
              </w:rPr>
            </w:pPr>
            <w:r>
              <w:rPr>
                <w:rFonts w:ascii="Arial" w:cs="Arial" w:eastAsia="Arial" w:hAnsi="Arial"/>
                <w:sz w:val="8"/>
                <w:szCs w:val="8"/>
                <w:b w:val="1"/>
                <w:bCs w:val="1"/>
                <w:color w:val="auto"/>
                <w:w w:val="81"/>
              </w:rPr>
              <w:t>Series B</w:t>
            </w:r>
          </w:p>
        </w:tc>
        <w:tc>
          <w:tcPr>
            <w:tcW w:w="880" w:type="dxa"/>
            <w:vAlign w:val="bottom"/>
            <w:gridSpan w:val="4"/>
          </w:tcPr>
          <w:p>
            <w:pPr>
              <w:jc w:val="center"/>
              <w:ind w:right="160"/>
              <w:spacing w:after="0" w:line="89" w:lineRule="exact"/>
              <w:rPr>
                <w:sz w:val="20"/>
                <w:szCs w:val="20"/>
                <w:color w:val="auto"/>
              </w:rPr>
            </w:pPr>
            <w:r>
              <w:rPr>
                <w:rFonts w:ascii="Arial" w:cs="Arial" w:eastAsia="Arial" w:hAnsi="Arial"/>
                <w:sz w:val="8"/>
                <w:szCs w:val="8"/>
                <w:b w:val="1"/>
                <w:bCs w:val="1"/>
                <w:color w:val="auto"/>
                <w:w w:val="87"/>
              </w:rPr>
              <w:t>Series C</w:t>
            </w:r>
          </w:p>
        </w:tc>
        <w:tc>
          <w:tcPr>
            <w:tcW w:w="60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90"/>
              </w:rPr>
              <w:t>Convertible</w:t>
            </w:r>
          </w:p>
        </w:tc>
        <w:tc>
          <w:tcPr>
            <w:tcW w:w="6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9"/>
              </w:rPr>
              <w:t>Notes</w:t>
            </w:r>
          </w:p>
        </w:tc>
        <w:tc>
          <w:tcPr>
            <w:tcW w:w="54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0"/>
              </w:rPr>
              <w:t>Notes</w:t>
            </w:r>
          </w:p>
        </w:tc>
        <w:tc>
          <w:tcPr>
            <w:tcW w:w="660" w:type="dxa"/>
            <w:vAlign w:val="bottom"/>
            <w:gridSpan w:val="3"/>
          </w:tcPr>
          <w:p>
            <w:pPr>
              <w:jc w:val="center"/>
              <w:ind w:right="160"/>
              <w:spacing w:after="0" w:line="89" w:lineRule="exact"/>
              <w:rPr>
                <w:sz w:val="20"/>
                <w:szCs w:val="20"/>
                <w:color w:val="auto"/>
              </w:rPr>
            </w:pPr>
            <w:r>
              <w:rPr>
                <w:rFonts w:ascii="Arial" w:cs="Arial" w:eastAsia="Arial" w:hAnsi="Arial"/>
                <w:sz w:val="8"/>
                <w:szCs w:val="8"/>
                <w:b w:val="1"/>
                <w:bCs w:val="1"/>
                <w:color w:val="auto"/>
                <w:w w:val="91"/>
              </w:rPr>
              <w:t>Accumulated</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340" w:type="dxa"/>
            <w:vAlign w:val="bottom"/>
          </w:tcPr>
          <w:p>
            <w:pPr>
              <w:spacing w:after="0"/>
              <w:rPr>
                <w:sz w:val="7"/>
                <w:szCs w:val="7"/>
                <w:color w:val="auto"/>
              </w:rPr>
            </w:pPr>
          </w:p>
        </w:tc>
        <w:tc>
          <w:tcPr>
            <w:tcW w:w="1000" w:type="dxa"/>
            <w:vAlign w:val="bottom"/>
            <w:gridSpan w:val="4"/>
          </w:tcPr>
          <w:p>
            <w:pPr>
              <w:jc w:val="center"/>
              <w:ind w:right="160"/>
              <w:spacing w:after="0" w:line="89" w:lineRule="exact"/>
              <w:rPr>
                <w:sz w:val="20"/>
                <w:szCs w:val="20"/>
                <w:color w:val="auto"/>
              </w:rPr>
            </w:pPr>
            <w:r>
              <w:rPr>
                <w:rFonts w:ascii="Arial" w:cs="Arial" w:eastAsia="Arial" w:hAnsi="Arial"/>
                <w:sz w:val="8"/>
                <w:szCs w:val="8"/>
                <w:b w:val="1"/>
                <w:bCs w:val="1"/>
                <w:color w:val="auto"/>
                <w:w w:val="90"/>
              </w:rPr>
              <w:t>Convertible</w:t>
            </w:r>
          </w:p>
        </w:tc>
        <w:tc>
          <w:tcPr>
            <w:tcW w:w="880" w:type="dxa"/>
            <w:vAlign w:val="bottom"/>
            <w:gridSpan w:val="4"/>
          </w:tcPr>
          <w:p>
            <w:pPr>
              <w:jc w:val="center"/>
              <w:ind w:right="160"/>
              <w:spacing w:after="0" w:line="89" w:lineRule="exact"/>
              <w:rPr>
                <w:sz w:val="20"/>
                <w:szCs w:val="20"/>
                <w:color w:val="auto"/>
              </w:rPr>
            </w:pPr>
            <w:r>
              <w:rPr>
                <w:rFonts w:ascii="Arial" w:cs="Arial" w:eastAsia="Arial" w:hAnsi="Arial"/>
                <w:sz w:val="8"/>
                <w:szCs w:val="8"/>
                <w:b w:val="1"/>
                <w:bCs w:val="1"/>
                <w:color w:val="auto"/>
                <w:w w:val="90"/>
              </w:rPr>
              <w:t>Convertible</w:t>
            </w:r>
          </w:p>
        </w:tc>
        <w:tc>
          <w:tcPr>
            <w:tcW w:w="60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9"/>
              </w:rPr>
              <w:t>Preferred</w:t>
            </w:r>
          </w:p>
        </w:tc>
        <w:tc>
          <w:tcPr>
            <w:tcW w:w="62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2"/>
              </w:rPr>
              <w:t>Stock</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w w:val="97"/>
              </w:rPr>
              <w:t>Additional</w:t>
            </w:r>
          </w:p>
        </w:tc>
        <w:tc>
          <w:tcPr>
            <w:tcW w:w="60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6"/>
              </w:rPr>
              <w:t>Receivable</w:t>
            </w:r>
          </w:p>
        </w:tc>
        <w:tc>
          <w:tcPr>
            <w:tcW w:w="540" w:type="dxa"/>
            <w:vAlign w:val="bottom"/>
            <w:gridSpan w:val="2"/>
          </w:tcPr>
          <w:p>
            <w:pPr>
              <w:jc w:val="center"/>
              <w:ind w:right="140"/>
              <w:spacing w:after="0" w:line="89" w:lineRule="exact"/>
              <w:rPr>
                <w:sz w:val="20"/>
                <w:szCs w:val="20"/>
                <w:color w:val="auto"/>
              </w:rPr>
            </w:pPr>
            <w:r>
              <w:rPr>
                <w:rFonts w:ascii="Arial" w:cs="Arial" w:eastAsia="Arial" w:hAnsi="Arial"/>
                <w:sz w:val="8"/>
                <w:szCs w:val="8"/>
                <w:b w:val="1"/>
                <w:bCs w:val="1"/>
                <w:color w:val="auto"/>
                <w:w w:val="86"/>
              </w:rPr>
              <w:t>Receivable</w:t>
            </w:r>
          </w:p>
        </w:tc>
        <w:tc>
          <w:tcPr>
            <w:tcW w:w="60" w:type="dxa"/>
            <w:vAlign w:val="bottom"/>
          </w:tcPr>
          <w:p>
            <w:pPr>
              <w:spacing w:after="0"/>
              <w:rPr>
                <w:sz w:val="7"/>
                <w:szCs w:val="7"/>
                <w:color w:val="auto"/>
              </w:rPr>
            </w:pPr>
          </w:p>
        </w:tc>
        <w:tc>
          <w:tcPr>
            <w:tcW w:w="60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During the</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8"/>
        </w:trPr>
        <w:tc>
          <w:tcPr>
            <w:tcW w:w="3340" w:type="dxa"/>
            <w:vAlign w:val="bottom"/>
          </w:tcPr>
          <w:p>
            <w:pPr>
              <w:spacing w:after="0"/>
              <w:rPr>
                <w:sz w:val="8"/>
                <w:szCs w:val="8"/>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90"/>
              </w:rPr>
              <w:t>Preferred Stock</w:t>
            </w:r>
          </w:p>
        </w:tc>
        <w:tc>
          <w:tcPr>
            <w:tcW w:w="88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90"/>
              </w:rPr>
              <w:t>Preferred Stock</w:t>
            </w:r>
          </w:p>
        </w:tc>
        <w:tc>
          <w:tcPr>
            <w:tcW w:w="6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2"/>
              </w:rPr>
              <w:t>Stock</w:t>
            </w:r>
          </w:p>
        </w:tc>
        <w:tc>
          <w:tcPr>
            <w:tcW w:w="6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6"/>
              </w:rPr>
              <w:t>Subscriptions</w:t>
            </w:r>
          </w:p>
        </w:tc>
        <w:tc>
          <w:tcPr>
            <w:tcW w:w="1040" w:type="dxa"/>
            <w:vAlign w:val="bottom"/>
            <w:gridSpan w:val="4"/>
          </w:tcPr>
          <w:p>
            <w:pPr>
              <w:ind w:left="180"/>
              <w:spacing w:after="0"/>
              <w:rPr>
                <w:sz w:val="20"/>
                <w:szCs w:val="20"/>
                <w:color w:val="auto"/>
              </w:rPr>
            </w:pPr>
            <w:r>
              <w:rPr>
                <w:rFonts w:ascii="Arial" w:cs="Arial" w:eastAsia="Arial" w:hAnsi="Arial"/>
                <w:sz w:val="8"/>
                <w:szCs w:val="8"/>
                <w:b w:val="1"/>
                <w:bCs w:val="1"/>
                <w:color w:val="auto"/>
              </w:rPr>
              <w:t>Common Stock</w:t>
            </w:r>
          </w:p>
        </w:tc>
        <w:tc>
          <w:tcPr>
            <w:tcW w:w="62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6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9"/>
              </w:rPr>
              <w:t>from</w:t>
            </w:r>
          </w:p>
        </w:tc>
        <w:tc>
          <w:tcPr>
            <w:tcW w:w="5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from</w:t>
            </w:r>
          </w:p>
        </w:tc>
        <w:tc>
          <w:tcPr>
            <w:tcW w:w="660" w:type="dxa"/>
            <w:vAlign w:val="bottom"/>
            <w:gridSpan w:val="3"/>
          </w:tcPr>
          <w:p>
            <w:pPr>
              <w:jc w:val="center"/>
              <w:ind w:right="180"/>
              <w:spacing w:after="0"/>
              <w:rPr>
                <w:sz w:val="20"/>
                <w:szCs w:val="20"/>
                <w:color w:val="auto"/>
              </w:rPr>
            </w:pPr>
            <w:r>
              <w:rPr>
                <w:rFonts w:ascii="Arial" w:cs="Arial" w:eastAsia="Arial" w:hAnsi="Arial"/>
                <w:sz w:val="8"/>
                <w:szCs w:val="8"/>
                <w:b w:val="1"/>
                <w:bCs w:val="1"/>
                <w:color w:val="auto"/>
                <w:w w:val="87"/>
              </w:rPr>
              <w:t>Development</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8"/>
        </w:trPr>
        <w:tc>
          <w:tcPr>
            <w:tcW w:w="3340" w:type="dxa"/>
            <w:vAlign w:val="bottom"/>
          </w:tcPr>
          <w:p>
            <w:pPr>
              <w:spacing w:after="0"/>
              <w:rPr>
                <w:sz w:val="6"/>
                <w:szCs w:val="6"/>
                <w:color w:val="auto"/>
              </w:rPr>
            </w:pPr>
          </w:p>
        </w:tc>
        <w:tc>
          <w:tcPr>
            <w:tcW w:w="2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2"/>
              </w:rPr>
              <w:t>Shares</w:t>
            </w:r>
          </w:p>
        </w:tc>
        <w:tc>
          <w:tcPr>
            <w:tcW w:w="1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Amount</w:t>
            </w:r>
          </w:p>
        </w:tc>
        <w:tc>
          <w:tcPr>
            <w:tcW w:w="180" w:type="dxa"/>
            <w:vAlign w:val="bottom"/>
          </w:tcPr>
          <w:p>
            <w:pPr>
              <w:spacing w:after="0"/>
              <w:rPr>
                <w:sz w:val="6"/>
                <w:szCs w:val="6"/>
                <w:color w:val="auto"/>
              </w:rPr>
            </w:pPr>
          </w:p>
        </w:tc>
        <w:tc>
          <w:tcPr>
            <w:tcW w:w="40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180" w:type="dxa"/>
            <w:vAlign w:val="bottom"/>
          </w:tcPr>
          <w:p>
            <w:pPr>
              <w:spacing w:after="0"/>
              <w:rPr>
                <w:sz w:val="6"/>
                <w:szCs w:val="6"/>
                <w:color w:val="auto"/>
              </w:rPr>
            </w:pPr>
          </w:p>
        </w:tc>
        <w:tc>
          <w:tcPr>
            <w:tcW w:w="60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87"/>
              </w:rPr>
              <w:t>Issuable</w:t>
            </w:r>
          </w:p>
        </w:tc>
        <w:tc>
          <w:tcPr>
            <w:tcW w:w="62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6"/>
              </w:rPr>
              <w:t>Receivable</w:t>
            </w:r>
          </w:p>
        </w:tc>
        <w:tc>
          <w:tcPr>
            <w:tcW w:w="560" w:type="dxa"/>
            <w:vAlign w:val="bottom"/>
            <w:tcBorders>
              <w:top w:val="single" w:sz="8" w:color="auto"/>
            </w:tcBorders>
            <w:gridSpan w:val="2"/>
          </w:tcPr>
          <w:p>
            <w:pPr>
              <w:ind w:left="80"/>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620" w:type="dxa"/>
            <w:vAlign w:val="bottom"/>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Capital</w:t>
            </w:r>
          </w:p>
        </w:tc>
        <w:tc>
          <w:tcPr>
            <w:tcW w:w="60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86"/>
              </w:rPr>
              <w:t>Stockholders</w:t>
            </w:r>
          </w:p>
        </w:tc>
        <w:tc>
          <w:tcPr>
            <w:tcW w:w="54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85"/>
              </w:rPr>
              <w:t>Officers</w:t>
            </w:r>
          </w:p>
        </w:tc>
        <w:tc>
          <w:tcPr>
            <w:tcW w:w="60" w:type="dxa"/>
            <w:vAlign w:val="bottom"/>
          </w:tcPr>
          <w:p>
            <w:pPr>
              <w:spacing w:after="0"/>
              <w:rPr>
                <w:sz w:val="6"/>
                <w:szCs w:val="6"/>
                <w:color w:val="auto"/>
              </w:rPr>
            </w:pPr>
          </w:p>
        </w:tc>
        <w:tc>
          <w:tcPr>
            <w:tcW w:w="60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2"/>
              </w:rPr>
              <w:t>Stage</w:t>
            </w:r>
          </w:p>
        </w:tc>
        <w:tc>
          <w:tcPr>
            <w:tcW w:w="520" w:type="dxa"/>
            <w:vAlign w:val="bottom"/>
            <w:gridSpan w:val="2"/>
          </w:tcPr>
          <w:p>
            <w:pPr>
              <w:jc w:val="right"/>
              <w:ind w:right="18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
        </w:trPr>
        <w:tc>
          <w:tcPr>
            <w:tcW w:w="3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4"/>
          </w:tcPr>
          <w:p>
            <w:pPr>
              <w:ind w:left="180"/>
              <w:spacing w:after="0" w:line="90" w:lineRule="exact"/>
              <w:rPr>
                <w:sz w:val="20"/>
                <w:szCs w:val="20"/>
                <w:color w:val="auto"/>
              </w:rPr>
            </w:pPr>
            <w:r>
              <w:rPr>
                <w:rFonts w:ascii="Arial" w:cs="Arial" w:eastAsia="Arial" w:hAnsi="Arial"/>
                <w:sz w:val="8"/>
                <w:szCs w:val="8"/>
                <w:b w:val="1"/>
                <w:bCs w:val="1"/>
                <w:color w:val="auto"/>
              </w:rPr>
              <w:t>(In thousands)</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08"/>
        </w:trPr>
        <w:tc>
          <w:tcPr>
            <w:tcW w:w="3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95"/>
        </w:trPr>
        <w:tc>
          <w:tcPr>
            <w:tcW w:w="3340" w:type="dxa"/>
            <w:vAlign w:val="bottom"/>
          </w:tcPr>
          <w:p>
            <w:pPr>
              <w:ind w:left="80"/>
              <w:spacing w:after="0" w:line="95" w:lineRule="exact"/>
              <w:rPr>
                <w:sz w:val="20"/>
                <w:szCs w:val="20"/>
                <w:color w:val="auto"/>
              </w:rPr>
            </w:pPr>
            <w:r>
              <w:rPr>
                <w:rFonts w:ascii="Arial" w:cs="Arial" w:eastAsia="Arial" w:hAnsi="Arial"/>
                <w:sz w:val="10"/>
                <w:szCs w:val="10"/>
                <w:color w:val="auto"/>
              </w:rPr>
              <w:t>Accretion to redemption value on Series A redeemable convertible</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3340" w:type="dxa"/>
            <w:vAlign w:val="bottom"/>
          </w:tcPr>
          <w:p>
            <w:pPr>
              <w:ind w:left="160"/>
              <w:spacing w:after="0"/>
              <w:rPr>
                <w:sz w:val="20"/>
                <w:szCs w:val="20"/>
                <w:color w:val="auto"/>
              </w:rPr>
            </w:pPr>
            <w:r>
              <w:rPr>
                <w:rFonts w:ascii="Arial" w:cs="Arial" w:eastAsia="Arial" w:hAnsi="Arial"/>
                <w:sz w:val="10"/>
                <w:szCs w:val="10"/>
                <w:color w:val="auto"/>
              </w:rPr>
              <w:t>preferred stock</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w w:val="94"/>
              </w:rPr>
              <w:t>$(149)</w:t>
            </w: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w w:val="99"/>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w w:val="94"/>
              </w:rPr>
              <w:t>$(149)</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9,609</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9,609</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Net loss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(24,661)</w:t>
            </w:r>
          </w:p>
        </w:tc>
        <w:tc>
          <w:tcPr>
            <w:tcW w:w="5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(24,661)</w:t>
            </w:r>
          </w:p>
        </w:tc>
      </w:tr>
      <w:tr>
        <w:trPr>
          <w:trHeight w:val="20"/>
        </w:trPr>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3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2000</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193</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15,000</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9,249</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93</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65,613</w:t>
            </w: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(2,234)</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(46,582)</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31,890</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stock for cash</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3,052</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78,000</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78,030</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Cash received for common stock to be issued</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3,900</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3,900</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stock for services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60</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60</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Accrued interest on notes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(189)</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(189)</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Payments on notes receivable</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28</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28</w:t>
            </w:r>
          </w:p>
        </w:tc>
      </w:tr>
      <w:tr>
        <w:trPr>
          <w:trHeight w:val="95"/>
        </w:trPr>
        <w:tc>
          <w:tcPr>
            <w:tcW w:w="3340" w:type="dxa"/>
            <w:vAlign w:val="bottom"/>
          </w:tcPr>
          <w:p>
            <w:pPr>
              <w:ind w:left="80"/>
              <w:spacing w:after="0" w:line="95" w:lineRule="exact"/>
              <w:rPr>
                <w:sz w:val="20"/>
                <w:szCs w:val="20"/>
                <w:color w:val="auto"/>
              </w:rPr>
            </w:pPr>
            <w:r>
              <w:rPr>
                <w:rFonts w:ascii="Arial" w:cs="Arial" w:eastAsia="Arial" w:hAnsi="Arial"/>
                <w:sz w:val="10"/>
                <w:szCs w:val="10"/>
                <w:color w:val="auto"/>
              </w:rPr>
              <w:t>Accretion to redemption value on Series A redeemable convertible</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3340" w:type="dxa"/>
            <w:vAlign w:val="bottom"/>
          </w:tcPr>
          <w:p>
            <w:pPr>
              <w:ind w:left="160"/>
              <w:spacing w:after="0"/>
              <w:rPr>
                <w:sz w:val="20"/>
                <w:szCs w:val="20"/>
                <w:color w:val="auto"/>
              </w:rPr>
            </w:pPr>
            <w:r>
              <w:rPr>
                <w:rFonts w:ascii="Arial" w:cs="Arial" w:eastAsia="Arial" w:hAnsi="Arial"/>
                <w:sz w:val="10"/>
                <w:szCs w:val="10"/>
                <w:color w:val="auto"/>
              </w:rPr>
              <w:t>preferred stock</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(239)</w:t>
            </w: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(239)</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1,565</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1,565</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Issuance of put option by stockholder</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(2,949)</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(2,949)</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Record merger of entities</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171,154</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171,154</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Net loss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(48,245)</w:t>
            </w:r>
          </w:p>
        </w:tc>
        <w:tc>
          <w:tcPr>
            <w:tcW w:w="5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(48,245)</w:t>
            </w:r>
          </w:p>
        </w:tc>
      </w:tr>
      <w:tr>
        <w:trPr>
          <w:trHeight w:val="20"/>
        </w:trPr>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3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2001</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193</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15,000</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12,305</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123</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317,117</w:t>
            </w: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(2,395)</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(94,827)</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235,018</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stock for cash</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3,922</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40</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58,775</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58,815</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already received</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234</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Issuance of stock award to employee</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84</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84</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Cash received for common stock issuable</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98</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98</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Accrued interest on notes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(229)</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(229)</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Payments on notes receivable</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1,314</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1,314</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Beneficial conversion feature of Series B convertible preferred stock</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1,421</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1,421</w:t>
            </w:r>
          </w:p>
        </w:tc>
      </w:tr>
      <w:tr>
        <w:trPr>
          <w:trHeight w:val="95"/>
        </w:trPr>
        <w:tc>
          <w:tcPr>
            <w:tcW w:w="334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Deemed dividend related to beneficial conversion feature of Series B</w:t>
            </w: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21"/>
        </w:trPr>
        <w:tc>
          <w:tcPr>
            <w:tcW w:w="33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convertible preferred stock</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(1,421)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(1,421)</w:t>
            </w:r>
          </w:p>
        </w:tc>
      </w:tr>
      <w:tr>
        <w:trPr>
          <w:trHeight w:val="95"/>
        </w:trPr>
        <w:tc>
          <w:tcPr>
            <w:tcW w:w="3340" w:type="dxa"/>
            <w:vAlign w:val="bottom"/>
          </w:tcPr>
          <w:p>
            <w:pPr>
              <w:ind w:left="80"/>
              <w:spacing w:after="0" w:line="95" w:lineRule="exact"/>
              <w:rPr>
                <w:sz w:val="20"/>
                <w:szCs w:val="20"/>
                <w:color w:val="auto"/>
              </w:rPr>
            </w:pPr>
            <w:r>
              <w:rPr>
                <w:rFonts w:ascii="Arial" w:cs="Arial" w:eastAsia="Arial" w:hAnsi="Arial"/>
                <w:sz w:val="10"/>
                <w:szCs w:val="10"/>
                <w:color w:val="auto"/>
              </w:rPr>
              <w:t>Accretion to redemption value on Series A redeemable convertible</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3340" w:type="dxa"/>
            <w:vAlign w:val="bottom"/>
          </w:tcPr>
          <w:p>
            <w:pPr>
              <w:ind w:left="160"/>
              <w:spacing w:after="0"/>
              <w:rPr>
                <w:sz w:val="20"/>
                <w:szCs w:val="20"/>
                <w:color w:val="auto"/>
              </w:rPr>
            </w:pPr>
            <w:r>
              <w:rPr>
                <w:rFonts w:ascii="Arial" w:cs="Arial" w:eastAsia="Arial" w:hAnsi="Arial"/>
                <w:sz w:val="10"/>
                <w:szCs w:val="10"/>
                <w:color w:val="auto"/>
              </w:rPr>
              <w:t>preferred stock</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(251)</w:t>
            </w: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(251)</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268</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268</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Put option redemption by stockholder</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1,921</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1,921</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(206,265)</w:t>
            </w:r>
          </w:p>
        </w:tc>
        <w:tc>
          <w:tcPr>
            <w:tcW w:w="5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(206,265)</w:t>
            </w:r>
          </w:p>
        </w:tc>
      </w:tr>
      <w:tr>
        <w:trPr>
          <w:trHeight w:val="108"/>
        </w:trPr>
        <w:tc>
          <w:tcPr>
            <w:tcW w:w="3340" w:type="dxa"/>
            <w:vAlign w:val="bottom"/>
          </w:tcPr>
          <w:p>
            <w:pPr>
              <w:spacing w:after="0" w:line="108" w:lineRule="exact"/>
              <w:rPr>
                <w:sz w:val="20"/>
                <w:szCs w:val="20"/>
                <w:color w:val="auto"/>
              </w:rPr>
            </w:pPr>
            <w:r>
              <w:rPr>
                <w:rFonts w:ascii="Arial" w:cs="Arial" w:eastAsia="Arial" w:hAnsi="Arial"/>
                <w:sz w:val="10"/>
                <w:szCs w:val="10"/>
                <w:color w:val="auto"/>
              </w:rPr>
              <w:t>BALANCE, DECEMBER 31, 2002</w:t>
            </w: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193</w:t>
            </w: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15,000</w:t>
            </w:r>
          </w:p>
        </w:tc>
        <w:tc>
          <w:tcPr>
            <w:tcW w:w="180" w:type="dxa"/>
            <w:vAlign w:val="bottom"/>
          </w:tcPr>
          <w:p>
            <w:pPr>
              <w:spacing w:after="0"/>
              <w:rPr>
                <w:sz w:val="9"/>
                <w:szCs w:val="9"/>
                <w:color w:val="auto"/>
              </w:rPr>
            </w:pPr>
          </w:p>
        </w:tc>
        <w:tc>
          <w:tcPr>
            <w:tcW w:w="220" w:type="dxa"/>
            <w:vAlign w:val="bottom"/>
            <w:tcBorders>
              <w:top w:val="single" w:sz="8" w:color="auto"/>
            </w:tcBorders>
          </w:tcPr>
          <w:p>
            <w:pPr>
              <w:ind w:left="12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3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16,464</w:t>
            </w:r>
          </w:p>
        </w:tc>
        <w:tc>
          <w:tcPr>
            <w:tcW w:w="160" w:type="dxa"/>
            <w:vAlign w:val="bottom"/>
          </w:tcPr>
          <w:p>
            <w:pPr>
              <w:spacing w:after="0"/>
              <w:rPr>
                <w:sz w:val="9"/>
                <w:szCs w:val="9"/>
                <w:color w:val="auto"/>
              </w:rPr>
            </w:pPr>
          </w:p>
        </w:tc>
        <w:tc>
          <w:tcPr>
            <w:tcW w:w="3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165</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378,010</w:t>
            </w:r>
          </w:p>
        </w:tc>
        <w:tc>
          <w:tcPr>
            <w:tcW w:w="18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(1,310)</w:t>
            </w:r>
          </w:p>
        </w:tc>
        <w:tc>
          <w:tcPr>
            <w:tcW w:w="16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8"/>
              </w:rPr>
              <w:t>(301,092)</w:t>
            </w:r>
          </w:p>
        </w:tc>
        <w:tc>
          <w:tcPr>
            <w:tcW w:w="160" w:type="dxa"/>
            <w:vAlign w:val="bottom"/>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90,773</w:t>
            </w:r>
          </w:p>
        </w:tc>
        <w:tc>
          <w:tcPr>
            <w:tcW w:w="20" w:type="dxa"/>
            <w:vAlign w:val="bottom"/>
          </w:tcPr>
          <w:p>
            <w:pPr>
              <w:spacing w:after="0"/>
              <w:rPr>
                <w:sz w:val="9"/>
                <w:szCs w:val="9"/>
                <w:color w:val="auto"/>
              </w:rPr>
            </w:pP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Series C convertible preferred stock subscriptions</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50,000</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(50,000)</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Cash collected on Series C convertible preferred stock subscriptions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31,847</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31,847</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3,494</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35</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49,965</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50,000</w:t>
            </w:r>
          </w:p>
        </w:tc>
      </w:tr>
      <w:tr>
        <w:trPr>
          <w:trHeight w:val="95"/>
        </w:trPr>
        <w:tc>
          <w:tcPr>
            <w:tcW w:w="3340" w:type="dxa"/>
            <w:vAlign w:val="bottom"/>
          </w:tcPr>
          <w:p>
            <w:pPr>
              <w:ind w:left="80"/>
              <w:spacing w:after="0" w:line="95" w:lineRule="exact"/>
              <w:rPr>
                <w:sz w:val="20"/>
                <w:szCs w:val="20"/>
                <w:color w:val="auto"/>
              </w:rPr>
            </w:pPr>
            <w:r>
              <w:rPr>
                <w:rFonts w:ascii="Arial" w:cs="Arial" w:eastAsia="Arial" w:hAnsi="Arial"/>
                <w:sz w:val="10"/>
                <w:szCs w:val="10"/>
                <w:color w:val="auto"/>
              </w:rPr>
              <w:t>Non-cash compensation expense of officer resulting from stockholder</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3340" w:type="dxa"/>
            <w:vAlign w:val="bottom"/>
          </w:tcPr>
          <w:p>
            <w:pPr>
              <w:ind w:left="160"/>
              <w:spacing w:after="0"/>
              <w:rPr>
                <w:sz w:val="20"/>
                <w:szCs w:val="20"/>
                <w:color w:val="auto"/>
              </w:rPr>
            </w:pPr>
            <w:r>
              <w:rPr>
                <w:rFonts w:ascii="Arial" w:cs="Arial" w:eastAsia="Arial" w:hAnsi="Arial"/>
                <w:sz w:val="10"/>
                <w:szCs w:val="10"/>
                <w:color w:val="auto"/>
              </w:rPr>
              <w:t>contribution</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70</w:t>
            </w: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70</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stock for cash already received</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Notes receivable by stockholder issued to officers</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225</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(225)</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3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Accrued interest on notes</w:t>
            </w: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(102)</w:t>
            </w: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(105)</w:t>
            </w:r>
          </w:p>
        </w:tc>
      </w:tr>
      <w:tr>
        <w:trPr>
          <w:trHeight w:val="108"/>
        </w:trPr>
        <w:tc>
          <w:tcPr>
            <w:tcW w:w="3340" w:type="dxa"/>
            <w:vAlign w:val="bottom"/>
          </w:tcPr>
          <w:p>
            <w:pPr>
              <w:ind w:left="80"/>
              <w:spacing w:after="0" w:line="108" w:lineRule="exact"/>
              <w:rPr>
                <w:sz w:val="20"/>
                <w:szCs w:val="20"/>
                <w:color w:val="auto"/>
              </w:rPr>
            </w:pPr>
            <w:r>
              <w:rPr>
                <w:rFonts w:ascii="Arial" w:cs="Arial" w:eastAsia="Arial" w:hAnsi="Arial"/>
                <w:sz w:val="10"/>
                <w:szCs w:val="10"/>
                <w:color w:val="auto"/>
              </w:rPr>
              <w:t>Beneficial conversion feature of Series B convertible preferred stock</w:t>
            </w: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1,017</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1,017</w:t>
            </w:r>
          </w:p>
        </w:tc>
      </w:tr>
      <w:tr>
        <w:trPr>
          <w:trHeight w:val="95"/>
        </w:trPr>
        <w:tc>
          <w:tcPr>
            <w:tcW w:w="334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Deemed dividend related to beneficial conversion feature of Series B</w:t>
            </w: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21"/>
        </w:trPr>
        <w:tc>
          <w:tcPr>
            <w:tcW w:w="33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convertible preferred stock</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(1,017)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(1,017)</w:t>
            </w:r>
          </w:p>
        </w:tc>
      </w:tr>
      <w:tr>
        <w:trPr>
          <w:trHeight w:val="95"/>
        </w:trPr>
        <w:tc>
          <w:tcPr>
            <w:tcW w:w="3340" w:type="dxa"/>
            <w:vAlign w:val="bottom"/>
          </w:tcPr>
          <w:p>
            <w:pPr>
              <w:ind w:left="80"/>
              <w:spacing w:after="0" w:line="95" w:lineRule="exact"/>
              <w:rPr>
                <w:sz w:val="20"/>
                <w:szCs w:val="20"/>
                <w:color w:val="auto"/>
              </w:rPr>
            </w:pPr>
            <w:r>
              <w:rPr>
                <w:rFonts w:ascii="Arial" w:cs="Arial" w:eastAsia="Arial" w:hAnsi="Arial"/>
                <w:sz w:val="10"/>
                <w:szCs w:val="10"/>
                <w:color w:val="auto"/>
              </w:rPr>
              <w:t>Accretion to redemption value on Series A redeemable convertible</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1"/>
        </w:trPr>
        <w:tc>
          <w:tcPr>
            <w:tcW w:w="3340" w:type="dxa"/>
            <w:vAlign w:val="bottom"/>
          </w:tcPr>
          <w:p>
            <w:pPr>
              <w:ind w:left="160"/>
              <w:spacing w:after="0"/>
              <w:rPr>
                <w:sz w:val="20"/>
                <w:szCs w:val="20"/>
                <w:color w:val="auto"/>
              </w:rPr>
            </w:pPr>
            <w:r>
              <w:rPr>
                <w:rFonts w:ascii="Arial" w:cs="Arial" w:eastAsia="Arial" w:hAnsi="Arial"/>
                <w:sz w:val="10"/>
                <w:szCs w:val="10"/>
                <w:color w:val="auto"/>
              </w:rPr>
              <w:t>preferred stock</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(253)</w:t>
            </w: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(253)</w:t>
            </w:r>
          </w:p>
        </w:tc>
      </w:tr>
    </w:tbl>
    <w:p>
      <w:pPr>
        <w:spacing w:after="0" w:line="138"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343" w:right="79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92"/>
        </w:trPr>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Series C</w:t>
            </w: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Series C</w:t>
            </w:r>
          </w:p>
        </w:tc>
        <w:tc>
          <w:tcPr>
            <w:tcW w:w="620" w:type="dxa"/>
            <w:vAlign w:val="bottom"/>
            <w:gridSpan w:val="3"/>
          </w:tcPr>
          <w:p>
            <w:pPr>
              <w:jc w:val="center"/>
              <w:ind w:right="140"/>
              <w:spacing w:after="0" w:line="89" w:lineRule="exact"/>
              <w:rPr>
                <w:sz w:val="20"/>
                <w:szCs w:val="20"/>
                <w:color w:val="auto"/>
              </w:rPr>
            </w:pPr>
            <w:r>
              <w:rPr>
                <w:rFonts w:ascii="Arial" w:cs="Arial" w:eastAsia="Arial" w:hAnsi="Arial"/>
                <w:sz w:val="8"/>
                <w:szCs w:val="8"/>
                <w:b w:val="1"/>
                <w:bCs w:val="1"/>
                <w:color w:val="auto"/>
                <w:w w:val="90"/>
              </w:rPr>
              <w:t>Convertible</w:t>
            </w: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ind w:right="215"/>
              <w:spacing w:after="0" w:line="89" w:lineRule="exact"/>
              <w:rPr>
                <w:sz w:val="20"/>
                <w:szCs w:val="20"/>
                <w:color w:val="auto"/>
              </w:rPr>
            </w:pPr>
            <w:r>
              <w:rPr>
                <w:rFonts w:ascii="Arial" w:cs="Arial" w:eastAsia="Arial" w:hAnsi="Arial"/>
                <w:sz w:val="8"/>
                <w:szCs w:val="8"/>
                <w:b w:val="1"/>
                <w:bCs w:val="1"/>
                <w:color w:val="auto"/>
                <w:w w:val="89"/>
              </w:rPr>
              <w:t>Deficit</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4"/>
          </w:tcPr>
          <w:p>
            <w:pPr>
              <w:jc w:val="center"/>
              <w:ind w:right="440"/>
              <w:spacing w:after="0" w:line="89" w:lineRule="exact"/>
              <w:rPr>
                <w:sz w:val="20"/>
                <w:szCs w:val="20"/>
                <w:color w:val="auto"/>
              </w:rPr>
            </w:pPr>
            <w:r>
              <w:rPr>
                <w:rFonts w:ascii="Arial" w:cs="Arial" w:eastAsia="Arial" w:hAnsi="Arial"/>
                <w:sz w:val="8"/>
                <w:szCs w:val="8"/>
                <w:b w:val="1"/>
                <w:bCs w:val="1"/>
                <w:color w:val="auto"/>
                <w:w w:val="87"/>
              </w:rPr>
              <w:t>Series B</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4"/>
          </w:tcPr>
          <w:p>
            <w:pPr>
              <w:jc w:val="center"/>
              <w:ind w:right="440"/>
              <w:spacing w:after="0" w:line="89" w:lineRule="exact"/>
              <w:rPr>
                <w:sz w:val="20"/>
                <w:szCs w:val="20"/>
                <w:color w:val="auto"/>
              </w:rPr>
            </w:pPr>
            <w:r>
              <w:rPr>
                <w:rFonts w:ascii="Arial" w:cs="Arial" w:eastAsia="Arial" w:hAnsi="Arial"/>
                <w:sz w:val="8"/>
                <w:szCs w:val="8"/>
                <w:b w:val="1"/>
                <w:bCs w:val="1"/>
                <w:color w:val="auto"/>
                <w:w w:val="87"/>
              </w:rPr>
              <w:t>Series C</w:t>
            </w:r>
          </w:p>
        </w:tc>
        <w:tc>
          <w:tcPr>
            <w:tcW w:w="620" w:type="dxa"/>
            <w:vAlign w:val="bottom"/>
            <w:gridSpan w:val="3"/>
          </w:tcPr>
          <w:p>
            <w:pPr>
              <w:jc w:val="center"/>
              <w:ind w:right="140"/>
              <w:spacing w:after="0" w:line="89" w:lineRule="exact"/>
              <w:rPr>
                <w:sz w:val="20"/>
                <w:szCs w:val="20"/>
                <w:color w:val="auto"/>
              </w:rPr>
            </w:pPr>
            <w:r>
              <w:rPr>
                <w:rFonts w:ascii="Arial" w:cs="Arial" w:eastAsia="Arial" w:hAnsi="Arial"/>
                <w:sz w:val="8"/>
                <w:szCs w:val="8"/>
                <w:b w:val="1"/>
                <w:bCs w:val="1"/>
                <w:color w:val="auto"/>
                <w:w w:val="90"/>
              </w:rPr>
              <w:t>Convertible</w:t>
            </w:r>
          </w:p>
        </w:tc>
        <w:tc>
          <w:tcPr>
            <w:tcW w:w="60" w:type="dxa"/>
            <w:vAlign w:val="bottom"/>
          </w:tcPr>
          <w:p>
            <w:pPr>
              <w:spacing w:after="0"/>
              <w:rPr>
                <w:sz w:val="7"/>
                <w:szCs w:val="7"/>
                <w:color w:val="auto"/>
              </w:rPr>
            </w:pPr>
          </w:p>
        </w:tc>
        <w:tc>
          <w:tcPr>
            <w:tcW w:w="56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Notes</w:t>
            </w:r>
          </w:p>
        </w:tc>
        <w:tc>
          <w:tcPr>
            <w:tcW w:w="80" w:type="dxa"/>
            <w:vAlign w:val="bottom"/>
          </w:tcPr>
          <w:p>
            <w:pPr>
              <w:spacing w:after="0"/>
              <w:rPr>
                <w:sz w:val="7"/>
                <w:szCs w:val="7"/>
                <w:color w:val="auto"/>
              </w:rPr>
            </w:pPr>
          </w:p>
        </w:tc>
        <w:tc>
          <w:tcPr>
            <w:tcW w:w="46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0"/>
              </w:rPr>
              <w:t>Notes</w:t>
            </w:r>
          </w:p>
        </w:tc>
        <w:tc>
          <w:tcPr>
            <w:tcW w:w="660" w:type="dxa"/>
            <w:vAlign w:val="bottom"/>
            <w:gridSpan w:val="3"/>
          </w:tcPr>
          <w:p>
            <w:pPr>
              <w:jc w:val="center"/>
              <w:ind w:right="175"/>
              <w:spacing w:after="0" w:line="89" w:lineRule="exact"/>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200" w:type="dxa"/>
            <w:vAlign w:val="bottom"/>
          </w:tcPr>
          <w:p>
            <w:pPr>
              <w:spacing w:after="0"/>
              <w:rPr>
                <w:sz w:val="7"/>
                <w:szCs w:val="7"/>
                <w:color w:val="auto"/>
              </w:rPr>
            </w:pPr>
          </w:p>
        </w:tc>
        <w:tc>
          <w:tcPr>
            <w:tcW w:w="1020" w:type="dxa"/>
            <w:vAlign w:val="bottom"/>
            <w:gridSpan w:val="6"/>
          </w:tcPr>
          <w:p>
            <w:pPr>
              <w:jc w:val="center"/>
              <w:ind w:right="140"/>
              <w:spacing w:after="0" w:line="89" w:lineRule="exact"/>
              <w:rPr>
                <w:sz w:val="20"/>
                <w:szCs w:val="20"/>
                <w:color w:val="auto"/>
              </w:rPr>
            </w:pPr>
            <w:r>
              <w:rPr>
                <w:rFonts w:ascii="Arial" w:cs="Arial" w:eastAsia="Arial" w:hAnsi="Arial"/>
                <w:sz w:val="8"/>
                <w:szCs w:val="8"/>
                <w:b w:val="1"/>
                <w:bCs w:val="1"/>
                <w:color w:val="auto"/>
                <w:w w:val="90"/>
              </w:rPr>
              <w:t>Convertible</w:t>
            </w:r>
          </w:p>
        </w:tc>
        <w:tc>
          <w:tcPr>
            <w:tcW w:w="1020" w:type="dxa"/>
            <w:vAlign w:val="bottom"/>
            <w:gridSpan w:val="6"/>
          </w:tcPr>
          <w:p>
            <w:pPr>
              <w:jc w:val="center"/>
              <w:ind w:right="140"/>
              <w:spacing w:after="0" w:line="89" w:lineRule="exact"/>
              <w:rPr>
                <w:sz w:val="20"/>
                <w:szCs w:val="20"/>
                <w:color w:val="auto"/>
              </w:rPr>
            </w:pPr>
            <w:r>
              <w:rPr>
                <w:rFonts w:ascii="Arial" w:cs="Arial" w:eastAsia="Arial" w:hAnsi="Arial"/>
                <w:sz w:val="8"/>
                <w:szCs w:val="8"/>
                <w:b w:val="1"/>
                <w:bCs w:val="1"/>
                <w:color w:val="auto"/>
                <w:w w:val="90"/>
              </w:rPr>
              <w:t>Convertible</w:t>
            </w:r>
          </w:p>
        </w:tc>
        <w:tc>
          <w:tcPr>
            <w:tcW w:w="60" w:type="dxa"/>
            <w:vAlign w:val="bottom"/>
          </w:tcPr>
          <w:p>
            <w:pPr>
              <w:spacing w:after="0"/>
              <w:rPr>
                <w:sz w:val="7"/>
                <w:szCs w:val="7"/>
                <w:color w:val="auto"/>
              </w:rPr>
            </w:pPr>
          </w:p>
        </w:tc>
        <w:tc>
          <w:tcPr>
            <w:tcW w:w="56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60" w:type="dxa"/>
            <w:vAlign w:val="bottom"/>
          </w:tcPr>
          <w:p>
            <w:pPr>
              <w:spacing w:after="0"/>
              <w:rPr>
                <w:sz w:val="7"/>
                <w:szCs w:val="7"/>
                <w:color w:val="auto"/>
              </w:rPr>
            </w:pPr>
          </w:p>
        </w:tc>
        <w:tc>
          <w:tcPr>
            <w:tcW w:w="56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Stock</w:t>
            </w: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3"/>
          </w:tcPr>
          <w:p>
            <w:pPr>
              <w:jc w:val="right"/>
              <w:ind w:right="220"/>
              <w:spacing w:after="0" w:line="89" w:lineRule="exact"/>
              <w:rPr>
                <w:sz w:val="20"/>
                <w:szCs w:val="20"/>
                <w:color w:val="auto"/>
              </w:rPr>
            </w:pPr>
            <w:r>
              <w:rPr>
                <w:rFonts w:ascii="Arial" w:cs="Arial" w:eastAsia="Arial" w:hAnsi="Arial"/>
                <w:sz w:val="8"/>
                <w:szCs w:val="8"/>
                <w:b w:val="1"/>
                <w:bCs w:val="1"/>
                <w:color w:val="auto"/>
                <w:w w:val="91"/>
              </w:rPr>
              <w:t>Additional</w:t>
            </w:r>
          </w:p>
        </w:tc>
        <w:tc>
          <w:tcPr>
            <w:tcW w:w="600" w:type="dxa"/>
            <w:vAlign w:val="bottom"/>
            <w:gridSpan w:val="3"/>
          </w:tcPr>
          <w:p>
            <w:pPr>
              <w:jc w:val="center"/>
              <w:ind w:right="160"/>
              <w:spacing w:after="0" w:line="89" w:lineRule="exact"/>
              <w:rPr>
                <w:sz w:val="20"/>
                <w:szCs w:val="20"/>
                <w:color w:val="auto"/>
              </w:rPr>
            </w:pPr>
            <w:r>
              <w:rPr>
                <w:rFonts w:ascii="Arial" w:cs="Arial" w:eastAsia="Arial" w:hAnsi="Arial"/>
                <w:sz w:val="8"/>
                <w:szCs w:val="8"/>
                <w:b w:val="1"/>
                <w:bCs w:val="1"/>
                <w:color w:val="auto"/>
                <w:w w:val="86"/>
              </w:rPr>
              <w:t>Receivable</w:t>
            </w:r>
          </w:p>
        </w:tc>
        <w:tc>
          <w:tcPr>
            <w:tcW w:w="540" w:type="dxa"/>
            <w:vAlign w:val="bottom"/>
            <w:gridSpan w:val="3"/>
          </w:tcPr>
          <w:p>
            <w:pPr>
              <w:jc w:val="center"/>
              <w:ind w:right="140"/>
              <w:spacing w:after="0" w:line="89" w:lineRule="exact"/>
              <w:rPr>
                <w:sz w:val="20"/>
                <w:szCs w:val="20"/>
                <w:color w:val="auto"/>
              </w:rPr>
            </w:pPr>
            <w:r>
              <w:rPr>
                <w:rFonts w:ascii="Arial" w:cs="Arial" w:eastAsia="Arial" w:hAnsi="Arial"/>
                <w:sz w:val="8"/>
                <w:szCs w:val="8"/>
                <w:b w:val="1"/>
                <w:bCs w:val="1"/>
                <w:color w:val="auto"/>
                <w:w w:val="86"/>
              </w:rPr>
              <w:t>Receivable</w:t>
            </w:r>
          </w:p>
        </w:tc>
        <w:tc>
          <w:tcPr>
            <w:tcW w:w="60" w:type="dxa"/>
            <w:vAlign w:val="bottom"/>
          </w:tcPr>
          <w:p>
            <w:pPr>
              <w:spacing w:after="0"/>
              <w:rPr>
                <w:sz w:val="7"/>
                <w:szCs w:val="7"/>
                <w:color w:val="auto"/>
              </w:rPr>
            </w:pPr>
          </w:p>
        </w:tc>
        <w:tc>
          <w:tcPr>
            <w:tcW w:w="600" w:type="dxa"/>
            <w:vAlign w:val="bottom"/>
            <w:gridSpan w:val="2"/>
          </w:tcPr>
          <w:p>
            <w:pPr>
              <w:jc w:val="center"/>
              <w:ind w:right="235"/>
              <w:spacing w:after="0" w:line="89" w:lineRule="exact"/>
              <w:rPr>
                <w:sz w:val="20"/>
                <w:szCs w:val="20"/>
                <w:color w:val="auto"/>
              </w:rPr>
            </w:pPr>
            <w:r>
              <w:rPr>
                <w:rFonts w:ascii="Arial" w:cs="Arial" w:eastAsia="Arial" w:hAnsi="Arial"/>
                <w:sz w:val="8"/>
                <w:szCs w:val="8"/>
                <w:b w:val="1"/>
                <w:bCs w:val="1"/>
                <w:color w:val="auto"/>
                <w:w w:val="89"/>
              </w:rPr>
              <w:t>During the</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8"/>
        </w:trPr>
        <w:tc>
          <w:tcPr>
            <w:tcW w:w="3200" w:type="dxa"/>
            <w:vAlign w:val="bottom"/>
          </w:tcPr>
          <w:p>
            <w:pPr>
              <w:spacing w:after="0"/>
              <w:rPr>
                <w:sz w:val="8"/>
                <w:szCs w:val="8"/>
                <w:color w:val="auto"/>
              </w:rPr>
            </w:pPr>
          </w:p>
        </w:tc>
        <w:tc>
          <w:tcPr>
            <w:tcW w:w="1020" w:type="dxa"/>
            <w:vAlign w:val="bottom"/>
            <w:gridSpan w:val="6"/>
          </w:tcPr>
          <w:p>
            <w:pPr>
              <w:jc w:val="center"/>
              <w:ind w:right="160"/>
              <w:spacing w:after="0"/>
              <w:rPr>
                <w:sz w:val="20"/>
                <w:szCs w:val="20"/>
                <w:color w:val="auto"/>
              </w:rPr>
            </w:pPr>
            <w:r>
              <w:rPr>
                <w:rFonts w:ascii="Arial" w:cs="Arial" w:eastAsia="Arial" w:hAnsi="Arial"/>
                <w:sz w:val="8"/>
                <w:szCs w:val="8"/>
                <w:b w:val="1"/>
                <w:bCs w:val="1"/>
                <w:color w:val="auto"/>
                <w:w w:val="90"/>
              </w:rPr>
              <w:t>Preferred Stock</w:t>
            </w:r>
          </w:p>
        </w:tc>
        <w:tc>
          <w:tcPr>
            <w:tcW w:w="1020" w:type="dxa"/>
            <w:vAlign w:val="bottom"/>
            <w:gridSpan w:val="6"/>
          </w:tcPr>
          <w:p>
            <w:pPr>
              <w:jc w:val="center"/>
              <w:ind w:right="140"/>
              <w:spacing w:after="0"/>
              <w:rPr>
                <w:sz w:val="20"/>
                <w:szCs w:val="20"/>
                <w:color w:val="auto"/>
              </w:rPr>
            </w:pPr>
            <w:r>
              <w:rPr>
                <w:rFonts w:ascii="Arial" w:cs="Arial" w:eastAsia="Arial" w:hAnsi="Arial"/>
                <w:sz w:val="8"/>
                <w:szCs w:val="8"/>
                <w:b w:val="1"/>
                <w:bCs w:val="1"/>
                <w:color w:val="auto"/>
                <w:w w:val="87"/>
              </w:rPr>
              <w:t>Preferred Stock</w:t>
            </w:r>
          </w:p>
        </w:tc>
        <w:tc>
          <w:tcPr>
            <w:tcW w:w="60" w:type="dxa"/>
            <w:vAlign w:val="bottom"/>
          </w:tcPr>
          <w:p>
            <w:pPr>
              <w:spacing w:after="0"/>
              <w:rPr>
                <w:sz w:val="8"/>
                <w:szCs w:val="8"/>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Stock</w:t>
            </w:r>
          </w:p>
        </w:tc>
        <w:tc>
          <w:tcPr>
            <w:tcW w:w="62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w w:val="82"/>
              </w:rPr>
              <w:t>Subscriptions</w:t>
            </w:r>
          </w:p>
        </w:tc>
        <w:tc>
          <w:tcPr>
            <w:tcW w:w="700" w:type="dxa"/>
            <w:vAlign w:val="bottom"/>
            <w:gridSpan w:val="3"/>
          </w:tcPr>
          <w:p>
            <w:pPr>
              <w:ind w:left="180"/>
              <w:spacing w:after="0"/>
              <w:rPr>
                <w:sz w:val="20"/>
                <w:szCs w:val="20"/>
                <w:color w:val="auto"/>
              </w:rPr>
            </w:pPr>
            <w:r>
              <w:rPr>
                <w:rFonts w:ascii="Arial" w:cs="Arial" w:eastAsia="Arial" w:hAnsi="Arial"/>
                <w:sz w:val="8"/>
                <w:szCs w:val="8"/>
                <w:b w:val="1"/>
                <w:bCs w:val="1"/>
                <w:color w:val="auto"/>
                <w:w w:val="85"/>
              </w:rPr>
              <w:t>Common Stock</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w w:val="97"/>
              </w:rPr>
              <w:t>Paid-In</w:t>
            </w:r>
          </w:p>
        </w:tc>
        <w:tc>
          <w:tcPr>
            <w:tcW w:w="80" w:type="dxa"/>
            <w:vAlign w:val="bottom"/>
          </w:tcPr>
          <w:p>
            <w:pPr>
              <w:spacing w:after="0"/>
              <w:rPr>
                <w:sz w:val="8"/>
                <w:szCs w:val="8"/>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9"/>
              </w:rPr>
              <w:t>from</w:t>
            </w:r>
          </w:p>
        </w:tc>
        <w:tc>
          <w:tcPr>
            <w:tcW w:w="80" w:type="dxa"/>
            <w:vAlign w:val="bottom"/>
          </w:tcPr>
          <w:p>
            <w:pPr>
              <w:spacing w:after="0"/>
              <w:rPr>
                <w:sz w:val="8"/>
                <w:szCs w:val="8"/>
                <w:color w:val="auto"/>
              </w:rPr>
            </w:pPr>
          </w:p>
        </w:tc>
        <w:tc>
          <w:tcPr>
            <w:tcW w:w="4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9"/>
              </w:rPr>
              <w:t>from</w:t>
            </w:r>
          </w:p>
        </w:tc>
        <w:tc>
          <w:tcPr>
            <w:tcW w:w="660" w:type="dxa"/>
            <w:vAlign w:val="bottom"/>
            <w:gridSpan w:val="3"/>
          </w:tcPr>
          <w:p>
            <w:pPr>
              <w:jc w:val="center"/>
              <w:ind w:right="175"/>
              <w:spacing w:after="0"/>
              <w:rPr>
                <w:sz w:val="20"/>
                <w:szCs w:val="20"/>
                <w:color w:val="auto"/>
              </w:rPr>
            </w:pPr>
            <w:r>
              <w:rPr>
                <w:rFonts w:ascii="Arial" w:cs="Arial" w:eastAsia="Arial" w:hAnsi="Arial"/>
                <w:sz w:val="8"/>
                <w:szCs w:val="8"/>
                <w:b w:val="1"/>
                <w:bCs w:val="1"/>
                <w:color w:val="auto"/>
                <w:w w:val="87"/>
              </w:rPr>
              <w:t>Development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8"/>
        </w:trPr>
        <w:tc>
          <w:tcPr>
            <w:tcW w:w="3200" w:type="dxa"/>
            <w:vAlign w:val="bottom"/>
          </w:tcPr>
          <w:p>
            <w:pPr>
              <w:spacing w:after="0"/>
              <w:rPr>
                <w:sz w:val="6"/>
                <w:szCs w:val="6"/>
                <w:color w:val="auto"/>
              </w:rPr>
            </w:pPr>
          </w:p>
        </w:tc>
        <w:tc>
          <w:tcPr>
            <w:tcW w:w="2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9"/>
              </w:rPr>
              <w:t>Shares</w:t>
            </w:r>
          </w:p>
        </w:tc>
        <w:tc>
          <w:tcPr>
            <w:tcW w:w="160" w:type="dxa"/>
            <w:vAlign w:val="bottom"/>
            <w:tcBorders>
              <w:top w:val="single" w:sz="8" w:color="auto"/>
            </w:tcBorders>
            <w:gridSpan w:val="2"/>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jc w:val="right"/>
              <w:ind w:right="8"/>
              <w:spacing w:after="0" w:line="79" w:lineRule="exact"/>
              <w:rPr>
                <w:sz w:val="20"/>
                <w:szCs w:val="20"/>
                <w:color w:val="auto"/>
              </w:rPr>
            </w:pPr>
            <w:r>
              <w:rPr>
                <w:rFonts w:ascii="Arial" w:cs="Arial" w:eastAsia="Arial" w:hAnsi="Arial"/>
                <w:sz w:val="8"/>
                <w:szCs w:val="8"/>
                <w:b w:val="1"/>
                <w:bCs w:val="1"/>
                <w:color w:val="auto"/>
                <w:w w:val="92"/>
              </w:rPr>
              <w:t>Amount</w:t>
            </w:r>
          </w:p>
        </w:tc>
        <w:tc>
          <w:tcPr>
            <w:tcW w:w="160" w:type="dxa"/>
            <w:vAlign w:val="bottom"/>
          </w:tcPr>
          <w:p>
            <w:pPr>
              <w:spacing w:after="0"/>
              <w:rPr>
                <w:sz w:val="6"/>
                <w:szCs w:val="6"/>
                <w:color w:val="auto"/>
              </w:rPr>
            </w:pPr>
          </w:p>
        </w:tc>
        <w:tc>
          <w:tcPr>
            <w:tcW w:w="2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9"/>
              </w:rPr>
              <w:t>Shares</w:t>
            </w: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
              <w:spacing w:after="0" w:line="79" w:lineRule="exact"/>
              <w:rPr>
                <w:sz w:val="20"/>
                <w:szCs w:val="20"/>
                <w:color w:val="auto"/>
              </w:rPr>
            </w:pPr>
            <w:r>
              <w:rPr>
                <w:rFonts w:ascii="Arial" w:cs="Arial" w:eastAsia="Arial" w:hAnsi="Arial"/>
                <w:sz w:val="8"/>
                <w:szCs w:val="8"/>
                <w:b w:val="1"/>
                <w:bCs w:val="1"/>
                <w:color w:val="auto"/>
                <w:w w:val="85"/>
              </w:rPr>
              <w:t>Amount</w:t>
            </w:r>
          </w:p>
        </w:tc>
        <w:tc>
          <w:tcPr>
            <w:tcW w:w="1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7"/>
              </w:rPr>
              <w:t>Issuable</w:t>
            </w:r>
          </w:p>
        </w:tc>
        <w:tc>
          <w:tcPr>
            <w:tcW w:w="160" w:type="dxa"/>
            <w:vAlign w:val="bottom"/>
          </w:tcPr>
          <w:p>
            <w:pPr>
              <w:spacing w:after="0"/>
              <w:rPr>
                <w:sz w:val="6"/>
                <w:szCs w:val="6"/>
                <w:color w:val="auto"/>
              </w:rPr>
            </w:pPr>
          </w:p>
        </w:tc>
        <w:tc>
          <w:tcPr>
            <w:tcW w:w="460" w:type="dxa"/>
            <w:vAlign w:val="bottom"/>
            <w:tcBorders>
              <w:bottom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86"/>
              </w:rPr>
              <w:t>Receivable</w:t>
            </w:r>
          </w:p>
        </w:tc>
        <w:tc>
          <w:tcPr>
            <w:tcW w:w="160" w:type="dxa"/>
            <w:vAlign w:val="bottom"/>
          </w:tcPr>
          <w:p>
            <w:pPr>
              <w:spacing w:after="0"/>
              <w:rPr>
                <w:sz w:val="6"/>
                <w:szCs w:val="6"/>
                <w:color w:val="auto"/>
              </w:rPr>
            </w:pPr>
          </w:p>
        </w:tc>
        <w:tc>
          <w:tcPr>
            <w:tcW w:w="380" w:type="dxa"/>
            <w:vAlign w:val="bottom"/>
            <w:tcBorders>
              <w:top w:val="single" w:sz="8" w:color="auto"/>
              <w:bottom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Shares</w:t>
            </w:r>
          </w:p>
        </w:tc>
        <w:tc>
          <w:tcPr>
            <w:tcW w:w="18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ind w:right="28"/>
              <w:spacing w:after="0" w:line="79" w:lineRule="exact"/>
              <w:rPr>
                <w:sz w:val="20"/>
                <w:szCs w:val="20"/>
                <w:color w:val="auto"/>
              </w:rPr>
            </w:pPr>
            <w:r>
              <w:rPr>
                <w:rFonts w:ascii="Arial" w:cs="Arial" w:eastAsia="Arial" w:hAnsi="Arial"/>
                <w:sz w:val="8"/>
                <w:szCs w:val="8"/>
                <w:b w:val="1"/>
                <w:bCs w:val="1"/>
                <w:color w:val="auto"/>
                <w:w w:val="97"/>
              </w:rPr>
              <w:t>Capital</w:t>
            </w:r>
          </w:p>
        </w:tc>
        <w:tc>
          <w:tcPr>
            <w:tcW w:w="180" w:type="dxa"/>
            <w:vAlign w:val="bottom"/>
          </w:tcPr>
          <w:p>
            <w:pPr>
              <w:spacing w:after="0"/>
              <w:rPr>
                <w:sz w:val="6"/>
                <w:szCs w:val="6"/>
                <w:color w:val="auto"/>
              </w:rPr>
            </w:pPr>
          </w:p>
        </w:tc>
        <w:tc>
          <w:tcPr>
            <w:tcW w:w="440" w:type="dxa"/>
            <w:vAlign w:val="bottom"/>
            <w:tcBorders>
              <w:bottom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86"/>
              </w:rPr>
              <w:t>Stockholders</w:t>
            </w:r>
          </w:p>
        </w:tc>
        <w:tc>
          <w:tcPr>
            <w:tcW w:w="160" w:type="dxa"/>
            <w:vAlign w:val="bottom"/>
          </w:tcPr>
          <w:p>
            <w:pPr>
              <w:spacing w:after="0"/>
              <w:rPr>
                <w:sz w:val="6"/>
                <w:szCs w:val="6"/>
                <w:color w:val="auto"/>
              </w:rPr>
            </w:pPr>
          </w:p>
        </w:tc>
        <w:tc>
          <w:tcPr>
            <w:tcW w:w="360" w:type="dxa"/>
            <w:vAlign w:val="bottom"/>
            <w:tcBorders>
              <w:bottom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w w:val="85"/>
              </w:rPr>
              <w:t>Officers</w:t>
            </w:r>
          </w:p>
        </w:tc>
        <w:tc>
          <w:tcPr>
            <w:tcW w:w="1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jc w:val="center"/>
              <w:ind w:right="9"/>
              <w:spacing w:after="0" w:line="79" w:lineRule="exact"/>
              <w:rPr>
                <w:sz w:val="20"/>
                <w:szCs w:val="20"/>
                <w:color w:val="auto"/>
              </w:rPr>
            </w:pPr>
            <w:r>
              <w:rPr>
                <w:rFonts w:ascii="Arial" w:cs="Arial" w:eastAsia="Arial" w:hAnsi="Arial"/>
                <w:sz w:val="8"/>
                <w:szCs w:val="8"/>
                <w:b w:val="1"/>
                <w:bCs w:val="1"/>
                <w:color w:val="auto"/>
                <w:w w:val="82"/>
              </w:rPr>
              <w:t>Stage</w:t>
            </w:r>
          </w:p>
        </w:tc>
        <w:tc>
          <w:tcPr>
            <w:tcW w:w="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jc w:val="right"/>
              <w:ind w:right="108"/>
              <w:spacing w:after="0" w:line="79" w:lineRule="exact"/>
              <w:rPr>
                <w:sz w:val="20"/>
                <w:szCs w:val="20"/>
                <w:color w:val="auto"/>
              </w:rPr>
            </w:pPr>
            <w:r>
              <w:rPr>
                <w:rFonts w:ascii="Arial" w:cs="Arial" w:eastAsia="Arial" w:hAnsi="Arial"/>
                <w:sz w:val="8"/>
                <w:szCs w:val="8"/>
                <w:b w:val="1"/>
                <w:bCs w:val="1"/>
                <w:color w:val="auto"/>
              </w:rPr>
              <w:t>Total</w:t>
            </w:r>
          </w:p>
        </w:tc>
        <w:tc>
          <w:tcPr>
            <w:tcW w:w="20" w:type="dxa"/>
            <w:vAlign w:val="bottom"/>
          </w:tcPr>
          <w:p>
            <w:pPr>
              <w:spacing w:after="0"/>
              <w:rPr>
                <w:sz w:val="6"/>
                <w:szCs w:val="6"/>
                <w:color w:val="auto"/>
              </w:rPr>
            </w:pPr>
          </w:p>
        </w:tc>
      </w:tr>
      <w:tr>
        <w:trPr>
          <w:trHeight w:val="90"/>
        </w:trPr>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rPr>
              <w:t>(In thousands)</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08"/>
        </w:trPr>
        <w:tc>
          <w:tcPr>
            <w:tcW w:w="3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4,501</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4,501</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Put shares sold to majority stockholder</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623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623</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Net loss</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35"/>
              <w:spacing w:after="0" w:line="108" w:lineRule="exact"/>
              <w:rPr>
                <w:sz w:val="20"/>
                <w:szCs w:val="20"/>
                <w:color w:val="auto"/>
              </w:rPr>
            </w:pPr>
            <w:r>
              <w:rPr>
                <w:rFonts w:ascii="Arial" w:cs="Arial" w:eastAsia="Arial" w:hAnsi="Arial"/>
                <w:sz w:val="10"/>
                <w:szCs w:val="10"/>
                <w:color w:val="auto"/>
              </w:rPr>
              <w:t>(65,879)</w:t>
            </w:r>
          </w:p>
        </w:tc>
        <w:tc>
          <w:tcPr>
            <w:tcW w:w="80" w:type="dxa"/>
            <w:vAlign w:val="bottom"/>
          </w:tcPr>
          <w:p>
            <w:pPr>
              <w:spacing w:after="0"/>
              <w:rPr>
                <w:sz w:val="9"/>
                <w:szCs w:val="9"/>
                <w:color w:val="auto"/>
              </w:rPr>
            </w:pPr>
          </w:p>
        </w:tc>
        <w:tc>
          <w:tcPr>
            <w:tcW w:w="4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(65,879)</w:t>
            </w:r>
          </w:p>
        </w:tc>
      </w:tr>
      <w:tr>
        <w:trPr>
          <w:trHeight w:val="20"/>
        </w:trPr>
        <w:tc>
          <w:tcPr>
            <w:tcW w:w="3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2003</w:t>
            </w: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193</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15,000</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50,000</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(18,153)</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19,975</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83"/>
              </w:rPr>
              <w:t>200</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3"/>
              </w:rPr>
              <w:t>433,141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(1,412)</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(228)</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35"/>
              <w:spacing w:after="0" w:line="108" w:lineRule="exact"/>
              <w:rPr>
                <w:sz w:val="20"/>
                <w:szCs w:val="20"/>
                <w:color w:val="auto"/>
              </w:rPr>
            </w:pPr>
            <w:r>
              <w:rPr>
                <w:rFonts w:ascii="Arial" w:cs="Arial" w:eastAsia="Arial" w:hAnsi="Arial"/>
                <w:sz w:val="10"/>
                <w:szCs w:val="10"/>
                <w:color w:val="auto"/>
              </w:rPr>
              <w:t>(366,971)</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111,577</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Issuance of Series C convertible preferred stock for cash</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356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18,153</w:t>
            </w:r>
          </w:p>
        </w:tc>
        <w:tc>
          <w:tcPr>
            <w:tcW w:w="60" w:type="dxa"/>
            <w:vAlign w:val="bottom"/>
          </w:tcPr>
          <w:p>
            <w:pPr>
              <w:spacing w:after="0"/>
              <w:rPr>
                <w:sz w:val="9"/>
                <w:szCs w:val="9"/>
                <w:color w:val="auto"/>
              </w:rPr>
            </w:pPr>
          </w:p>
        </w:tc>
        <w:tc>
          <w:tcPr>
            <w:tcW w:w="5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(18,153)</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18,153</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18,153</w:t>
            </w:r>
          </w:p>
        </w:tc>
      </w:tr>
      <w:tr>
        <w:trPr>
          <w:trHeight w:val="95"/>
        </w:trPr>
        <w:tc>
          <w:tcPr>
            <w:tcW w:w="320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Issuance of Series C convertible preferred stock for cash already</w:t>
            </w: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21"/>
        </w:trPr>
        <w:tc>
          <w:tcPr>
            <w:tcW w:w="32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received</w:t>
            </w:r>
          </w:p>
        </w:tc>
        <w:tc>
          <w:tcPr>
            <w:tcW w:w="440" w:type="dxa"/>
            <w:vAlign w:val="bottom"/>
            <w:gridSpan w:val="3"/>
            <w:shd w:val="clear" w:color="auto" w:fill="CCEEFF"/>
          </w:tcPr>
          <w:p>
            <w:pPr>
              <w:jc w:val="right"/>
              <w:ind w:right="12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624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31,847</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(31,847)</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55"/>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86</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1,079</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1,079</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Exercise of warrants</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46</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Accrued interest on notes</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(107)</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(107)</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Repayment of notes receivable by stockholder issued to officers</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(225)</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228</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Repayment of stock note receivable</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(90)</w:t>
            </w:r>
          </w:p>
        </w:tc>
        <w:tc>
          <w:tcPr>
            <w:tcW w:w="140" w:type="dxa"/>
            <w:vAlign w:val="bottom"/>
          </w:tcPr>
          <w:p>
            <w:pPr>
              <w:spacing w:after="0"/>
              <w:rPr>
                <w:sz w:val="9"/>
                <w:szCs w:val="9"/>
                <w:color w:val="auto"/>
              </w:rPr>
            </w:pPr>
          </w:p>
        </w:tc>
        <w:tc>
          <w:tcPr>
            <w:tcW w:w="3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(1,518)</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1,519</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Conversion of Series A convertible preferred stock to common stock</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891</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5,239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5,248</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Conversion of Series B convertible preferred stock to common stock</w:t>
            </w:r>
          </w:p>
        </w:tc>
        <w:tc>
          <w:tcPr>
            <w:tcW w:w="440" w:type="dxa"/>
            <w:vAlign w:val="bottom"/>
            <w:gridSpan w:val="3"/>
          </w:tcPr>
          <w:p>
            <w:pPr>
              <w:jc w:val="right"/>
              <w:ind w:right="81"/>
              <w:spacing w:after="0" w:line="108" w:lineRule="exact"/>
              <w:rPr>
                <w:sz w:val="20"/>
                <w:szCs w:val="20"/>
                <w:color w:val="auto"/>
              </w:rPr>
            </w:pPr>
            <w:r>
              <w:rPr>
                <w:rFonts w:ascii="Arial" w:cs="Arial" w:eastAsia="Arial" w:hAnsi="Arial"/>
                <w:sz w:val="10"/>
                <w:szCs w:val="10"/>
                <w:color w:val="auto"/>
              </w:rPr>
              <w:t>(193)</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(15,000)</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811</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14,992</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Conversion of Series C convertible preferred stock to common stock</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3"/>
            <w:shd w:val="clear" w:color="auto" w:fill="CCEEFF"/>
          </w:tcPr>
          <w:p>
            <w:pPr>
              <w:jc w:val="right"/>
              <w:ind w:right="74"/>
              <w:spacing w:after="0" w:line="108" w:lineRule="exact"/>
              <w:rPr>
                <w:sz w:val="20"/>
                <w:szCs w:val="20"/>
                <w:color w:val="auto"/>
              </w:rPr>
            </w:pPr>
            <w:r>
              <w:rPr>
                <w:rFonts w:ascii="Arial" w:cs="Arial" w:eastAsia="Arial" w:hAnsi="Arial"/>
                <w:sz w:val="10"/>
                <w:szCs w:val="10"/>
                <w:color w:val="auto"/>
              </w:rPr>
              <w:t>(980)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w w:val="96"/>
              </w:rPr>
              <w:t>(50,000)</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4,464</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45</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49,955</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shares in exchange for warrants</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shares under Employee Stock Purchase Plan</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430</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Net proceeds from initial public offering</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6,557</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66</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83,110</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83,176</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Beneficial conversion feature of Series B convertible preferred stock</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19,822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19,822</w:t>
            </w:r>
          </w:p>
        </w:tc>
      </w:tr>
      <w:tr>
        <w:trPr>
          <w:trHeight w:val="95"/>
        </w:trPr>
        <w:tc>
          <w:tcPr>
            <w:tcW w:w="3200" w:type="dxa"/>
            <w:vAlign w:val="bottom"/>
          </w:tcPr>
          <w:p>
            <w:pPr>
              <w:ind w:left="80"/>
              <w:spacing w:after="0" w:line="95" w:lineRule="exact"/>
              <w:rPr>
                <w:sz w:val="20"/>
                <w:szCs w:val="20"/>
                <w:color w:val="auto"/>
              </w:rPr>
            </w:pPr>
            <w:r>
              <w:rPr>
                <w:rFonts w:ascii="Arial" w:cs="Arial" w:eastAsia="Arial" w:hAnsi="Arial"/>
                <w:sz w:val="10"/>
                <w:szCs w:val="10"/>
                <w:color w:val="auto"/>
              </w:rPr>
              <w:t>Deemed dividends related to beneficial conversion feature of Series B</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3200" w:type="dxa"/>
            <w:vAlign w:val="bottom"/>
          </w:tcPr>
          <w:p>
            <w:pPr>
              <w:ind w:left="160"/>
              <w:spacing w:after="0"/>
              <w:rPr>
                <w:sz w:val="20"/>
                <w:szCs w:val="20"/>
                <w:color w:val="auto"/>
              </w:rPr>
            </w:pPr>
            <w:r>
              <w:rPr>
                <w:rFonts w:ascii="Arial" w:cs="Arial" w:eastAsia="Arial" w:hAnsi="Arial"/>
                <w:sz w:val="10"/>
                <w:szCs w:val="10"/>
                <w:color w:val="auto"/>
              </w:rPr>
              <w:t>and Series C convertible preferred stock</w:t>
            </w:r>
          </w:p>
        </w:tc>
        <w:tc>
          <w:tcPr>
            <w:tcW w:w="440" w:type="dxa"/>
            <w:vAlign w:val="bottom"/>
            <w:gridSpan w:val="3"/>
          </w:tcPr>
          <w:p>
            <w:pPr>
              <w:jc w:val="right"/>
              <w:ind w:right="12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(19,822)</w:t>
            </w:r>
          </w:p>
        </w:tc>
        <w:tc>
          <w:tcPr>
            <w:tcW w:w="8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15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(19,822)</w:t>
            </w:r>
          </w:p>
        </w:tc>
      </w:tr>
      <w:tr>
        <w:trPr>
          <w:trHeight w:val="95"/>
        </w:trPr>
        <w:tc>
          <w:tcPr>
            <w:tcW w:w="3200" w:type="dxa"/>
            <w:vAlign w:val="bottom"/>
            <w:shd w:val="clear" w:color="auto" w:fill="CCEEFF"/>
          </w:tcPr>
          <w:p>
            <w:pPr>
              <w:ind w:left="80"/>
              <w:spacing w:after="0" w:line="95" w:lineRule="exact"/>
              <w:rPr>
                <w:sz w:val="20"/>
                <w:szCs w:val="20"/>
                <w:color w:val="auto"/>
              </w:rPr>
            </w:pPr>
            <w:r>
              <w:rPr>
                <w:rFonts w:ascii="Arial" w:cs="Arial" w:eastAsia="Arial" w:hAnsi="Arial"/>
                <w:sz w:val="10"/>
                <w:szCs w:val="10"/>
                <w:color w:val="auto"/>
              </w:rPr>
              <w:t>Accretion to redemption value on Series A redeemable convertible</w:t>
            </w: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21"/>
        </w:trPr>
        <w:tc>
          <w:tcPr>
            <w:tcW w:w="32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preferred stock</w:t>
            </w:r>
          </w:p>
        </w:tc>
        <w:tc>
          <w:tcPr>
            <w:tcW w:w="440" w:type="dxa"/>
            <w:vAlign w:val="bottom"/>
            <w:gridSpan w:val="3"/>
            <w:shd w:val="clear" w:color="auto" w:fill="CCEEFF"/>
          </w:tcPr>
          <w:p>
            <w:pPr>
              <w:jc w:val="right"/>
              <w:ind w:right="12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55"/>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(60)</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6,810</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6,810</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35"/>
              <w:spacing w:after="0" w:line="108" w:lineRule="exact"/>
              <w:rPr>
                <w:sz w:val="20"/>
                <w:szCs w:val="20"/>
                <w:color w:val="auto"/>
              </w:rPr>
            </w:pPr>
            <w:r>
              <w:rPr>
                <w:rFonts w:ascii="Arial" w:cs="Arial" w:eastAsia="Arial" w:hAnsi="Arial"/>
                <w:sz w:val="10"/>
                <w:szCs w:val="10"/>
                <w:color w:val="auto"/>
              </w:rPr>
              <w:t>(75,992)</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(75,992)</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BALANCE, DECEMBER 31, 2004</w:t>
            </w: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32,756</w:t>
            </w: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83"/>
              </w:rPr>
              <w:t>327</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3"/>
              </w:rPr>
              <w:t>592,999</w:t>
            </w: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8"/>
              </w:rPr>
              <w:t>(442,963)</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150,363</w:t>
            </w:r>
          </w:p>
        </w:tc>
        <w:tc>
          <w:tcPr>
            <w:tcW w:w="20" w:type="dxa"/>
            <w:vAlign w:val="bottom"/>
          </w:tcPr>
          <w:p>
            <w:pPr>
              <w:spacing w:after="0"/>
              <w:rPr>
                <w:sz w:val="9"/>
                <w:szCs w:val="9"/>
                <w:color w:val="auto"/>
              </w:rPr>
            </w:pP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common shares in exchange for warrants</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245</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Issuance of common shares under Employee Stock Purchase Plan</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494</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495</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Exercise of stock options</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304</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1,948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1,951</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Issuance of stock awards to consultants</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40</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(146)</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(145)</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Issuance of stock and warrants for cash</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17,132</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83"/>
              </w:rPr>
              <w:t>171</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3"/>
              </w:rPr>
              <w:t>170,063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170,234</w:t>
            </w:r>
          </w:p>
        </w:tc>
      </w:tr>
      <w:tr>
        <w:trPr>
          <w:trHeight w:val="108"/>
        </w:trPr>
        <w:tc>
          <w:tcPr>
            <w:tcW w:w="3200" w:type="dxa"/>
            <w:vAlign w:val="bottom"/>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440" w:type="dxa"/>
            <w:vAlign w:val="bottom"/>
            <w:gridSpan w:val="3"/>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(1,828)</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(1,828)</w:t>
            </w:r>
          </w:p>
        </w:tc>
      </w:tr>
      <w:tr>
        <w:trPr>
          <w:trHeight w:val="108"/>
        </w:trPr>
        <w:tc>
          <w:tcPr>
            <w:tcW w:w="320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loss</w:t>
            </w:r>
          </w:p>
        </w:tc>
        <w:tc>
          <w:tcPr>
            <w:tcW w:w="440" w:type="dxa"/>
            <w:vAlign w:val="bottom"/>
            <w:gridSpan w:val="3"/>
            <w:shd w:val="clear" w:color="auto" w:fill="CCEEFF"/>
          </w:tcPr>
          <w:p>
            <w:pPr>
              <w:jc w:val="right"/>
              <w:ind w:right="121"/>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35"/>
              <w:spacing w:after="0" w:line="108" w:lineRule="exact"/>
              <w:rPr>
                <w:sz w:val="20"/>
                <w:szCs w:val="20"/>
                <w:color w:val="auto"/>
              </w:rPr>
            </w:pPr>
            <w:r>
              <w:rPr>
                <w:rFonts w:ascii="Arial" w:cs="Arial" w:eastAsia="Arial" w:hAnsi="Arial"/>
                <w:sz w:val="10"/>
                <w:szCs w:val="10"/>
                <w:color w:val="auto"/>
              </w:rPr>
              <w:t>(114,338)</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w w:val="93"/>
              </w:rPr>
              <w:t>(114,338)</w:t>
            </w:r>
          </w:p>
        </w:tc>
      </w:tr>
      <w:tr>
        <w:trPr>
          <w:trHeight w:val="117"/>
        </w:trPr>
        <w:tc>
          <w:tcPr>
            <w:tcW w:w="3200" w:type="dxa"/>
            <w:vAlign w:val="bottom"/>
          </w:tcPr>
          <w:p>
            <w:pPr>
              <w:spacing w:after="0" w:line="108" w:lineRule="exact"/>
              <w:rPr>
                <w:sz w:val="20"/>
                <w:szCs w:val="20"/>
                <w:color w:val="auto"/>
              </w:rPr>
            </w:pPr>
            <w:r>
              <w:rPr>
                <w:rFonts w:ascii="Arial" w:cs="Arial" w:eastAsia="Arial" w:hAnsi="Arial"/>
                <w:sz w:val="10"/>
                <w:szCs w:val="10"/>
                <w:color w:val="auto"/>
              </w:rPr>
              <w:t>BALANCE, DECEMBER 31, 2005</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50,314</w:t>
            </w:r>
          </w:p>
        </w:tc>
        <w:tc>
          <w:tcPr>
            <w:tcW w:w="1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3"/>
              </w:rPr>
              <w:t>503</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3"/>
              </w:rPr>
              <w:t>763,775</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(557,301</w:t>
            </w:r>
          </w:p>
        </w:tc>
        <w:tc>
          <w:tcPr>
            <w:tcW w:w="160" w:type="dxa"/>
            <w:vAlign w:val="bottom"/>
          </w:tcPr>
          <w:p>
            <w:pPr>
              <w:jc w:val="right"/>
              <w:ind w:right="135"/>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206,977</w:t>
            </w:r>
          </w:p>
        </w:tc>
        <w:tc>
          <w:tcPr>
            <w:tcW w:w="20" w:type="dxa"/>
            <w:vAlign w:val="bottom"/>
          </w:tcPr>
          <w:p>
            <w:pPr>
              <w:spacing w:after="0"/>
              <w:rPr>
                <w:sz w:val="10"/>
                <w:szCs w:val="10"/>
                <w:color w:val="auto"/>
              </w:rPr>
            </w:pPr>
          </w:p>
        </w:tc>
      </w:tr>
    </w:tbl>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343" w:right="79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vMerge w:val="restart"/>
          </w:tcPr>
          <w:p>
            <w:pPr>
              <w:jc w:val="right"/>
              <w:ind w:right="100"/>
              <w:spacing w:after="0"/>
              <w:rPr>
                <w:sz w:val="20"/>
                <w:szCs w:val="20"/>
                <w:color w:val="auto"/>
              </w:rPr>
            </w:pPr>
            <w:r>
              <w:rPr>
                <w:rFonts w:ascii="Arial" w:cs="Arial" w:eastAsia="Arial" w:hAnsi="Arial"/>
                <w:sz w:val="10"/>
                <w:szCs w:val="10"/>
                <w:b w:val="1"/>
                <w:bCs w:val="1"/>
                <w:color w:val="auto"/>
                <w:w w:val="96"/>
              </w:rPr>
              <w:t>Years Ended December 31,</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2004</w:t>
            </w:r>
          </w:p>
        </w:tc>
        <w:tc>
          <w:tcPr>
            <w:tcW w:w="380" w:type="dxa"/>
            <w:vAlign w:val="bottom"/>
          </w:tcPr>
          <w:p>
            <w:pPr>
              <w:spacing w:after="0"/>
              <w:rPr>
                <w:sz w:val="8"/>
                <w:szCs w:val="8"/>
                <w:color w:val="auto"/>
              </w:rPr>
            </w:pPr>
          </w:p>
        </w:tc>
        <w:tc>
          <w:tcPr>
            <w:tcW w:w="70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780" w:type="dxa"/>
            <w:vAlign w:val="bottom"/>
            <w:gridSpan w:val="3"/>
          </w:tcPr>
          <w:p>
            <w:pPr>
              <w:jc w:val="right"/>
              <w:ind w:right="80"/>
              <w:spacing w:after="0"/>
              <w:rPr>
                <w:sz w:val="20"/>
                <w:szCs w:val="20"/>
                <w:color w:val="auto"/>
              </w:rPr>
            </w:pPr>
            <w:r>
              <w:rPr>
                <w:rFonts w:ascii="Arial" w:cs="Arial" w:eastAsia="Arial" w:hAnsi="Arial"/>
                <w:sz w:val="13"/>
                <w:szCs w:val="13"/>
                <w:color w:val="auto"/>
              </w:rPr>
              <w:t>$  (65,879)</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(75,992)</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   (114,338)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(557,301)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780" w:type="dxa"/>
            <w:vAlign w:val="bottom"/>
            <w:gridSpan w:val="3"/>
          </w:tcPr>
          <w:p>
            <w:pPr>
              <w:jc w:val="right"/>
              <w:ind w:right="120"/>
              <w:spacing w:after="0"/>
              <w:rPr>
                <w:sz w:val="20"/>
                <w:szCs w:val="20"/>
                <w:color w:val="auto"/>
              </w:rPr>
            </w:pPr>
            <w:r>
              <w:rPr>
                <w:rFonts w:ascii="Arial" w:cs="Arial" w:eastAsia="Arial" w:hAnsi="Arial"/>
                <w:sz w:val="13"/>
                <w:szCs w:val="13"/>
                <w:color w:val="auto"/>
              </w:rPr>
              <w:t>7,657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7,179</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7,391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30,637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 expense (benefit)</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4,501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6,810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(1,728)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rPr>
              <w:t>Loss on sale and abandonment/disposal of property and equipment</w:t>
            </w:r>
          </w:p>
        </w:tc>
        <w:tc>
          <w:tcPr>
            <w:tcW w:w="1780" w:type="dxa"/>
            <w:vAlign w:val="bottom"/>
            <w:gridSpan w:val="3"/>
          </w:tcPr>
          <w:p>
            <w:pPr>
              <w:jc w:val="right"/>
              <w:ind w:right="120"/>
              <w:spacing w:after="0"/>
              <w:rPr>
                <w:sz w:val="20"/>
                <w:szCs w:val="20"/>
                <w:color w:val="auto"/>
              </w:rPr>
            </w:pPr>
            <w:r>
              <w:rPr>
                <w:rFonts w:ascii="Arial" w:cs="Arial" w:eastAsia="Arial" w:hAnsi="Arial"/>
                <w:sz w:val="13"/>
                <w:szCs w:val="13"/>
                <w:color w:val="auto"/>
              </w:rPr>
              <w:t>2,803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528</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interest on investments, net of amortization of premiums</w:t>
            </w:r>
          </w:p>
        </w:tc>
        <w:tc>
          <w:tcPr>
            <w:tcW w:w="10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rPr>
              <w:t>In-process research and development</w:t>
            </w:r>
          </w:p>
        </w:tc>
        <w:tc>
          <w:tcPr>
            <w:tcW w:w="10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Discount on stockholder notes below market rate</w:t>
            </w:r>
          </w:p>
        </w:tc>
        <w:tc>
          <w:tcPr>
            <w:tcW w:w="10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w w:val="94"/>
              </w:rPr>
              <w:t>Non-cash compensation expense of officer resulting from stockholder contribution</w:t>
            </w:r>
          </w:p>
        </w:tc>
        <w:tc>
          <w:tcPr>
            <w:tcW w:w="1780" w:type="dxa"/>
            <w:vAlign w:val="bottom"/>
            <w:gridSpan w:val="3"/>
          </w:tcPr>
          <w:p>
            <w:pPr>
              <w:jc w:val="right"/>
              <w:ind w:right="120"/>
              <w:spacing w:after="0"/>
              <w:rPr>
                <w:sz w:val="20"/>
                <w:szCs w:val="20"/>
                <w:color w:val="auto"/>
              </w:rPr>
            </w:pPr>
            <w:r>
              <w:rPr>
                <w:rFonts w:ascii="Arial" w:cs="Arial" w:eastAsia="Arial" w:hAnsi="Arial"/>
                <w:sz w:val="13"/>
                <w:szCs w:val="13"/>
                <w:color w:val="auto"/>
              </w:rPr>
              <w:t>70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interest expense on notes payable to stockholders</w:t>
            </w:r>
          </w:p>
        </w:tc>
        <w:tc>
          <w:tcPr>
            <w:tcW w:w="10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rPr>
              <w:t>Non-cash interest expense</w:t>
            </w:r>
          </w:p>
        </w:tc>
        <w:tc>
          <w:tcPr>
            <w:tcW w:w="10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interest on notes</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rPr>
              <w:t>Goodwill impairment</w:t>
            </w:r>
          </w:p>
        </w:tc>
        <w:tc>
          <w:tcPr>
            <w:tcW w:w="10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on available-for-sale securities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Arial" w:cs="Arial" w:eastAsia="Arial" w:hAnsi="Arial"/>
                <w:sz w:val="13"/>
                <w:szCs w:val="13"/>
                <w:color w:val="auto"/>
              </w:rPr>
              <w:t>Changes in assets and liabilities:</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State research and development credit exchange receivable</w:t>
            </w:r>
          </w:p>
        </w:tc>
        <w:tc>
          <w:tcPr>
            <w:tcW w:w="10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400"/>
              <w:spacing w:after="0"/>
              <w:rPr>
                <w:sz w:val="20"/>
                <w:szCs w:val="20"/>
                <w:color w:val="auto"/>
              </w:rPr>
            </w:pPr>
            <w:r>
              <w:rPr>
                <w:rFonts w:ascii="Arial" w:cs="Arial" w:eastAsia="Arial" w:hAnsi="Arial"/>
                <w:sz w:val="13"/>
                <w:szCs w:val="13"/>
                <w:color w:val="auto"/>
              </w:rPr>
              <w:t>Prepaid expenses and other current assets</w:t>
            </w:r>
          </w:p>
        </w:tc>
        <w:tc>
          <w:tcPr>
            <w:tcW w:w="1780" w:type="dxa"/>
            <w:vAlign w:val="bottom"/>
            <w:gridSpan w:val="3"/>
          </w:tcPr>
          <w:p>
            <w:pPr>
              <w:jc w:val="right"/>
              <w:ind w:right="80"/>
              <w:spacing w:after="0"/>
              <w:rPr>
                <w:sz w:val="20"/>
                <w:szCs w:val="20"/>
                <w:color w:val="auto"/>
              </w:rPr>
            </w:pPr>
            <w:r>
              <w:rPr>
                <w:rFonts w:ascii="Arial" w:cs="Arial" w:eastAsia="Arial" w:hAnsi="Arial"/>
                <w:sz w:val="13"/>
                <w:szCs w:val="13"/>
                <w:color w:val="auto"/>
              </w:rPr>
              <w:t>(910)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(1,406)</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Other assets</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(93)</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400"/>
              <w:spacing w:after="0"/>
              <w:rPr>
                <w:sz w:val="20"/>
                <w:szCs w:val="20"/>
                <w:color w:val="auto"/>
              </w:rPr>
            </w:pPr>
            <w:r>
              <w:rPr>
                <w:rFonts w:ascii="Arial" w:cs="Arial" w:eastAsia="Arial" w:hAnsi="Arial"/>
                <w:sz w:val="13"/>
                <w:szCs w:val="13"/>
                <w:color w:val="auto"/>
              </w:rPr>
              <w:t>Accounts payable</w:t>
            </w:r>
          </w:p>
        </w:tc>
        <w:tc>
          <w:tcPr>
            <w:tcW w:w="1780" w:type="dxa"/>
            <w:vAlign w:val="bottom"/>
            <w:gridSpan w:val="3"/>
          </w:tcPr>
          <w:p>
            <w:pPr>
              <w:jc w:val="right"/>
              <w:ind w:right="80"/>
              <w:spacing w:after="0"/>
              <w:rPr>
                <w:sz w:val="20"/>
                <w:szCs w:val="20"/>
                <w:color w:val="auto"/>
              </w:rPr>
            </w:pPr>
            <w:r>
              <w:rPr>
                <w:rFonts w:ascii="Arial" w:cs="Arial" w:eastAsia="Arial" w:hAnsi="Arial"/>
                <w:sz w:val="13"/>
                <w:szCs w:val="13"/>
                <w:color w:val="auto"/>
              </w:rPr>
              <w:t>(1,172)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1,486</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Accrued expenses and other current liabilities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1,147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4,244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9,185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400"/>
              <w:spacing w:after="0"/>
              <w:rPr>
                <w:sz w:val="20"/>
                <w:szCs w:val="20"/>
                <w:color w:val="auto"/>
              </w:rPr>
            </w:pPr>
            <w:r>
              <w:rPr>
                <w:rFonts w:ascii="Arial" w:cs="Arial" w:eastAsia="Arial" w:hAnsi="Arial"/>
                <w:sz w:val="13"/>
                <w:szCs w:val="13"/>
                <w:color w:val="auto"/>
              </w:rPr>
              <w:t>Other liabilities</w:t>
            </w:r>
          </w:p>
        </w:tc>
        <w:tc>
          <w:tcPr>
            <w:tcW w:w="1780" w:type="dxa"/>
            <w:vAlign w:val="bottom"/>
            <w:gridSpan w:val="3"/>
          </w:tcPr>
          <w:p>
            <w:pPr>
              <w:jc w:val="right"/>
              <w:ind w:right="80"/>
              <w:spacing w:after="0"/>
              <w:rPr>
                <w:sz w:val="20"/>
                <w:szCs w:val="20"/>
                <w:color w:val="auto"/>
              </w:rPr>
            </w:pPr>
            <w:r>
              <w:rPr>
                <w:rFonts w:ascii="Arial" w:cs="Arial" w:eastAsia="Arial" w:hAnsi="Arial"/>
                <w:sz w:val="13"/>
                <w:szCs w:val="13"/>
                <w:color w:val="auto"/>
              </w:rPr>
              <w:t>(87)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(46)</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Payment of deferred compensation</w:t>
            </w:r>
          </w:p>
        </w:tc>
        <w:tc>
          <w:tcPr>
            <w:tcW w:w="10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(1,373)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60" w:type="dxa"/>
            <w:vAlign w:val="bottom"/>
            <w:vMerge w:val="restart"/>
          </w:tcPr>
          <w:p>
            <w:pPr>
              <w:ind w:left="540"/>
              <w:spacing w:after="0"/>
              <w:rPr>
                <w:sz w:val="20"/>
                <w:szCs w:val="20"/>
                <w:color w:val="auto"/>
              </w:rPr>
            </w:pPr>
            <w:r>
              <w:rPr>
                <w:rFonts w:ascii="Arial" w:cs="Arial" w:eastAsia="Arial" w:hAnsi="Arial"/>
                <w:sz w:val="13"/>
                <w:szCs w:val="13"/>
                <w:color w:val="auto"/>
              </w:rPr>
              <w:t>Net cash used in operating activities</w:t>
            </w:r>
          </w:p>
        </w:tc>
        <w:tc>
          <w:tcPr>
            <w:tcW w:w="1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(52,212)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(59,887)</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(101,229)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(313,599)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FLOWS FROM INVESTING ACTIVITIES:</w:t>
            </w:r>
          </w:p>
        </w:tc>
        <w:tc>
          <w:tcPr>
            <w:tcW w:w="104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Arial" w:cs="Arial" w:eastAsia="Arial" w:hAnsi="Arial"/>
                <w:sz w:val="13"/>
                <w:szCs w:val="13"/>
                <w:color w:val="auto"/>
              </w:rPr>
              <w:t>Purchase of marketable securities</w:t>
            </w:r>
          </w:p>
        </w:tc>
        <w:tc>
          <w:tcPr>
            <w:tcW w:w="1780" w:type="dxa"/>
            <w:vAlign w:val="bottom"/>
            <w:gridSpan w:val="3"/>
          </w:tcPr>
          <w:p>
            <w:pPr>
              <w:jc w:val="right"/>
              <w:ind w:right="80"/>
              <w:spacing w:after="0"/>
              <w:rPr>
                <w:sz w:val="20"/>
                <w:szCs w:val="20"/>
                <w:color w:val="auto"/>
              </w:rPr>
            </w:pPr>
            <w:r>
              <w:rPr>
                <w:rFonts w:ascii="Arial" w:cs="Arial" w:eastAsia="Arial" w:hAnsi="Arial"/>
                <w:sz w:val="13"/>
                <w:szCs w:val="13"/>
                <w:color w:val="auto"/>
              </w:rPr>
              <w:t>(51,960)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(16,353)</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(258,150)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(402,718)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of marketable securities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59,294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13,648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180,245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313,040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Arial" w:cs="Arial" w:eastAsia="Arial" w:hAnsi="Arial"/>
                <w:sz w:val="13"/>
                <w:szCs w:val="13"/>
                <w:color w:val="auto"/>
              </w:rPr>
              <w:t>Purchase of property and equipment</w:t>
            </w:r>
          </w:p>
        </w:tc>
        <w:tc>
          <w:tcPr>
            <w:tcW w:w="1780" w:type="dxa"/>
            <w:vAlign w:val="bottom"/>
            <w:gridSpan w:val="3"/>
          </w:tcPr>
          <w:p>
            <w:pPr>
              <w:jc w:val="right"/>
              <w:ind w:right="80"/>
              <w:spacing w:after="0"/>
              <w:rPr>
                <w:sz w:val="20"/>
                <w:szCs w:val="20"/>
                <w:color w:val="auto"/>
              </w:rPr>
            </w:pPr>
            <w:r>
              <w:rPr>
                <w:rFonts w:ascii="Arial" w:cs="Arial" w:eastAsia="Arial" w:hAnsi="Arial"/>
                <w:sz w:val="13"/>
                <w:szCs w:val="13"/>
                <w:color w:val="auto"/>
              </w:rPr>
              <w:t>(5,183)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(6,895)</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(17,169)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(110,369)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property and equipment</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10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(559)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(24)</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in) provided by investing activities</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(9,624)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(94,401)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(199,865)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3"/>
                <w:szCs w:val="13"/>
                <w:color w:val="auto"/>
              </w:rPr>
              <w:t>F-8</w:t>
            </w: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0" w:type="dxa"/>
            <w:vAlign w:val="bottom"/>
          </w:tcPr>
          <w:p>
            <w:pPr>
              <w:spacing w:after="0"/>
              <w:rPr>
                <w:sz w:val="1"/>
                <w:szCs w:val="1"/>
                <w:color w:val="auto"/>
              </w:rPr>
            </w:pPr>
          </w:p>
        </w:tc>
      </w:tr>
      <w:tr>
        <w:trPr>
          <w:trHeight w:val="118"/>
        </w:trPr>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vMerge w:val="restart"/>
          </w:tcPr>
          <w:p>
            <w:pPr>
              <w:jc w:val="right"/>
              <w:ind w:right="100"/>
              <w:spacing w:after="0"/>
              <w:rPr>
                <w:sz w:val="20"/>
                <w:szCs w:val="20"/>
                <w:color w:val="auto"/>
              </w:rPr>
            </w:pPr>
            <w:r>
              <w:rPr>
                <w:rFonts w:ascii="Arial" w:cs="Arial" w:eastAsia="Arial" w:hAnsi="Arial"/>
                <w:sz w:val="10"/>
                <w:szCs w:val="10"/>
                <w:b w:val="1"/>
                <w:bCs w:val="1"/>
                <w:color w:val="auto"/>
                <w:w w:val="96"/>
              </w:rPr>
              <w:t>Years Ended December 31,</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98"/>
        </w:trPr>
        <w:tc>
          <w:tcPr>
            <w:tcW w:w="5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2004</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FLOWS FROM FINANCING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Issuance of common stock and warrants for cash</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50,000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84,731</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172,680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493,251</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Collection of Series C convertible preferred stock subscriptions receivable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31,847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18,153</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Issuance of Series B convertible preferred stock for cash</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received for common stock to be issued</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3,900</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Repurchase of common stock</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(1,028)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(1,028)</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Put shares sold to majority stockholder</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623</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Borrowings under lines of credit</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4,220</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notes receivables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1,742</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Principal payments on notes payable</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(1,667)</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Payable to stockholder</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(1,406)</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Borrowings on notes payable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3,460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provided by financing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82,848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101,478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172,680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569,501</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40"/>
              <w:spacing w:after="0"/>
              <w:rPr>
                <w:sz w:val="20"/>
                <w:szCs w:val="20"/>
                <w:color w:val="auto"/>
              </w:rPr>
            </w:pPr>
            <w:r>
              <w:rPr>
                <w:rFonts w:ascii="Arial" w:cs="Arial" w:eastAsia="Arial" w:hAnsi="Arial"/>
                <w:sz w:val="13"/>
                <w:szCs w:val="13"/>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32,303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31,967</w:t>
            </w:r>
          </w:p>
        </w:tc>
        <w:tc>
          <w:tcPr>
            <w:tcW w:w="3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(22,950)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56,037</w:t>
            </w:r>
          </w:p>
        </w:tc>
        <w:tc>
          <w:tcPr>
            <w:tcW w:w="0" w:type="dxa"/>
            <w:vAlign w:val="bottom"/>
          </w:tcPr>
          <w:p>
            <w:pPr>
              <w:spacing w:after="0"/>
              <w:rPr>
                <w:sz w:val="1"/>
                <w:szCs w:val="1"/>
                <w:color w:val="auto"/>
              </w:rPr>
            </w:pPr>
          </w:p>
        </w:tc>
      </w:tr>
      <w:tr>
        <w:trPr>
          <w:trHeight w:val="158"/>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BEGINNING OF PERIOD</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47,020</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78,987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color w:val="auto"/>
              </w:rPr>
              <w:t>CASH AND CASH EQUIVALENTS, END OF PERIOD</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47,020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78,987</w:t>
            </w: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56,037</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56,037</w:t>
            </w:r>
          </w:p>
        </w:tc>
        <w:tc>
          <w:tcPr>
            <w:tcW w:w="0" w:type="dxa"/>
            <w:vAlign w:val="bottom"/>
          </w:tcPr>
          <w:p>
            <w:pPr>
              <w:spacing w:after="0"/>
              <w:rPr>
                <w:sz w:val="1"/>
                <w:szCs w:val="1"/>
                <w:color w:val="auto"/>
              </w:rPr>
            </w:pPr>
          </w:p>
        </w:tc>
      </w:tr>
      <w:tr>
        <w:trPr>
          <w:trHeight w:val="165"/>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SUPPLEMENTAL CASH FLOWS DISCLOSURES:</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4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paid in cash</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Accretion on redeemable convertible preferred stock</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(952)</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upon conversion of notes payable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3,331</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Increase in additional paid-in capital resulting from merger</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171,154</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for notes receivable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2,758</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Issuance of put option by stockholder</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Put option redemption by stockholder</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1,921</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Notes receivable by stockholder issued to officers</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225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(225)</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Series C convertible preferred stock subscriptions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50,000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Issuance of Series A redeemable convertible preferred stock</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4,296</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Conversion of Series A redeemable convertible preferred stock</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(5,248)</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(5,248)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notes to financial statements.</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w:t>
      </w:r>
    </w:p>
    <w:p>
      <w:pPr>
        <w:spacing w:after="0" w:line="175"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 and Basis of Presentation</w:t>
      </w:r>
    </w:p>
    <w:p>
      <w:pPr>
        <w:spacing w:after="0" w:line="100"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b w:val="1"/>
          <w:bCs w:val="1"/>
          <w:i w:val="1"/>
          <w:iCs w:val="1"/>
          <w:color w:val="auto"/>
        </w:rPr>
        <w:t xml:space="preserve">Business </w:t>
      </w:r>
      <w:r>
        <w:rPr>
          <w:rFonts w:ascii="Arial" w:cs="Arial" w:eastAsia="Arial" w:hAnsi="Arial"/>
          <w:sz w:val="13"/>
          <w:szCs w:val="13"/>
          <w:color w:val="auto"/>
        </w:rPr>
        <w:t>— MannKind Corporation (the “Company”) is a biopharmaceutical company focused on the development and commercialization of therapeutic products for diseases such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diabetes and cancer. The Company’s lead investigational product candidate, the Technosphere Insulin System, is currently in phase 3 clinical trials in the U.S. and Europe to study its safety and efficacy in the treatment of diabetes. The Technosphere Insulin System consists of the Company’s proprietary dry-powder Technosphere formulation of insulin that is inhaled deep into the lung using the Company’s MedTone inhaler.</w:t>
      </w:r>
    </w:p>
    <w:p>
      <w:pPr>
        <w:spacing w:after="0" w:line="70"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b w:val="1"/>
          <w:bCs w:val="1"/>
          <w:i w:val="1"/>
          <w:iCs w:val="1"/>
          <w:color w:val="auto"/>
        </w:rPr>
        <w:t xml:space="preserve">Basis of Presentation </w:t>
      </w:r>
      <w:r>
        <w:rPr>
          <w:rFonts w:ascii="Arial" w:cs="Arial" w:eastAsia="Arial" w:hAnsi="Arial"/>
          <w:sz w:val="12"/>
          <w:szCs w:val="12"/>
          <w:color w:val="auto"/>
        </w:rPr>
        <w:t>— The Company is considered to be in the development stage as its primary activities since incorporation have been establishing its facilities, recruiting personnel,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conducting research and development, business development, business and financial planning, and raising capital. Since its inception through December 31, 2005 the Company has reported accumulated net losses of $557.3 million, which include a goodwill impairment charge of $151.4 million (see Note 2), and negative cash flow from operations of $313.6 million. It is costly to develop therapeutic products and conduct clinical trials for these products. Based upon the Company’s current expectations, management believes the Company’s existing capital resources will enable it to continue planned operations into the third quarter of 2006.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 If planned operating results are not achieved or the Company is not successful in raising additional capital, management believes that planned expenditures could be reduced or eliminated in a relatively short period to continue activities, on a reduced basis, through the first quarter of 2007. Additionally, the Company’s principal stockholder has given assurances that he will provide additional funding for the Company’s operations, if necessary, through the first quarter of 2007.</w:t>
      </w:r>
    </w:p>
    <w:p>
      <w:pPr>
        <w:spacing w:after="0" w:line="60"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$19,726,000 and goodwill of $151,428,000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59"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 xml:space="preserve">Reclassifications </w:t>
      </w:r>
      <w:r>
        <w:rPr>
          <w:rFonts w:ascii="Arial" w:cs="Arial" w:eastAsia="Arial" w:hAnsi="Arial"/>
          <w:sz w:val="13"/>
          <w:szCs w:val="13"/>
          <w:color w:val="auto"/>
        </w:rPr>
        <w:t>— Certain reclassifications have been made to the prior years’ financial statements to conform to the 2005 presentation.</w:t>
      </w:r>
    </w:p>
    <w:p>
      <w:pPr>
        <w:spacing w:after="0" w:line="96" w:lineRule="exact"/>
        <w:rPr>
          <w:sz w:val="20"/>
          <w:szCs w:val="20"/>
          <w:color w:val="auto"/>
        </w:rPr>
      </w:pPr>
    </w:p>
    <w:p>
      <w:pPr>
        <w:ind w:left="680" w:right="260"/>
        <w:spacing w:after="0" w:line="320" w:lineRule="auto"/>
        <w:rPr>
          <w:sz w:val="20"/>
          <w:szCs w:val="20"/>
          <w:color w:val="auto"/>
        </w:rPr>
      </w:pPr>
      <w:r>
        <w:rPr>
          <w:rFonts w:ascii="Arial" w:cs="Arial" w:eastAsia="Arial" w:hAnsi="Arial"/>
          <w:sz w:val="12"/>
          <w:szCs w:val="12"/>
          <w:b w:val="1"/>
          <w:bCs w:val="1"/>
          <w:i w:val="1"/>
          <w:iCs w:val="1"/>
          <w:color w:val="auto"/>
        </w:rPr>
        <w:t xml:space="preserve">Reverse Stock Split </w:t>
      </w:r>
      <w:r>
        <w:rPr>
          <w:rFonts w:ascii="Arial" w:cs="Arial" w:eastAsia="Arial" w:hAnsi="Arial"/>
          <w:sz w:val="12"/>
          <w:szCs w:val="12"/>
          <w:color w:val="auto"/>
        </w:rPr>
        <w:t>— On May 27, 2004, the Company’s board of directors approved a one-for-three reverse stock split, which was effected on July 22, 2004. All common share and per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share amounts in the consolidated financial statements and notes to financial statements have been adjusted for all periods that are presented prior to</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July 22, 2004 to give effect to the reverse stock split, including reclassifying an amount equal to the reduction in par value to additional paid-in capital.</w:t>
      </w:r>
    </w:p>
    <w:p>
      <w:pPr>
        <w:spacing w:after="0" w:line="96"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b w:val="1"/>
          <w:bCs w:val="1"/>
          <w:i w:val="1"/>
          <w:iCs w:val="1"/>
          <w:color w:val="auto"/>
        </w:rPr>
        <w:t xml:space="preserve">Segment Information </w:t>
      </w:r>
      <w:r>
        <w:rPr>
          <w:rFonts w:ascii="Arial" w:cs="Arial" w:eastAsia="Arial" w:hAnsi="Arial"/>
          <w:sz w:val="13"/>
          <w:szCs w:val="13"/>
          <w:color w:val="auto"/>
        </w:rPr>
        <w:t>— In accordance with Statement of Financial Accounting Standards (“SFAS”) No. 131,</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Disclosures about Segments of an Enterprise and Related Information</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70" w:lineRule="exact"/>
        <w:rPr>
          <w:sz w:val="20"/>
          <w:szCs w:val="20"/>
          <w:color w:val="auto"/>
        </w:rPr>
      </w:pPr>
    </w:p>
    <w:p>
      <w:pPr>
        <w:ind w:left="680" w:right="480"/>
        <w:spacing w:after="0" w:line="280" w:lineRule="auto"/>
        <w:rPr>
          <w:sz w:val="20"/>
          <w:szCs w:val="20"/>
          <w:color w:val="auto"/>
        </w:rPr>
      </w:pPr>
      <w:r>
        <w:rPr>
          <w:rFonts w:ascii="Arial" w:cs="Arial" w:eastAsia="Arial" w:hAnsi="Arial"/>
          <w:sz w:val="12"/>
          <w:szCs w:val="12"/>
          <w:b w:val="1"/>
          <w:bCs w:val="1"/>
          <w:i w:val="1"/>
          <w:iCs w:val="1"/>
          <w:color w:val="auto"/>
        </w:rPr>
        <w:t xml:space="preserve">Initial Public Offering </w:t>
      </w:r>
      <w:r>
        <w:rPr>
          <w:rFonts w:ascii="Arial" w:cs="Arial" w:eastAsia="Arial" w:hAnsi="Arial"/>
          <w:sz w:val="12"/>
          <w:szCs w:val="12"/>
          <w:color w:val="auto"/>
        </w:rPr>
        <w:t>— On August 2, 2004, the Company completed an initial public offering of its common stock at a price to the public of $14.00 per share. The Company sold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6,250,000 shares of common stock in the offering and 307,100 shares upon the exercise of the underwriters’ option to cover over-allotments resulting in aggregate net proceeds of</w:t>
      </w:r>
    </w:p>
    <w:p>
      <w:pPr>
        <w:ind w:left="680" w:right="60"/>
        <w:spacing w:after="0" w:line="264" w:lineRule="auto"/>
        <w:rPr>
          <w:sz w:val="20"/>
          <w:szCs w:val="20"/>
          <w:color w:val="auto"/>
        </w:rPr>
      </w:pPr>
      <w:r>
        <w:rPr>
          <w:rFonts w:ascii="Arial" w:cs="Arial" w:eastAsia="Arial" w:hAnsi="Arial"/>
          <w:sz w:val="13"/>
          <w:szCs w:val="13"/>
          <w:color w:val="auto"/>
        </w:rPr>
        <w:t>$83.2 million. In connection with the initial public offering, all of the outstanding shares of the Company’s preferred stock were converted into shares of its common stock. Accordingly, the automatic conversion of preferred stock on August 2, 2004 into common stock is reflected in the accompanying audited consolidated financial statements.</w:t>
      </w:r>
    </w:p>
    <w:p>
      <w:pPr>
        <w:spacing w:after="0" w:line="67" w:lineRule="exact"/>
        <w:rPr>
          <w:sz w:val="20"/>
          <w:szCs w:val="20"/>
          <w:color w:val="auto"/>
        </w:rPr>
      </w:pPr>
    </w:p>
    <w:p>
      <w:pPr>
        <w:ind w:left="680" w:right="360"/>
        <w:spacing w:after="0" w:line="258" w:lineRule="auto"/>
        <w:rPr>
          <w:sz w:val="20"/>
          <w:szCs w:val="20"/>
          <w:color w:val="auto"/>
        </w:rPr>
      </w:pPr>
      <w:r>
        <w:rPr>
          <w:rFonts w:ascii="Arial" w:cs="Arial" w:eastAsia="Arial" w:hAnsi="Arial"/>
          <w:sz w:val="13"/>
          <w:szCs w:val="13"/>
          <w:b w:val="1"/>
          <w:bCs w:val="1"/>
          <w:i w:val="1"/>
          <w:iCs w:val="1"/>
          <w:color w:val="auto"/>
        </w:rPr>
        <w:t xml:space="preserve">Private Placement </w:t>
      </w:r>
      <w:r>
        <w:rPr>
          <w:rFonts w:ascii="Arial" w:cs="Arial" w:eastAsia="Arial" w:hAnsi="Arial"/>
          <w:sz w:val="13"/>
          <w:szCs w:val="13"/>
          <w:color w:val="auto"/>
        </w:rPr>
        <w:t>— On August 5, 2005, the Company completed a $175.0 million private placement of common stock and the concurrent issuance of warrants for the purchase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In connection with this private placement, the Company paid $4.5 million in commissions to the placement agents and incurred $300,000 in other offering expenses which resulted in net proceeds of approximately $170.2 million.</w:t>
      </w:r>
    </w:p>
    <w:p>
      <w:pPr>
        <w:spacing w:after="0" w:line="146" w:lineRule="exact"/>
        <w:rPr>
          <w:sz w:val="20"/>
          <w:szCs w:val="20"/>
          <w:color w:val="auto"/>
        </w:rPr>
      </w:pPr>
    </w:p>
    <w:p>
      <w:pPr>
        <w:ind w:left="1000" w:hanging="313"/>
        <w:spacing w:after="0"/>
        <w:tabs>
          <w:tab w:leader="none" w:pos="10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b w:val="1"/>
          <w:bCs w:val="1"/>
          <w:i w:val="1"/>
          <w:iCs w:val="1"/>
          <w:color w:val="auto"/>
        </w:rPr>
        <w:t xml:space="preserve">Financial Statement Estimates </w:t>
      </w:r>
      <w:r>
        <w:rPr>
          <w:rFonts w:ascii="Arial" w:cs="Arial" w:eastAsia="Arial" w:hAnsi="Arial"/>
          <w:sz w:val="12"/>
          <w:szCs w:val="12"/>
          <w:color w:val="auto"/>
        </w:rPr>
        <w:t>— The preparation of financial statements in conformity with accounting principles generally accepted in the United States of America requires management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make estimates and assumptions that affect the amounts reported in the financial statements and accompanying notes. Actual results could differ from those estimates.</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 xml:space="preserve">Cash and Cash Equivalents </w:t>
      </w:r>
      <w:r>
        <w:rPr>
          <w:rFonts w:ascii="Arial" w:cs="Arial" w:eastAsia="Arial" w:hAnsi="Arial"/>
          <w:sz w:val="13"/>
          <w:szCs w:val="13"/>
          <w:color w:val="auto"/>
        </w:rPr>
        <w:t>— The Company considers all highly liquid investments with a purchased maturity date of three months or less to be cash equivalents.</w:t>
      </w:r>
    </w:p>
    <w:p>
      <w:pPr>
        <w:spacing w:after="0" w:line="96"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b w:val="1"/>
          <w:bCs w:val="1"/>
          <w:i w:val="1"/>
          <w:iCs w:val="1"/>
          <w:color w:val="auto"/>
        </w:rPr>
        <w:t xml:space="preserve">Concentration of Credit Risk </w:t>
      </w:r>
      <w:r>
        <w:rPr>
          <w:rFonts w:ascii="Arial" w:cs="Arial" w:eastAsia="Arial" w:hAnsi="Arial"/>
          <w:sz w:val="13"/>
          <w:szCs w:val="13"/>
          <w:color w:val="auto"/>
        </w:rPr>
        <w:t>— Financial instruments that potentially subject the Company to concentration of credit risk consist of cash and cash equivalents and marketable securities.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Cash and cash equivalents consist primarily of interest-bearing accounts and are regularly monitored by management and held in high credit quality institutions. Marketable securities consist of highly liquid short-term investment securities such as government and investment-grade corporate debt.</w:t>
      </w:r>
    </w:p>
    <w:p>
      <w:pPr>
        <w:spacing w:after="0" w:line="67"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b w:val="1"/>
          <w:bCs w:val="1"/>
          <w:i w:val="1"/>
          <w:iCs w:val="1"/>
          <w:color w:val="auto"/>
        </w:rPr>
        <w:t xml:space="preserve">Marketable Securities </w:t>
      </w:r>
      <w:r>
        <w:rPr>
          <w:rFonts w:ascii="Arial" w:cs="Arial" w:eastAsia="Arial" w:hAnsi="Arial"/>
          <w:sz w:val="12"/>
          <w:szCs w:val="12"/>
          <w:color w:val="auto"/>
        </w:rPr>
        <w:t>— The Company accounts for marketable securities as available for sale, in accordance with SFAS No. 115,</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Certain Debt and Equity Securities.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Unrealized holding gains and losses for available-for-sale securities are reported as a separate component of stockholders’ equity until realized. The Company reviews the portfolio for other than temporary impairment in accordance with Emerging Issues Task Force (“EITF”) Issue No. 03-01, </w:t>
      </w:r>
      <w:r>
        <w:rPr>
          <w:rFonts w:ascii="Arial" w:cs="Arial" w:eastAsia="Arial" w:hAnsi="Arial"/>
          <w:sz w:val="12"/>
          <w:szCs w:val="12"/>
          <w:i w:val="1"/>
          <w:iCs w:val="1"/>
          <w:color w:val="auto"/>
        </w:rPr>
        <w:t>The Meaning of Other-Than-Temporary Impairment and Its Application to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Investments </w:t>
      </w:r>
      <w:r>
        <w:rPr>
          <w:rFonts w:ascii="Arial" w:cs="Arial" w:eastAsia="Arial" w:hAnsi="Arial"/>
          <w:sz w:val="12"/>
          <w:szCs w:val="12"/>
          <w:color w:val="auto"/>
        </w:rPr>
        <w:t>and FASB Staff Position No. 115-1,</w:t>
      </w:r>
      <w:r>
        <w:rPr>
          <w:rFonts w:ascii="Arial" w:cs="Arial" w:eastAsia="Arial" w:hAnsi="Arial"/>
          <w:sz w:val="12"/>
          <w:szCs w:val="12"/>
          <w:i w:val="1"/>
          <w:iCs w:val="1"/>
          <w:color w:val="auto"/>
        </w:rPr>
        <w:t xml:space="preserve"> The Meaning of Other-Than-Temporary Impairment and Its Application to Certain Investments.</w:t>
      </w:r>
    </w:p>
    <w:p>
      <w:pPr>
        <w:spacing w:after="0" w:line="53"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b w:val="1"/>
          <w:bCs w:val="1"/>
          <w:i w:val="1"/>
          <w:iCs w:val="1"/>
          <w:color w:val="auto"/>
        </w:rPr>
        <w:t xml:space="preserve">State Research and Development Credit Exchange Receivable </w:t>
      </w:r>
      <w:r>
        <w:rPr>
          <w:rFonts w:ascii="Arial" w:cs="Arial" w:eastAsia="Arial" w:hAnsi="Arial"/>
          <w:sz w:val="13"/>
          <w:szCs w:val="13"/>
          <w:color w:val="auto"/>
        </w:rPr>
        <w:t>— The State of Connecticut provides certain companies with the opportunity to exchange certain research and development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income tax credit carryforwards for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6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b w:val="1"/>
          <w:bCs w:val="1"/>
          <w:i w:val="1"/>
          <w:iCs w:val="1"/>
          <w:color w:val="auto"/>
        </w:rPr>
        <w:t xml:space="preserve">Fair Value of Financial Instruments </w:t>
      </w:r>
      <w:r>
        <w:rPr>
          <w:rFonts w:ascii="Arial" w:cs="Arial" w:eastAsia="Arial" w:hAnsi="Arial"/>
          <w:sz w:val="13"/>
          <w:szCs w:val="13"/>
          <w:color w:val="auto"/>
        </w:rPr>
        <w:t>— The carrying amounts of financial instruments, which include cash equivalents, marketable securities, accounts payable, accrued expenses and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current liabilities and payable to stockholder, approximate their fair values due to their relatively short maturities. The carrying amounts of the notes receivable from stockholders reflect market rates of interest for similar loans of similar amounts and terms available from a third party (see Notes 7 and 8).</w:t>
      </w:r>
    </w:p>
    <w:p>
      <w:pPr>
        <w:spacing w:after="0" w:line="67"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b w:val="1"/>
          <w:bCs w:val="1"/>
          <w:i w:val="1"/>
          <w:iCs w:val="1"/>
          <w:color w:val="auto"/>
        </w:rPr>
        <w:t xml:space="preserve">Goodwill and Identifiable Intangibles </w:t>
      </w:r>
      <w:r>
        <w:rPr>
          <w:rFonts w:ascii="Arial" w:cs="Arial" w:eastAsia="Arial" w:hAnsi="Arial"/>
          <w:sz w:val="12"/>
          <w:szCs w:val="12"/>
          <w:color w:val="auto"/>
        </w:rPr>
        <w:t>— As a result of the merger with AlleCure and CTL on December 12, 2001, as described in Note 1, goodwill of $151.4 million was recorded at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entity level in 2001. Upon adoption of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the Company adopted a policy of testing goodwill and intangible assets with indefinite lives for impairment at 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w:t>
      </w:r>
    </w:p>
    <w:p>
      <w:pPr>
        <w:spacing w:after="0" w:line="60" w:lineRule="exact"/>
        <w:rPr>
          <w:sz w:val="20"/>
          <w:szCs w:val="20"/>
          <w:color w:val="auto"/>
        </w:rPr>
      </w:pPr>
    </w:p>
    <w:p>
      <w:pPr>
        <w:ind w:left="680" w:right="40"/>
        <w:spacing w:after="0" w:line="371" w:lineRule="auto"/>
        <w:rPr>
          <w:sz w:val="20"/>
          <w:szCs w:val="20"/>
          <w:color w:val="auto"/>
        </w:rPr>
      </w:pPr>
      <w:r>
        <w:rPr>
          <w:rFonts w:ascii="Arial" w:cs="Arial" w:eastAsia="Arial" w:hAnsi="Arial"/>
          <w:sz w:val="11"/>
          <w:szCs w:val="11"/>
          <w:b w:val="1"/>
          <w:bCs w:val="1"/>
          <w:i w:val="1"/>
          <w:iCs w:val="1"/>
          <w:color w:val="auto"/>
        </w:rPr>
        <w:t xml:space="preserve">Property and Equipment </w:t>
      </w:r>
      <w:r>
        <w:rPr>
          <w:rFonts w:ascii="Arial" w:cs="Arial" w:eastAsia="Arial" w:hAnsi="Arial"/>
          <w:sz w:val="11"/>
          <w:szCs w:val="11"/>
          <w:color w:val="auto"/>
        </w:rPr>
        <w:t>— Property and equipment are recorded at cost and depreciated using the straight-line method over the estimated useful lives of the related assets. Leasehold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improvements are amortized over the term of the lease or the service lives of the improvements, whichever is shorter. Assets under construction are not depreciated until placed into service.</w:t>
      </w:r>
    </w:p>
    <w:p>
      <w:pPr>
        <w:spacing w:after="0" w:line="12"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b w:val="1"/>
          <w:bCs w:val="1"/>
          <w:i w:val="1"/>
          <w:iCs w:val="1"/>
          <w:color w:val="auto"/>
        </w:rPr>
        <w:t xml:space="preserve">Impairment of Long-Lived Assets </w:t>
      </w:r>
      <w:r>
        <w:rPr>
          <w:rFonts w:ascii="Arial" w:cs="Arial" w:eastAsia="Arial" w:hAnsi="Arial"/>
          <w:sz w:val="13"/>
          <w:szCs w:val="13"/>
          <w:color w:val="auto"/>
        </w:rPr>
        <w:t>— The Company evaluates long-lived assets for impairment whenever events or changes in circumstances indicate that the carrying value of an asset may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not be recoverable in accordance with SFAS No. 144, </w:t>
      </w:r>
      <w:r>
        <w:rPr>
          <w:rFonts w:ascii="Arial" w:cs="Arial" w:eastAsia="Arial" w:hAnsi="Arial"/>
          <w:sz w:val="13"/>
          <w:szCs w:val="13"/>
          <w:i w:val="1"/>
          <w:iCs w:val="1"/>
          <w:color w:val="auto"/>
        </w:rPr>
        <w:t>Accounting for the Impairment or Disposal of Long Lived-Assets.</w:t>
      </w:r>
      <w:r>
        <w:rPr>
          <w:rFonts w:ascii="Arial" w:cs="Arial" w:eastAsia="Arial" w:hAnsi="Arial"/>
          <w:sz w:val="13"/>
          <w:szCs w:val="13"/>
          <w:color w:val="auto"/>
        </w:rPr>
        <w:t xml:space="preserve"> Assets are considered to be impaired if the carrying value may not be recoverable based upon management’s assessment of the following events or changes in circumstances:</w:t>
      </w:r>
    </w:p>
    <w:p>
      <w:pPr>
        <w:spacing w:after="0" w:line="67" w:lineRule="exact"/>
        <w:rPr>
          <w:sz w:val="20"/>
          <w:szCs w:val="20"/>
          <w:color w:val="auto"/>
        </w:rPr>
      </w:pPr>
    </w:p>
    <w:p>
      <w:pPr>
        <w:ind w:left="1180" w:hanging="90"/>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significant changes in the Company’s strategic business objectives and utilization of the assets;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determination that the carrying value of such assets can not be recovered through undiscounted cash flows;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loss of legal ownership or title to the assets; or</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impact of significant negative industry or economic trends.</w:t>
      </w:r>
    </w:p>
    <w:p>
      <w:pPr>
        <w:spacing w:after="0" w:line="96"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For the years ended December 31, 2004 and 2005, the Company did not consider any long-lived assets to be impaired based on management’s assessment.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840"/>
        <w:spacing w:after="0" w:line="276" w:lineRule="auto"/>
        <w:rPr>
          <w:sz w:val="20"/>
          <w:szCs w:val="20"/>
          <w:color w:val="auto"/>
        </w:rPr>
      </w:pPr>
      <w:r>
        <w:rPr>
          <w:rFonts w:ascii="Arial" w:cs="Arial" w:eastAsia="Arial" w:hAnsi="Arial"/>
          <w:sz w:val="13"/>
          <w:szCs w:val="13"/>
          <w:b w:val="1"/>
          <w:bCs w:val="1"/>
          <w:i w:val="1"/>
          <w:iCs w:val="1"/>
          <w:color w:val="auto"/>
        </w:rPr>
        <w:t xml:space="preserve">Accounts Payable and Accrued Expenses </w:t>
      </w:r>
      <w:r>
        <w:rPr>
          <w:rFonts w:ascii="Arial" w:cs="Arial" w:eastAsia="Arial" w:hAnsi="Arial"/>
          <w:sz w:val="13"/>
          <w:szCs w:val="13"/>
          <w:color w:val="auto"/>
        </w:rPr>
        <w:t>— All liabilities, including accounts payable and accrued expenses, are recorded consistent with the definition of liabilities and accrual accounting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as provided by Financial Accounting Standards Board (“FASB”) Statement of Financial Accounting Concepts No. 6, </w:t>
      </w:r>
      <w:r>
        <w:rPr>
          <w:rFonts w:ascii="Arial" w:cs="Arial" w:eastAsia="Arial" w:hAnsi="Arial"/>
          <w:sz w:val="13"/>
          <w:szCs w:val="13"/>
          <w:i w:val="1"/>
          <w:iCs w:val="1"/>
          <w:color w:val="auto"/>
        </w:rPr>
        <w:t>Elements of Financial Statements.</w:t>
      </w:r>
    </w:p>
    <w:p>
      <w:pPr>
        <w:spacing w:after="0" w:line="59" w:lineRule="exact"/>
        <w:rPr>
          <w:sz w:val="20"/>
          <w:szCs w:val="20"/>
          <w:color w:val="auto"/>
        </w:rPr>
      </w:pPr>
    </w:p>
    <w:p>
      <w:pPr>
        <w:ind w:left="680" w:right="800"/>
        <w:spacing w:after="0" w:line="264"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 In accordance with SFAS No. 109,</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Accounting for Income Taxes,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deferred income tax assets and liabilities are recorded for the expected future tax consequences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temporary differences between the financial statement carrying amounts and the income tax basis of assets and liabilities. A valuation allowance is recorded to reduce net deferred income tax assets to amounts that are more likely than not to be realized.</w:t>
      </w:r>
    </w:p>
    <w:p>
      <w:pPr>
        <w:spacing w:after="0" w:line="67" w:lineRule="exact"/>
        <w:rPr>
          <w:sz w:val="20"/>
          <w:szCs w:val="20"/>
          <w:color w:val="auto"/>
        </w:rPr>
      </w:pPr>
    </w:p>
    <w:p>
      <w:pPr>
        <w:ind w:left="680" w:right="880"/>
        <w:spacing w:after="0" w:line="258" w:lineRule="auto"/>
        <w:rPr>
          <w:sz w:val="20"/>
          <w:szCs w:val="20"/>
          <w:color w:val="auto"/>
        </w:rPr>
      </w:pPr>
      <w:r>
        <w:rPr>
          <w:rFonts w:ascii="Arial" w:cs="Arial" w:eastAsia="Arial" w:hAnsi="Arial"/>
          <w:sz w:val="13"/>
          <w:szCs w:val="13"/>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 xml:space="preserve">Contingencies </w:t>
      </w:r>
      <w:r>
        <w:rPr>
          <w:rFonts w:ascii="Arial" w:cs="Arial" w:eastAsia="Arial" w:hAnsi="Arial"/>
          <w:sz w:val="13"/>
          <w:szCs w:val="13"/>
          <w:color w:val="auto"/>
        </w:rPr>
        <w:t>— Contingencies are recorded in accordance with SFAS No. 5,</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Accounting for Contingencies.</w:t>
      </w:r>
    </w:p>
    <w:p>
      <w:pPr>
        <w:spacing w:after="0" w:line="96" w:lineRule="exact"/>
        <w:rPr>
          <w:sz w:val="20"/>
          <w:szCs w:val="20"/>
          <w:color w:val="auto"/>
        </w:rPr>
      </w:pPr>
    </w:p>
    <w:p>
      <w:pPr>
        <w:ind w:left="680" w:right="960"/>
        <w:spacing w:after="0" w:line="285" w:lineRule="auto"/>
        <w:rPr>
          <w:sz w:val="20"/>
          <w:szCs w:val="20"/>
          <w:color w:val="auto"/>
        </w:rPr>
      </w:pPr>
      <w:r>
        <w:rPr>
          <w:rFonts w:ascii="Arial" w:cs="Arial" w:eastAsia="Arial" w:hAnsi="Arial"/>
          <w:sz w:val="12"/>
          <w:szCs w:val="12"/>
          <w:b w:val="1"/>
          <w:bCs w:val="1"/>
          <w:i w:val="1"/>
          <w:iCs w:val="1"/>
          <w:color w:val="auto"/>
        </w:rPr>
        <w:t xml:space="preserve">Stock-Based Compensation </w:t>
      </w:r>
      <w:r>
        <w:rPr>
          <w:rFonts w:ascii="Arial" w:cs="Arial" w:eastAsia="Arial" w:hAnsi="Arial"/>
          <w:sz w:val="12"/>
          <w:szCs w:val="12"/>
          <w:color w:val="auto"/>
        </w:rPr>
        <w:t>— At December 31, 2005, the Company has four stock-based compensation plans, which are described more fully in Note 10. The Company accounts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employee stock options and the employee stock purchase plan using the intrinsic value method in accordance with Accounting Principles Board (“APB”) Opinion No. 25,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Stock Issued to Employees</w:t>
      </w:r>
      <w:r>
        <w:rPr>
          <w:rFonts w:ascii="Arial" w:cs="Arial" w:eastAsia="Arial" w:hAnsi="Arial"/>
          <w:sz w:val="12"/>
          <w:szCs w:val="12"/>
          <w:color w:val="auto"/>
        </w:rPr>
        <w:t>, and its interpretations, and has adopted the disclosure-only alternative of SFAS No. 123,</w:t>
      </w:r>
      <w:r>
        <w:rPr>
          <w:rFonts w:ascii="Arial" w:cs="Arial" w:eastAsia="Arial" w:hAnsi="Arial"/>
          <w:sz w:val="12"/>
          <w:szCs w:val="12"/>
          <w:i w:val="1"/>
          <w:iCs w:val="1"/>
          <w:color w:val="auto"/>
        </w:rPr>
        <w:t xml:space="preserve"> Accounting for Stock-Based Compensation. </w:t>
      </w:r>
      <w:r>
        <w:rPr>
          <w:rFonts w:ascii="Arial" w:cs="Arial" w:eastAsia="Arial" w:hAnsi="Arial"/>
          <w:sz w:val="12"/>
          <w:szCs w:val="12"/>
          <w:color w:val="auto"/>
        </w:rPr>
        <w:t>Stock options issued to</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consultants are accounted for in accordance with the provisions of EITF Issue No. 96-18, </w:t>
      </w:r>
      <w:r>
        <w:rPr>
          <w:rFonts w:ascii="Arial" w:cs="Arial" w:eastAsia="Arial" w:hAnsi="Arial"/>
          <w:sz w:val="12"/>
          <w:szCs w:val="12"/>
          <w:i w:val="1"/>
          <w:iCs w:val="1"/>
          <w:color w:val="auto"/>
        </w:rPr>
        <w:t>Accounting for Equity Instruments That Are Issued to Other Than Employees for Acquiring, or in</w:t>
      </w:r>
      <w:r>
        <w:rPr>
          <w:rFonts w:ascii="Arial" w:cs="Arial" w:eastAsia="Arial" w:hAnsi="Arial"/>
          <w:sz w:val="12"/>
          <w:szCs w:val="12"/>
          <w:color w:val="auto"/>
        </w:rPr>
        <w:t xml:space="preserve"> </w:t>
      </w:r>
      <w:r>
        <w:rPr>
          <w:rFonts w:ascii="Arial" w:cs="Arial" w:eastAsia="Arial" w:hAnsi="Arial"/>
          <w:sz w:val="12"/>
          <w:szCs w:val="12"/>
          <w:i w:val="1"/>
          <w:iCs w:val="1"/>
          <w:color w:val="auto"/>
        </w:rPr>
        <w:t>Conjunction with Selling, Goods or Services</w:t>
      </w:r>
      <w:r>
        <w:rPr>
          <w:rFonts w:ascii="Arial" w:cs="Arial" w:eastAsia="Arial" w:hAnsi="Arial"/>
          <w:sz w:val="12"/>
          <w:szCs w:val="12"/>
          <w:color w:val="auto"/>
        </w:rPr>
        <w:t>, and FASB Interpretation No. 28 (“FIN 28”),</w:t>
      </w:r>
      <w:r>
        <w:rPr>
          <w:rFonts w:ascii="Arial" w:cs="Arial" w:eastAsia="Arial" w:hAnsi="Arial"/>
          <w:sz w:val="12"/>
          <w:szCs w:val="12"/>
          <w:i w:val="1"/>
          <w:iCs w:val="1"/>
          <w:color w:val="auto"/>
        </w:rPr>
        <w:t xml:space="preserve"> Accounting for Stock Appreciation Rights and Other Variable Stock Option or Award Plans.</w:t>
      </w:r>
    </w:p>
    <w:p>
      <w:pPr>
        <w:spacing w:after="0" w:line="55" w:lineRule="exact"/>
        <w:rPr>
          <w:sz w:val="20"/>
          <w:szCs w:val="20"/>
          <w:color w:val="auto"/>
        </w:rPr>
      </w:pPr>
    </w:p>
    <w:p>
      <w:pPr>
        <w:ind w:left="680" w:right="1180"/>
        <w:spacing w:after="0" w:line="276" w:lineRule="auto"/>
        <w:rPr>
          <w:sz w:val="20"/>
          <w:szCs w:val="20"/>
          <w:color w:val="auto"/>
        </w:rPr>
      </w:pPr>
      <w:r>
        <w:rPr>
          <w:rFonts w:ascii="Arial" w:cs="Arial" w:eastAsia="Arial" w:hAnsi="Arial"/>
          <w:sz w:val="13"/>
          <w:szCs w:val="13"/>
          <w:color w:val="auto"/>
        </w:rPr>
        <w:t>Under SFAS No. 123, the Company estimates the fair value of each stock option at the grant date or modification date, if any, using the Black-Scholes option valuation model with the following weighted-average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6"/>
              </w:rPr>
              <w:t>Year Ended December 31,</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80" w:type="dxa"/>
            <w:vAlign w:val="bottom"/>
          </w:tcPr>
          <w:p>
            <w:pPr>
              <w:jc w:val="right"/>
              <w:ind w:right="121"/>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c>
          <w:tcPr>
            <w:tcW w:w="880" w:type="dxa"/>
            <w:vAlign w:val="bottom"/>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2004</w:t>
            </w:r>
          </w:p>
        </w:tc>
        <w:tc>
          <w:tcPr>
            <w:tcW w:w="420" w:type="dxa"/>
            <w:vAlign w:val="bottom"/>
          </w:tcPr>
          <w:p>
            <w:pPr>
              <w:spacing w:after="0"/>
              <w:rPr>
                <w:sz w:val="8"/>
                <w:szCs w:val="8"/>
                <w:color w:val="auto"/>
              </w:rPr>
            </w:pPr>
          </w:p>
        </w:tc>
        <w:tc>
          <w:tcPr>
            <w:tcW w:w="58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4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Expected lives</w:t>
            </w:r>
          </w:p>
        </w:tc>
        <w:tc>
          <w:tcPr>
            <w:tcW w:w="42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4.0 years</w:t>
            </w:r>
          </w:p>
        </w:tc>
        <w:tc>
          <w:tcPr>
            <w:tcW w:w="3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4.0 years</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4.8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4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980" w:type="dxa"/>
            <w:vAlign w:val="bottom"/>
            <w:gridSpan w:val="3"/>
          </w:tcPr>
          <w:p>
            <w:pPr>
              <w:jc w:val="right"/>
              <w:ind w:right="2860"/>
              <w:spacing w:after="0"/>
              <w:rPr>
                <w:sz w:val="20"/>
                <w:szCs w:val="20"/>
                <w:color w:val="auto"/>
              </w:rPr>
            </w:pPr>
            <w:r>
              <w:rPr>
                <w:rFonts w:ascii="Arial" w:cs="Arial" w:eastAsia="Arial" w:hAnsi="Arial"/>
                <w:sz w:val="13"/>
                <w:szCs w:val="13"/>
                <w:color w:val="auto"/>
              </w:rPr>
              <w:t>F-13</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Had compensation cost been determined under the accounting provisions of SFAS No. 123, the Company’s net loss would have been adjusted to the pro forma amounts indicated below (in thousands, except per share amounts):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9"/>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loss —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(65,879)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(75,992)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(114,338)</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Add: Stock-based employee compensation expense (benefit) included in reported net loss</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4,224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5,694</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(1,892)</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Deduct: Total stock-based employee compensation expense determined under the fair value based method for all awards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(6,586)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(10,302)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(13,452)</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Net loss — pro forma</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(68,241)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(80,600)</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(129,682)</w:t>
            </w: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Deemed dividends related to beneficial conversion features of convertible preferred stock</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(1,017)</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(19,822)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Accretion on redeemable preferred stock</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 — pro forma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(69,511)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(100,482)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(129,682)</w:t>
            </w:r>
          </w:p>
        </w:tc>
        <w:tc>
          <w:tcPr>
            <w:tcW w:w="0" w:type="dxa"/>
            <w:vAlign w:val="bottom"/>
          </w:tcPr>
          <w:p>
            <w:pPr>
              <w:spacing w:after="0"/>
              <w:rPr>
                <w:sz w:val="1"/>
                <w:szCs w:val="1"/>
                <w:color w:val="auto"/>
              </w:rPr>
            </w:pPr>
          </w:p>
        </w:tc>
      </w:tr>
      <w:tr>
        <w:trPr>
          <w:trHeight w:val="29"/>
        </w:trPr>
        <w:tc>
          <w:tcPr>
            <w:tcW w:w="7100" w:type="dxa"/>
            <w:vAlign w:val="bottom"/>
            <w:vMerge w:val="restart"/>
          </w:tcPr>
          <w:p>
            <w:pPr>
              <w:spacing w:after="0"/>
              <w:rPr>
                <w:sz w:val="20"/>
                <w:szCs w:val="20"/>
                <w:color w:val="auto"/>
              </w:rPr>
            </w:pPr>
            <w:r>
              <w:rPr>
                <w:rFonts w:ascii="Arial" w:cs="Arial" w:eastAsia="Arial" w:hAnsi="Arial"/>
                <w:sz w:val="13"/>
                <w:szCs w:val="13"/>
                <w:color w:val="auto"/>
              </w:rPr>
              <w:t>Basic and diluted loss applicable to common stockholders per share, as reported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(3.63)</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(3.80)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loss applicable to common stockholders per share, pro forma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spacing w:after="0"/>
        <w:rPr>
          <w:sz w:val="20"/>
          <w:szCs w:val="20"/>
          <w:color w:val="auto"/>
        </w:rPr>
      </w:pPr>
      <w:r>
        <w:rPr>
          <w:rFonts w:ascii="Arial" w:cs="Arial" w:eastAsia="Arial" w:hAnsi="Arial"/>
          <w:sz w:val="12"/>
          <w:szCs w:val="12"/>
          <w:b w:val="1"/>
          <w:bCs w:val="1"/>
          <w:i w:val="1"/>
          <w:iCs w:val="1"/>
          <w:color w:val="auto"/>
        </w:rPr>
        <w:t xml:space="preserve">Warrants </w:t>
      </w:r>
      <w:r>
        <w:rPr>
          <w:rFonts w:ascii="Arial" w:cs="Arial" w:eastAsia="Arial" w:hAnsi="Arial"/>
          <w:sz w:val="12"/>
          <w:szCs w:val="12"/>
          <w:color w:val="auto"/>
        </w:rPr>
        <w:t>— The Company has issued warrants to purchase shares of its common stock. Warrants are accounted for as equity in accordance with the provisions of EITF Issue No. 00-19: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Accounting for Derivative Financial Instruments Indexed to, and Potentially Settled in, a Company’s Own Stock.</w:t>
      </w:r>
    </w:p>
    <w:p>
      <w:pPr>
        <w:spacing w:after="0" w:line="89" w:lineRule="exact"/>
        <w:rPr>
          <w:sz w:val="20"/>
          <w:szCs w:val="20"/>
          <w:color w:val="auto"/>
        </w:rPr>
      </w:pPr>
    </w:p>
    <w:p>
      <w:pPr>
        <w:ind w:left="680" w:right="240"/>
        <w:spacing w:after="0" w:line="260" w:lineRule="auto"/>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 Research and development expenses consist primarily of costs associated with the clinical trials of the Company’s product candidates,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manufacturing supplies and other development materials,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SFAS No. 2, </w:t>
      </w:r>
      <w:r>
        <w:rPr>
          <w:rFonts w:ascii="Arial" w:cs="Arial" w:eastAsia="Arial" w:hAnsi="Arial"/>
          <w:sz w:val="13"/>
          <w:szCs w:val="13"/>
          <w:i w:val="1"/>
          <w:iCs w:val="1"/>
          <w:color w:val="auto"/>
        </w:rPr>
        <w:t>Accounting for Research and Development Costs.</w:t>
      </w:r>
    </w:p>
    <w:p>
      <w:pPr>
        <w:spacing w:after="0" w:line="70" w:lineRule="exact"/>
        <w:rPr>
          <w:sz w:val="20"/>
          <w:szCs w:val="20"/>
          <w:color w:val="auto"/>
        </w:rPr>
      </w:pPr>
    </w:p>
    <w:p>
      <w:pPr>
        <w:ind w:left="680" w:right="80"/>
        <w:spacing w:after="0" w:line="308" w:lineRule="auto"/>
        <w:rPr>
          <w:sz w:val="20"/>
          <w:szCs w:val="20"/>
          <w:color w:val="auto"/>
        </w:rPr>
      </w:pPr>
      <w:r>
        <w:rPr>
          <w:rFonts w:ascii="Arial" w:cs="Arial" w:eastAsia="Arial" w:hAnsi="Arial"/>
          <w:sz w:val="11"/>
          <w:szCs w:val="11"/>
          <w:b w:val="1"/>
          <w:bCs w:val="1"/>
          <w:i w:val="1"/>
          <w:iCs w:val="1"/>
          <w:color w:val="auto"/>
        </w:rPr>
        <w:t xml:space="preserve">Clinical Trial Expenses </w:t>
      </w:r>
      <w:r>
        <w:rPr>
          <w:rFonts w:ascii="Arial" w:cs="Arial" w:eastAsia="Arial" w:hAnsi="Arial"/>
          <w:sz w:val="11"/>
          <w:szCs w:val="11"/>
          <w:color w:val="auto"/>
        </w:rPr>
        <w:t>— Clinical trial expenses, which are reflected in research and development expenses in the accompanying statements of operations, result from obligations under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4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b w:val="1"/>
          <w:bCs w:val="1"/>
          <w:i w:val="1"/>
          <w:iCs w:val="1"/>
          <w:color w:val="auto"/>
        </w:rPr>
        <w:t xml:space="preserve">Net Loss Per Share of Common Stock </w:t>
      </w:r>
      <w:r>
        <w:rPr>
          <w:rFonts w:ascii="Arial" w:cs="Arial" w:eastAsia="Arial" w:hAnsi="Arial"/>
          <w:sz w:val="13"/>
          <w:szCs w:val="13"/>
          <w:color w:val="auto"/>
        </w:rPr>
        <w:t>— Basic net loss per share excludes dilution for potentially dilutive securities and is computed by dividing loss applicable to common stockholders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weighted average number of common shares outstanding during the period. Diluted net loss per share reflects the potential dilution that could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jc w:val="both"/>
        <w:ind w:left="680" w:right="100"/>
        <w:spacing w:after="0" w:line="371" w:lineRule="auto"/>
        <w:rPr>
          <w:sz w:val="20"/>
          <w:szCs w:val="20"/>
          <w:color w:val="auto"/>
        </w:rPr>
      </w:pPr>
      <w:r>
        <w:rPr>
          <w:rFonts w:ascii="Arial" w:cs="Arial" w:eastAsia="Arial" w:hAnsi="Arial"/>
          <w:sz w:val="11"/>
          <w:szCs w:val="11"/>
          <w:color w:val="auto"/>
        </w:rPr>
        <w:t>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Potentially dilutive securities outstanding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5"/>
              </w:rPr>
              <w:t>December 31,</w:t>
            </w: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72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Series A redeemable convertible preferred stock on an as converted to common stock basis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890,706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Series B convertible preferred stock on an as converted to common stock basis</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746,408</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Series C convertible preferred stock on an as converted to common stock basis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Stock warrants to purchase common stock</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174,917</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131,628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3,438,776</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units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164,901</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Common stock options</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2,099,824</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4,067,979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4,985,831</w:t>
            </w:r>
          </w:p>
        </w:tc>
      </w:tr>
    </w:tbl>
    <w:p>
      <w:pPr>
        <w:spacing w:after="0" w:line="72"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b w:val="1"/>
          <w:bCs w:val="1"/>
          <w:i w:val="1"/>
          <w:iCs w:val="1"/>
          <w:color w:val="auto"/>
        </w:rPr>
        <w:t xml:space="preserve">Exit or Disposal Activities </w:t>
      </w:r>
      <w:r>
        <w:rPr>
          <w:rFonts w:ascii="Arial" w:cs="Arial" w:eastAsia="Arial" w:hAnsi="Arial"/>
          <w:sz w:val="12"/>
          <w:szCs w:val="12"/>
          <w:color w:val="auto"/>
        </w:rPr>
        <w:t>— SFAS No. 146,</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Costs Associated with Exit or Disposal Activities</w:t>
      </w:r>
      <w:r>
        <w:rPr>
          <w:rFonts w:ascii="Arial" w:cs="Arial" w:eastAsia="Arial" w:hAnsi="Arial"/>
          <w:sz w:val="12"/>
          <w:szCs w:val="12"/>
          <w:color w:val="auto"/>
        </w:rPr>
        <w:t>, was effective for exit or disposal activities initiated after December 31, 2002.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SFAS No. 146 addresses financial accounting and reporting for the costs associated with exit or disposal activities and EITF Issue No. 94-3, </w:t>
      </w:r>
      <w:r>
        <w:rPr>
          <w:rFonts w:ascii="Arial" w:cs="Arial" w:eastAsia="Arial" w:hAnsi="Arial"/>
          <w:sz w:val="12"/>
          <w:szCs w:val="12"/>
          <w:i w:val="1"/>
          <w:iCs w:val="1"/>
          <w:color w:val="auto"/>
        </w:rPr>
        <w:t>Liability Recognition for Certain Employee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Termination Benefits and Costs to Exit and Disposal Activity (Including Certain Costs Incurred in a Restructuring). </w:t>
      </w:r>
      <w:r>
        <w:rPr>
          <w:rFonts w:ascii="Arial" w:cs="Arial" w:eastAsia="Arial" w:hAnsi="Arial"/>
          <w:sz w:val="12"/>
          <w:szCs w:val="12"/>
          <w:color w:val="auto"/>
        </w:rPr>
        <w:t>SFAS No. 146 requires that a liability for costs associated with an exit or</w:t>
      </w:r>
      <w:r>
        <w:rPr>
          <w:rFonts w:ascii="Arial" w:cs="Arial" w:eastAsia="Arial" w:hAnsi="Arial"/>
          <w:sz w:val="12"/>
          <w:szCs w:val="12"/>
          <w:i w:val="1"/>
          <w:iCs w:val="1"/>
          <w:color w:val="auto"/>
        </w:rPr>
        <w:t xml:space="preserve"> </w:t>
      </w:r>
      <w:r>
        <w:rPr>
          <w:rFonts w:ascii="Arial" w:cs="Arial" w:eastAsia="Arial" w:hAnsi="Arial"/>
          <w:sz w:val="12"/>
          <w:szCs w:val="12"/>
          <w:color w:val="auto"/>
        </w:rPr>
        <w:t>disposal activity be recognized when the liability is incurred and establishes that fair value is the objective for initial measurements of the liability.</w:t>
      </w:r>
    </w:p>
    <w:p>
      <w:pPr>
        <w:spacing w:after="0" w:line="53"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Included in general and administrative expense for the year ended December 31, 2003 are approximately $2.2 million of costs related to the consolidation of the Company’s separate California facilities into the Company’s Valencia facility. The $2.2 million consists of $1.1 million in severance costs, $438,000 in office closure costs and $648,000 related to the abandonment of fixed assets. The severance and office closure costs aggregating $1.5 million were initially recorded as an accrued liability and included in accrued expenses and other current liabilities in the accompanying consolidated balance sheets. As of December 31, 2004, payments against this liability totaled $1.5 million. The remaining liability of $65,000 was paid in February 2005.</w:t>
      </w:r>
    </w:p>
    <w:p>
      <w:pPr>
        <w:spacing w:after="0" w:line="71"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Also, as a result of the merger with AlleCure and CTL, the Company recorded a write-off of long-lived assets of approximately $2.2 million and $428,000, for the years ended December 31, 2003 and 2004, respectively.</w:t>
      </w:r>
    </w:p>
    <w:p>
      <w:pPr>
        <w:spacing w:after="0" w:line="59"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b w:val="1"/>
          <w:bCs w:val="1"/>
          <w:i w:val="1"/>
          <w:iCs w:val="1"/>
          <w:color w:val="auto"/>
        </w:rPr>
        <w:t xml:space="preserve">Recently Issued Accounting Standards </w:t>
      </w:r>
      <w:r>
        <w:rPr>
          <w:rFonts w:ascii="Arial" w:cs="Arial" w:eastAsia="Arial" w:hAnsi="Arial"/>
          <w:sz w:val="12"/>
          <w:szCs w:val="12"/>
          <w:color w:val="auto"/>
        </w:rPr>
        <w:t>— In May 2005, the FASB issued SFAS No. 154,</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Changes and Error Corrections</w:t>
      </w:r>
      <w:r>
        <w:rPr>
          <w:rFonts w:ascii="Arial" w:cs="Arial" w:eastAsia="Arial" w:hAnsi="Arial"/>
          <w:sz w:val="12"/>
          <w:szCs w:val="12"/>
          <w:color w:val="auto"/>
        </w:rPr>
        <w:t>, which replaces APB Opinion No. 20,</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 xml:space="preserve">Changes </w:t>
      </w:r>
      <w:r>
        <w:rPr>
          <w:rFonts w:ascii="Arial" w:cs="Arial" w:eastAsia="Arial" w:hAnsi="Arial"/>
          <w:sz w:val="12"/>
          <w:szCs w:val="12"/>
          <w:color w:val="auto"/>
        </w:rPr>
        <w:t>and SFAS No. 3,</w:t>
      </w:r>
      <w:r>
        <w:rPr>
          <w:rFonts w:ascii="Arial" w:cs="Arial" w:eastAsia="Arial" w:hAnsi="Arial"/>
          <w:sz w:val="12"/>
          <w:szCs w:val="12"/>
          <w:i w:val="1"/>
          <w:iCs w:val="1"/>
          <w:color w:val="auto"/>
        </w:rPr>
        <w:t xml:space="preserve"> Reporting Accounting Changes in Interim Financial Statements — An Amendment of APB Opinion No. 28. </w:t>
      </w:r>
      <w:r>
        <w:rPr>
          <w:rFonts w:ascii="Arial" w:cs="Arial" w:eastAsia="Arial" w:hAnsi="Arial"/>
          <w:sz w:val="12"/>
          <w:szCs w:val="12"/>
          <w:color w:val="auto"/>
        </w:rPr>
        <w:t>SFAS No. 154 provides guidance on the accounting for</w:t>
      </w:r>
      <w:r>
        <w:rPr>
          <w:rFonts w:ascii="Arial" w:cs="Arial" w:eastAsia="Arial" w:hAnsi="Arial"/>
          <w:sz w:val="12"/>
          <w:szCs w:val="12"/>
          <w:i w:val="1"/>
          <w:iCs w:val="1"/>
          <w:color w:val="auto"/>
        </w:rPr>
        <w:t xml:space="preserve"> </w:t>
      </w:r>
      <w:r>
        <w:rPr>
          <w:rFonts w:ascii="Arial" w:cs="Arial" w:eastAsia="Arial" w:hAnsi="Arial"/>
          <w:sz w:val="12"/>
          <w:szCs w:val="12"/>
          <w:color w:val="auto"/>
        </w:rPr>
        <w:t>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The Company believes that the adoption of this statement will not have a material effect on its financial condition or results of operations.</w:t>
      </w:r>
    </w:p>
    <w:p>
      <w:pPr>
        <w:spacing w:after="0" w:line="55"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 xml:space="preserve">In March 2005, the FASB issued FASB Interpretation No. 47 (“FIN 47”), </w:t>
      </w:r>
      <w:r>
        <w:rPr>
          <w:rFonts w:ascii="Arial" w:cs="Arial" w:eastAsia="Arial" w:hAnsi="Arial"/>
          <w:sz w:val="13"/>
          <w:szCs w:val="13"/>
          <w:i w:val="1"/>
          <w:iCs w:val="1"/>
          <w:color w:val="auto"/>
        </w:rPr>
        <w:t>Accounting for Conditional Asset Retirement Obligations</w:t>
      </w:r>
      <w:r>
        <w:rPr>
          <w:rFonts w:ascii="Arial" w:cs="Arial" w:eastAsia="Arial" w:hAnsi="Arial"/>
          <w:sz w:val="13"/>
          <w:szCs w:val="13"/>
          <w:color w:val="auto"/>
        </w:rPr>
        <w:t xml:space="preserve">, which clarifies that the term conditional asset retirement obligation as used in SFAS No. 143, </w:t>
      </w:r>
      <w:r>
        <w:rPr>
          <w:rFonts w:ascii="Arial" w:cs="Arial" w:eastAsia="Arial" w:hAnsi="Arial"/>
          <w:sz w:val="13"/>
          <w:szCs w:val="13"/>
          <w:i w:val="1"/>
          <w:iCs w:val="1"/>
          <w:color w:val="auto"/>
        </w:rPr>
        <w:t>Accounting for Asset Retirement Obligations</w:t>
      </w:r>
      <w:r>
        <w:rPr>
          <w:rFonts w:ascii="Arial" w:cs="Arial" w:eastAsia="Arial" w:hAnsi="Arial"/>
          <w:sz w:val="13"/>
          <w:szCs w:val="13"/>
          <w:color w:val="auto"/>
        </w:rPr>
        <w:t>, refers to a legal obligation to perform an asset retirement activity in which the timing and (or) method of settlement are conditional on a future event that may or</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60"/>
        <w:spacing w:after="0" w:line="320" w:lineRule="auto"/>
        <w:rPr>
          <w:sz w:val="20"/>
          <w:szCs w:val="20"/>
          <w:color w:val="auto"/>
        </w:rPr>
      </w:pPr>
      <w:r>
        <w:rPr>
          <w:rFonts w:ascii="Arial" w:cs="Arial" w:eastAsia="Arial" w:hAnsi="Arial"/>
          <w:sz w:val="12"/>
          <w:szCs w:val="12"/>
          <w:color w:val="auto"/>
        </w:rPr>
        <w:t>may not be within the control of the entity. FIN 47, which went into effect in December 2005, governs the disclosures related to future environmental liabilities and affected companies must recognize future estimated cleanup costs on current financial statements. The Company believes the estimated costs associated with potential environmental liabilities are not material.</w:t>
      </w:r>
    </w:p>
    <w:p>
      <w:pPr>
        <w:spacing w:after="0" w:line="35" w:lineRule="exact"/>
        <w:rPr>
          <w:sz w:val="20"/>
          <w:szCs w:val="20"/>
          <w:color w:val="auto"/>
        </w:rPr>
      </w:pPr>
    </w:p>
    <w:p>
      <w:pPr>
        <w:ind w:left="680"/>
        <w:spacing w:after="0" w:line="300" w:lineRule="auto"/>
        <w:rPr>
          <w:sz w:val="20"/>
          <w:szCs w:val="20"/>
          <w:color w:val="auto"/>
        </w:rPr>
      </w:pPr>
      <w:r>
        <w:rPr>
          <w:rFonts w:ascii="Arial" w:cs="Arial" w:eastAsia="Arial" w:hAnsi="Arial"/>
          <w:sz w:val="11"/>
          <w:szCs w:val="11"/>
          <w:color w:val="auto"/>
        </w:rPr>
        <w:t xml:space="preserve">In December 2004, the FASB issued SFAS No. 123R, </w:t>
      </w:r>
      <w:r>
        <w:rPr>
          <w:rFonts w:ascii="Arial" w:cs="Arial" w:eastAsia="Arial" w:hAnsi="Arial"/>
          <w:sz w:val="11"/>
          <w:szCs w:val="11"/>
          <w:i w:val="1"/>
          <w:iCs w:val="1"/>
          <w:color w:val="auto"/>
        </w:rPr>
        <w:t>Share-based Payment: an Amendment of FASB Statements No. 123 and 95</w:t>
      </w:r>
      <w:r>
        <w:rPr>
          <w:rFonts w:ascii="Arial" w:cs="Arial" w:eastAsia="Arial" w:hAnsi="Arial"/>
          <w:sz w:val="11"/>
          <w:szCs w:val="11"/>
          <w:color w:val="auto"/>
        </w:rPr>
        <w:t>. The statement requires companies to expense share-based payments to employees, including stock options, based on the fair value of the award at the grant date. The statement also eliminates the intrinsic value method of accounting for stock options permitted by APB No. 25, which the Company followed until December 31, 2005. The Company is required to adopt SFAS No. 123R for the quarter that begins January 1, 2006. Upon adoption of SFAS No. 123R, the Company is required to select an adoption method and a valuation method that requires the input of highly subjective assumptions, including the expected volatility of its stock price and an expected option term. The first adoption method is a modified prospective transition method whereby a company would recognize share-based employee costs from the beginning of the fiscal period in which the recognition provisions are first applied as if the fair value accounting method had been used to account for all employee awards granted, modified, or settled after the effective date and to any awards that were not fully vested as of the effective date. Measurement and attribution of compensation cost for awards that are unvested as of the effective date of SFAS No. 123R would be based on the same estimate of the grant-date fair value and the same attribution method used previously under</w:t>
      </w:r>
    </w:p>
    <w:p>
      <w:pPr>
        <w:spacing w:after="0" w:line="1" w:lineRule="exact"/>
        <w:rPr>
          <w:sz w:val="20"/>
          <w:szCs w:val="20"/>
          <w:color w:val="auto"/>
        </w:rPr>
      </w:pPr>
    </w:p>
    <w:p>
      <w:pPr>
        <w:ind w:left="680" w:right="140"/>
        <w:spacing w:after="0" w:line="254" w:lineRule="auto"/>
        <w:rPr>
          <w:sz w:val="20"/>
          <w:szCs w:val="20"/>
          <w:color w:val="auto"/>
        </w:rPr>
      </w:pPr>
      <w:r>
        <w:rPr>
          <w:rFonts w:ascii="Arial" w:cs="Arial" w:eastAsia="Arial" w:hAnsi="Arial"/>
          <w:sz w:val="13"/>
          <w:szCs w:val="13"/>
          <w:color w:val="auto"/>
        </w:rPr>
        <w:t>SFAS No. 123. The second adoption method is a modified retrospective transition method whereby a company would recognize employee compensation cost for periods presented prior to the adoption of SFAS No. 123R in accordance with the original provisions of SFAS 123; that is, an entity would recognize employee compensation costs in the amounts reported in the pro forma disclosures provided in accordance with SFAS No. 123. A company would not be permitted to make any changes to those amounts upon adoption of SFAS No. 123R unless those changes represent a correction of an error. For periods after the date of adoption of SFAS No. 123R, the modified prospective transition method described above would be applied. The Company continues to believe that the expensing of stock-based compensation will have an impact on the Company’s Statements of Operations similar to the pro forma disclosure under SFAS No. 123.</w:t>
      </w:r>
    </w:p>
    <w:p>
      <w:pPr>
        <w:spacing w:after="0" w:line="75"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 xml:space="preserve">In March 2004, the FASB ratified the measurement and recognition guidance and certain disclosure requirements for impaired securities as described in EITF Issue No. 03-1, </w:t>
      </w:r>
      <w:r>
        <w:rPr>
          <w:rFonts w:ascii="Arial" w:cs="Arial" w:eastAsia="Arial" w:hAnsi="Arial"/>
          <w:sz w:val="13"/>
          <w:szCs w:val="13"/>
          <w:i w:val="1"/>
          <w:iCs w:val="1"/>
          <w:color w:val="auto"/>
        </w:rPr>
        <w:t>The Meaning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Other-Than-Temporary Impairment and Its Application to Certain Investments. </w:t>
      </w:r>
      <w:r>
        <w:rPr>
          <w:rFonts w:ascii="Arial" w:cs="Arial" w:eastAsia="Arial" w:hAnsi="Arial"/>
          <w:sz w:val="13"/>
          <w:szCs w:val="13"/>
          <w:color w:val="auto"/>
        </w:rPr>
        <w:t>On November 3, 2005, the FASB issued FASB Staff Position (“FSP”) Nos. FAS 115-1 and FAS 124-1 which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xml:space="preserve">”, and SFAS No. 124, </w:t>
      </w:r>
      <w:r>
        <w:rPr>
          <w:rFonts w:ascii="Arial" w:cs="Arial" w:eastAsia="Arial" w:hAnsi="Arial"/>
          <w:sz w:val="13"/>
          <w:szCs w:val="13"/>
          <w:i w:val="1"/>
          <w:iCs w:val="1"/>
          <w:color w:val="auto"/>
        </w:rPr>
        <w:t xml:space="preserve">Accounting for Certain Investments Held by Not-for-Profit Organizations </w:t>
      </w:r>
      <w:r>
        <w:rPr>
          <w:rFonts w:ascii="Arial" w:cs="Arial" w:eastAsia="Arial" w:hAnsi="Arial"/>
          <w:sz w:val="13"/>
          <w:szCs w:val="13"/>
          <w:color w:val="auto"/>
        </w:rPr>
        <w:t>and APB Opinion No. 18,</w:t>
      </w:r>
      <w:r>
        <w:rPr>
          <w:rFonts w:ascii="Arial" w:cs="Arial" w:eastAsia="Arial" w:hAnsi="Arial"/>
          <w:sz w:val="13"/>
          <w:szCs w:val="13"/>
          <w:i w:val="1"/>
          <w:iCs w:val="1"/>
          <w:color w:val="auto"/>
        </w:rPr>
        <w:t xml:space="preserve"> The Equity Method of Accounting for Investments in Common Stock</w:t>
      </w:r>
      <w:r>
        <w:rPr>
          <w:rFonts w:ascii="Arial" w:cs="Arial" w:eastAsia="Arial" w:hAnsi="Arial"/>
          <w:sz w:val="13"/>
          <w:szCs w:val="13"/>
          <w:color w:val="auto"/>
        </w:rPr>
        <w:t>. The FSP is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for reporting periods beginning after December 15, 2005. The Company’s investment portfolio at December 31, 2005 is comprised of highly liquid short-term securities. Unrealized losses for these securities are not material.</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3.</w:t>
            </w:r>
          </w:p>
        </w:tc>
        <w:tc>
          <w:tcPr>
            <w:tcW w:w="6100" w:type="dxa"/>
            <w:vAlign w:val="bottom"/>
          </w:tcPr>
          <w:p>
            <w:pPr>
              <w:ind w:left="120"/>
              <w:spacing w:after="0"/>
              <w:rPr>
                <w:sz w:val="20"/>
                <w:szCs w:val="20"/>
                <w:color w:val="auto"/>
              </w:rPr>
            </w:pPr>
            <w:r>
              <w:rPr>
                <w:rFonts w:ascii="Arial" w:cs="Arial" w:eastAsia="Arial" w:hAnsi="Arial"/>
                <w:sz w:val="13"/>
                <w:szCs w:val="13"/>
                <w:b w:val="1"/>
                <w:bCs w:val="1"/>
                <w:color w:val="auto"/>
              </w:rPr>
              <w:t>Investment in securities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6300" w:type="dxa"/>
            <w:vAlign w:val="bottom"/>
            <w:gridSpan w:val="2"/>
          </w:tcPr>
          <w:p>
            <w:pPr>
              <w:spacing w:after="0"/>
              <w:rPr>
                <w:sz w:val="20"/>
                <w:szCs w:val="20"/>
                <w:color w:val="auto"/>
              </w:rPr>
            </w:pPr>
            <w:r>
              <w:rPr>
                <w:rFonts w:ascii="Arial" w:cs="Arial" w:eastAsia="Arial" w:hAnsi="Arial"/>
                <w:sz w:val="13"/>
                <w:szCs w:val="13"/>
                <w:color w:val="auto"/>
              </w:rPr>
              <w:t>The following is a summary of the available-for-sale securities classified as current assets (in thousands).</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2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ind w:left="298"/>
              <w:spacing w:after="0"/>
              <w:rPr>
                <w:sz w:val="20"/>
                <w:szCs w:val="20"/>
                <w:color w:val="auto"/>
              </w:rPr>
            </w:pPr>
            <w:r>
              <w:rPr>
                <w:rFonts w:ascii="Arial" w:cs="Arial" w:eastAsia="Arial" w:hAnsi="Arial"/>
                <w:sz w:val="10"/>
                <w:szCs w:val="10"/>
                <w:b w:val="1"/>
                <w:bCs w:val="1"/>
                <w:color w:val="auto"/>
                <w:w w:val="92"/>
              </w:rPr>
              <w:t>December 31,</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4"/>
          </w:tcPr>
          <w:p>
            <w:pPr>
              <w:jc w:val="center"/>
              <w:ind w:left="298"/>
              <w:spacing w:after="0"/>
              <w:rPr>
                <w:sz w:val="20"/>
                <w:szCs w:val="20"/>
                <w:color w:val="auto"/>
              </w:rPr>
            </w:pPr>
            <w:r>
              <w:rPr>
                <w:rFonts w:ascii="Arial" w:cs="Arial" w:eastAsia="Arial" w:hAnsi="Arial"/>
                <w:sz w:val="10"/>
                <w:szCs w:val="10"/>
                <w:b w:val="1"/>
                <w:bCs w:val="1"/>
                <w:color w:val="auto"/>
                <w:w w:val="92"/>
              </w:rPr>
              <w:t>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25"/>
        </w:trPr>
        <w:tc>
          <w:tcPr>
            <w:tcW w:w="2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2004</w:t>
            </w: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rPr>
              <w:t>2005</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2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Cost Basis</w:t>
            </w:r>
          </w:p>
        </w:tc>
        <w:tc>
          <w:tcPr>
            <w:tcW w:w="360" w:type="dxa"/>
            <w:vAlign w:val="bottom"/>
          </w:tcPr>
          <w:p>
            <w:pPr>
              <w:spacing w:after="0"/>
              <w:rPr>
                <w:sz w:val="8"/>
                <w:szCs w:val="8"/>
                <w:color w:val="auto"/>
              </w:rPr>
            </w:pPr>
          </w:p>
        </w:tc>
        <w:tc>
          <w:tcPr>
            <w:tcW w:w="600" w:type="dxa"/>
            <w:vAlign w:val="bottom"/>
            <w:gridSpan w:val="2"/>
          </w:tcPr>
          <w:p>
            <w:pPr>
              <w:ind w:left="80"/>
              <w:spacing w:after="0" w:line="98" w:lineRule="exact"/>
              <w:rPr>
                <w:sz w:val="20"/>
                <w:szCs w:val="20"/>
                <w:color w:val="auto"/>
              </w:rPr>
            </w:pPr>
            <w:r>
              <w:rPr>
                <w:rFonts w:ascii="Arial" w:cs="Arial" w:eastAsia="Arial" w:hAnsi="Arial"/>
                <w:sz w:val="10"/>
                <w:szCs w:val="10"/>
                <w:b w:val="1"/>
                <w:bCs w:val="1"/>
                <w:color w:val="auto"/>
              </w:rPr>
              <w:t>Fair Value</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w w:val="85"/>
              </w:rPr>
              <w:t>Cost Basis</w:t>
            </w:r>
          </w:p>
        </w:tc>
        <w:tc>
          <w:tcPr>
            <w:tcW w:w="360" w:type="dxa"/>
            <w:vAlign w:val="bottom"/>
          </w:tcPr>
          <w:p>
            <w:pPr>
              <w:spacing w:after="0"/>
              <w:rPr>
                <w:sz w:val="8"/>
                <w:szCs w:val="8"/>
                <w:color w:val="auto"/>
              </w:rPr>
            </w:pPr>
          </w:p>
        </w:tc>
        <w:tc>
          <w:tcPr>
            <w:tcW w:w="580" w:type="dxa"/>
            <w:vAlign w:val="bottom"/>
            <w:gridSpan w:val="2"/>
          </w:tcPr>
          <w:p>
            <w:pPr>
              <w:ind w:left="60"/>
              <w:spacing w:after="0" w:line="98" w:lineRule="exact"/>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8"/>
                <w:szCs w:val="8"/>
                <w:color w:val="auto"/>
              </w:rPr>
            </w:pPr>
          </w:p>
        </w:tc>
      </w:tr>
      <w:tr>
        <w:trPr>
          <w:trHeight w:val="29"/>
        </w:trPr>
        <w:tc>
          <w:tcPr>
            <w:tcW w:w="2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1,443</w:t>
            </w:r>
          </w:p>
        </w:tc>
        <w:tc>
          <w:tcPr>
            <w:tcW w:w="54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Corporate debt instruments</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2,353</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2,353</w:t>
            </w: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Auction rate preferred stock</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Auction rate municipal bonds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7,750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7,750</w:t>
            </w: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89,597</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89,597</w:t>
            </w:r>
          </w:p>
        </w:tc>
      </w:tr>
      <w:tr>
        <w:trPr>
          <w:trHeight w:val="20"/>
        </w:trPr>
        <w:tc>
          <w:tcPr>
            <w:tcW w:w="2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89,597</w:t>
            </w: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89,597</w:t>
            </w:r>
          </w:p>
        </w:tc>
      </w:tr>
      <w:tr>
        <w:trPr>
          <w:trHeight w:val="29"/>
        </w:trPr>
        <w:tc>
          <w:tcPr>
            <w:tcW w:w="2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Company’s policy is to maintain a highly liquid short-term investment portfolio. The contractual maturities for auction rate municipal bonds at December 31, 2005 are between 19 and 40 years. Despite the long-term nature of their stated contractual maturities, the Company has the ability to quickly liquidate these securities. Proceeds from the sale and maturities of available-for-sale securities amounted to approximately $59.3 million, $13.6 million, and $180.2 million for the years ended December 31, 2003, 2004 and 2005, respectively. Gross realized gains and losses for available-for-sale securities were insignificant for the years ended December 31, 2003, 2004 and 2005.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46"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State research and development credit exchange receivable</w:t>
      </w:r>
    </w:p>
    <w:p>
      <w:pPr>
        <w:spacing w:after="0" w:line="100" w:lineRule="exact"/>
        <w:rPr>
          <w:sz w:val="20"/>
          <w:szCs w:val="20"/>
          <w:color w:val="auto"/>
        </w:rPr>
      </w:pPr>
    </w:p>
    <w:p>
      <w:pPr>
        <w:ind w:left="680" w:right="40"/>
        <w:spacing w:after="0" w:line="282" w:lineRule="auto"/>
        <w:rPr>
          <w:sz w:val="20"/>
          <w:szCs w:val="20"/>
          <w:color w:val="auto"/>
        </w:rPr>
      </w:pPr>
      <w:r>
        <w:rPr>
          <w:rFonts w:ascii="Arial" w:cs="Arial" w:eastAsia="Arial" w:hAnsi="Arial"/>
          <w:sz w:val="12"/>
          <w:szCs w:val="12"/>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2004 and 2005, research and development expenses were offset by $4.0 million and $1.7 million, respectively, in connection with the program. The three months ended September 30, 2004 was the first period in which the Company was able to recognize the benefit of these credits for financial reporting purposes and accordingly the $4.0 million recognized in the year ended December 31, 2004 included amounts attributable to 2004 and prior years.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Property and equipment consist of the following (dollar amounts in thousands):</w:t>
      </w:r>
    </w:p>
    <w:p>
      <w:pPr>
        <w:spacing w:after="0" w:line="98" w:lineRule="exact"/>
        <w:rPr>
          <w:sz w:val="20"/>
          <w:szCs w:val="20"/>
          <w:color w:val="auto"/>
        </w:rPr>
      </w:pPr>
    </w:p>
    <w:p>
      <w:pPr>
        <w:jc w:val="center"/>
        <w:ind w:left="7960"/>
        <w:spacing w:after="0"/>
        <w:rPr>
          <w:sz w:val="20"/>
          <w:szCs w:val="20"/>
          <w:color w:val="auto"/>
        </w:rPr>
      </w:pPr>
      <w:r>
        <w:rPr>
          <w:rFonts w:ascii="Arial" w:cs="Arial" w:eastAsia="Arial" w:hAnsi="Arial"/>
          <w:sz w:val="9"/>
          <w:szCs w:val="9"/>
          <w:b w:val="1"/>
          <w:bCs w:val="1"/>
          <w:color w:val="auto"/>
        </w:rPr>
        <w:t>Estimated</w:t>
      </w:r>
    </w:p>
    <w:p>
      <w:pPr>
        <w:spacing w:after="0" w:line="17" w:lineRule="exact"/>
        <w:rPr>
          <w:sz w:val="20"/>
          <w:szCs w:val="20"/>
          <w:color w:val="auto"/>
        </w:rPr>
      </w:pPr>
    </w:p>
    <w:p>
      <w:pPr>
        <w:jc w:val="center"/>
        <w:ind w:left="7960"/>
        <w:spacing w:after="0"/>
        <w:rPr>
          <w:sz w:val="20"/>
          <w:szCs w:val="20"/>
          <w:color w:val="auto"/>
        </w:rPr>
      </w:pPr>
      <w:r>
        <w:rPr>
          <w:rFonts w:ascii="Arial" w:cs="Arial" w:eastAsia="Arial" w:hAnsi="Arial"/>
          <w:sz w:val="10"/>
          <w:szCs w:val="10"/>
          <w:b w:val="1"/>
          <w:bCs w:val="1"/>
          <w:color w:val="auto"/>
        </w:rPr>
        <w:t>Useful</w:t>
      </w:r>
    </w:p>
    <w:p>
      <w:pPr>
        <w:jc w:val="center"/>
        <w:ind w:left="7960"/>
        <w:spacing w:after="0" w:line="231" w:lineRule="auto"/>
        <w:rPr>
          <w:sz w:val="20"/>
          <w:szCs w:val="20"/>
          <w:color w:val="auto"/>
        </w:rPr>
      </w:pPr>
      <w:r>
        <w:rPr>
          <w:rFonts w:ascii="Arial" w:cs="Arial" w:eastAsia="Arial" w:hAnsi="Arial"/>
          <w:sz w:val="10"/>
          <w:szCs w:val="10"/>
          <w:b w:val="1"/>
          <w:bCs w:val="1"/>
          <w:color w:val="auto"/>
        </w:rPr>
        <w:t>Life</w:t>
      </w:r>
    </w:p>
    <w:p>
      <w:pPr>
        <w:jc w:val="center"/>
        <w:ind w:left="7960"/>
        <w:spacing w:after="0"/>
        <w:rPr>
          <w:sz w:val="20"/>
          <w:szCs w:val="20"/>
          <w:color w:val="auto"/>
        </w:rPr>
      </w:pPr>
      <w:r>
        <w:rPr>
          <w:rFonts w:ascii="Arial" w:cs="Arial" w:eastAsia="Arial" w:hAnsi="Arial"/>
          <w:sz w:val="10"/>
          <w:szCs w:val="10"/>
          <w:b w:val="1"/>
          <w:bCs w:val="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-635</wp:posOffset>
            </wp:positionV>
            <wp:extent cx="38671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67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6350</wp:posOffset>
            </wp:positionV>
            <wp:extent cx="106108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8"/>
          <w:szCs w:val="8"/>
          <w:b w:val="1"/>
          <w:bCs w:val="1"/>
          <w:color w:val="auto"/>
        </w:rPr>
        <w:t>2004</w:t>
      </w:r>
      <w:r>
        <w:rPr>
          <w:sz w:val="20"/>
          <w:szCs w:val="20"/>
          <w:color w:val="auto"/>
        </w:rPr>
        <w:tab/>
      </w:r>
      <w:r>
        <w:rPr>
          <w:rFonts w:ascii="Arial" w:cs="Arial" w:eastAsia="Arial" w:hAnsi="Arial"/>
          <w:sz w:val="8"/>
          <w:szCs w:val="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13335</wp:posOffset>
            </wp:positionV>
            <wp:extent cx="106108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8420" w:space="660"/>
            <w:col w:w="158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7"/>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32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5,273</w:t>
            </w:r>
          </w:p>
        </w:tc>
        <w:tc>
          <w:tcPr>
            <w:tcW w:w="0" w:type="dxa"/>
            <w:vAlign w:val="bottom"/>
          </w:tcPr>
          <w:p>
            <w:pPr>
              <w:spacing w:after="0"/>
              <w:rPr>
                <w:sz w:val="1"/>
                <w:szCs w:val="1"/>
                <w:color w:val="auto"/>
              </w:rPr>
            </w:pPr>
          </w:p>
        </w:tc>
      </w:tr>
      <w:tr>
        <w:trPr>
          <w:trHeight w:val="157"/>
        </w:trPr>
        <w:tc>
          <w:tcPr>
            <w:tcW w:w="5020" w:type="dxa"/>
            <w:vAlign w:val="bottom"/>
          </w:tcPr>
          <w:p>
            <w:pPr>
              <w:spacing w:after="0"/>
              <w:rPr>
                <w:sz w:val="20"/>
                <w:szCs w:val="20"/>
                <w:color w:val="auto"/>
              </w:rPr>
            </w:pPr>
            <w:r>
              <w:rPr>
                <w:rFonts w:ascii="Arial" w:cs="Arial" w:eastAsia="Arial" w:hAnsi="Arial"/>
                <w:sz w:val="13"/>
                <w:szCs w:val="13"/>
                <w:color w:val="auto"/>
              </w:rPr>
              <w:t>Buildings</w:t>
            </w:r>
          </w:p>
        </w:tc>
        <w:tc>
          <w:tcPr>
            <w:tcW w:w="3200" w:type="dxa"/>
            <w:vAlign w:val="bottom"/>
          </w:tcPr>
          <w:p>
            <w:pPr>
              <w:jc w:val="right"/>
              <w:ind w:right="334"/>
              <w:spacing w:after="0"/>
              <w:rPr>
                <w:sz w:val="20"/>
                <w:szCs w:val="20"/>
                <w:color w:val="auto"/>
              </w:rPr>
            </w:pPr>
            <w:r>
              <w:rPr>
                <w:rFonts w:ascii="Arial" w:cs="Arial" w:eastAsia="Arial" w:hAnsi="Arial"/>
                <w:sz w:val="13"/>
                <w:szCs w:val="13"/>
                <w:color w:val="auto"/>
              </w:rPr>
              <w:t>39-40</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9,566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9,566</w:t>
            </w:r>
          </w:p>
        </w:tc>
        <w:tc>
          <w:tcPr>
            <w:tcW w:w="0" w:type="dxa"/>
            <w:vAlign w:val="bottom"/>
          </w:tcPr>
          <w:p>
            <w:pPr>
              <w:spacing w:after="0"/>
              <w:rPr>
                <w:sz w:val="1"/>
                <w:szCs w:val="1"/>
                <w:color w:val="auto"/>
              </w:rPr>
            </w:pPr>
          </w:p>
        </w:tc>
      </w:tr>
      <w:tr>
        <w:trPr>
          <w:trHeight w:val="157"/>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Building improvements</w:t>
            </w:r>
          </w:p>
        </w:tc>
        <w:tc>
          <w:tcPr>
            <w:tcW w:w="32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37,397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39,543</w:t>
            </w:r>
          </w:p>
        </w:tc>
        <w:tc>
          <w:tcPr>
            <w:tcW w:w="0" w:type="dxa"/>
            <w:vAlign w:val="bottom"/>
          </w:tcPr>
          <w:p>
            <w:pPr>
              <w:spacing w:after="0"/>
              <w:rPr>
                <w:sz w:val="1"/>
                <w:szCs w:val="1"/>
                <w:color w:val="auto"/>
              </w:rPr>
            </w:pPr>
          </w:p>
        </w:tc>
      </w:tr>
      <w:tr>
        <w:trPr>
          <w:trHeight w:val="157"/>
        </w:trPr>
        <w:tc>
          <w:tcPr>
            <w:tcW w:w="502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3200" w:type="dxa"/>
            <w:vAlign w:val="bottom"/>
          </w:tcPr>
          <w:p>
            <w:pPr>
              <w:jc w:val="right"/>
              <w:ind w:right="334"/>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18,080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23,087</w:t>
            </w:r>
          </w:p>
        </w:tc>
        <w:tc>
          <w:tcPr>
            <w:tcW w:w="0" w:type="dxa"/>
            <w:vAlign w:val="bottom"/>
          </w:tcPr>
          <w:p>
            <w:pPr>
              <w:spacing w:after="0"/>
              <w:rPr>
                <w:sz w:val="1"/>
                <w:szCs w:val="1"/>
                <w:color w:val="auto"/>
              </w:rPr>
            </w:pPr>
          </w:p>
        </w:tc>
      </w:tr>
      <w:tr>
        <w:trPr>
          <w:trHeight w:val="157"/>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32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5-10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2,573</w:t>
            </w:r>
          </w:p>
        </w:tc>
        <w:tc>
          <w:tcPr>
            <w:tcW w:w="0" w:type="dxa"/>
            <w:vAlign w:val="bottom"/>
          </w:tcPr>
          <w:p>
            <w:pPr>
              <w:spacing w:after="0"/>
              <w:rPr>
                <w:sz w:val="1"/>
                <w:szCs w:val="1"/>
                <w:color w:val="auto"/>
              </w:rPr>
            </w:pPr>
          </w:p>
        </w:tc>
      </w:tr>
      <w:tr>
        <w:trPr>
          <w:trHeight w:val="157"/>
        </w:trPr>
        <w:tc>
          <w:tcPr>
            <w:tcW w:w="5020" w:type="dxa"/>
            <w:vAlign w:val="bottom"/>
          </w:tcPr>
          <w:p>
            <w:pPr>
              <w:spacing w:after="0"/>
              <w:rPr>
                <w:sz w:val="20"/>
                <w:szCs w:val="20"/>
                <w:color w:val="auto"/>
              </w:rPr>
            </w:pPr>
            <w:r>
              <w:rPr>
                <w:rFonts w:ascii="Arial" w:cs="Arial" w:eastAsia="Arial" w:hAnsi="Arial"/>
                <w:sz w:val="13"/>
                <w:szCs w:val="13"/>
                <w:color w:val="auto"/>
              </w:rPr>
              <w:t>Computer equipment and software</w:t>
            </w:r>
          </w:p>
        </w:tc>
        <w:tc>
          <w:tcPr>
            <w:tcW w:w="3200" w:type="dxa"/>
            <w:vAlign w:val="bottom"/>
          </w:tcPr>
          <w:p>
            <w:pPr>
              <w:jc w:val="right"/>
              <w:ind w:right="33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4,808</w:t>
            </w:r>
          </w:p>
        </w:tc>
        <w:tc>
          <w:tcPr>
            <w:tcW w:w="0" w:type="dxa"/>
            <w:vAlign w:val="bottom"/>
          </w:tcPr>
          <w:p>
            <w:pPr>
              <w:spacing w:after="0"/>
              <w:rPr>
                <w:sz w:val="1"/>
                <w:szCs w:val="1"/>
                <w:color w:val="auto"/>
              </w:rPr>
            </w:pPr>
          </w:p>
        </w:tc>
      </w:tr>
      <w:tr>
        <w:trPr>
          <w:trHeight w:val="157"/>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5020" w:type="dxa"/>
            <w:vAlign w:val="bottom"/>
          </w:tcPr>
          <w:p>
            <w:pPr>
              <w:spacing w:after="0"/>
              <w:rPr>
                <w:sz w:val="20"/>
                <w:szCs w:val="20"/>
                <w:color w:val="auto"/>
              </w:rPr>
            </w:pPr>
            <w:r>
              <w:rPr>
                <w:rFonts w:ascii="Arial" w:cs="Arial" w:eastAsia="Arial" w:hAnsi="Arial"/>
                <w:sz w:val="13"/>
                <w:szCs w:val="13"/>
                <w:color w:val="auto"/>
              </w:rPr>
              <w:t>Construction in progress</w:t>
            </w: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3,326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10,298</w:t>
            </w:r>
          </w:p>
        </w:tc>
        <w:tc>
          <w:tcPr>
            <w:tcW w:w="0" w:type="dxa"/>
            <w:vAlign w:val="bottom"/>
          </w:tcPr>
          <w:p>
            <w:pPr>
              <w:spacing w:after="0"/>
              <w:rPr>
                <w:sz w:val="1"/>
                <w:szCs w:val="1"/>
                <w:color w:val="auto"/>
              </w:rPr>
            </w:pPr>
          </w:p>
        </w:tc>
      </w:tr>
      <w:tr>
        <w:trPr>
          <w:trHeight w:val="157"/>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Deposits on equipment</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85,879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101,564</w:t>
            </w:r>
          </w:p>
        </w:tc>
        <w:tc>
          <w:tcPr>
            <w:tcW w:w="0" w:type="dxa"/>
            <w:vAlign w:val="bottom"/>
          </w:tcPr>
          <w:p>
            <w:pPr>
              <w:spacing w:after="0"/>
              <w:rPr>
                <w:sz w:val="1"/>
                <w:szCs w:val="1"/>
                <w:color w:val="auto"/>
              </w:rPr>
            </w:pPr>
          </w:p>
        </w:tc>
      </w:tr>
      <w:tr>
        <w:trPr>
          <w:trHeight w:val="158"/>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(19,368)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(25,381)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3"/>
                <w:szCs w:val="13"/>
                <w:color w:val="auto"/>
              </w:rPr>
              <w:t>Property and equipment — net</w:t>
            </w: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66,511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76,183</w:t>
            </w: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Leasehold improvements are amortized over four years which is the shorter of the term of the lease or the service lives of the improvements. Depreciation and amortization expense for the years ended December 31, 2003, 2004 and 2005, and the cumulative period from February 14, 1991 (date of inception) to December 31, 2005 was $7.7 million, $7.2 million, $7.4 million and $30.6 million, respectively.</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8500" w:type="dxa"/>
            <w:vAlign w:val="bottom"/>
            <w:gridSpan w:val="2"/>
          </w:tcPr>
          <w:p>
            <w:pPr>
              <w:spacing w:after="0"/>
              <w:rPr>
                <w:sz w:val="20"/>
                <w:szCs w:val="20"/>
                <w:color w:val="auto"/>
              </w:rPr>
            </w:pPr>
            <w:r>
              <w:rPr>
                <w:rFonts w:ascii="Arial" w:cs="Arial" w:eastAsia="Arial" w:hAnsi="Arial"/>
                <w:sz w:val="13"/>
                <w:szCs w:val="13"/>
                <w:color w:val="auto"/>
              </w:rPr>
              <w:t>Accrued expenses and other current liabilities are comprised of the following (in thousands):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0"/>
                <w:szCs w:val="10"/>
                <w:b w:val="1"/>
                <w:bCs w:val="1"/>
                <w:color w:val="auto"/>
              </w:rPr>
              <w:t>December 31,</w:t>
            </w:r>
          </w:p>
        </w:tc>
      </w:tr>
      <w:tr>
        <w:trPr>
          <w:trHeight w:val="98"/>
        </w:trPr>
        <w:tc>
          <w:tcPr>
            <w:tcW w:w="300" w:type="dxa"/>
            <w:vAlign w:val="bottom"/>
          </w:tcPr>
          <w:p>
            <w:pPr>
              <w:spacing w:after="0"/>
              <w:rPr>
                <w:sz w:val="8"/>
                <w:szCs w:val="8"/>
                <w:color w:val="auto"/>
              </w:rPr>
            </w:pPr>
          </w:p>
        </w:tc>
        <w:tc>
          <w:tcPr>
            <w:tcW w:w="82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300" w:type="dxa"/>
            <w:vAlign w:val="bottom"/>
          </w:tcPr>
          <w:p>
            <w:pPr>
              <w:spacing w:after="0"/>
              <w:rPr>
                <w:sz w:val="2"/>
                <w:szCs w:val="2"/>
                <w:color w:val="auto"/>
              </w:rPr>
            </w:pPr>
          </w:p>
        </w:tc>
        <w:tc>
          <w:tcPr>
            <w:tcW w:w="8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Salary and related expenses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$ 2,325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Research and clinical trial costs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4,116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8,589</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Litigation settlement payable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1,400</w:t>
            </w: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85"/>
              </w:rPr>
              <w:t>Other</w:t>
            </w:r>
          </w:p>
        </w:tc>
        <w:tc>
          <w:tcPr>
            <w:tcW w:w="8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2,191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3,538</w:t>
            </w:r>
          </w:p>
        </w:tc>
      </w:tr>
      <w:tr>
        <w:trPr>
          <w:trHeight w:val="20"/>
        </w:trPr>
        <w:tc>
          <w:tcPr>
            <w:tcW w:w="3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expenses and other current liabilities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$ 8,632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17,818</w:t>
            </w:r>
          </w:p>
        </w:tc>
      </w:tr>
      <w:tr>
        <w:trPr>
          <w:trHeight w:val="29"/>
        </w:trPr>
        <w:tc>
          <w:tcPr>
            <w:tcW w:w="300" w:type="dxa"/>
            <w:vAlign w:val="bottom"/>
          </w:tcPr>
          <w:p>
            <w:pPr>
              <w:spacing w:after="0"/>
              <w:rPr>
                <w:sz w:val="2"/>
                <w:szCs w:val="2"/>
                <w:color w:val="auto"/>
              </w:rPr>
            </w:pPr>
          </w:p>
        </w:tc>
        <w:tc>
          <w:tcPr>
            <w:tcW w:w="8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Notes receivable from stockholders</w:t>
      </w:r>
    </w:p>
    <w:p>
      <w:pPr>
        <w:spacing w:after="0" w:line="100"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During the year ended December 31, 2000, the Company issued an aggregate of 238,000 shares of common stock to an executive of CTL and a consultant of CTL in exchange for full recourse notes receivable of $1.2 million each, for an aggregate amount of $2.4 million. The notes bore interest at fixed rates and were payable in five years. The notes were prepayable at the option of the debtor. The notes were collateralized by the underlying common stock. The debtors had no obligation to provide services to the Company under the terms of the stock purchases. The notes bore fixed rates of interest that were less than market rates of interest available for similar loans of similar amounts and terms from a third party; consequently, the Company recognized compensation expense equal to the discount on the notes based on market rates of interest and the terms of the notes. The total discount on the notes of $241,000 was</w:t>
      </w:r>
    </w:p>
    <w:p>
      <w:pPr>
        <w:spacing w:after="0" w:line="24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expensed to general and administrative expense during the year ended December 31, 2000 as the debtors had no further obligation to the Company. During the year ended December 31, 2002, the executive of CTL paid his $1.2 million note in full along with $135,000 of accrued interest. As of December 31, 2003, notes receivable reflected in stockholders’ equity consisted of $1.2 million in principal and $233,000 in accrued interest. During the year ended December 31, 2004, the consultant of CTL tendered to the Company 90,025 shares of the Company’s common stock held by the consultant to satisfy in full his $1,179,000 note plus $340,000 of accrued interest.</w:t>
      </w:r>
    </w:p>
    <w:p>
      <w:pPr>
        <w:spacing w:after="0" w:line="70"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The Company issued 110,000 shares of common stock to an executive of AlleCure in exchange for notes receivable, in the amounts of $1.2 million during the year ended December 31, 2000 and $750,000 during the year ended December 31, 2001. The notes bore interest at fixed rates and were payable in five years. The notes were pre-payable at the option of the debtor. The notes were collateralized by the underlying common stock. The executive had no further obligation to the Company under the terms of the stock purchase. During the first quarter of 2003, the executive was terminated by the Company (See Note 12-Commitments and Contingencies — Severance Agreements). The note-for-stock transactions have been accounted for as in-substance stock option grants to an employee. The in-substance stock option grants had no intrinsic value as of the transaction dates. The pre-payment feature of the notes resulted in the exercise price of the in-substance stock option being unknown until the notes were paid in full. Accordingly, the Company was required to measure the intrinsic value of the in-substance stock options on the balance sheet date of each financial reporting period. During 2001, the Company recorded approximately $815,000 of stock-based compensation expense, which was included in general and administrative expense, relating to the in-substance stock options. This amount was reversed in 2002 because the in-substance stock options had no intrinsic value as of December 31, 2002. There was no stock-based compensation expense recorded for the in-substance options in 2003 because they had no intrinsic value as of December 31, 2003. The Company recorded approximately $17,000 of stock-based compensation expense relating to the in-substance stock options during the year ended December 31, 2004, which represented the intrinsic value of the in-substance options at year end. This amount was reversed in 2005 because the in-substance stock options had no intrinsic value as of December 31, 2005. In September and October 2005, the principal and interest totaling $1.6 million on the notes issued in exchange for approximately 78,000 of the 110,000 shares of common stock issued became due and payable. The Company pursued collection and, in January 2006, the debtor tendered 143,949 shares as full repayment of the notes in default and the note issued in exchange for 32,000 shares which would become due in April 2006. These shares were valued at $2.6 million on January 31, 2006 and represented principal and interest due through that date on all notes outstanding. The Company received and cancelled 143,949 shares on January 31, 2006.</w:t>
      </w:r>
    </w:p>
    <w:p>
      <w:pPr>
        <w:spacing w:after="0" w:line="67"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 xml:space="preserve">During the years ended December 31, 2000 and 2001, the Company issued an aggregate 701,333 shares of common stock to various consultants in exchange for notes receivable aggregating approximately $10.9 million. The notes bore interest at fixed rates and were payable in five years. The notes were pre-payable at the option of the debtors. The notes were collateralized by the underlying common stock. The consultants had no further obligation to the Company under the terms of the stock purchases. The note-for-stock transactions have been accounted for as in-substance stock option grants to non-employees. Since the in-substance stock options were 100% vested and nonforfeitable upon issuance, a measurement date was deemed to have occurred on the issuance date. Accordingly, the Company recorded stock-based compensation expense equal to the estimated fair value of the in-substance options of $8.4 million in 2000 and $15,000 in 2001. These amounts were estimated using the Black-Scholes option valuation model and the following weighted-average assumptions: volatility of 100%, term of five years, interest rate of 5.06%. Notes issued in exchange for 699,972 of the 701,333 shares aggregating $10.9 million in principal became due on October 19, 2005. The remaining note for $32,000 is due in September 2006. A total of $14.6 million in principal and interest became due and payable on October 19, 2005 and the Company pursued collection. On November 21, 2005, the consultants filed a complaint against the Company in the California Superior Court, County of Los Angeles, </w:t>
      </w:r>
      <w:r>
        <w:rPr>
          <w:rFonts w:ascii="Arial" w:cs="Arial" w:eastAsia="Arial" w:hAnsi="Arial"/>
          <w:sz w:val="12"/>
          <w:szCs w:val="12"/>
          <w:i w:val="1"/>
          <w:iCs w:val="1"/>
          <w:color w:val="auto"/>
        </w:rPr>
        <w:t>Rollins et al. v. MannKind et al</w:t>
      </w:r>
      <w:r>
        <w:rPr>
          <w:rFonts w:ascii="Arial" w:cs="Arial" w:eastAsia="Arial" w:hAnsi="Arial"/>
          <w:sz w:val="12"/>
          <w:szCs w:val="12"/>
          <w:color w:val="auto"/>
        </w:rPr>
        <w:t>, Case No. BC343381. The complaint alleges causes of action for breach of certain agreements. On January 19, 2006, the parties mediated and settled the case. Under the settlement,</w:t>
      </w:r>
    </w:p>
    <w:p>
      <w:pPr>
        <w:spacing w:after="0" w:line="26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the Company repurchased 620,697 shares from the consultants in full satisfaction of the principal and interest on the notes previously accounted for by the Company as in-substance stock options. These shares were tendered and cancelled on February 3, 2006. The Company also agreed to repurchase the remaining 79,275 shares held by the consultants for $1.4 million in cash. The settlement was reflected as a $1.4 million charge to general and administrative expense in the fourth quarter of the year ended December 31, 2005 with a corresponding amount payable included in accrued expenses and other current liabilities as of December 31, 2005. On February 21, 2006, the Company received and cancelled the 79,275 shares, and paid the purchase price of $1.4 million to the consultants. The complaint was dismissed in its entirety with prejudice.</w:t>
      </w:r>
    </w:p>
    <w:p>
      <w:pPr>
        <w:spacing w:after="0" w:line="130"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Certain officers elected to defer part or all of their compensation from 1991 through 1998 due to Company’s cash flow difficulties in those years. The amounts due for deferred compensation were non-interest bearing with no repayment terms. The remaining balance of $1.4 million at December 31, 2004 was paid in June 2005.</w:t>
      </w:r>
    </w:p>
    <w:p>
      <w:pPr>
        <w:spacing w:after="0" w:line="59"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In February 2003, pursuant to a settlement agreement with one of the officers, the Company agreed to pay the deferred compensation amount outstanding to the former officer in the amount of approximately $775,000 in three payments. The Company paid approximately $220,000 and $271,000 of this amount during the years ended December 31, 2003 and 2004, respectively. The remaining $284,000 was paid in April 2005. The settlement also obligated the Company to make certain severance related payments which are more fully described in Note 12-Commitment and Contingencies — Severance Agreements.</w:t>
      </w:r>
    </w:p>
    <w:p>
      <w:pPr>
        <w:spacing w:after="0" w:line="144" w:lineRule="exact"/>
        <w:rPr>
          <w:sz w:val="20"/>
          <w:szCs w:val="20"/>
          <w:color w:val="auto"/>
        </w:rPr>
      </w:pPr>
    </w:p>
    <w:p>
      <w:pPr>
        <w:ind w:left="1000" w:hanging="313"/>
        <w:spacing w:after="0"/>
        <w:tabs>
          <w:tab w:leader="none" w:pos="10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Common and preferred stock</w:t>
      </w:r>
    </w:p>
    <w:p>
      <w:pPr>
        <w:spacing w:after="0" w:line="100"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b w:val="1"/>
          <w:bCs w:val="1"/>
          <w:i w:val="1"/>
          <w:iCs w:val="1"/>
          <w:color w:val="auto"/>
        </w:rPr>
        <w:t xml:space="preserve">Initial Public Offering </w:t>
      </w:r>
      <w:r>
        <w:rPr>
          <w:rFonts w:ascii="Arial" w:cs="Arial" w:eastAsia="Arial" w:hAnsi="Arial"/>
          <w:sz w:val="13"/>
          <w:szCs w:val="13"/>
          <w:color w:val="auto"/>
        </w:rPr>
        <w:t>— Upon closing of the initial public offering of the Company’s common stock on August 2, 2004, 6,250,000 shares of common stock were sold. The underwriters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exercised a 30-day option related to the initial public offering and purchased 307,100 shares of common stock on August 28, 2004.</w:t>
      </w:r>
    </w:p>
    <w:p>
      <w:pPr>
        <w:spacing w:after="0" w:line="59"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b w:val="1"/>
          <w:bCs w:val="1"/>
          <w:i w:val="1"/>
          <w:iCs w:val="1"/>
          <w:color w:val="auto"/>
        </w:rPr>
        <w:t xml:space="preserve">Private Placement </w:t>
      </w:r>
      <w:r>
        <w:rPr>
          <w:rFonts w:ascii="Arial" w:cs="Arial" w:eastAsia="Arial" w:hAnsi="Arial"/>
          <w:sz w:val="13"/>
          <w:szCs w:val="13"/>
          <w:color w:val="auto"/>
        </w:rPr>
        <w:t>— On August 5, 2005, the Company closed a $175.0 million private placement of common stock and the concurrent issuance of warrants for the purchase of additional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 on August 5, 2010. In connection with this private placement, the Company paid $4.5 million in commissions to the placement agents and incurred $300,000 in other offering expenses which resulted in net proceeds of approximately $170.2 million.</w:t>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2"/>
          <w:szCs w:val="12"/>
          <w:b w:val="1"/>
          <w:bCs w:val="1"/>
          <w:i w:val="1"/>
          <w:iCs w:val="1"/>
          <w:color w:val="auto"/>
        </w:rPr>
        <w:t xml:space="preserve">Common Stock </w:t>
      </w:r>
      <w:r>
        <w:rPr>
          <w:rFonts w:ascii="Arial" w:cs="Arial" w:eastAsia="Arial" w:hAnsi="Arial"/>
          <w:sz w:val="12"/>
          <w:szCs w:val="12"/>
          <w:color w:val="auto"/>
        </w:rPr>
        <w:t>— The Company is authorized to issue 90,000,000 shares of common stock. As of December 31, 2005, 50,314,108 shares of common stock are issued and outstanding.</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 had reserved shares of common stock for issuance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00" w:type="dxa"/>
            <w:vAlign w:val="bottom"/>
            <w:gridSpan w:val="2"/>
          </w:tcPr>
          <w:p>
            <w:pPr>
              <w:ind w:left="140"/>
              <w:spacing w:after="0"/>
              <w:rPr>
                <w:sz w:val="20"/>
                <w:szCs w:val="20"/>
                <w:color w:val="auto"/>
              </w:rPr>
            </w:pPr>
            <w:r>
              <w:rPr>
                <w:rFonts w:ascii="Arial" w:cs="Arial" w:eastAsia="Arial" w:hAnsi="Arial"/>
                <w:sz w:val="10"/>
                <w:szCs w:val="10"/>
                <w:b w:val="1"/>
                <w:bCs w:val="1"/>
                <w:color w:val="auto"/>
              </w:rPr>
              <w:t>December 31,</w:t>
            </w: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December 31,</w:t>
            </w:r>
          </w:p>
        </w:tc>
      </w:tr>
      <w:tr>
        <w:trPr>
          <w:trHeight w:val="125"/>
        </w:trPr>
        <w:tc>
          <w:tcPr>
            <w:tcW w:w="7700" w:type="dxa"/>
            <w:vAlign w:val="bottom"/>
          </w:tcPr>
          <w:p>
            <w:pPr>
              <w:spacing w:after="0"/>
              <w:rPr>
                <w:sz w:val="10"/>
                <w:szCs w:val="10"/>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7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Common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4,067,979</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4,985,831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Restricted stock units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164,901</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Exercise of warrants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131,628</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3,438,776</w:t>
            </w:r>
          </w:p>
        </w:tc>
      </w:tr>
      <w:tr>
        <w:trPr>
          <w:trHeight w:val="20"/>
        </w:trPr>
        <w:tc>
          <w:tcPr>
            <w:tcW w:w="7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4,199,607</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8,589,508</w:t>
            </w:r>
          </w:p>
        </w:tc>
      </w:tr>
      <w:tr>
        <w:trPr>
          <w:trHeight w:val="30"/>
        </w:trPr>
        <w:tc>
          <w:tcPr>
            <w:tcW w:w="7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 xml:space="preserve">Preferred Stock </w:t>
      </w:r>
      <w:r>
        <w:rPr>
          <w:rFonts w:ascii="Arial" w:cs="Arial" w:eastAsia="Arial" w:hAnsi="Arial"/>
          <w:sz w:val="13"/>
          <w:szCs w:val="13"/>
          <w:color w:val="auto"/>
        </w:rPr>
        <w:t>— The Company is authorized to issue 10,000,000 shares of preferred stock. As of December 31, 2005, no shares of preferred stock are issued and outstanding.</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In connection with the initial public offering, all 267,212 shares of the Company’s Series A redeemable convertible preferred stock, all 192,618 shares of the Company’s Series B convertible preferred stock and all 980,392 shares of the Company’s Series C convertible preferred stock converted into 6,166,372 shares of common stock on August 2, 2004. While none of the convertible preferred stock were determined to contain beneficial conversion features on their respective offering commitment dates, pursuant to the terms of the Series B and Series C preferred stock, their conversion prices were adjusted downward through the date of their conversion resulting in beneficial conversion charges to common stockholders in the aggregate amount of $1.1 million during the year ended December 31, 2003 and $19.8 million during the year ended December 31, 2004. In addition, differences between the redemption amounts of the Series A redeemable convertible preferred stock and the net proceeds received (i.e., the costs of financing) were accreted in the amount of $253,000 during the year ended December 31, 2003 and $60,000 during the year ended December 31, 2004. These charges have been reflected by the Company as both a reduction and increase in additional paid-in capital during the respective periods. Although the charges have no net effect on stockholders’ equity, they increase the net loss applicable to the common stockholders and net loss per share.</w:t>
      </w:r>
    </w:p>
    <w:p>
      <w:pPr>
        <w:spacing w:after="0" w:line="59"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b w:val="1"/>
          <w:bCs w:val="1"/>
          <w:i w:val="1"/>
          <w:iCs w:val="1"/>
          <w:color w:val="auto"/>
        </w:rPr>
        <w:t xml:space="preserve">Registration rights </w:t>
      </w:r>
      <w:r>
        <w:rPr>
          <w:rFonts w:ascii="Arial" w:cs="Arial" w:eastAsia="Arial" w:hAnsi="Arial"/>
          <w:sz w:val="13"/>
          <w:szCs w:val="13"/>
          <w:color w:val="auto"/>
        </w:rPr>
        <w:t>— As of December 31, 2005 the holders of 916,715 shares of the Company’s common stock and the holders of warrants to purchase 12,436 shares of the Company’s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67"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As of December 31, 2005, the holders of 17,132,000 shares of common stock together with warrants to purchase up to 3,426,000 shares of common stock, all of which were issued in the August 2005 private placement, have rights that require the Company to keep the registration of the shares of common stock purchased in the private placement or underlying warrants continuously effective until at least August 2007.</w:t>
      </w:r>
    </w:p>
    <w:p>
      <w:pPr>
        <w:spacing w:after="0" w:line="142"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plans</w:t>
      </w:r>
    </w:p>
    <w:p>
      <w:pPr>
        <w:spacing w:after="0" w:line="100" w:lineRule="exact"/>
        <w:rPr>
          <w:sz w:val="20"/>
          <w:szCs w:val="20"/>
          <w:color w:val="auto"/>
        </w:rPr>
      </w:pPr>
    </w:p>
    <w:p>
      <w:pPr>
        <w:ind w:left="680" w:right="200"/>
        <w:spacing w:after="0" w:line="320" w:lineRule="auto"/>
        <w:rPr>
          <w:sz w:val="20"/>
          <w:szCs w:val="20"/>
          <w:color w:val="auto"/>
        </w:rPr>
      </w:pPr>
      <w:r>
        <w:rPr>
          <w:rFonts w:ascii="Arial" w:cs="Arial" w:eastAsia="Arial" w:hAnsi="Arial"/>
          <w:sz w:val="12"/>
          <w:szCs w:val="12"/>
          <w:color w:val="auto"/>
        </w:rPr>
        <w:t>During 2004, the Company’s board of directors and stockholders approved the amendment and restatement of the 2001 Stock Awards Plan, now known as the 2004 Equity Incentive Plan (the “Plan”). The Plan provides for the granting of stock awards including stock options and restricted stock units, to employees, directors and consultants.</w:t>
      </w:r>
    </w:p>
    <w:p>
      <w:pPr>
        <w:spacing w:after="0" w:line="35"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The Company’s board of directors determines eligibility, vesting schedules and exercise prices for stock awards granted under the Plan. Options and other stock awards under the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over four years with consideration satisfied by service to the Company.</w:t>
      </w:r>
    </w:p>
    <w:p>
      <w:pPr>
        <w:spacing w:after="0" w:line="70"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During 2005, the Company’s board of directors granted 1,634,679 options at a weighted average exercise price of $12.03 and 165,354 restricted stock units. The restricted stock units are not included in the tables below, which describe stock option activity. As of December 31, 2005, 4,142,840 options and 164,901 restricted stock units were outstanding under the Plan and an additional 469,293 shares of common stock were available for issuance under the Plan. In February 2006, the Company’s board of directors approved an increase of 4.0 million shares in the number of shares reserved under the Plan for future issuance.</w:t>
      </w:r>
    </w:p>
    <w:p>
      <w:pPr>
        <w:spacing w:after="0" w:line="70"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During 2004, the Company’s board of directors and stockholders also approved the 2004 Non-Employee Directors’ Stock Option Plan. The plan provides for the automatic, non-discretionary grant of options to the Company’s non-employee directors. As of December 31, 2005, 267,500 options were outstanding under the plan and an additional 532,500 shares of common stock were available for issuance under the plan.</w:t>
      </w:r>
    </w:p>
    <w:p>
      <w:pPr>
        <w:spacing w:after="0" w:line="67" w:lineRule="exact"/>
        <w:rPr>
          <w:sz w:val="20"/>
          <w:szCs w:val="20"/>
          <w:color w:val="auto"/>
        </w:rPr>
      </w:pPr>
    </w:p>
    <w:p>
      <w:pPr>
        <w:ind w:left="680" w:right="260"/>
        <w:spacing w:after="0" w:line="320" w:lineRule="auto"/>
        <w:rPr>
          <w:sz w:val="20"/>
          <w:szCs w:val="20"/>
          <w:color w:val="auto"/>
        </w:rPr>
      </w:pPr>
      <w:r>
        <w:rPr>
          <w:rFonts w:ascii="Arial" w:cs="Arial" w:eastAsia="Arial" w:hAnsi="Arial"/>
          <w:sz w:val="12"/>
          <w:szCs w:val="12"/>
          <w:color w:val="auto"/>
        </w:rPr>
        <w:t>The Company has two other stock award plans: the 1991 Stock Option Plan (the “1991 Plan”) and the 1999 Stock Plan (the “1999 Plan”). Both of these plans provide for the granting of stock options to directors, employees and consultants. As of December 31, 2005, 73,090 options were outstanding under the 1991 Plan and 179,271 options</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outstanding under the 1999 Plan. There were no additional shares available for issuance under the 1991 Plan or the 1999 Plan at December 31, 2005.</w:t>
      </w:r>
    </w:p>
    <w:p>
      <w:pPr>
        <w:spacing w:after="0" w:line="96" w:lineRule="exact"/>
        <w:rPr>
          <w:sz w:val="20"/>
          <w:szCs w:val="20"/>
          <w:color w:val="auto"/>
        </w:rPr>
      </w:pPr>
    </w:p>
    <w:p>
      <w:pPr>
        <w:ind w:left="680" w:right="80"/>
        <w:spacing w:after="0" w:line="300" w:lineRule="auto"/>
        <w:rPr>
          <w:sz w:val="20"/>
          <w:szCs w:val="20"/>
          <w:color w:val="auto"/>
        </w:rPr>
      </w:pPr>
      <w:r>
        <w:rPr>
          <w:rFonts w:ascii="Arial" w:cs="Arial" w:eastAsia="Arial" w:hAnsi="Arial"/>
          <w:sz w:val="11"/>
          <w:szCs w:val="11"/>
          <w:color w:val="auto"/>
        </w:rPr>
        <w:t>Prior to the merger of CTL and AlleCure into the Company, CTL had granted options to purchase shares of its common stock under its 2000 Stock Option and Stock Plan (the “CTL Plan”). Similarly, AlleCure had granted options to purchase shares of its common stock under its 2000 Stock Option and Stock Plan (the “AlleCure Plan”). Pursuant to the plans of reorganization and agreements of merger between the Company and each of CTL and AlleCure, the Company has assumed the obligation to issue shares of the Company’s common stock, at the exchange ratio agreed to in the merger agreement, upon the exercise of options granted under the CTL Plan and the AlleCure Plan. After the merger date, no further options were granted under either the CTL Plan or AlleCure Plan. As of December 31, 2005 there were an aggregate of 82,158 options outstanding under these plans. The assumption of options issued by CTL and AlleCure by the Company in connection with the merger on December 12, 2001 resulted in a new measurement date. On this date, the outstanding options had an intrinsic value of approximately $2.6 million. Approximately $632,000 of the $2.6 million related to vested options and was therefore recorded immediately as compensation expense. The remaining amount of the</w:t>
      </w:r>
    </w:p>
    <w:p>
      <w:pPr>
        <w:spacing w:after="0" w:line="2" w:lineRule="exact"/>
        <w:rPr>
          <w:sz w:val="20"/>
          <w:szCs w:val="20"/>
          <w:color w:val="auto"/>
        </w:rPr>
      </w:pPr>
    </w:p>
    <w:p>
      <w:pPr>
        <w:ind w:left="680" w:right="100"/>
        <w:spacing w:after="0" w:line="290" w:lineRule="auto"/>
        <w:rPr>
          <w:sz w:val="20"/>
          <w:szCs w:val="20"/>
          <w:color w:val="auto"/>
        </w:rPr>
      </w:pPr>
      <w:r>
        <w:rPr>
          <w:rFonts w:ascii="Arial" w:cs="Arial" w:eastAsia="Arial" w:hAnsi="Arial"/>
          <w:sz w:val="12"/>
          <w:szCs w:val="12"/>
          <w:color w:val="auto"/>
        </w:rPr>
        <w:t>$2.6 million, as adjusted for subsequent cancellations, related to unvested options and was being amortized to stock-based compensation expense over the remaining vesting period. During the years ended December 31, 2002, 2003, 2004 and the cumulative period from February 14, 1991 (date of inception) to December 31, 2004, $632,000, $275,000, $214,000 and $1.8 million, respectively, was recognized as stock-based compensation expense related to these options. As of December 31, 2004, there was no further expense to recognize.</w:t>
      </w:r>
    </w:p>
    <w:p>
      <w:pPr>
        <w:spacing w:after="0" w:line="53" w:lineRule="exact"/>
        <w:rPr>
          <w:sz w:val="20"/>
          <w:szCs w:val="20"/>
          <w:color w:val="auto"/>
        </w:rPr>
      </w:pPr>
    </w:p>
    <w:p>
      <w:pPr>
        <w:ind w:left="680" w:right="540"/>
        <w:spacing w:after="0" w:line="371" w:lineRule="auto"/>
        <w:rPr>
          <w:sz w:val="20"/>
          <w:szCs w:val="20"/>
          <w:color w:val="auto"/>
        </w:rPr>
      </w:pPr>
      <w:r>
        <w:rPr>
          <w:rFonts w:ascii="Arial" w:cs="Arial" w:eastAsia="Arial" w:hAnsi="Arial"/>
          <w:sz w:val="11"/>
          <w:szCs w:val="11"/>
          <w:color w:val="auto"/>
        </w:rPr>
        <w:t>During the year ended December 31, 2002, the Company’s board of directors granted 240,972 options at an exercise price of $25.23 per share to an employee who is the principal stockholder. The options vest annually over four years. These options, which were not under any plan, were outstanding at December 31, 2005 and are included in the tables below.</w:t>
      </w:r>
    </w:p>
    <w:p>
      <w:pPr>
        <w:spacing w:after="0" w:line="12"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In March 2004, the Company’s board of directors approved the 2004 Employee Stock Purchase Plan, which became effective upon the closing of the Company’s initial public offering. The aggregate number of shares that may be sold under the plan is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2005 and 2006, the purchase plan share reserve was increased by 327,562 and 503,141 shares, respectively. For the years ended December 31, 2004 and 2005, the Company sold 36,152 and 57,642 shares, respectively, of its common stock to employees participating in the plan.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summarizes information about stock options outstanding:</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4"/>
          </w:tcPr>
          <w:p>
            <w:pPr>
              <w:ind w:left="80"/>
              <w:spacing w:after="0"/>
              <w:rPr>
                <w:sz w:val="20"/>
                <w:szCs w:val="20"/>
                <w:color w:val="auto"/>
              </w:rPr>
            </w:pPr>
            <w:r>
              <w:rPr>
                <w:rFonts w:ascii="Arial" w:cs="Arial" w:eastAsia="Arial" w:hAnsi="Arial"/>
                <w:sz w:val="9"/>
                <w:szCs w:val="9"/>
                <w:b w:val="1"/>
                <w:bCs w:val="1"/>
                <w:color w:val="auto"/>
                <w:w w:val="90"/>
              </w:rPr>
              <w:t>Year Ended December 31,</w:t>
            </w: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5"/>
          </w:tcPr>
          <w:p>
            <w:pPr>
              <w:jc w:val="center"/>
              <w:ind w:left="280"/>
              <w:spacing w:after="0" w:line="88" w:lineRule="exact"/>
              <w:rPr>
                <w:sz w:val="20"/>
                <w:szCs w:val="20"/>
                <w:color w:val="auto"/>
              </w:rPr>
            </w:pPr>
            <w:r>
              <w:rPr>
                <w:rFonts w:ascii="Arial" w:cs="Arial" w:eastAsia="Arial" w:hAnsi="Arial"/>
                <w:sz w:val="9"/>
                <w:szCs w:val="9"/>
                <w:b w:val="1"/>
                <w:bCs w:val="1"/>
                <w:color w:val="auto"/>
                <w:w w:val="89"/>
              </w:rPr>
              <w:t>2003</w:t>
            </w: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tcPr>
          <w:p>
            <w:pPr>
              <w:jc w:val="right"/>
              <w:ind w:right="157"/>
              <w:spacing w:after="0" w:line="88" w:lineRule="exact"/>
              <w:rPr>
                <w:sz w:val="20"/>
                <w:szCs w:val="20"/>
                <w:color w:val="auto"/>
              </w:rPr>
            </w:pPr>
            <w:r>
              <w:rPr>
                <w:rFonts w:ascii="Arial" w:cs="Arial" w:eastAsia="Arial" w:hAnsi="Arial"/>
                <w:sz w:val="9"/>
                <w:szCs w:val="9"/>
                <w:b w:val="1"/>
                <w:bCs w:val="1"/>
                <w:color w:val="auto"/>
              </w:rPr>
              <w:t>2004</w:t>
            </w: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3"/>
          </w:tcPr>
          <w:p>
            <w:pPr>
              <w:jc w:val="right"/>
              <w:ind w:right="140"/>
              <w:spacing w:after="0" w:line="88" w:lineRule="exact"/>
              <w:rPr>
                <w:sz w:val="20"/>
                <w:szCs w:val="20"/>
                <w:color w:val="auto"/>
              </w:rPr>
            </w:pPr>
            <w:r>
              <w:rPr>
                <w:rFonts w:ascii="Arial" w:cs="Arial" w:eastAsia="Arial" w:hAnsi="Arial"/>
                <w:sz w:val="9"/>
                <w:szCs w:val="9"/>
                <w:b w:val="1"/>
                <w:bCs w:val="1"/>
                <w:color w:val="auto"/>
              </w:rPr>
              <w:t>2005</w:t>
            </w: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4"/>
          </w:tcPr>
          <w:p>
            <w:pPr>
              <w:jc w:val="center"/>
              <w:spacing w:after="0" w:line="75" w:lineRule="exact"/>
              <w:rPr>
                <w:sz w:val="20"/>
                <w:szCs w:val="20"/>
                <w:color w:val="auto"/>
              </w:rPr>
            </w:pPr>
            <w:r>
              <w:rPr>
                <w:rFonts w:ascii="Arial" w:cs="Arial" w:eastAsia="Arial" w:hAnsi="Arial"/>
                <w:sz w:val="8"/>
                <w:szCs w:val="8"/>
                <w:b w:val="1"/>
                <w:bCs w:val="1"/>
                <w:color w:val="auto"/>
                <w:w w:val="99"/>
              </w:rPr>
              <w:t>Weighted</w:t>
            </w: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gridSpan w:val="3"/>
          </w:tcPr>
          <w:p>
            <w:pPr>
              <w:jc w:val="center"/>
              <w:spacing w:after="0" w:line="75" w:lineRule="exact"/>
              <w:rPr>
                <w:sz w:val="20"/>
                <w:szCs w:val="20"/>
                <w:color w:val="auto"/>
              </w:rPr>
            </w:pPr>
            <w:r>
              <w:rPr>
                <w:rFonts w:ascii="Arial" w:cs="Arial" w:eastAsia="Arial" w:hAnsi="Arial"/>
                <w:sz w:val="8"/>
                <w:szCs w:val="8"/>
                <w:b w:val="1"/>
                <w:bCs w:val="1"/>
                <w:color w:val="auto"/>
              </w:rPr>
              <w:t>Weighted</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jc w:val="center"/>
              <w:spacing w:after="0" w:line="75" w:lineRule="exact"/>
              <w:rPr>
                <w:sz w:val="20"/>
                <w:szCs w:val="20"/>
                <w:color w:val="auto"/>
              </w:rPr>
            </w:pPr>
            <w:r>
              <w:rPr>
                <w:rFonts w:ascii="Arial" w:cs="Arial" w:eastAsia="Arial" w:hAnsi="Arial"/>
                <w:sz w:val="8"/>
                <w:szCs w:val="8"/>
                <w:b w:val="1"/>
                <w:bCs w:val="1"/>
                <w:color w:val="auto"/>
                <w:w w:val="99"/>
              </w:rPr>
              <w:t>Weighted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5"/>
          </w:tcPr>
          <w:p>
            <w:pPr>
              <w:jc w:val="center"/>
              <w:ind w:right="20"/>
              <w:spacing w:after="0" w:line="98" w:lineRule="exact"/>
              <w:rPr>
                <w:sz w:val="20"/>
                <w:szCs w:val="20"/>
                <w:color w:val="auto"/>
              </w:rPr>
            </w:pPr>
            <w:r>
              <w:rPr>
                <w:rFonts w:ascii="Arial" w:cs="Arial" w:eastAsia="Arial" w:hAnsi="Arial"/>
                <w:sz w:val="9"/>
                <w:szCs w:val="9"/>
                <w:b w:val="1"/>
                <w:bCs w:val="1"/>
                <w:color w:val="auto"/>
                <w:w w:val="89"/>
              </w:rPr>
              <w:t>Average</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gridSpan w:val="4"/>
          </w:tcPr>
          <w:p>
            <w:pPr>
              <w:jc w:val="center"/>
              <w:spacing w:after="0" w:line="98" w:lineRule="exact"/>
              <w:rPr>
                <w:sz w:val="20"/>
                <w:szCs w:val="20"/>
                <w:color w:val="auto"/>
              </w:rPr>
            </w:pPr>
            <w:r>
              <w:rPr>
                <w:rFonts w:ascii="Arial" w:cs="Arial" w:eastAsia="Arial" w:hAnsi="Arial"/>
                <w:sz w:val="9"/>
                <w:szCs w:val="9"/>
                <w:b w:val="1"/>
                <w:bCs w:val="1"/>
                <w:color w:val="auto"/>
                <w:w w:val="89"/>
              </w:rPr>
              <w:t>Average</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89"/>
              </w:rPr>
              <w:t>Average</w:t>
            </w: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5"/>
          </w:tcPr>
          <w:p>
            <w:pPr>
              <w:jc w:val="center"/>
              <w:ind w:right="20"/>
              <w:spacing w:after="0" w:line="98" w:lineRule="exact"/>
              <w:rPr>
                <w:sz w:val="20"/>
                <w:szCs w:val="20"/>
                <w:color w:val="auto"/>
              </w:rPr>
            </w:pPr>
            <w:r>
              <w:rPr>
                <w:rFonts w:ascii="Arial" w:cs="Arial" w:eastAsia="Arial" w:hAnsi="Arial"/>
                <w:sz w:val="9"/>
                <w:szCs w:val="9"/>
                <w:b w:val="1"/>
                <w:bCs w:val="1"/>
                <w:color w:val="auto"/>
                <w:w w:val="86"/>
              </w:rPr>
              <w:t>Exercise</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gridSpan w:val="4"/>
          </w:tcPr>
          <w:p>
            <w:pPr>
              <w:jc w:val="center"/>
              <w:spacing w:after="0" w:line="98" w:lineRule="exact"/>
              <w:rPr>
                <w:sz w:val="20"/>
                <w:szCs w:val="20"/>
                <w:color w:val="auto"/>
              </w:rPr>
            </w:pPr>
            <w:r>
              <w:rPr>
                <w:rFonts w:ascii="Arial" w:cs="Arial" w:eastAsia="Arial" w:hAnsi="Arial"/>
                <w:sz w:val="9"/>
                <w:szCs w:val="9"/>
                <w:b w:val="1"/>
                <w:bCs w:val="1"/>
                <w:color w:val="auto"/>
                <w:w w:val="86"/>
              </w:rPr>
              <w:t>Exercise</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86"/>
              </w:rPr>
              <w:t>Exercise</w:t>
            </w:r>
          </w:p>
        </w:tc>
        <w:tc>
          <w:tcPr>
            <w:tcW w:w="0" w:type="dxa"/>
            <w:vAlign w:val="bottom"/>
          </w:tcPr>
          <w:p>
            <w:pPr>
              <w:spacing w:after="0"/>
              <w:rPr>
                <w:sz w:val="1"/>
                <w:szCs w:val="1"/>
                <w:color w:val="auto"/>
              </w:rPr>
            </w:pPr>
          </w:p>
        </w:tc>
      </w:tr>
      <w:tr>
        <w:trPr>
          <w:trHeight w:val="111"/>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5"/>
          </w:tcPr>
          <w:p>
            <w:pPr>
              <w:jc w:val="center"/>
              <w:ind w:right="548"/>
              <w:spacing w:after="0"/>
              <w:rPr>
                <w:sz w:val="20"/>
                <w:szCs w:val="20"/>
                <w:color w:val="auto"/>
              </w:rPr>
            </w:pPr>
            <w:r>
              <w:rPr>
                <w:rFonts w:ascii="Arial" w:cs="Arial" w:eastAsia="Arial" w:hAnsi="Arial"/>
                <w:sz w:val="9"/>
                <w:szCs w:val="9"/>
                <w:b w:val="1"/>
                <w:bCs w:val="1"/>
                <w:color w:val="auto"/>
                <w:w w:val="93"/>
              </w:rPr>
              <w:t>Options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90"/>
              </w:rPr>
              <w:t>Price</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ind w:left="80"/>
              <w:spacing w:after="0"/>
              <w:rPr>
                <w:sz w:val="20"/>
                <w:szCs w:val="20"/>
                <w:color w:val="auto"/>
              </w:rPr>
            </w:pPr>
            <w:r>
              <w:rPr>
                <w:rFonts w:ascii="Arial" w:cs="Arial" w:eastAsia="Arial" w:hAnsi="Arial"/>
                <w:sz w:val="9"/>
                <w:szCs w:val="9"/>
                <w:b w:val="1"/>
                <w:bCs w:val="1"/>
                <w:color w:val="auto"/>
              </w:rPr>
              <w:t>Options</w:t>
            </w:r>
          </w:p>
        </w:tc>
        <w:tc>
          <w:tcPr>
            <w:tcW w:w="140" w:type="dxa"/>
            <w:vAlign w:val="bottom"/>
          </w:tcPr>
          <w:p>
            <w:pPr>
              <w:spacing w:after="0"/>
              <w:rPr>
                <w:sz w:val="9"/>
                <w:szCs w:val="9"/>
                <w:color w:val="auto"/>
              </w:rPr>
            </w:pPr>
          </w:p>
        </w:tc>
        <w:tc>
          <w:tcPr>
            <w:tcW w:w="38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90"/>
              </w:rPr>
              <w:t>Price</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w w:val="99"/>
              </w:rPr>
              <w:t>Options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Price</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outstanding at the beginning of the period</w:t>
            </w:r>
          </w:p>
        </w:tc>
        <w:tc>
          <w:tcPr>
            <w:tcW w:w="6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1,904,603</w:t>
            </w:r>
          </w:p>
        </w:tc>
        <w:tc>
          <w:tcPr>
            <w:tcW w:w="3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17.52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37"/>
              <w:spacing w:after="0"/>
              <w:rPr>
                <w:sz w:val="20"/>
                <w:szCs w:val="20"/>
                <w:color w:val="auto"/>
              </w:rPr>
            </w:pPr>
            <w:r>
              <w:rPr>
                <w:rFonts w:ascii="Arial" w:cs="Arial" w:eastAsia="Arial" w:hAnsi="Arial"/>
                <w:sz w:val="13"/>
                <w:szCs w:val="13"/>
                <w:color w:val="auto"/>
                <w:w w:val="96"/>
              </w:rPr>
              <w:t>2,099,825</w:t>
            </w: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w w:val="82"/>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10.29</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w w:val="89"/>
              </w:rPr>
              <w:t>4,067,979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12.19</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tcPr>
          <w:p>
            <w:pPr>
              <w:jc w:val="right"/>
              <w:spacing w:after="0"/>
              <w:rPr>
                <w:sz w:val="20"/>
                <w:szCs w:val="20"/>
                <w:color w:val="auto"/>
              </w:rPr>
            </w:pPr>
            <w:r>
              <w:rPr>
                <w:rFonts w:ascii="Arial" w:cs="Arial" w:eastAsia="Arial" w:hAnsi="Arial"/>
                <w:sz w:val="13"/>
                <w:szCs w:val="13"/>
                <w:color w:val="auto"/>
              </w:rPr>
              <w:t>1,664,886</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3"/>
                <w:szCs w:val="13"/>
                <w:color w:val="auto"/>
              </w:rPr>
              <w:t>9.36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337"/>
              <w:spacing w:after="0"/>
              <w:rPr>
                <w:sz w:val="20"/>
                <w:szCs w:val="20"/>
                <w:color w:val="auto"/>
              </w:rPr>
            </w:pPr>
            <w:r>
              <w:rPr>
                <w:rFonts w:ascii="Arial" w:cs="Arial" w:eastAsia="Arial" w:hAnsi="Arial"/>
                <w:sz w:val="13"/>
                <w:szCs w:val="13"/>
                <w:color w:val="auto"/>
                <w:w w:val="96"/>
              </w:rPr>
              <w:t>2,145,124</w:t>
            </w:r>
          </w:p>
        </w:tc>
        <w:tc>
          <w:tcPr>
            <w:tcW w:w="140" w:type="dxa"/>
            <w:vAlign w:val="bottom"/>
          </w:tcPr>
          <w:p>
            <w:pPr>
              <w:spacing w:after="0"/>
              <w:rPr>
                <w:sz w:val="13"/>
                <w:szCs w:val="1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3"/>
                <w:szCs w:val="13"/>
                <w:color w:val="auto"/>
              </w:rPr>
              <w:t>14.09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3"/>
                <w:szCs w:val="13"/>
                <w:color w:val="auto"/>
                <w:w w:val="89"/>
              </w:rPr>
              <w:t>1,634,679</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12.03</w:t>
            </w: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6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97"/>
              <w:spacing w:after="0"/>
              <w:rPr>
                <w:sz w:val="20"/>
                <w:szCs w:val="20"/>
                <w:color w:val="auto"/>
              </w:rPr>
            </w:pPr>
            <w:r>
              <w:rPr>
                <w:rFonts w:ascii="Arial" w:cs="Arial" w:eastAsia="Arial" w:hAnsi="Arial"/>
                <w:sz w:val="13"/>
                <w:szCs w:val="13"/>
                <w:color w:val="auto"/>
              </w:rPr>
              <w:t>(86,066)</w:t>
            </w:r>
          </w:p>
        </w:tc>
        <w:tc>
          <w:tcPr>
            <w:tcW w:w="1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12.54</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(304,555)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Canceled</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5"/>
          </w:tcPr>
          <w:p>
            <w:pPr>
              <w:jc w:val="right"/>
              <w:ind w:right="268"/>
              <w:spacing w:after="0"/>
              <w:rPr>
                <w:sz w:val="20"/>
                <w:szCs w:val="20"/>
                <w:color w:val="auto"/>
              </w:rPr>
            </w:pPr>
            <w:r>
              <w:rPr>
                <w:rFonts w:ascii="Arial" w:cs="Arial" w:eastAsia="Arial" w:hAnsi="Arial"/>
                <w:sz w:val="13"/>
                <w:szCs w:val="13"/>
                <w:color w:val="auto"/>
                <w:w w:val="93"/>
              </w:rPr>
              <w:t>(1,469,664)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3"/>
                <w:szCs w:val="13"/>
                <w:color w:val="auto"/>
              </w:rPr>
              <w:t>18.57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297"/>
              <w:spacing w:after="0"/>
              <w:rPr>
                <w:sz w:val="20"/>
                <w:szCs w:val="20"/>
                <w:color w:val="auto"/>
              </w:rPr>
            </w:pPr>
            <w:r>
              <w:rPr>
                <w:rFonts w:ascii="Arial" w:cs="Arial" w:eastAsia="Arial" w:hAnsi="Arial"/>
                <w:sz w:val="13"/>
                <w:szCs w:val="13"/>
                <w:color w:val="auto"/>
              </w:rPr>
              <w:t>(90,904)</w:t>
            </w:r>
          </w:p>
        </w:tc>
        <w:tc>
          <w:tcPr>
            <w:tcW w:w="140" w:type="dxa"/>
            <w:vAlign w:val="bottom"/>
          </w:tcPr>
          <w:p>
            <w:pPr>
              <w:spacing w:after="0"/>
              <w:rPr>
                <w:sz w:val="13"/>
                <w:szCs w:val="1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3"/>
                <w:szCs w:val="13"/>
                <w:color w:val="auto"/>
              </w:rPr>
              <w:t>13.02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3"/>
                <w:szCs w:val="13"/>
                <w:color w:val="auto"/>
              </w:rPr>
              <w:t>(412,272)</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13.27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outstanding at the end of the period</w:t>
            </w:r>
          </w:p>
        </w:tc>
        <w:tc>
          <w:tcPr>
            <w:tcW w:w="6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2,099,825</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10.29</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37"/>
              <w:spacing w:after="0"/>
              <w:rPr>
                <w:sz w:val="20"/>
                <w:szCs w:val="20"/>
                <w:color w:val="auto"/>
              </w:rPr>
            </w:pPr>
            <w:r>
              <w:rPr>
                <w:rFonts w:ascii="Arial" w:cs="Arial" w:eastAsia="Arial" w:hAnsi="Arial"/>
                <w:sz w:val="13"/>
                <w:szCs w:val="13"/>
                <w:color w:val="auto"/>
                <w:w w:val="96"/>
              </w:rPr>
              <w:t>4,067,979</w:t>
            </w:r>
          </w:p>
        </w:tc>
        <w:tc>
          <w:tcPr>
            <w:tcW w:w="1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12.19</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w w:val="89"/>
              </w:rPr>
              <w:t>4,985,831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29"/>
        </w:trPr>
        <w:tc>
          <w:tcPr>
            <w:tcW w:w="3720" w:type="dxa"/>
            <w:vAlign w:val="bottom"/>
            <w:gridSpan w:val="2"/>
            <w:vMerge w:val="restart"/>
          </w:tcPr>
          <w:p>
            <w:pPr>
              <w:spacing w:after="0"/>
              <w:rPr>
                <w:sz w:val="20"/>
                <w:szCs w:val="20"/>
                <w:color w:val="auto"/>
              </w:rPr>
            </w:pPr>
            <w:r>
              <w:rPr>
                <w:rFonts w:ascii="Arial" w:cs="Arial" w:eastAsia="Arial" w:hAnsi="Arial"/>
                <w:sz w:val="13"/>
                <w:szCs w:val="13"/>
                <w:color w:val="auto"/>
              </w:rPr>
              <w:t>Options exercisable at the end of the period</w:t>
            </w: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9.96</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9.76</w:t>
            </w: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11.55</w:t>
            </w:r>
          </w:p>
        </w:tc>
        <w:tc>
          <w:tcPr>
            <w:tcW w:w="0" w:type="dxa"/>
            <w:vAlign w:val="bottom"/>
          </w:tcPr>
          <w:p>
            <w:pPr>
              <w:spacing w:after="0" w:line="20" w:lineRule="exact"/>
              <w:rPr>
                <w:sz w:val="1"/>
                <w:szCs w:val="1"/>
                <w:color w:val="auto"/>
              </w:rPr>
            </w:pPr>
          </w:p>
        </w:tc>
      </w:tr>
      <w:tr>
        <w:trPr>
          <w:trHeight w:val="187"/>
        </w:trPr>
        <w:tc>
          <w:tcPr>
            <w:tcW w:w="3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728,590</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1,236,599</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9"/>
              </w:rPr>
              <w:t>1,937,918</w:t>
            </w: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600" w:type="dxa"/>
            <w:vAlign w:val="bottom"/>
            <w:gridSpan w:val="14"/>
          </w:tcPr>
          <w:p>
            <w:pPr>
              <w:spacing w:after="0"/>
              <w:rPr>
                <w:sz w:val="20"/>
                <w:szCs w:val="20"/>
                <w:color w:val="auto"/>
              </w:rPr>
            </w:pPr>
            <w:r>
              <w:rPr>
                <w:rFonts w:ascii="Arial" w:cs="Arial" w:eastAsia="Arial" w:hAnsi="Arial"/>
                <w:sz w:val="13"/>
                <w:szCs w:val="13"/>
                <w:color w:val="auto"/>
                <w:w w:val="91"/>
              </w:rPr>
              <w:t>The weighted-average exercise prices and weighted-average fair values of options granted are as follows: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9"/>
                <w:szCs w:val="9"/>
                <w:b w:val="1"/>
                <w:bCs w:val="1"/>
                <w:color w:val="auto"/>
                <w:w w:val="95"/>
              </w:rPr>
              <w:t>Year Ended December 31,</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gridSpan w:val="2"/>
          </w:tcPr>
          <w:p>
            <w:pPr>
              <w:jc w:val="right"/>
              <w:ind w:right="20"/>
              <w:spacing w:after="0" w:line="88" w:lineRule="exact"/>
              <w:rPr>
                <w:sz w:val="20"/>
                <w:szCs w:val="20"/>
                <w:color w:val="auto"/>
              </w:rPr>
            </w:pPr>
            <w:r>
              <w:rPr>
                <w:rFonts w:ascii="Arial" w:cs="Arial" w:eastAsia="Arial" w:hAnsi="Arial"/>
                <w:sz w:val="9"/>
                <w:szCs w:val="9"/>
                <w:b w:val="1"/>
                <w:bCs w:val="1"/>
                <w:color w:val="auto"/>
              </w:rPr>
              <w:t>2003</w:t>
            </w: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2"/>
          </w:tcPr>
          <w:p>
            <w:pPr>
              <w:jc w:val="center"/>
              <w:ind w:left="100"/>
              <w:spacing w:after="0" w:line="88" w:lineRule="exact"/>
              <w:rPr>
                <w:sz w:val="20"/>
                <w:szCs w:val="20"/>
                <w:color w:val="auto"/>
              </w:rPr>
            </w:pPr>
            <w:r>
              <w:rPr>
                <w:rFonts w:ascii="Arial" w:cs="Arial" w:eastAsia="Arial" w:hAnsi="Arial"/>
                <w:sz w:val="9"/>
                <w:szCs w:val="9"/>
                <w:b w:val="1"/>
                <w:bCs w:val="1"/>
                <w:color w:val="auto"/>
                <w:w w:val="89"/>
              </w:rPr>
              <w:t>2004</w:t>
            </w: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gridSpan w:val="2"/>
          </w:tcPr>
          <w:p>
            <w:pPr>
              <w:jc w:val="right"/>
              <w:ind w:right="20"/>
              <w:spacing w:after="0" w:line="88" w:lineRule="exact"/>
              <w:rPr>
                <w:sz w:val="20"/>
                <w:szCs w:val="20"/>
                <w:color w:val="auto"/>
              </w:rPr>
            </w:pPr>
            <w:r>
              <w:rPr>
                <w:rFonts w:ascii="Arial" w:cs="Arial" w:eastAsia="Arial" w:hAnsi="Arial"/>
                <w:sz w:val="9"/>
                <w:szCs w:val="9"/>
                <w:b w:val="1"/>
                <w:bCs w:val="1"/>
                <w:color w:val="auto"/>
              </w:rPr>
              <w:t>2005</w:t>
            </w:r>
          </w:p>
        </w:tc>
        <w:tc>
          <w:tcPr>
            <w:tcW w:w="3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3"/>
          </w:tcPr>
          <w:p>
            <w:pPr>
              <w:jc w:val="center"/>
              <w:ind w:right="280"/>
              <w:spacing w:after="0" w:line="75" w:lineRule="exact"/>
              <w:rPr>
                <w:sz w:val="20"/>
                <w:szCs w:val="20"/>
                <w:color w:val="auto"/>
              </w:rPr>
            </w:pPr>
            <w:r>
              <w:rPr>
                <w:rFonts w:ascii="Arial" w:cs="Arial" w:eastAsia="Arial" w:hAnsi="Arial"/>
                <w:sz w:val="8"/>
                <w:szCs w:val="8"/>
                <w:b w:val="1"/>
                <w:bCs w:val="1"/>
                <w:color w:val="auto"/>
              </w:rPr>
              <w:t>Weighted</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tcPr>
          <w:p>
            <w:pPr>
              <w:jc w:val="center"/>
              <w:spacing w:after="0" w:line="75" w:lineRule="exact"/>
              <w:rPr>
                <w:sz w:val="20"/>
                <w:szCs w:val="20"/>
                <w:color w:val="auto"/>
              </w:rPr>
            </w:pPr>
            <w:r>
              <w:rPr>
                <w:rFonts w:ascii="Arial" w:cs="Arial" w:eastAsia="Arial" w:hAnsi="Arial"/>
                <w:sz w:val="8"/>
                <w:szCs w:val="8"/>
                <w:b w:val="1"/>
                <w:bCs w:val="1"/>
                <w:color w:val="auto"/>
              </w:rPr>
              <w:t>Weighted</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gridSpan w:val="4"/>
          </w:tcPr>
          <w:p>
            <w:pPr>
              <w:jc w:val="center"/>
              <w:ind w:right="80"/>
              <w:spacing w:after="0" w:line="75" w:lineRule="exact"/>
              <w:rPr>
                <w:sz w:val="20"/>
                <w:szCs w:val="20"/>
                <w:color w:val="auto"/>
              </w:rPr>
            </w:pPr>
            <w:r>
              <w:rPr>
                <w:rFonts w:ascii="Arial" w:cs="Arial" w:eastAsia="Arial" w:hAnsi="Arial"/>
                <w:sz w:val="8"/>
                <w:szCs w:val="8"/>
                <w:b w:val="1"/>
                <w:bCs w:val="1"/>
                <w:color w:val="auto"/>
                <w:w w:val="99"/>
              </w:rPr>
              <w:t>Weighted</w:t>
            </w: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gridSpan w:val="2"/>
          </w:tcPr>
          <w:p>
            <w:pPr>
              <w:jc w:val="center"/>
              <w:ind w:right="5"/>
              <w:spacing w:after="0" w:line="75" w:lineRule="exact"/>
              <w:rPr>
                <w:sz w:val="20"/>
                <w:szCs w:val="20"/>
                <w:color w:val="auto"/>
              </w:rPr>
            </w:pPr>
            <w:r>
              <w:rPr>
                <w:rFonts w:ascii="Arial" w:cs="Arial" w:eastAsia="Arial" w:hAnsi="Arial"/>
                <w:sz w:val="8"/>
                <w:szCs w:val="8"/>
                <w:b w:val="1"/>
                <w:bCs w:val="1"/>
                <w:color w:val="auto"/>
              </w:rPr>
              <w:t>Weighted</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6"/>
          </w:tcPr>
          <w:p>
            <w:pPr>
              <w:jc w:val="center"/>
              <w:ind w:right="240"/>
              <w:spacing w:after="0" w:line="75" w:lineRule="exact"/>
              <w:rPr>
                <w:sz w:val="20"/>
                <w:szCs w:val="20"/>
                <w:color w:val="auto"/>
              </w:rPr>
            </w:pPr>
            <w:r>
              <w:rPr>
                <w:rFonts w:ascii="Arial" w:cs="Arial" w:eastAsia="Arial" w:hAnsi="Arial"/>
                <w:sz w:val="8"/>
                <w:szCs w:val="8"/>
                <w:b w:val="1"/>
                <w:bCs w:val="1"/>
                <w:color w:val="auto"/>
              </w:rPr>
              <w:t>Weighted</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tcPr>
          <w:p>
            <w:pPr>
              <w:jc w:val="center"/>
              <w:ind w:right="49"/>
              <w:spacing w:after="0" w:line="75" w:lineRule="exact"/>
              <w:rPr>
                <w:sz w:val="20"/>
                <w:szCs w:val="20"/>
                <w:color w:val="auto"/>
              </w:rPr>
            </w:pPr>
            <w:r>
              <w:rPr>
                <w:rFonts w:ascii="Arial" w:cs="Arial" w:eastAsia="Arial" w:hAnsi="Arial"/>
                <w:sz w:val="8"/>
                <w:szCs w:val="8"/>
                <w:b w:val="1"/>
                <w:bCs w:val="1"/>
                <w:color w:val="auto"/>
                <w:w w:val="99"/>
              </w:rPr>
              <w:t>Weighted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300"/>
              <w:spacing w:after="0" w:line="98" w:lineRule="exact"/>
              <w:rPr>
                <w:sz w:val="20"/>
                <w:szCs w:val="20"/>
                <w:color w:val="auto"/>
              </w:rPr>
            </w:pPr>
            <w:r>
              <w:rPr>
                <w:rFonts w:ascii="Arial" w:cs="Arial" w:eastAsia="Arial" w:hAnsi="Arial"/>
                <w:sz w:val="9"/>
                <w:szCs w:val="9"/>
                <w:b w:val="1"/>
                <w:bCs w:val="1"/>
                <w:color w:val="auto"/>
                <w:w w:val="89"/>
              </w:rPr>
              <w:t>Average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jc w:val="center"/>
              <w:spacing w:after="0" w:line="98" w:lineRule="exact"/>
              <w:rPr>
                <w:sz w:val="20"/>
                <w:szCs w:val="20"/>
                <w:color w:val="auto"/>
              </w:rPr>
            </w:pPr>
            <w:r>
              <w:rPr>
                <w:rFonts w:ascii="Arial" w:cs="Arial" w:eastAsia="Arial" w:hAnsi="Arial"/>
                <w:sz w:val="9"/>
                <w:szCs w:val="9"/>
                <w:b w:val="1"/>
                <w:bCs w:val="1"/>
                <w:color w:val="auto"/>
                <w:w w:val="91"/>
              </w:rPr>
              <w:t>Average Fair</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4"/>
          </w:tcPr>
          <w:p>
            <w:pPr>
              <w:jc w:val="center"/>
              <w:ind w:right="80"/>
              <w:spacing w:after="0" w:line="98" w:lineRule="exact"/>
              <w:rPr>
                <w:sz w:val="20"/>
                <w:szCs w:val="20"/>
                <w:color w:val="auto"/>
              </w:rPr>
            </w:pPr>
            <w:r>
              <w:rPr>
                <w:rFonts w:ascii="Arial" w:cs="Arial" w:eastAsia="Arial" w:hAnsi="Arial"/>
                <w:sz w:val="9"/>
                <w:szCs w:val="9"/>
                <w:b w:val="1"/>
                <w:bCs w:val="1"/>
                <w:color w:val="auto"/>
                <w:w w:val="89"/>
              </w:rPr>
              <w:t>Average</w:t>
            </w:r>
          </w:p>
        </w:tc>
        <w:tc>
          <w:tcPr>
            <w:tcW w:w="360" w:type="dxa"/>
            <w:vAlign w:val="bottom"/>
          </w:tcPr>
          <w:p>
            <w:pPr>
              <w:spacing w:after="0"/>
              <w:rPr>
                <w:sz w:val="8"/>
                <w:szCs w:val="8"/>
                <w:color w:val="auto"/>
              </w:rPr>
            </w:pPr>
          </w:p>
        </w:tc>
        <w:tc>
          <w:tcPr>
            <w:tcW w:w="740" w:type="dxa"/>
            <w:vAlign w:val="bottom"/>
            <w:gridSpan w:val="3"/>
          </w:tcPr>
          <w:p>
            <w:pPr>
              <w:jc w:val="center"/>
              <w:ind w:left="114"/>
              <w:spacing w:after="0" w:line="98" w:lineRule="exact"/>
              <w:rPr>
                <w:sz w:val="20"/>
                <w:szCs w:val="20"/>
                <w:color w:val="auto"/>
              </w:rPr>
            </w:pPr>
            <w:r>
              <w:rPr>
                <w:rFonts w:ascii="Arial" w:cs="Arial" w:eastAsia="Arial" w:hAnsi="Arial"/>
                <w:sz w:val="9"/>
                <w:szCs w:val="9"/>
                <w:b w:val="1"/>
                <w:bCs w:val="1"/>
                <w:color w:val="auto"/>
                <w:w w:val="91"/>
              </w:rPr>
              <w:t>Average Fair</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6"/>
          </w:tcPr>
          <w:p>
            <w:pPr>
              <w:jc w:val="center"/>
              <w:ind w:right="220"/>
              <w:spacing w:after="0" w:line="98" w:lineRule="exact"/>
              <w:rPr>
                <w:sz w:val="20"/>
                <w:szCs w:val="20"/>
                <w:color w:val="auto"/>
              </w:rPr>
            </w:pPr>
            <w:r>
              <w:rPr>
                <w:rFonts w:ascii="Arial" w:cs="Arial" w:eastAsia="Arial" w:hAnsi="Arial"/>
                <w:sz w:val="9"/>
                <w:szCs w:val="9"/>
                <w:b w:val="1"/>
                <w:bCs w:val="1"/>
                <w:color w:val="auto"/>
                <w:w w:val="89"/>
              </w:rPr>
              <w:t>Average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ind w:right="200"/>
              <w:spacing w:after="0" w:line="98" w:lineRule="exact"/>
              <w:rPr>
                <w:sz w:val="20"/>
                <w:szCs w:val="20"/>
                <w:color w:val="auto"/>
              </w:rPr>
            </w:pPr>
            <w:r>
              <w:rPr>
                <w:rFonts w:ascii="Arial" w:cs="Arial" w:eastAsia="Arial" w:hAnsi="Arial"/>
                <w:sz w:val="9"/>
                <w:szCs w:val="9"/>
                <w:b w:val="1"/>
                <w:bCs w:val="1"/>
                <w:color w:val="auto"/>
                <w:w w:val="95"/>
              </w:rPr>
              <w:t>Average Fair</w:t>
            </w: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91"/>
              </w:rPr>
              <w:t>Exercise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jc w:val="center"/>
              <w:ind w:left="10"/>
              <w:spacing w:after="0" w:line="98" w:lineRule="exact"/>
              <w:rPr>
                <w:sz w:val="20"/>
                <w:szCs w:val="20"/>
                <w:color w:val="auto"/>
              </w:rPr>
            </w:pPr>
            <w:r>
              <w:rPr>
                <w:rFonts w:ascii="Arial" w:cs="Arial" w:eastAsia="Arial" w:hAnsi="Arial"/>
                <w:sz w:val="9"/>
                <w:szCs w:val="9"/>
                <w:b w:val="1"/>
                <w:bCs w:val="1"/>
                <w:color w:val="auto"/>
                <w:w w:val="91"/>
              </w:rPr>
              <w:t>Value of</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4"/>
          </w:tcPr>
          <w:p>
            <w:pPr>
              <w:jc w:val="center"/>
              <w:ind w:right="80"/>
              <w:spacing w:after="0" w:line="98" w:lineRule="exact"/>
              <w:rPr>
                <w:sz w:val="20"/>
                <w:szCs w:val="20"/>
                <w:color w:val="auto"/>
              </w:rPr>
            </w:pPr>
            <w:r>
              <w:rPr>
                <w:rFonts w:ascii="Arial" w:cs="Arial" w:eastAsia="Arial" w:hAnsi="Arial"/>
                <w:sz w:val="9"/>
                <w:szCs w:val="9"/>
                <w:b w:val="1"/>
                <w:bCs w:val="1"/>
                <w:color w:val="auto"/>
                <w:w w:val="86"/>
              </w:rPr>
              <w:t>Exercise</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tcPr>
          <w:p>
            <w:pPr>
              <w:jc w:val="center"/>
              <w:ind w:right="25"/>
              <w:spacing w:after="0" w:line="98" w:lineRule="exact"/>
              <w:rPr>
                <w:sz w:val="20"/>
                <w:szCs w:val="20"/>
                <w:color w:val="auto"/>
              </w:rPr>
            </w:pPr>
            <w:r>
              <w:rPr>
                <w:rFonts w:ascii="Arial" w:cs="Arial" w:eastAsia="Arial" w:hAnsi="Arial"/>
                <w:sz w:val="9"/>
                <w:szCs w:val="9"/>
                <w:b w:val="1"/>
                <w:bCs w:val="1"/>
                <w:color w:val="auto"/>
                <w:w w:val="91"/>
              </w:rPr>
              <w:t>Value of</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6"/>
          </w:tcPr>
          <w:p>
            <w:pPr>
              <w:jc w:val="center"/>
              <w:ind w:right="240"/>
              <w:spacing w:after="0" w:line="98" w:lineRule="exact"/>
              <w:rPr>
                <w:sz w:val="20"/>
                <w:szCs w:val="20"/>
                <w:color w:val="auto"/>
              </w:rPr>
            </w:pPr>
            <w:r>
              <w:rPr>
                <w:rFonts w:ascii="Arial" w:cs="Arial" w:eastAsia="Arial" w:hAnsi="Arial"/>
                <w:sz w:val="9"/>
                <w:szCs w:val="9"/>
                <w:b w:val="1"/>
                <w:bCs w:val="1"/>
                <w:color w:val="auto"/>
                <w:w w:val="91"/>
              </w:rPr>
              <w:t>Exercise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ind w:right="200"/>
              <w:spacing w:after="0" w:line="98"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111"/>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3"/>
          </w:tcPr>
          <w:p>
            <w:pPr>
              <w:jc w:val="center"/>
              <w:ind w:right="280"/>
              <w:spacing w:after="0"/>
              <w:rPr>
                <w:sz w:val="20"/>
                <w:szCs w:val="20"/>
                <w:color w:val="auto"/>
              </w:rPr>
            </w:pPr>
            <w:r>
              <w:rPr>
                <w:rFonts w:ascii="Arial" w:cs="Arial" w:eastAsia="Arial" w:hAnsi="Arial"/>
                <w:sz w:val="9"/>
                <w:szCs w:val="9"/>
                <w:b w:val="1"/>
                <w:bCs w:val="1"/>
                <w:color w:val="auto"/>
                <w:w w:val="99"/>
              </w:rPr>
              <w:t>Price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Option Granted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0"/>
              </w:rPr>
              <w:t>Price</w:t>
            </w:r>
          </w:p>
        </w:tc>
        <w:tc>
          <w:tcPr>
            <w:tcW w:w="360" w:type="dxa"/>
            <w:vAlign w:val="bottom"/>
          </w:tcPr>
          <w:p>
            <w:pPr>
              <w:spacing w:after="0"/>
              <w:rPr>
                <w:sz w:val="9"/>
                <w:szCs w:val="9"/>
                <w:color w:val="auto"/>
              </w:rPr>
            </w:pPr>
          </w:p>
        </w:tc>
        <w:tc>
          <w:tcPr>
            <w:tcW w:w="1120" w:type="dxa"/>
            <w:vAlign w:val="bottom"/>
            <w:gridSpan w:val="6"/>
          </w:tcPr>
          <w:p>
            <w:pPr>
              <w:jc w:val="center"/>
              <w:ind w:right="220"/>
              <w:spacing w:after="0"/>
              <w:rPr>
                <w:sz w:val="20"/>
                <w:szCs w:val="20"/>
                <w:color w:val="auto"/>
              </w:rPr>
            </w:pPr>
            <w:r>
              <w:rPr>
                <w:rFonts w:ascii="Arial" w:cs="Arial" w:eastAsia="Arial" w:hAnsi="Arial"/>
                <w:sz w:val="9"/>
                <w:szCs w:val="9"/>
                <w:b w:val="1"/>
                <w:bCs w:val="1"/>
                <w:color w:val="auto"/>
                <w:w w:val="93"/>
              </w:rPr>
              <w:t>Option Granted</w:t>
            </w:r>
          </w:p>
        </w:tc>
        <w:tc>
          <w:tcPr>
            <w:tcW w:w="160" w:type="dxa"/>
            <w:vAlign w:val="bottom"/>
          </w:tcPr>
          <w:p>
            <w:pPr>
              <w:spacing w:after="0"/>
              <w:rPr>
                <w:sz w:val="9"/>
                <w:szCs w:val="9"/>
                <w:color w:val="auto"/>
              </w:rPr>
            </w:pPr>
          </w:p>
        </w:tc>
        <w:tc>
          <w:tcPr>
            <w:tcW w:w="360" w:type="dxa"/>
            <w:vAlign w:val="bottom"/>
            <w:gridSpan w:val="3"/>
          </w:tcPr>
          <w:p>
            <w:pPr>
              <w:jc w:val="center"/>
              <w:ind w:left="116"/>
              <w:spacing w:after="0"/>
              <w:rPr>
                <w:sz w:val="20"/>
                <w:szCs w:val="20"/>
                <w:color w:val="auto"/>
              </w:rPr>
            </w:pPr>
            <w:r>
              <w:rPr>
                <w:rFonts w:ascii="Arial" w:cs="Arial" w:eastAsia="Arial" w:hAnsi="Arial"/>
                <w:sz w:val="9"/>
                <w:szCs w:val="9"/>
                <w:b w:val="1"/>
                <w:bCs w:val="1"/>
                <w:color w:val="auto"/>
                <w:w w:val="90"/>
              </w:rPr>
              <w:t>Price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96"/>
              </w:rPr>
              <w:t>Option Granted</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Option price equal to the fair value of common stock on grant date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860" w:type="dxa"/>
            <w:vAlign w:val="bottom"/>
            <w:gridSpan w:val="7"/>
            <w:shd w:val="clear" w:color="auto" w:fill="CCEEFF"/>
          </w:tcPr>
          <w:p>
            <w:pPr>
              <w:jc w:val="right"/>
              <w:ind w:right="40"/>
              <w:spacing w:after="0"/>
              <w:rPr>
                <w:sz w:val="20"/>
                <w:szCs w:val="20"/>
                <w:color w:val="auto"/>
              </w:rPr>
            </w:pPr>
            <w:r>
              <w:rPr>
                <w:rFonts w:ascii="Arial" w:cs="Arial" w:eastAsia="Arial" w:hAnsi="Arial"/>
                <w:sz w:val="13"/>
                <w:szCs w:val="13"/>
                <w:color w:val="auto"/>
              </w:rPr>
              <w:t>$  14.63</w:t>
            </w:r>
          </w:p>
        </w:tc>
        <w:tc>
          <w:tcPr>
            <w:tcW w:w="5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w w:val="85"/>
              </w:rPr>
              <w:t>10.29</w:t>
            </w:r>
          </w:p>
        </w:tc>
        <w:tc>
          <w:tcPr>
            <w:tcW w:w="20" w:type="dxa"/>
            <w:vAlign w:val="bottom"/>
            <w:shd w:val="clear" w:color="auto" w:fill="CCEEFF"/>
          </w:tcPr>
          <w:p>
            <w:pPr>
              <w:spacing w:after="0"/>
              <w:rPr>
                <w:sz w:val="13"/>
                <w:szCs w:val="13"/>
                <w:color w:val="auto"/>
              </w:rPr>
            </w:pPr>
          </w:p>
        </w:tc>
        <w:tc>
          <w:tcPr>
            <w:tcW w:w="760" w:type="dxa"/>
            <w:vAlign w:val="bottom"/>
            <w:gridSpan w:val="6"/>
            <w:shd w:val="clear" w:color="auto" w:fill="CCEEFF"/>
          </w:tcPr>
          <w:p>
            <w:pPr>
              <w:jc w:val="right"/>
              <w:ind w:right="100"/>
              <w:spacing w:after="0"/>
              <w:rPr>
                <w:sz w:val="20"/>
                <w:szCs w:val="20"/>
                <w:color w:val="auto"/>
              </w:rPr>
            </w:pPr>
            <w:r>
              <w:rPr>
                <w:rFonts w:ascii="Arial" w:cs="Arial" w:eastAsia="Arial" w:hAnsi="Arial"/>
                <w:sz w:val="13"/>
                <w:szCs w:val="13"/>
                <w:color w:val="auto"/>
              </w:rPr>
              <w:t>$  12.03</w:t>
            </w: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3"/>
                <w:szCs w:val="13"/>
                <w:color w:val="auto"/>
                <w:w w:val="98"/>
              </w:rPr>
              <w:t>Option price greater than the fair value of common stock on grant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6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3"/>
                <w:szCs w:val="13"/>
                <w:color w:val="auto"/>
                <w:w w:val="91"/>
              </w:rPr>
              <w: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 price less than the fair value of common stock on grant</w:t>
            </w:r>
          </w:p>
        </w:tc>
        <w:tc>
          <w:tcPr>
            <w:tcW w:w="6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date</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9.36</w:t>
            </w:r>
          </w:p>
        </w:tc>
        <w:tc>
          <w:tcPr>
            <w:tcW w:w="20" w:type="dxa"/>
            <w:vAlign w:val="bottom"/>
            <w:shd w:val="clear" w:color="auto" w:fill="CCEEFF"/>
          </w:tcPr>
          <w:p>
            <w:pPr>
              <w:spacing w:after="0"/>
              <w:rPr>
                <w:sz w:val="14"/>
                <w:szCs w:val="14"/>
                <w:color w:val="auto"/>
              </w:rPr>
            </w:pPr>
          </w:p>
        </w:tc>
        <w:tc>
          <w:tcPr>
            <w:tcW w:w="1160" w:type="dxa"/>
            <w:vAlign w:val="bottom"/>
            <w:gridSpan w:val="8"/>
            <w:shd w:val="clear" w:color="auto" w:fill="CCEEFF"/>
          </w:tcPr>
          <w:p>
            <w:pPr>
              <w:jc w:val="right"/>
              <w:ind w:right="60"/>
              <w:spacing w:after="0"/>
              <w:rPr>
                <w:sz w:val="20"/>
                <w:szCs w:val="20"/>
                <w:color w:val="auto"/>
              </w:rPr>
            </w:pPr>
            <w:r>
              <w:rPr>
                <w:rFonts w:ascii="Arial" w:cs="Arial" w:eastAsia="Arial" w:hAnsi="Arial"/>
                <w:sz w:val="13"/>
                <w:szCs w:val="13"/>
                <w:color w:val="auto"/>
              </w:rPr>
              <w:t>11.55</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13.67</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w w:val="85"/>
              </w:rPr>
              <w:t>10.05</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5400" w:type="dxa"/>
            <w:vAlign w:val="bottom"/>
            <w:gridSpan w:val="11"/>
          </w:tcPr>
          <w:p>
            <w:pPr>
              <w:spacing w:after="0"/>
              <w:rPr>
                <w:sz w:val="20"/>
                <w:szCs w:val="20"/>
                <w:color w:val="auto"/>
              </w:rPr>
            </w:pPr>
            <w:r>
              <w:rPr>
                <w:rFonts w:ascii="Arial" w:cs="Arial" w:eastAsia="Arial" w:hAnsi="Arial"/>
                <w:sz w:val="13"/>
                <w:szCs w:val="13"/>
                <w:color w:val="auto"/>
                <w:w w:val="94"/>
              </w:rPr>
              <w:t>The following table summarizes information about stock options outstanding at December 31, 2005: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9"/>
          </w:tcPr>
          <w:p>
            <w:pPr>
              <w:jc w:val="center"/>
              <w:ind w:right="40"/>
              <w:spacing w:after="0"/>
              <w:rPr>
                <w:sz w:val="20"/>
                <w:szCs w:val="20"/>
                <w:color w:val="auto"/>
              </w:rPr>
            </w:pPr>
            <w:r>
              <w:rPr>
                <w:rFonts w:ascii="Arial" w:cs="Arial" w:eastAsia="Arial" w:hAnsi="Arial"/>
                <w:sz w:val="10"/>
                <w:szCs w:val="10"/>
                <w:b w:val="1"/>
                <w:bCs w:val="1"/>
                <w:color w:val="auto"/>
                <w:w w:val="95"/>
              </w:rPr>
              <w:t>Weighted-Average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rPr>
              <w:t>Options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4"/>
          </w:tcPr>
          <w:p>
            <w:pPr>
              <w:jc w:val="center"/>
              <w:spacing w:after="0" w:line="108" w:lineRule="exact"/>
              <w:rPr>
                <w:sz w:val="20"/>
                <w:szCs w:val="20"/>
                <w:color w:val="auto"/>
              </w:rPr>
            </w:pPr>
            <w:r>
              <w:rPr>
                <w:rFonts w:ascii="Arial" w:cs="Arial" w:eastAsia="Arial" w:hAnsi="Arial"/>
                <w:sz w:val="10"/>
                <w:szCs w:val="10"/>
                <w:b w:val="1"/>
                <w:bCs w:val="1"/>
                <w:color w:val="auto"/>
                <w:w w:val="93"/>
              </w:rPr>
              <w:t>Remaining</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5"/>
            <w:vMerge w:val="restart"/>
          </w:tcPr>
          <w:p>
            <w:pPr>
              <w:jc w:val="center"/>
              <w:ind w:right="57"/>
              <w:spacing w:after="0"/>
              <w:rPr>
                <w:sz w:val="20"/>
                <w:szCs w:val="20"/>
                <w:color w:val="auto"/>
              </w:rPr>
            </w:pPr>
            <w:r>
              <w:rPr>
                <w:rFonts w:ascii="Arial" w:cs="Arial" w:eastAsia="Arial" w:hAnsi="Arial"/>
                <w:sz w:val="10"/>
                <w:szCs w:val="10"/>
                <w:b w:val="1"/>
                <w:bCs w:val="1"/>
                <w:color w:val="auto"/>
                <w:w w:val="93"/>
              </w:rPr>
              <w:t>Weighted-Average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6"/>
            <w:vMerge w:val="restart"/>
          </w:tcPr>
          <w:p>
            <w:pPr>
              <w:jc w:val="right"/>
              <w:ind w:right="220"/>
              <w:spacing w:after="0"/>
              <w:rPr>
                <w:sz w:val="20"/>
                <w:szCs w:val="20"/>
                <w:color w:val="auto"/>
              </w:rPr>
            </w:pPr>
            <w:r>
              <w:rPr>
                <w:rFonts w:ascii="Arial" w:cs="Arial" w:eastAsia="Arial" w:hAnsi="Arial"/>
                <w:sz w:val="10"/>
                <w:szCs w:val="10"/>
                <w:b w:val="1"/>
                <w:bCs w:val="1"/>
                <w:color w:val="auto"/>
              </w:rPr>
              <w:t>Options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5"/>
            <w:vMerge w:val="restart"/>
          </w:tcPr>
          <w:p>
            <w:pPr>
              <w:jc w:val="right"/>
              <w:ind w:right="280"/>
              <w:spacing w:after="0"/>
              <w:rPr>
                <w:sz w:val="20"/>
                <w:szCs w:val="20"/>
                <w:color w:val="auto"/>
              </w:rPr>
            </w:pPr>
            <w:r>
              <w:rPr>
                <w:rFonts w:ascii="Arial" w:cs="Arial" w:eastAsia="Arial" w:hAnsi="Arial"/>
                <w:sz w:val="10"/>
                <w:szCs w:val="10"/>
                <w:b w:val="1"/>
                <w:bCs w:val="1"/>
                <w:color w:val="auto"/>
                <w:w w:val="95"/>
              </w:rPr>
              <w:t>Weighted-Average</w:t>
            </w:r>
          </w:p>
        </w:tc>
        <w:tc>
          <w:tcPr>
            <w:tcW w:w="0" w:type="dxa"/>
            <w:vAlign w:val="bottom"/>
          </w:tcPr>
          <w:p>
            <w:pPr>
              <w:spacing w:after="0"/>
              <w:rPr>
                <w:sz w:val="1"/>
                <w:szCs w:val="1"/>
                <w:color w:val="auto"/>
              </w:rPr>
            </w:pPr>
          </w:p>
        </w:tc>
      </w:tr>
      <w:tr>
        <w:trPr>
          <w:trHeight w:val="118"/>
        </w:trPr>
        <w:tc>
          <w:tcPr>
            <w:tcW w:w="3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Price Range</w:t>
            </w:r>
          </w:p>
        </w:tc>
        <w:tc>
          <w:tcPr>
            <w:tcW w:w="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9"/>
          </w:tcPr>
          <w:p>
            <w:pPr>
              <w:jc w:val="center"/>
              <w:ind w:right="40"/>
              <w:spacing w:after="0"/>
              <w:rPr>
                <w:sz w:val="20"/>
                <w:szCs w:val="20"/>
                <w:color w:val="auto"/>
              </w:rPr>
            </w:pPr>
            <w:r>
              <w:rPr>
                <w:rFonts w:ascii="Arial" w:cs="Arial" w:eastAsia="Arial" w:hAnsi="Arial"/>
                <w:sz w:val="10"/>
                <w:szCs w:val="10"/>
                <w:b w:val="1"/>
                <w:bCs w:val="1"/>
                <w:color w:val="auto"/>
                <w:w w:val="99"/>
              </w:rPr>
              <w:t>Contractual Life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gridSpan w:val="2"/>
            <w:vMerge w:val="continue"/>
          </w:tcPr>
          <w:p>
            <w:pPr>
              <w:spacing w:after="0"/>
              <w:rPr>
                <w:sz w:val="10"/>
                <w:szCs w:val="10"/>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(years)</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tcPr>
          <w:p>
            <w:pPr>
              <w:jc w:val="center"/>
              <w:ind w:right="197"/>
              <w:spacing w:after="0"/>
              <w:rPr>
                <w:sz w:val="20"/>
                <w:szCs w:val="20"/>
                <w:color w:val="auto"/>
              </w:rPr>
            </w:pPr>
            <w:r>
              <w:rPr>
                <w:rFonts w:ascii="Arial" w:cs="Arial" w:eastAsia="Arial" w:hAnsi="Arial"/>
                <w:sz w:val="10"/>
                <w:szCs w:val="10"/>
                <w:b w:val="1"/>
                <w:bCs w:val="1"/>
                <w:color w:val="auto"/>
                <w:w w:val="93"/>
              </w:rPr>
              <w:t>Exercise Price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rPr>
              <w:t>Exercisable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$ 0.33 — $ 7.95</w:t>
            </w: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1,247,728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3.72</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140" w:type="dxa"/>
            <w:vAlign w:val="bottom"/>
            <w:shd w:val="clear" w:color="auto" w:fill="CCEEFF"/>
          </w:tcPr>
          <w:p>
            <w:pPr>
              <w:spacing w:after="0"/>
              <w:rPr>
                <w:sz w:val="13"/>
                <w:szCs w:val="13"/>
                <w:color w:val="auto"/>
              </w:rPr>
            </w:pPr>
          </w:p>
        </w:tc>
        <w:tc>
          <w:tcPr>
            <w:tcW w:w="900" w:type="dxa"/>
            <w:vAlign w:val="bottom"/>
            <w:gridSpan w:val="7"/>
            <w:shd w:val="clear" w:color="auto" w:fill="CCEEFF"/>
          </w:tcPr>
          <w:p>
            <w:pPr>
              <w:jc w:val="right"/>
              <w:ind w:right="60"/>
              <w:spacing w:after="0"/>
              <w:rPr>
                <w:sz w:val="20"/>
                <w:szCs w:val="20"/>
                <w:color w:val="auto"/>
              </w:rPr>
            </w:pPr>
            <w:r>
              <w:rPr>
                <w:rFonts w:ascii="Arial" w:cs="Arial" w:eastAsia="Arial" w:hAnsi="Arial"/>
                <w:sz w:val="13"/>
                <w:szCs w:val="13"/>
                <w:color w:val="auto"/>
              </w:rPr>
              <w:t>1,078,422</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7.39</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$ 9.18 — $12.75</w:t>
            </w:r>
          </w:p>
        </w:tc>
        <w:tc>
          <w:tcPr>
            <w:tcW w:w="6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1,338,701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9.35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11.46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3"/>
                <w:szCs w:val="13"/>
                <w:color w:val="auto"/>
                <w:w w:val="93"/>
              </w:rPr>
              <w:t>123,601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11.36</w:t>
            </w: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$12.99 — $15.00</w:t>
            </w: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1,883,526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8.66</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13.78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w w:val="93"/>
              </w:rPr>
              <w:t>426,545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$17.56 — $25.23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515,876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6.88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21.70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3"/>
                <w:szCs w:val="13"/>
                <w:color w:val="auto"/>
                <w:w w:val="93"/>
              </w:rPr>
              <w:t>309,350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22.95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4,985,831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7.42</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40" w:type="dxa"/>
            <w:vAlign w:val="bottom"/>
            <w:shd w:val="clear" w:color="auto" w:fill="CCEEFF"/>
          </w:tcPr>
          <w:p>
            <w:pPr>
              <w:spacing w:after="0"/>
              <w:rPr>
                <w:sz w:val="13"/>
                <w:szCs w:val="13"/>
                <w:color w:val="auto"/>
              </w:rPr>
            </w:pPr>
          </w:p>
        </w:tc>
        <w:tc>
          <w:tcPr>
            <w:tcW w:w="900" w:type="dxa"/>
            <w:vAlign w:val="bottom"/>
            <w:gridSpan w:val="7"/>
            <w:shd w:val="clear" w:color="auto" w:fill="CCEEFF"/>
          </w:tcPr>
          <w:p>
            <w:pPr>
              <w:jc w:val="right"/>
              <w:ind w:right="60"/>
              <w:spacing w:after="0"/>
              <w:rPr>
                <w:sz w:val="20"/>
                <w:szCs w:val="20"/>
                <w:color w:val="auto"/>
              </w:rPr>
            </w:pPr>
            <w:r>
              <w:rPr>
                <w:rFonts w:ascii="Arial" w:cs="Arial" w:eastAsia="Arial" w:hAnsi="Arial"/>
                <w:sz w:val="13"/>
                <w:szCs w:val="13"/>
                <w:color w:val="auto"/>
              </w:rPr>
              <w:t>1,937,918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11.55</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-561340</wp:posOffset>
            </wp:positionV>
            <wp:extent cx="2476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70"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For employee options, the difference between the estimated fair value of the underlying stock and the option exercise price, if lower, is recognized as compensation expense over the vesting period in accordance with APB Opinion No. 25. For non-employee options, the Company recognizes stock-based compensation expense for the estimated fair value of the options, determined using the Black-Scholes option valuation model, in accordance with</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100"/>
        <w:spacing w:after="0" w:line="300" w:lineRule="auto"/>
        <w:rPr>
          <w:sz w:val="20"/>
          <w:szCs w:val="20"/>
          <w:color w:val="auto"/>
        </w:rPr>
      </w:pPr>
      <w:r>
        <w:rPr>
          <w:rFonts w:ascii="Arial" w:cs="Arial" w:eastAsia="Arial" w:hAnsi="Arial"/>
          <w:sz w:val="11"/>
          <w:szCs w:val="11"/>
          <w:color w:val="auto"/>
        </w:rPr>
        <w:t>EITF No. 96-18 and FIN 28. During the year ended December 31, 2003, non-employee stock-based compensation expense of approximately $277,000 was recognized for outstanding non-employee options. During the years ended December 31, 2004 and 2005, non-employee stock-based compensation expense of approximately $11,000 and $65,000, respectively, was recognized for outstanding non-employee options. As of December 31, 2005, non-employee options to purchase 49,333 shares of the Company’s common stock at a weighted-average exercise price of $11.75 per share were outstanding and are reflected in the tables above. The in-substance stock options disclosed in Note 7, which resulted from the issuance of stock to certain individuals, are excluded from the tables above. In November 2004, pursuant to assignment agreements with two consultants, the Company issued 200 shares of its common stock under its 2004 Equity Incentive Plan. The Company agreed to issue 99,800 additional shares upon the achievement of certain milestones specified in consulting agreements and for the year ended December 31, 2004, the Company recorded approximately $1.1 million in stock-based compensation expense related to these agreements. In November 2005, 39,800 of the</w:t>
      </w:r>
    </w:p>
    <w:p>
      <w:pPr>
        <w:spacing w:after="0" w:line="2"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99,800 shares were issued to the consultants and the Company decreased stock-based compensation expense by approximately $146,000 based on the fair market value of the shares when issued.</w:t>
      </w:r>
    </w:p>
    <w:p>
      <w:pPr>
        <w:spacing w:after="0" w:line="67"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In October 2003, pursuant to a settlement agreement with the Company’s former chief executive officer, options to purchase 83,333 shares of common stock were immediately vested and remain fully exercisable through April 2005. The change in option terms resulted in a new measurement date. On the date of the agreement, the outstanding options had an intrinsic value of approximately $153,000 that was recorded immediately as compensation expense. The options were exercised in October 2004.</w:t>
      </w:r>
    </w:p>
    <w:p>
      <w:pPr>
        <w:spacing w:after="0" w:line="50"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13"/>
          <w:szCs w:val="13"/>
          <w:color w:val="auto"/>
        </w:rPr>
        <w:t>In November 2003, pursuant to a settlement agreement with a former employee, options to purchase 5,000 shares of common stock were immediately vested and the option exercise period was extended. These options remained fully exercisable through May 2004. The change in option terms resulted in a new measurement date. On the date of the agreement, the outstanding options had an intrinsic value of approximately $25,000 that was recorded immediately as compensation expense.</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During the year ended December 31, 2003, the Company extended the exercise period for certain employee options to purchase 174,855 shares of common stock at an exercise price of</w:t>
      </w:r>
    </w:p>
    <w:p>
      <w:pPr>
        <w:spacing w:after="0" w:line="27" w:lineRule="exact"/>
        <w:rPr>
          <w:sz w:val="20"/>
          <w:szCs w:val="20"/>
          <w:color w:val="auto"/>
        </w:rPr>
      </w:pPr>
    </w:p>
    <w:p>
      <w:pPr>
        <w:ind w:left="680" w:right="140"/>
        <w:spacing w:after="0" w:line="256" w:lineRule="auto"/>
        <w:rPr>
          <w:sz w:val="20"/>
          <w:szCs w:val="20"/>
          <w:color w:val="auto"/>
        </w:rPr>
      </w:pPr>
      <w:r>
        <w:rPr>
          <w:rFonts w:ascii="Arial" w:cs="Arial" w:eastAsia="Arial" w:hAnsi="Arial"/>
          <w:sz w:val="13"/>
          <w:szCs w:val="13"/>
          <w:color w:val="auto"/>
        </w:rPr>
        <w:t>$6.24 per share. Also, in February 2003, pursuant to a settlement agreement with a former executive, the Company agreed that options to purchase 124,553 shares of common stock would remain exercisable at least until April 2006 (see Note 12 — Commitments and Contingencies — Severance Agreement). The Company recorded compensation expense of approximately $2.5 million and $259,000 for the years ended December 31, 2003 and 2004, respectively. For the year ended December 31, 2005, the Company decreased compensation expense by approximately $229,000 related to these options.</w:t>
      </w:r>
    </w:p>
    <w:p>
      <w:pPr>
        <w:spacing w:after="0" w:line="72"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On October 7, 2003, the Company’s board of directors approved a re-pricing program for certain outstanding options to purchase shares of the Company’s common stock granted under each of its stock plans. Under the re-pricing program, each holder of outstanding options granted under the stock plans who was an employee of the Company on November 5, 2003 could elect to exchange up to all of their outstanding options with an exercise price greater than $7.95 for re-priced stock options with an exercise price of $7.95 per share and a term of four years. The option re-pricing became effective on November 5, 2003. Vesting restarted immediately with 50% vesting in November 2004 and the remaining 50% vesting monthly until fully vested in November 2005. Employees who voluntarily resigned in the 12-month period beginning November 5, 2003 forfeited their re-priced options. Employees who were involuntarily terminated in the 12-month period beginning November 5, 2003 vested 50% upon termination. In accordance with the terms of the re-pricing program, on November 5, 2003 the Company canceled 781,572 outstanding stock options with a weighted average exercise price of $19.83 per share and issued, in exchange for the canceled options, 781,572 new options with an exercise price of $7.95 per share. Compensation cost for all options re-priced under the re-pricing program was re-measured, using the intrinsic value method proscribed by APB No. 25, on a quarterly basis. Compensation cost for these options are recognized in accordance</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260"/>
        <w:spacing w:after="0" w:line="260" w:lineRule="auto"/>
        <w:rPr>
          <w:sz w:val="20"/>
          <w:szCs w:val="20"/>
          <w:color w:val="auto"/>
        </w:rPr>
      </w:pPr>
      <w:r>
        <w:rPr>
          <w:rFonts w:ascii="Arial" w:cs="Arial" w:eastAsia="Arial" w:hAnsi="Arial"/>
          <w:sz w:val="13"/>
          <w:szCs w:val="13"/>
          <w:color w:val="auto"/>
        </w:rPr>
        <w:t>with the method prescribed by FIN 28. For the years ended December 31, 2003 and 2004, the Company recorded $595,000 and $4.4 million, respectively in stock-based compensation expense related to the re-pricing program. For the year ended December 31, 2005, the Company recorded a decrease in stock-based compensation expense of approximately $2.4 million relating to the re-pricing program. Upon adoption of SFAS No. 123R (see Note 2 — Summary of Significant Accounting Policies — Recently Issued Accounting Standards), effective January 1, 2006, the Company will no longer re-measure these options.</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stock-based compensation expense recognized in the accompanying statements of operations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97"/>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2003</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4,224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(1,892)</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Consultant-related</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277</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r>
      <w:tr>
        <w:trPr>
          <w:trHeight w:val="20"/>
        </w:trPr>
        <w:tc>
          <w:tcPr>
            <w:tcW w:w="7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4,501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(1,728)</w:t>
            </w:r>
          </w:p>
        </w:tc>
      </w:tr>
      <w:tr>
        <w:trPr>
          <w:trHeight w:val="29"/>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stock-based compensation expense recognized in the accompanying statements of operations is included in the following categories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ind w:right="38"/>
              <w:spacing w:after="0" w:line="98" w:lineRule="exact"/>
              <w:rPr>
                <w:sz w:val="20"/>
                <w:szCs w:val="20"/>
                <w:color w:val="auto"/>
              </w:rPr>
            </w:pPr>
            <w:r>
              <w:rPr>
                <w:rFonts w:ascii="Arial" w:cs="Arial" w:eastAsia="Arial" w:hAnsi="Arial"/>
                <w:sz w:val="10"/>
                <w:szCs w:val="10"/>
                <w:b w:val="1"/>
                <w:bCs w:val="1"/>
                <w:color w:val="auto"/>
                <w:w w:val="98"/>
              </w:rPr>
              <w:t>2003</w:t>
            </w:r>
          </w:p>
        </w:tc>
        <w:tc>
          <w:tcPr>
            <w:tcW w:w="20" w:type="dxa"/>
            <w:vAlign w:val="bottom"/>
          </w:tcPr>
          <w:p>
            <w:pPr>
              <w:spacing w:after="0"/>
              <w:rPr>
                <w:sz w:val="8"/>
                <w:szCs w:val="8"/>
                <w:color w:val="auto"/>
              </w:rPr>
            </w:pPr>
          </w:p>
        </w:tc>
        <w:tc>
          <w:tcPr>
            <w:tcW w:w="760" w:type="dxa"/>
            <w:vAlign w:val="bottom"/>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r>
      <w:tr>
        <w:trPr>
          <w:trHeight w:val="29"/>
        </w:trPr>
        <w:tc>
          <w:tcPr>
            <w:tcW w:w="7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961</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$ 2,936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(320)</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3,540</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3,874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(1,408)</w:t>
            </w: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4,501</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$ 6,810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(1,728)</w:t>
            </w:r>
          </w:p>
        </w:tc>
      </w:tr>
      <w:tr>
        <w:trPr>
          <w:trHeight w:val="29"/>
        </w:trPr>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spacing w:after="0" w:line="301" w:lineRule="auto"/>
        <w:rPr>
          <w:sz w:val="20"/>
          <w:szCs w:val="20"/>
          <w:color w:val="auto"/>
        </w:rPr>
      </w:pPr>
      <w:r>
        <w:rPr>
          <w:rFonts w:ascii="Arial" w:cs="Arial" w:eastAsia="Arial" w:hAnsi="Arial"/>
          <w:sz w:val="11"/>
          <w:szCs w:val="11"/>
          <w:color w:val="auto"/>
        </w:rPr>
        <w:t>During 1995 and 1996, the Company issued warrants to purchase shares of common stock. The warrants range in exercise price from $12.53 to $12.70 per share and expire at various dates through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As of December 31, 2004, warrants to purchase</w:t>
      </w:r>
    </w:p>
    <w:p>
      <w:pPr>
        <w:spacing w:after="0" w:line="2"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131,628 shares of common stock were outstanding. During the second quarter ended June 30, 2005, warrants to purchase 110,888 shares of common stock were exchanged for 24,210 shares of common stock resulting in stock-based compensation expense of $245,000 based on a fair market value of the common stock of $10.12 per share. As of December 31, 2005, the remaining warrants to purchase 12,436 shares of common stock at a weighted average exercise price of $12.66 per share are outstanding and exercisable while warrants to purchase 8,304 shares of common stock expired during 2005.</w:t>
      </w:r>
    </w:p>
    <w:p>
      <w:pPr>
        <w:spacing w:after="0" w:line="72"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In connection with the sale of common stock in the private placement which closed on August 5, 2005, the Company concurrently issued warrants to purchase up to 3,426,000 shares of common stock at an exercise price of $12.228 per share. See also Note 9 — Common and Preferred Stock — Private Placement. These warrants become exercisable on February 1, 2006 and expire in August 2010.</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5"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b w:val="1"/>
          <w:bCs w:val="1"/>
          <w:i w:val="1"/>
          <w:iCs w:val="1"/>
          <w:color w:val="auto"/>
        </w:rPr>
        <w:t xml:space="preserve">Operating Leases </w:t>
      </w:r>
      <w:r>
        <w:rPr>
          <w:rFonts w:ascii="Arial" w:cs="Arial" w:eastAsia="Arial" w:hAnsi="Arial"/>
          <w:sz w:val="13"/>
          <w:szCs w:val="13"/>
          <w:color w:val="auto"/>
        </w:rPr>
        <w:t>— The Company leases certain facilities and equipment under various operating leases, which expire at various dates through 2009. Future minimum rental payments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required under operating leases are as follows at December 31, 2005:</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44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38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53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7"/>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2006</w:t>
            </w:r>
          </w:p>
        </w:tc>
        <w:tc>
          <w:tcPr>
            <w:tcW w:w="3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849,000</w:t>
            </w:r>
          </w:p>
        </w:tc>
      </w:tr>
      <w:tr>
        <w:trPr>
          <w:trHeight w:val="157"/>
        </w:trPr>
        <w:tc>
          <w:tcPr>
            <w:tcW w:w="5440" w:type="dxa"/>
            <w:vAlign w:val="bottom"/>
            <w:gridSpan w:val="2"/>
          </w:tcPr>
          <w:p>
            <w:pPr>
              <w:spacing w:after="0"/>
              <w:rPr>
                <w:sz w:val="20"/>
                <w:szCs w:val="20"/>
                <w:color w:val="auto"/>
              </w:rPr>
            </w:pPr>
            <w:r>
              <w:rPr>
                <w:rFonts w:ascii="Arial" w:cs="Arial" w:eastAsia="Arial" w:hAnsi="Arial"/>
                <w:sz w:val="13"/>
                <w:szCs w:val="13"/>
                <w:color w:val="auto"/>
              </w:rPr>
              <w:t>2007</w:t>
            </w:r>
          </w:p>
        </w:tc>
        <w:tc>
          <w:tcPr>
            <w:tcW w:w="3820" w:type="dxa"/>
            <w:vAlign w:val="bottom"/>
          </w:tcPr>
          <w:p>
            <w:pPr>
              <w:spacing w:after="0"/>
              <w:rPr>
                <w:sz w:val="13"/>
                <w:szCs w:val="13"/>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727,000</w:t>
            </w:r>
          </w:p>
        </w:tc>
      </w:tr>
      <w:tr>
        <w:trPr>
          <w:trHeight w:val="157"/>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2008</w:t>
            </w:r>
          </w:p>
        </w:tc>
        <w:tc>
          <w:tcPr>
            <w:tcW w:w="38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727,000</w:t>
            </w:r>
          </w:p>
        </w:tc>
      </w:tr>
      <w:tr>
        <w:trPr>
          <w:trHeight w:val="157"/>
        </w:trPr>
        <w:tc>
          <w:tcPr>
            <w:tcW w:w="5440" w:type="dxa"/>
            <w:vAlign w:val="bottom"/>
            <w:gridSpan w:val="2"/>
          </w:tcPr>
          <w:p>
            <w:pPr>
              <w:spacing w:after="0"/>
              <w:rPr>
                <w:sz w:val="20"/>
                <w:szCs w:val="20"/>
                <w:color w:val="auto"/>
              </w:rPr>
            </w:pPr>
            <w:r>
              <w:rPr>
                <w:rFonts w:ascii="Arial" w:cs="Arial" w:eastAsia="Arial" w:hAnsi="Arial"/>
                <w:sz w:val="13"/>
                <w:szCs w:val="13"/>
                <w:color w:val="auto"/>
              </w:rPr>
              <w:t>After 2008</w:t>
            </w:r>
          </w:p>
        </w:tc>
        <w:tc>
          <w:tcPr>
            <w:tcW w:w="3820" w:type="dxa"/>
            <w:vAlign w:val="bottom"/>
          </w:tcPr>
          <w:p>
            <w:pPr>
              <w:spacing w:after="0"/>
              <w:rPr>
                <w:sz w:val="13"/>
                <w:szCs w:val="13"/>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61,000</w:t>
            </w:r>
          </w:p>
        </w:tc>
      </w:tr>
      <w:tr>
        <w:trPr>
          <w:trHeight w:val="157"/>
        </w:trPr>
        <w:tc>
          <w:tcPr>
            <w:tcW w:w="100" w:type="dxa"/>
            <w:vAlign w:val="bottom"/>
            <w:shd w:val="clear" w:color="auto" w:fill="CCEEFF"/>
          </w:tcPr>
          <w:p>
            <w:pPr>
              <w:spacing w:after="0"/>
              <w:rPr>
                <w:sz w:val="13"/>
                <w:szCs w:val="13"/>
                <w:color w:val="auto"/>
              </w:rPr>
            </w:pPr>
          </w:p>
        </w:tc>
        <w:tc>
          <w:tcPr>
            <w:tcW w:w="5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minimum lease payments</w:t>
            </w:r>
          </w:p>
        </w:tc>
        <w:tc>
          <w:tcPr>
            <w:tcW w:w="38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2,364,000</w:t>
            </w:r>
          </w:p>
        </w:tc>
      </w:tr>
    </w:tbl>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Rent expense under all operating leases for the years ended December 31, 2003, 2004 and 2005 was approximately, $1.2 million, $601,000 and $1.1 million, respectively.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 xml:space="preserve">Capital Leases </w:t>
      </w:r>
      <w:r>
        <w:rPr>
          <w:rFonts w:ascii="Arial" w:cs="Arial" w:eastAsia="Arial" w:hAnsi="Arial"/>
          <w:sz w:val="13"/>
          <w:szCs w:val="13"/>
          <w:color w:val="auto"/>
        </w:rPr>
        <w:t>— The Company’s capital leases were not material for the years ended December 31, 2003, 2004 and 2005.</w:t>
      </w:r>
    </w:p>
    <w:p>
      <w:pPr>
        <w:spacing w:after="0" w:line="96" w:lineRule="exact"/>
        <w:rPr>
          <w:sz w:val="20"/>
          <w:szCs w:val="20"/>
          <w:color w:val="auto"/>
        </w:rPr>
      </w:pPr>
    </w:p>
    <w:p>
      <w:pPr>
        <w:ind w:left="680" w:right="120"/>
        <w:spacing w:after="0" w:line="281" w:lineRule="auto"/>
        <w:rPr>
          <w:sz w:val="20"/>
          <w:szCs w:val="20"/>
          <w:color w:val="auto"/>
        </w:rPr>
      </w:pPr>
      <w:r>
        <w:rPr>
          <w:rFonts w:ascii="Arial" w:cs="Arial" w:eastAsia="Arial" w:hAnsi="Arial"/>
          <w:sz w:val="12"/>
          <w:szCs w:val="12"/>
          <w:b w:val="1"/>
          <w:bCs w:val="1"/>
          <w:i w:val="1"/>
          <w:iCs w:val="1"/>
          <w:color w:val="auto"/>
        </w:rPr>
        <w:t xml:space="preserve">Guarantees and Indemnifications </w:t>
      </w:r>
      <w:r>
        <w:rPr>
          <w:rFonts w:ascii="Arial" w:cs="Arial" w:eastAsia="Arial" w:hAnsi="Arial"/>
          <w:sz w:val="12"/>
          <w:szCs w:val="12"/>
          <w:color w:val="auto"/>
        </w:rPr>
        <w:t>— In the ordinary course of its business, the Company makes certain indemnities, commitments and guarantees under which it may be required to make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b w:val="1"/>
          <w:bCs w:val="1"/>
          <w:i w:val="1"/>
          <w:iCs w:val="1"/>
          <w:color w:val="auto"/>
        </w:rPr>
        <w:t xml:space="preserve">Litigation </w:t>
      </w:r>
      <w:r>
        <w:rPr>
          <w:rFonts w:ascii="Arial" w:cs="Arial" w:eastAsia="Arial" w:hAnsi="Arial"/>
          <w:sz w:val="13"/>
          <w:szCs w:val="13"/>
          <w:color w:val="auto"/>
        </w:rPr>
        <w:t>— The Company is involved in various legal proceedings and other matters. In accordance with SFAS No. 5,</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Accounting for Contingencies</w:t>
      </w:r>
      <w:r>
        <w:rPr>
          <w:rFonts w:ascii="Arial" w:cs="Arial" w:eastAsia="Arial" w:hAnsi="Arial"/>
          <w:sz w:val="13"/>
          <w:szCs w:val="13"/>
          <w:color w:val="auto"/>
        </w:rPr>
        <w:t>, the Company would record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provision for a liability when it is both probable that a liability has been incurred and the amount of the loss can be reasonably estimated.</w:t>
      </w:r>
    </w:p>
    <w:p>
      <w:pPr>
        <w:spacing w:after="0" w:line="59" w:lineRule="exact"/>
        <w:rPr>
          <w:sz w:val="20"/>
          <w:szCs w:val="20"/>
          <w:color w:val="auto"/>
        </w:rPr>
      </w:pPr>
    </w:p>
    <w:p>
      <w:pPr>
        <w:ind w:left="680" w:right="20"/>
        <w:spacing w:after="0" w:line="276" w:lineRule="auto"/>
        <w:rPr>
          <w:sz w:val="20"/>
          <w:szCs w:val="20"/>
          <w:color w:val="auto"/>
        </w:rPr>
      </w:pPr>
      <w:r>
        <w:rPr>
          <w:rFonts w:ascii="Arial" w:cs="Arial" w:eastAsia="Arial" w:hAnsi="Arial"/>
          <w:sz w:val="12"/>
          <w:szCs w:val="12"/>
          <w:color w:val="auto"/>
        </w:rPr>
        <w:t xml:space="preserve">In May 2005, the Company’s former Chief Medical Officer filed a complaint against the Company in the California Superior Court, County of Los Angeles. </w:t>
      </w:r>
      <w:r>
        <w:rPr>
          <w:rFonts w:ascii="Arial" w:cs="Arial" w:eastAsia="Arial" w:hAnsi="Arial"/>
          <w:sz w:val="12"/>
          <w:szCs w:val="12"/>
          <w:i w:val="1"/>
          <w:iCs w:val="1"/>
          <w:color w:val="auto"/>
        </w:rPr>
        <w:t>Wayman Wendell</w:t>
      </w:r>
      <w:r>
        <w:rPr>
          <w:rFonts w:ascii="Arial" w:cs="Arial" w:eastAsia="Arial" w:hAnsi="Arial"/>
          <w:sz w:val="12"/>
          <w:szCs w:val="12"/>
          <w:color w:val="auto"/>
        </w:rPr>
        <w:t xml:space="preserve"> </w:t>
      </w:r>
      <w:r>
        <w:rPr>
          <w:rFonts w:ascii="Arial" w:cs="Arial" w:eastAsia="Arial" w:hAnsi="Arial"/>
          <w:sz w:val="12"/>
          <w:szCs w:val="12"/>
          <w:i w:val="1"/>
          <w:iCs w:val="1"/>
          <w:color w:val="auto"/>
        </w:rPr>
        <w:t>Cheatham, M.D. v. MannKind Corporation</w:t>
      </w:r>
      <w:r>
        <w:rPr>
          <w:rFonts w:ascii="Arial" w:cs="Arial" w:eastAsia="Arial" w:hAnsi="Arial"/>
          <w:sz w:val="12"/>
          <w:szCs w:val="12"/>
          <w:color w:val="auto"/>
        </w:rPr>
        <w:t>, Case No. BC333845. The complaint alleges causes of action for wrongful termination in violation of public policy, breach of contract and</w:t>
      </w:r>
      <w:r>
        <w:rPr>
          <w:rFonts w:ascii="Arial" w:cs="Arial" w:eastAsia="Arial" w:hAnsi="Arial"/>
          <w:sz w:val="12"/>
          <w:szCs w:val="12"/>
          <w:i w:val="1"/>
          <w:iCs w:val="1"/>
          <w:color w:val="auto"/>
        </w:rPr>
        <w:t xml:space="preserve"> </w:t>
      </w:r>
      <w:r>
        <w:rPr>
          <w:rFonts w:ascii="Arial" w:cs="Arial" w:eastAsia="Arial" w:hAnsi="Arial"/>
          <w:sz w:val="12"/>
          <w:szCs w:val="12"/>
          <w:color w:val="auto"/>
        </w:rPr>
        <w:t>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intends to vigorously defend against them. The Company also filed a cross-complaint against</w:t>
      </w:r>
    </w:p>
    <w:p>
      <w:pPr>
        <w:ind w:left="680" w:right="40"/>
        <w:spacing w:after="0" w:line="281" w:lineRule="auto"/>
        <w:rPr>
          <w:sz w:val="20"/>
          <w:szCs w:val="20"/>
          <w:color w:val="auto"/>
        </w:rPr>
      </w:pPr>
      <w:r>
        <w:rPr>
          <w:rFonts w:ascii="Arial" w:cs="Arial" w:eastAsia="Arial" w:hAnsi="Arial"/>
          <w:sz w:val="12"/>
          <w:szCs w:val="12"/>
          <w:color w:val="auto"/>
        </w:rPr>
        <w:t>Dr. Cheatham, alleging claims for libel per se, trade libel, breach of contract, breach of the implied covenant of good faith and fair dealing and breach of the duty of loyalty. The libel claims allege that Dr. Cheatham made certain false and malicious statements about the Company in a letter to the Food and Drug Administration (“FDA”) with regard to a request by the Company to hold a meeting with the FDA. The remaining causes of action in the cross-complaint arise out of the Company’s allegations that Dr. Cheatham had an undisclosed consulting relationship with a Company competitor during his employment with the Company, in violation of his agreement with the Company. In July 2005, Dr. Cheatham filed a demurrer and motion to strike the Company’s cross-complaint under California’s anti-SLAPP statute. In September 2005, the California Superior Court overruled Dr. Cheatham’s demurrer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denied his motion to strike the Company’s cross-complaint. Dr. Cheatham then filed a notice of appeal of the Court’s ruling denying his motion to strike. Discovery as to Dr. Cheatham’s claims against the Company is proceeding, and this case is scheduled for trial to commence in October 2006. The Company believes that the ultimate resolution of this matter will not have a material impact on the Company’s financial position or results of operations.</w:t>
      </w:r>
    </w:p>
    <w:p>
      <w:pPr>
        <w:spacing w:after="0" w:line="67"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 xml:space="preserve">In 2000, the Company issued 699,972 shares of common stock to three consultants in exchange for notes receivable aggregating approximately $10.9 million. The fixed interest bearing notes were collateralized by the underlying common stock. The notes-for-stock transactions were accounted for as in-substance stock option grants to non-employees. In November 2004, the consultants informed the Company that they had entered into an agreement in October 2001 with Alfred E. Mann, the Company’s chairman, chief executive officer and principal stockholder, under which Mr. Mann would purchase a portion of the consultants’ common stock, and that the Company was to apply the proceeds to the amounts owed under the consultants’ respective notes. The consultants informed the Company that they believed both the Company and Mr. Mann were in breach of the alleged agreement, and indicated their intent to seek alleged damages arising from the Company’s failure to perform the alleged agreement. On October 19, 2005, the principal and interest on the notes aggregating $14.6 million became due and payable and the Company pursued collection. On November 21, 2005, the consultants filed a complaint against the Company in the California Superior Court, County of Los Angeles, </w:t>
      </w:r>
      <w:r>
        <w:rPr>
          <w:rFonts w:ascii="Arial" w:cs="Arial" w:eastAsia="Arial" w:hAnsi="Arial"/>
          <w:sz w:val="12"/>
          <w:szCs w:val="12"/>
          <w:i w:val="1"/>
          <w:iCs w:val="1"/>
          <w:color w:val="auto"/>
        </w:rPr>
        <w:t>Rollins et al. v.</w:t>
      </w:r>
      <w:r>
        <w:rPr>
          <w:rFonts w:ascii="Arial" w:cs="Arial" w:eastAsia="Arial" w:hAnsi="Arial"/>
          <w:sz w:val="12"/>
          <w:szCs w:val="12"/>
          <w:color w:val="auto"/>
        </w:rPr>
        <w:t xml:space="preserve"> </w:t>
      </w:r>
      <w:r>
        <w:rPr>
          <w:rFonts w:ascii="Arial" w:cs="Arial" w:eastAsia="Arial" w:hAnsi="Arial"/>
          <w:sz w:val="12"/>
          <w:szCs w:val="12"/>
          <w:i w:val="1"/>
          <w:iCs w:val="1"/>
          <w:color w:val="auto"/>
        </w:rPr>
        <w:t>MannKind et al</w:t>
      </w:r>
      <w:r>
        <w:rPr>
          <w:rFonts w:ascii="Arial" w:cs="Arial" w:eastAsia="Arial" w:hAnsi="Arial"/>
          <w:sz w:val="12"/>
          <w:szCs w:val="12"/>
          <w:color w:val="auto"/>
        </w:rPr>
        <w:t>, Case No. BC343381. The complaint alleges causes of action for breach of the abovementioned agreement, among other things. On January 19, 2006, the parties mediated</w:t>
      </w:r>
      <w:r>
        <w:rPr>
          <w:rFonts w:ascii="Arial" w:cs="Arial" w:eastAsia="Arial" w:hAnsi="Arial"/>
          <w:sz w:val="12"/>
          <w:szCs w:val="12"/>
          <w:i w:val="1"/>
          <w:iCs w:val="1"/>
          <w:color w:val="auto"/>
        </w:rPr>
        <w:t xml:space="preserve"> </w:t>
      </w:r>
      <w:r>
        <w:rPr>
          <w:rFonts w:ascii="Arial" w:cs="Arial" w:eastAsia="Arial" w:hAnsi="Arial"/>
          <w:sz w:val="12"/>
          <w:szCs w:val="12"/>
          <w:color w:val="auto"/>
        </w:rPr>
        <w:t>and settled the case. Under the settlement, the Company repurchased 620,697 shares from the consultants in full satisfaction of the notes. These shares were tendered and cancelled on February 3, 2006. The Company also agreed to repurchase the remaining 79,275 shares held by the consultants for $1.4 million in cash. The settlement was reflected as a $1.4 million charge to general and administrative expense in the fourth quarter of the year ended December 31, 2005 with a corresponding amount payable included in accrued expenses and other current liabilities as of December 31 2005. On February 21, 2006, the Company received and cancelled the 79,275 shares, and paid the purchase price of $1.4 million to the consultants. The complaint has been dismissed in its entirety with prejudice.</w:t>
      </w:r>
    </w:p>
    <w:p>
      <w:pPr>
        <w:spacing w:after="0" w:line="63" w:lineRule="exact"/>
        <w:rPr>
          <w:sz w:val="20"/>
          <w:szCs w:val="20"/>
          <w:color w:val="auto"/>
        </w:rPr>
      </w:pPr>
    </w:p>
    <w:p>
      <w:pPr>
        <w:ind w:left="680" w:right="120"/>
        <w:spacing w:after="0" w:line="285" w:lineRule="auto"/>
        <w:rPr>
          <w:sz w:val="20"/>
          <w:szCs w:val="20"/>
          <w:color w:val="auto"/>
        </w:rPr>
      </w:pPr>
      <w:r>
        <w:rPr>
          <w:rFonts w:ascii="Arial" w:cs="Arial" w:eastAsia="Arial" w:hAnsi="Arial"/>
          <w:sz w:val="12"/>
          <w:szCs w:val="12"/>
          <w:color w:val="auto"/>
        </w:rPr>
        <w:t>In September and October 2005, the principal and interest totaling $1.6 million on notes issued in exchange for approximately 78,000 shares of common stock to a former executive of the Company became due and payable to the Company. On December 31, 2005, the 78,000 shares of common stock issued in exchange for the notes receivable had a market value of approximately $878,000. The Company pursued collection. On January 31, 2006, former executive tendered 143,949 shares as full repayment of the notes in default and an additional note due in April 2006 issued in exchange for approximately 32,000 shares of common stock. The 143,949 shares were valued at $2.6 million on January 31, 2006 and represented principal and interest due through that date on all notes. The Company received and cancelled these shares on January 31, 2006.</w:t>
      </w:r>
    </w:p>
    <w:p>
      <w:pPr>
        <w:spacing w:after="0" w:line="55"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b w:val="1"/>
          <w:bCs w:val="1"/>
          <w:i w:val="1"/>
          <w:iCs w:val="1"/>
          <w:color w:val="auto"/>
        </w:rPr>
        <w:t xml:space="preserve">Severance Agreements </w:t>
      </w:r>
      <w:r>
        <w:rPr>
          <w:rFonts w:ascii="Arial" w:cs="Arial" w:eastAsia="Arial" w:hAnsi="Arial"/>
          <w:sz w:val="12"/>
          <w:szCs w:val="12"/>
          <w:color w:val="auto"/>
        </w:rPr>
        <w:t>— In February 2003, pursuant to a settlement agreement, the Company is obligated to pay a former executive approximately $1.0 million over three years, comprised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$775,000 in deferred compensation (see Note 8) from prior years and the remainder comprised of other severance-related items. As of December 31, 2004 the Company paid approximately $765,000 of this amount. The remaining $284,000 was paid in April 2005. The settlement agreement further provides that the options held by the former executive to purchase up to 46,585 shares of the Company’s common stock remain fully exercisable through April 2007, and options to purchase up to 124,553 shares of the Company’s common stock remain fully exercisable until at least April 2006. The change in option terms resulted in a new measurement date. On the date of the agreement, the outstanding options had an intrinsic value of approximately $1.1 million, which was immediately expensed as part of the $2.5 million charge more fully described in Note 10.</w:t>
      </w:r>
    </w:p>
    <w:p>
      <w:pPr>
        <w:spacing w:after="0" w:line="59"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In February 2003, pursuant to a settlement agreement, the Company became obligated to pay a former employee his base salary at the rate of approximately $22,000 per month through December 2003 and a lump sum payment of</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$67,000, which was paid in February 2005 and was previously included in accrued expenses in the accompanying balance sheet at December 31, 2004.</w:t>
      </w:r>
    </w:p>
    <w:p>
      <w:pPr>
        <w:spacing w:after="0" w:line="96" w:lineRule="exact"/>
        <w:rPr>
          <w:sz w:val="20"/>
          <w:szCs w:val="20"/>
          <w:color w:val="auto"/>
        </w:rPr>
      </w:pPr>
    </w:p>
    <w:p>
      <w:pPr>
        <w:ind w:left="680" w:right="880"/>
        <w:spacing w:after="0" w:line="260" w:lineRule="auto"/>
        <w:rPr>
          <w:sz w:val="20"/>
          <w:szCs w:val="20"/>
          <w:color w:val="auto"/>
        </w:rPr>
      </w:pPr>
      <w:r>
        <w:rPr>
          <w:rFonts w:ascii="Arial" w:cs="Arial" w:eastAsia="Arial" w:hAnsi="Arial"/>
          <w:sz w:val="13"/>
          <w:szCs w:val="13"/>
          <w:color w:val="auto"/>
        </w:rPr>
        <w:t>In October 2003, under the terms of a severance agreement with its former chief executive officer, the Company paid a severance payment of $165,000 and agreed to pay his base salary at the rate of approximately $28,000 per month through April 2005. Amounts owed under this agreement are included in accrued expenses in the accompanying balance sheet at December 31, 2004. The agreement also provides for accelerated vesting of an option held by the former executive permitting him to purchase up to 83,333 shares of the Company’s common stock until April 7, 2005 (see Note 10). These options were exercised in October 2004.</w:t>
      </w:r>
    </w:p>
    <w:p>
      <w:pPr>
        <w:spacing w:after="0" w:line="66"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980"/>
        <w:spacing w:after="0" w:line="264" w:lineRule="auto"/>
        <w:rPr>
          <w:sz w:val="20"/>
          <w:szCs w:val="20"/>
          <w:color w:val="auto"/>
        </w:rPr>
      </w:pPr>
      <w:r>
        <w:rPr>
          <w:rFonts w:ascii="Arial" w:cs="Arial" w:eastAsia="Arial" w:hAnsi="Arial"/>
          <w:sz w:val="13"/>
          <w:szCs w:val="13"/>
          <w:color w:val="auto"/>
        </w:rPr>
        <w:t>As a result of the merger in December 2001, each respective 401(k) savings retirement plans of AlleCure, CTL and PDC were converted to the 401(k) Savings Retirement Plan (the “MannKind Retirement Plan”) for the Company. For the years ended December 31, 2003, 2004 and 2005, the Company contributed $235,000, $249,000 and $372,000, respectively, to the MannKind Retirement Plan.</w:t>
      </w:r>
    </w:p>
    <w:p>
      <w:pPr>
        <w:spacing w:after="0" w:line="63" w:lineRule="exact"/>
        <w:rPr>
          <w:sz w:val="20"/>
          <w:szCs w:val="20"/>
          <w:color w:val="auto"/>
        </w:rPr>
      </w:pPr>
    </w:p>
    <w:p>
      <w:pPr>
        <w:ind w:left="1180" w:hanging="493"/>
        <w:spacing w:after="0"/>
        <w:tabs>
          <w:tab w:leader="none" w:pos="11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jc w:val="both"/>
        <w:ind w:left="680" w:right="1080"/>
        <w:spacing w:after="0" w:line="264" w:lineRule="auto"/>
        <w:rPr>
          <w:sz w:val="20"/>
          <w:szCs w:val="20"/>
          <w:color w:val="auto"/>
        </w:rPr>
      </w:pPr>
      <w:r>
        <w:rPr>
          <w:rFonts w:ascii="Arial" w:cs="Arial" w:eastAsia="Arial" w:hAnsi="Arial"/>
          <w:sz w:val="13"/>
          <w:szCs w:val="13"/>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2004 and 2005 are approximately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7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4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4860" w:type="dxa"/>
            <w:vAlign w:val="bottom"/>
            <w:gridSpan w:val="3"/>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3"/>
          </w:tcPr>
          <w:p>
            <w:pPr>
              <w:jc w:val="right"/>
              <w:ind w:right="214"/>
              <w:spacing w:after="0"/>
              <w:rPr>
                <w:sz w:val="20"/>
                <w:szCs w:val="20"/>
                <w:color w:val="auto"/>
              </w:rPr>
            </w:pPr>
            <w:r>
              <w:rPr>
                <w:rFonts w:ascii="Arial" w:cs="Arial" w:eastAsia="Arial" w:hAnsi="Arial"/>
                <w:sz w:val="13"/>
                <w:szCs w:val="13"/>
                <w:color w:val="auto"/>
                <w:w w:val="90"/>
              </w:rPr>
              <w:t>92,269</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137,292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 credits</w:t>
            </w:r>
          </w:p>
        </w:tc>
        <w:tc>
          <w:tcPr>
            <w:tcW w:w="4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14"/>
              <w:spacing w:after="0"/>
              <w:rPr>
                <w:sz w:val="20"/>
                <w:szCs w:val="20"/>
                <w:color w:val="auto"/>
              </w:rPr>
            </w:pPr>
            <w:r>
              <w:rPr>
                <w:rFonts w:ascii="Arial" w:cs="Arial" w:eastAsia="Arial" w:hAnsi="Arial"/>
                <w:sz w:val="13"/>
                <w:szCs w:val="13"/>
                <w:color w:val="auto"/>
              </w:rPr>
              <w:t>4,566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214"/>
              <w:spacing w:after="0"/>
              <w:rPr>
                <w:sz w:val="20"/>
                <w:szCs w:val="20"/>
                <w:color w:val="auto"/>
              </w:rPr>
            </w:pPr>
            <w:r>
              <w:rPr>
                <w:rFonts w:ascii="Arial" w:cs="Arial" w:eastAsia="Arial" w:hAnsi="Arial"/>
                <w:sz w:val="13"/>
                <w:szCs w:val="13"/>
                <w:color w:val="auto"/>
              </w:rPr>
              <w:t>5,548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8,100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Non-qualified stock option expense</w:t>
            </w:r>
          </w:p>
        </w:tc>
        <w:tc>
          <w:tcPr>
            <w:tcW w:w="4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14"/>
              <w:spacing w:after="0"/>
              <w:rPr>
                <w:sz w:val="20"/>
                <w:szCs w:val="20"/>
                <w:color w:val="auto"/>
              </w:rPr>
            </w:pPr>
            <w:r>
              <w:rPr>
                <w:rFonts w:ascii="Arial" w:cs="Arial" w:eastAsia="Arial" w:hAnsi="Arial"/>
                <w:sz w:val="13"/>
                <w:szCs w:val="13"/>
                <w:color w:val="auto"/>
              </w:rPr>
              <w:t>5,027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3,793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214"/>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895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gross deferred tax assets</w:t>
            </w:r>
          </w:p>
        </w:tc>
        <w:tc>
          <w:tcPr>
            <w:tcW w:w="4660" w:type="dxa"/>
            <w:vAlign w:val="bottom"/>
            <w:gridSpan w:val="2"/>
            <w:shd w:val="clear" w:color="auto" w:fill="CCEEFF"/>
          </w:tcPr>
          <w:p>
            <w:pPr>
              <w:spacing w:after="0"/>
              <w:rPr>
                <w:sz w:val="13"/>
                <w:szCs w:val="13"/>
                <w:color w:val="auto"/>
              </w:rPr>
            </w:pPr>
          </w:p>
        </w:tc>
        <w:tc>
          <w:tcPr>
            <w:tcW w:w="980" w:type="dxa"/>
            <w:vAlign w:val="bottom"/>
            <w:gridSpan w:val="5"/>
            <w:shd w:val="clear" w:color="auto" w:fill="CCEEFF"/>
          </w:tcPr>
          <w:p>
            <w:pPr>
              <w:jc w:val="right"/>
              <w:ind w:right="214"/>
              <w:spacing w:after="0"/>
              <w:rPr>
                <w:sz w:val="20"/>
                <w:szCs w:val="20"/>
                <w:color w:val="auto"/>
              </w:rPr>
            </w:pPr>
            <w:r>
              <w:rPr>
                <w:rFonts w:ascii="Arial" w:cs="Arial" w:eastAsia="Arial" w:hAnsi="Arial"/>
                <w:sz w:val="13"/>
                <w:szCs w:val="13"/>
                <w:color w:val="auto"/>
              </w:rPr>
              <w:t>107,982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155,799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4660" w:type="dxa"/>
            <w:vAlign w:val="bottom"/>
            <w:gridSpan w:val="2"/>
          </w:tcPr>
          <w:p>
            <w:pPr>
              <w:spacing w:after="0"/>
              <w:rPr>
                <w:sz w:val="13"/>
                <w:szCs w:val="13"/>
                <w:color w:val="auto"/>
              </w:rPr>
            </w:pPr>
          </w:p>
        </w:tc>
        <w:tc>
          <w:tcPr>
            <w:tcW w:w="980" w:type="dxa"/>
            <w:vAlign w:val="bottom"/>
            <w:gridSpan w:val="5"/>
          </w:tcPr>
          <w:p>
            <w:pPr>
              <w:jc w:val="right"/>
              <w:ind w:right="174"/>
              <w:spacing w:after="0"/>
              <w:rPr>
                <w:sz w:val="20"/>
                <w:szCs w:val="20"/>
                <w:color w:val="auto"/>
              </w:rPr>
            </w:pPr>
            <w:r>
              <w:rPr>
                <w:rFonts w:ascii="Arial" w:cs="Arial" w:eastAsia="Arial" w:hAnsi="Arial"/>
                <w:sz w:val="13"/>
                <w:szCs w:val="13"/>
                <w:color w:val="auto"/>
              </w:rPr>
              <w:t>(107,982)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(155,799)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4860" w:type="dxa"/>
            <w:vAlign w:val="bottom"/>
            <w:gridSpan w:val="3"/>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8420" w:type="dxa"/>
            <w:vAlign w:val="bottom"/>
            <w:gridSpan w:val="5"/>
          </w:tcPr>
          <w:p>
            <w:pPr>
              <w:spacing w:after="0"/>
              <w:rPr>
                <w:sz w:val="20"/>
                <w:szCs w:val="20"/>
                <w:color w:val="auto"/>
              </w:rPr>
            </w:pPr>
            <w:r>
              <w:rPr>
                <w:rFonts w:ascii="Arial" w:cs="Arial" w:eastAsia="Arial" w:hAnsi="Arial"/>
                <w:sz w:val="13"/>
                <w:szCs w:val="13"/>
                <w:color w:val="auto"/>
                <w:w w:val="92"/>
              </w:rPr>
              <w:t>The Company’s effective income tax rate differs from the statutory federal income tax rate as follows for the years ended December 31, 2003, 2004 and 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80" w:type="dxa"/>
            <w:vAlign w:val="bottom"/>
            <w:gridSpan w:val="2"/>
          </w:tcPr>
          <w:p>
            <w:pPr>
              <w:jc w:val="right"/>
              <w:ind w:right="18"/>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c>
          <w:tcPr>
            <w:tcW w:w="660" w:type="dxa"/>
            <w:vAlign w:val="bottom"/>
            <w:gridSpan w:val="3"/>
          </w:tcPr>
          <w:p>
            <w:pPr>
              <w:jc w:val="right"/>
              <w:ind w:right="14"/>
              <w:spacing w:after="0" w:line="98" w:lineRule="exact"/>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Federal tax benefit rate</w:t>
            </w:r>
          </w:p>
        </w:tc>
        <w:tc>
          <w:tcPr>
            <w:tcW w:w="49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State tax benefit, net of federal benefit</w:t>
            </w: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49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Other</w:t>
            </w:r>
          </w:p>
        </w:tc>
        <w:tc>
          <w:tcPr>
            <w:tcW w:w="4980" w:type="dxa"/>
            <w:vAlign w:val="bottom"/>
            <w:gridSpan w:val="4"/>
          </w:tcPr>
          <w:p>
            <w:pPr>
              <w:jc w:val="right"/>
              <w:ind w:right="120"/>
              <w:spacing w:after="0"/>
              <w:rPr>
                <w:sz w:val="20"/>
                <w:szCs w:val="20"/>
                <w:color w:val="auto"/>
              </w:rPr>
            </w:pPr>
            <w:r>
              <w:rPr>
                <w:rFonts w:ascii="Arial" w:cs="Arial" w:eastAsia="Arial" w:hAnsi="Arial"/>
                <w:sz w:val="13"/>
                <w:szCs w:val="13"/>
                <w:color w:val="auto"/>
              </w:rPr>
              <w:t>1.6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44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(36.5)</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(35.0)</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44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440" w:type="dxa"/>
            <w:vAlign w:val="bottom"/>
            <w:vMerge w:val="continue"/>
          </w:tcPr>
          <w:p>
            <w:pPr>
              <w:spacing w:after="0"/>
              <w:rPr>
                <w:sz w:val="15"/>
                <w:szCs w:val="15"/>
                <w:color w:val="auto"/>
              </w:rPr>
            </w:pPr>
          </w:p>
        </w:tc>
        <w:tc>
          <w:tcPr>
            <w:tcW w:w="448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0.0%</w:t>
            </w:r>
          </w:p>
        </w:tc>
        <w:tc>
          <w:tcPr>
            <w:tcW w:w="780" w:type="dxa"/>
            <w:vAlign w:val="bottom"/>
            <w:gridSpan w:val="4"/>
          </w:tcPr>
          <w:p>
            <w:pPr>
              <w:jc w:val="right"/>
              <w:ind w:right="20"/>
              <w:spacing w:after="0"/>
              <w:rPr>
                <w:sz w:val="20"/>
                <w:szCs w:val="20"/>
                <w:color w:val="auto"/>
              </w:rPr>
            </w:pPr>
            <w:r>
              <w:rPr>
                <w:rFonts w:ascii="Arial" w:cs="Arial" w:eastAsia="Arial" w:hAnsi="Arial"/>
                <w:sz w:val="13"/>
                <w:szCs w:val="13"/>
                <w:color w:val="auto"/>
              </w:rPr>
              <w:t>0.0%</w:t>
            </w:r>
          </w:p>
        </w:tc>
        <w:tc>
          <w:tcPr>
            <w:tcW w:w="1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80" w:type="dxa"/>
            <w:vAlign w:val="bottom"/>
          </w:tcPr>
          <w:p>
            <w:pPr>
              <w:ind w:left="1440"/>
              <w:spacing w:after="0"/>
              <w:rPr>
                <w:sz w:val="20"/>
                <w:szCs w:val="20"/>
                <w:color w:val="auto"/>
              </w:rPr>
            </w:pPr>
            <w:r>
              <w:rPr>
                <w:rFonts w:ascii="Arial" w:cs="Arial" w:eastAsia="Arial" w:hAnsi="Arial"/>
                <w:sz w:val="13"/>
                <w:szCs w:val="13"/>
                <w:color w:val="auto"/>
              </w:rPr>
              <w:t>F-28</w:t>
            </w:r>
          </w:p>
        </w:tc>
        <w:tc>
          <w:tcPr>
            <w:tcW w:w="380" w:type="dxa"/>
            <w:vAlign w:val="bottom"/>
            <w:tcBorders>
              <w:top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As required by SFAS No. 109,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2003, 2004 and 2005, the change in the valuation allowance was $29.3 million, $34.1 million and $47.8 million, respectively, for income taxes.</w:t>
      </w:r>
    </w:p>
    <w:p>
      <w:pPr>
        <w:spacing w:after="0" w:line="53" w:lineRule="exact"/>
        <w:rPr>
          <w:sz w:val="20"/>
          <w:szCs w:val="20"/>
          <w:color w:val="auto"/>
        </w:rPr>
      </w:pPr>
    </w:p>
    <w:p>
      <w:pPr>
        <w:ind w:left="680" w:right="60"/>
        <w:spacing w:after="0" w:line="255" w:lineRule="auto"/>
        <w:rPr>
          <w:sz w:val="20"/>
          <w:szCs w:val="20"/>
          <w:color w:val="auto"/>
        </w:rPr>
      </w:pPr>
      <w:r>
        <w:rPr>
          <w:rFonts w:ascii="Arial" w:cs="Arial" w:eastAsia="Arial" w:hAnsi="Arial"/>
          <w:sz w:val="13"/>
          <w:szCs w:val="13"/>
          <w:color w:val="auto"/>
        </w:rPr>
        <w:t>At December 31, 2005, the Company had federal and state net operating loss carryforwards of approximately $356.0 million and $229.1 million available, respectively, to reduce future taxable income and which will expire at various dates beginning in 2006 and 2008, respectively. At December 31, 2005, the Company had research and development credits of $7.6 million that expire at various dates through 2018. Ownership changes, as defined in Section 382 of the Internal Revenue Code, such as those resulting from the issuance of common stock in connection with the Company’s initial public offering and subsequent private placement, may limit the amount of net operating loss and tax credit carryforwards that can be utilized to offset future taxable income or tax liability. The Company has not yet determined the amounts of such limitations, if any; however, they could be significant. Any such limitations that may have existed for any of the periods presented in the accompanying financial statements would not have impacted the amounts reported because the Company has provided a full valuation allowance against all of its deferred tax assets. To the extent the Company realizes taxable income in any future period, the amount of any such limitations could have a material impact on the reported financial statements.</w:t>
      </w:r>
    </w:p>
    <w:p>
      <w:pPr>
        <w:spacing w:after="0" w:line="151"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The Company issued 8,550,446 shares of its common stock to its principal stockholder during the year ended December 31, 2005 for proceeds of approximately $87.3 million. In connection with this issuance, the board of directors approved the issuance of warrants to purchase 1,710,091 shares of the Company’s common stock at $12.228 per share, which expire on August 2, 2010. The issuance of shares and warrants to the principal stockholder was on terms identical to the other purchasers in the private placement, as approved by the Company’s board of directors.</w:t>
      </w:r>
    </w:p>
    <w:p>
      <w:pPr>
        <w:spacing w:after="0" w:line="70"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During the years ended December 31, 2003 and 2004, the Company paid $497,000 and $218,000, respectively, to certain universities to conduct sponsored research programs, including clinical research. Certain stockholders of the Company are employees of these universities and oversee the sponsored research programs. No sponsored research programs were conducted with and no amounts were paid to these universities in 2005.</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January 19, 2006, the Company settled a claim filed by three consultants related to certain notes-for-stock transactions (see Note 12 — Commitments and Contingencies — Litigation).</w:t>
      </w:r>
    </w:p>
    <w:p>
      <w:pPr>
        <w:spacing w:after="0" w:line="10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One stockholder was paid $6,000 and $48,000 for consulting services during the years ended December 31, 2003 and 2004, respectively. No services were provided or paid for the year ended December 31, 2005.</w:t>
      </w:r>
    </w:p>
    <w:p>
      <w:pPr>
        <w:spacing w:after="0" w:line="59"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$321,000, $145,000 and $62,000, respectively, for the years ended December 31, 2003, 2004 and 2005. These payments were approved by the audit committee of the board of directors.</w:t>
      </w:r>
    </w:p>
    <w:p>
      <w:pPr>
        <w:spacing w:after="0" w:line="70"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In 2004, the Company engaged one of its directors to provide consulting services related to seeking potential partners in the development and commercialization of the Company’s technology. The Company paid this director approximately $47,000 for consulting services rendered for the year ended December 31, 2004. No services were provided for the year ended December 31, 2005.</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9"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The Company has entered into indemnification agreements with each of its directors and executive officers, in addition to the indemnification provided for in its amended and restated certificate of incorporation and amended and restated bylaws (see Note 12 — Guarantees and Indemnifications).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16.</w:t>
            </w:r>
          </w:p>
        </w:tc>
        <w:tc>
          <w:tcPr>
            <w:tcW w:w="5320" w:type="dxa"/>
            <w:vAlign w:val="bottom"/>
          </w:tcPr>
          <w:p>
            <w:pPr>
              <w:ind w:left="20"/>
              <w:spacing w:after="0"/>
              <w:rPr>
                <w:sz w:val="20"/>
                <w:szCs w:val="20"/>
                <w:color w:val="auto"/>
              </w:rPr>
            </w:pPr>
            <w:r>
              <w:rPr>
                <w:rFonts w:ascii="Arial" w:cs="Arial" w:eastAsia="Arial" w:hAnsi="Arial"/>
                <w:sz w:val="13"/>
                <w:szCs w:val="13"/>
                <w:b w:val="1"/>
                <w:bCs w:val="1"/>
                <w:color w:val="auto"/>
              </w:rPr>
              <w:t>Selected quarterly financial data (unaudited)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96"/>
              </w:rPr>
              <w:t>March 31</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June 30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7"/>
              </w:rPr>
              <w:t>September 30</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0"/>
                <w:szCs w:val="10"/>
                <w:b w:val="1"/>
                <w:bCs w:val="1"/>
                <w:color w:val="auto"/>
                <w:w w:val="93"/>
              </w:rPr>
              <w:t>(In thousands, except per share data)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2004</w:t>
            </w:r>
          </w:p>
        </w:tc>
        <w:tc>
          <w:tcPr>
            <w:tcW w:w="5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w w:val="97"/>
              </w:rPr>
              <w:t>Net loss</w:t>
            </w:r>
          </w:p>
        </w:tc>
        <w:tc>
          <w:tcPr>
            <w:tcW w:w="5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(16,409)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(18,245)</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(20,188)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(21,150)</w:t>
            </w: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(17,085)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(18,241)</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(39,398)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(21,150)</w:t>
            </w:r>
          </w:p>
        </w:tc>
        <w:tc>
          <w:tcPr>
            <w:tcW w:w="0" w:type="dxa"/>
            <w:vAlign w:val="bottom"/>
          </w:tcPr>
          <w:p>
            <w:pPr>
              <w:spacing w:after="0"/>
              <w:rPr>
                <w:sz w:val="1"/>
                <w:szCs w:val="1"/>
                <w:color w:val="auto"/>
              </w:rPr>
            </w:pPr>
          </w:p>
        </w:tc>
      </w:tr>
      <w:tr>
        <w:trPr>
          <w:trHeight w:val="29"/>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(0.86)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(0.91)</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(1.40)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r>
        <w:trPr>
          <w:trHeight w:val="156"/>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Weighted average common shares used to compute basic and diluted net loss per share applicable to</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stockholders</w:t>
            </w: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19,975</w:t>
            </w: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19,975</w:t>
            </w: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28,051</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32,768</w:t>
            </w:r>
          </w:p>
        </w:tc>
        <w:tc>
          <w:tcPr>
            <w:tcW w:w="0" w:type="dxa"/>
            <w:vAlign w:val="bottom"/>
          </w:tcPr>
          <w:p>
            <w:pPr>
              <w:spacing w:after="0"/>
              <w:rPr>
                <w:sz w:val="1"/>
                <w:szCs w:val="1"/>
                <w:color w:val="auto"/>
              </w:rPr>
            </w:pPr>
          </w:p>
        </w:tc>
      </w:tr>
      <w:tr>
        <w:trPr>
          <w:trHeight w:val="295"/>
        </w:trPr>
        <w:tc>
          <w:tcPr>
            <w:tcW w:w="4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96"/>
              </w:rPr>
              <w:t>March 31</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June 30</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7"/>
              </w:rPr>
              <w:t>September 30</w:t>
            </w: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0"/>
                <w:szCs w:val="10"/>
                <w:b w:val="1"/>
                <w:bCs w:val="1"/>
                <w:color w:val="auto"/>
                <w:w w:val="93"/>
              </w:rPr>
              <w:t>(In thousands, except per share data)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5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w w:val="97"/>
              </w:rPr>
              <w:t>Net loss</w:t>
            </w:r>
          </w:p>
        </w:tc>
        <w:tc>
          <w:tcPr>
            <w:tcW w:w="5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(22,162)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(27,155)</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(31,730)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(33,291)</w:t>
            </w: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(22,162)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(27,155)</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(31,730)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(33,291)</w:t>
            </w:r>
          </w:p>
        </w:tc>
        <w:tc>
          <w:tcPr>
            <w:tcW w:w="0" w:type="dxa"/>
            <w:vAlign w:val="bottom"/>
          </w:tcPr>
          <w:p>
            <w:pPr>
              <w:spacing w:after="0"/>
              <w:rPr>
                <w:sz w:val="1"/>
                <w:szCs w:val="1"/>
                <w:color w:val="auto"/>
              </w:rPr>
            </w:pPr>
          </w:p>
        </w:tc>
      </w:tr>
      <w:tr>
        <w:trPr>
          <w:trHeight w:val="29"/>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(0.83)</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(0.73)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156"/>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Weighted average common shares used to compute basic and diluted net loss per share applicable to</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stockholders</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32,764</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32,777</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43,460</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50,250</w:t>
            </w:r>
          </w:p>
        </w:tc>
        <w:tc>
          <w:tcPr>
            <w:tcW w:w="0" w:type="dxa"/>
            <w:vAlign w:val="bottom"/>
          </w:tcPr>
          <w:p>
            <w:pPr>
              <w:spacing w:after="0"/>
              <w:rPr>
                <w:sz w:val="1"/>
                <w:szCs w:val="1"/>
                <w:color w:val="auto"/>
              </w:rPr>
            </w:pPr>
          </w:p>
        </w:tc>
      </w:tr>
      <w:tr>
        <w:trPr>
          <w:trHeight w:val="461"/>
        </w:trPr>
        <w:tc>
          <w:tcPr>
            <w:tcW w:w="480" w:type="dxa"/>
            <w:vAlign w:val="bottom"/>
          </w:tcPr>
          <w:p>
            <w:pPr>
              <w:spacing w:after="0"/>
              <w:rPr>
                <w:sz w:val="24"/>
                <w:szCs w:val="24"/>
                <w:color w:val="auto"/>
              </w:rPr>
            </w:pPr>
          </w:p>
        </w:tc>
        <w:tc>
          <w:tcPr>
            <w:tcW w:w="5320" w:type="dxa"/>
            <w:vAlign w:val="bottom"/>
          </w:tcPr>
          <w:p>
            <w:pPr>
              <w:ind w:left="4400"/>
              <w:spacing w:after="0"/>
              <w:rPr>
                <w:sz w:val="20"/>
                <w:szCs w:val="20"/>
                <w:color w:val="auto"/>
              </w:rPr>
            </w:pPr>
            <w:r>
              <w:rPr>
                <w:rFonts w:ascii="Arial" w:cs="Arial" w:eastAsia="Arial" w:hAnsi="Arial"/>
                <w:sz w:val="13"/>
                <w:szCs w:val="13"/>
                <w:color w:val="auto"/>
              </w:rPr>
              <w:t>F-30</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color w:val="auto"/>
        </w:rPr>
        <w:t>Exhibit 10.5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MannKind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 Incentive Program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Officers’ Incentive Program is not set forth in a separate document, but a summary of the program follows.</w:t>
      </w:r>
    </w:p>
    <w:p>
      <w:pPr>
        <w:spacing w:after="0" w:line="86" w:lineRule="exact"/>
        <w:rPr>
          <w:sz w:val="20"/>
          <w:szCs w:val="20"/>
          <w:color w:val="auto"/>
        </w:rPr>
      </w:pPr>
    </w:p>
    <w:p>
      <w:pPr>
        <w:ind w:right="140"/>
        <w:spacing w:after="0" w:line="260" w:lineRule="auto"/>
        <w:rPr>
          <w:sz w:val="20"/>
          <w:szCs w:val="20"/>
          <w:color w:val="auto"/>
        </w:rPr>
      </w:pPr>
      <w:r>
        <w:rPr>
          <w:rFonts w:ascii="Arial" w:cs="Arial" w:eastAsia="Arial" w:hAnsi="Arial"/>
          <w:sz w:val="13"/>
          <w:szCs w:val="13"/>
          <w:color w:val="auto"/>
        </w:rPr>
        <w:t>Under the Officers’ Incentive Program, each of our executive officers is eligible to earn cash bonus compensation based upon a target bonus amount equal to a predetermined percentage of his or her salary. The actual amount of any bonus is determined by the level of achievement of specified objectives relating to our corporate performance and to each participant’s individual performance. The Board of Directors establishes the corporate objectives at the beginning of each fiscal year. The corporate objectives established for 2005 were related to clinical trial milestones, commercialization objectives, manufacturing productivity, pipeline advancement objectives, organizational effectiveness, and financial performance.</w:t>
      </w:r>
    </w:p>
    <w:p>
      <w:pPr>
        <w:spacing w:after="0" w:line="6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Following the end of each fiscal year, the Board of Directors determines the extent to which the corporate objectives were attained and the Compensation Committee determines the extent to which each participant attained his or her individual objectives. Based on these determinations, the Compensation Committee awards each participant a bonus equal to a percentage of the participant’s target bonus amount. This percentage can range from zero to 125%.</w:t>
      </w:r>
    </w:p>
    <w:p>
      <w:pPr>
        <w:spacing w:after="0" w:line="57"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The Board of Directors has approved target bonus amounts for each of the participating executive officers, including the following: Alfred E. Mann, 50% of his annual salary; Hakan S. Edstrom, 45%; Dan R. Burns, 40%; Richard L. Anderson, 35%; and Wayman Wendell Cheatham, 35%. In May 2005, Dr. Cheatham ceased to be an employee.</w:t>
      </w:r>
    </w:p>
    <w:p>
      <w:pPr>
        <w:sectPr>
          <w:pgSz w:w="11900" w:h="16838" w:orient="portrait"/>
          <w:cols w:equalWidth="0" w:num="1">
            <w:col w:w="11460"/>
          </w:cols>
          <w:pgMar w:left="220" w:top="72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color w:val="auto"/>
        </w:rPr>
        <w:t>Exhibit 10.20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ANN</w:t>
      </w:r>
      <w:r>
        <w:rPr>
          <w:rFonts w:ascii="Arial" w:cs="Arial" w:eastAsia="Arial" w:hAnsi="Arial"/>
          <w:sz w:val="13"/>
          <w:szCs w:val="13"/>
          <w:b w:val="1"/>
          <w:bCs w:val="1"/>
          <w:color w:val="auto"/>
        </w:rPr>
        <w:t>K</w:t>
      </w:r>
      <w:r>
        <w:rPr>
          <w:rFonts w:ascii="Arial" w:cs="Arial" w:eastAsia="Arial" w:hAnsi="Arial"/>
          <w:sz w:val="8"/>
          <w:szCs w:val="8"/>
          <w:b w:val="1"/>
          <w:bCs w:val="1"/>
          <w:color w:val="auto"/>
        </w:rPr>
        <w:t>IND</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2004 N</w:t>
      </w:r>
      <w:r>
        <w:rPr>
          <w:rFonts w:ascii="Arial" w:cs="Arial" w:eastAsia="Arial" w:hAnsi="Arial"/>
          <w:sz w:val="8"/>
          <w:szCs w:val="8"/>
          <w:b w:val="1"/>
          <w:bCs w:val="1"/>
          <w:color w:val="auto"/>
        </w:rPr>
        <w:t>ON</w:t>
      </w:r>
      <w:r>
        <w:rPr>
          <w:rFonts w:ascii="Arial" w:cs="Arial" w:eastAsia="Arial" w:hAnsi="Arial"/>
          <w:sz w:val="13"/>
          <w:szCs w:val="13"/>
          <w:b w:val="1"/>
          <w:bCs w:val="1"/>
          <w:color w:val="auto"/>
        </w:rPr>
        <w:t>-E</w:t>
      </w:r>
      <w:r>
        <w:rPr>
          <w:rFonts w:ascii="Arial" w:cs="Arial" w:eastAsia="Arial" w:hAnsi="Arial"/>
          <w:sz w:val="8"/>
          <w:szCs w:val="8"/>
          <w:b w:val="1"/>
          <w:bCs w:val="1"/>
          <w:color w:val="auto"/>
        </w:rPr>
        <w:t>MPLOYEE</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IRECTORS</w:t>
      </w:r>
      <w:r>
        <w:rPr>
          <w:rFonts w:ascii="Arial" w:cs="Arial" w:eastAsia="Arial" w:hAnsi="Arial"/>
          <w:sz w:val="13"/>
          <w:szCs w:val="13"/>
          <w:b w:val="1"/>
          <w:bCs w:val="1"/>
          <w:color w:val="auto"/>
        </w:rPr>
        <w:t>’ S</w:t>
      </w:r>
      <w:r>
        <w:rPr>
          <w:rFonts w:ascii="Arial" w:cs="Arial" w:eastAsia="Arial" w:hAnsi="Arial"/>
          <w:sz w:val="8"/>
          <w:szCs w:val="8"/>
          <w:b w:val="1"/>
          <w:bCs w:val="1"/>
          <w:color w:val="auto"/>
        </w:rPr>
        <w:t>TOCK</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PTION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DOPTED</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ARCH</w:t>
      </w:r>
      <w:r>
        <w:rPr>
          <w:rFonts w:ascii="Arial" w:cs="Arial" w:eastAsia="Arial" w:hAnsi="Arial"/>
          <w:sz w:val="13"/>
          <w:szCs w:val="13"/>
          <w:b w:val="1"/>
          <w:bCs w:val="1"/>
          <w:color w:val="auto"/>
        </w:rPr>
        <w:t xml:space="preserve"> 23, 2004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PPROVED BY</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TOCKHOLDERS</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ARCH</w:t>
      </w:r>
      <w:r>
        <w:rPr>
          <w:rFonts w:ascii="Arial" w:cs="Arial" w:eastAsia="Arial" w:hAnsi="Arial"/>
          <w:sz w:val="13"/>
          <w:szCs w:val="13"/>
          <w:b w:val="1"/>
          <w:bCs w:val="1"/>
          <w:color w:val="auto"/>
        </w:rPr>
        <w:t xml:space="preserve"> 23, 2004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FFECTIVE</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ATE</w:t>
      </w:r>
      <w:r>
        <w:rPr>
          <w:rFonts w:ascii="Arial" w:cs="Arial" w:eastAsia="Arial" w:hAnsi="Arial"/>
          <w:sz w:val="13"/>
          <w:szCs w:val="13"/>
          <w:b w:val="1"/>
          <w:bCs w:val="1"/>
          <w:color w:val="auto"/>
        </w:rPr>
        <w:t>: A</w:t>
      </w:r>
      <w:r>
        <w:rPr>
          <w:rFonts w:ascii="Arial" w:cs="Arial" w:eastAsia="Arial" w:hAnsi="Arial"/>
          <w:sz w:val="8"/>
          <w:szCs w:val="8"/>
          <w:b w:val="1"/>
          <w:bCs w:val="1"/>
          <w:color w:val="auto"/>
        </w:rPr>
        <w:t>UGUST</w:t>
      </w:r>
      <w:r>
        <w:rPr>
          <w:rFonts w:ascii="Arial" w:cs="Arial" w:eastAsia="Arial" w:hAnsi="Arial"/>
          <w:sz w:val="13"/>
          <w:szCs w:val="13"/>
          <w:b w:val="1"/>
          <w:bCs w:val="1"/>
          <w:color w:val="auto"/>
        </w:rPr>
        <w:t xml:space="preserve"> 2, 2004</w:t>
      </w:r>
    </w:p>
    <w:p>
      <w:pPr>
        <w:spacing w:after="0" w:line="154" w:lineRule="exact"/>
        <w:rPr>
          <w:sz w:val="20"/>
          <w:szCs w:val="20"/>
          <w:color w:val="auto"/>
        </w:rPr>
      </w:pPr>
    </w:p>
    <w:p>
      <w:pPr>
        <w:ind w:left="121" w:hanging="121"/>
        <w:spacing w:after="0"/>
        <w:tabs>
          <w:tab w:leader="none" w:pos="121"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URPOSES</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341" w:hanging="178"/>
        <w:spacing w:after="0"/>
        <w:tabs>
          <w:tab w:leader="none" w:pos="34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Eligible Option Recipients</w:t>
      </w:r>
      <w:r>
        <w:rPr>
          <w:rFonts w:ascii="Arial" w:cs="Arial" w:eastAsia="Arial" w:hAnsi="Arial"/>
          <w:sz w:val="13"/>
          <w:szCs w:val="13"/>
          <w:color w:val="auto"/>
        </w:rPr>
        <w:t>. The persons eligible to receive Options are the Non-Employee Directors of the Company.</w:t>
      </w:r>
    </w:p>
    <w:p>
      <w:pPr>
        <w:spacing w:after="0" w:line="86" w:lineRule="exact"/>
        <w:rPr>
          <w:rFonts w:ascii="Arial" w:cs="Arial" w:eastAsia="Arial" w:hAnsi="Arial"/>
          <w:sz w:val="13"/>
          <w:szCs w:val="13"/>
          <w:b w:val="1"/>
          <w:bCs w:val="1"/>
          <w:color w:val="auto"/>
        </w:rPr>
      </w:pPr>
    </w:p>
    <w:p>
      <w:pPr>
        <w:ind w:left="1" w:right="20" w:firstLine="162"/>
        <w:spacing w:after="0" w:line="283" w:lineRule="auto"/>
        <w:tabs>
          <w:tab w:leader="none" w:pos="35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Available Options</w:t>
      </w:r>
      <w:r>
        <w:rPr>
          <w:rFonts w:ascii="Arial" w:cs="Arial" w:eastAsia="Arial" w:hAnsi="Arial"/>
          <w:sz w:val="13"/>
          <w:szCs w:val="13"/>
          <w:color w:val="auto"/>
        </w:rPr>
        <w:t>. The purpose of the Plan is to provide a means by which Non-Employee Directors may be given an opportunity to benefit from increases in value of the Common Stock through the granting of</w:t>
      </w:r>
      <w:r>
        <w:rPr>
          <w:rFonts w:ascii="Arial" w:cs="Arial" w:eastAsia="Arial" w:hAnsi="Arial"/>
          <w:sz w:val="13"/>
          <w:szCs w:val="13"/>
          <w:b w:val="1"/>
          <w:bCs w:val="1"/>
          <w:color w:val="auto"/>
        </w:rPr>
        <w:t xml:space="preserve"> </w:t>
      </w:r>
      <w:r>
        <w:rPr>
          <w:rFonts w:ascii="Arial" w:cs="Arial" w:eastAsia="Arial" w:hAnsi="Arial"/>
          <w:sz w:val="13"/>
          <w:szCs w:val="13"/>
          <w:color w:val="auto"/>
        </w:rPr>
        <w:t>Nonstatutory Stock Options.</w:t>
      </w:r>
    </w:p>
    <w:p>
      <w:pPr>
        <w:spacing w:after="0" w:line="40" w:lineRule="exact"/>
        <w:rPr>
          <w:rFonts w:ascii="Arial" w:cs="Arial" w:eastAsia="Arial" w:hAnsi="Arial"/>
          <w:sz w:val="13"/>
          <w:szCs w:val="13"/>
          <w:b w:val="1"/>
          <w:bCs w:val="1"/>
          <w:color w:val="auto"/>
        </w:rPr>
      </w:pPr>
    </w:p>
    <w:p>
      <w:pPr>
        <w:ind w:left="1" w:right="420" w:firstLine="162"/>
        <w:spacing w:after="0" w:line="283" w:lineRule="auto"/>
        <w:tabs>
          <w:tab w:leader="none" w:pos="343"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General Purpose</w:t>
      </w:r>
      <w:r>
        <w:rPr>
          <w:rFonts w:ascii="Arial" w:cs="Arial" w:eastAsia="Arial" w:hAnsi="Arial"/>
          <w:sz w:val="13"/>
          <w:szCs w:val="13"/>
          <w:color w:val="auto"/>
        </w:rPr>
        <w:t>. The Company, by means of the Plan, seeks to retain the services of its current Non-Employee Directors, to secure and retain the services of new Non-Employee Directors and to provide</w:t>
      </w:r>
      <w:r>
        <w:rPr>
          <w:rFonts w:ascii="Arial" w:cs="Arial" w:eastAsia="Arial" w:hAnsi="Arial"/>
          <w:sz w:val="13"/>
          <w:szCs w:val="13"/>
          <w:b w:val="1"/>
          <w:bCs w:val="1"/>
          <w:color w:val="auto"/>
        </w:rPr>
        <w:t xml:space="preserve"> </w:t>
      </w:r>
      <w:r>
        <w:rPr>
          <w:rFonts w:ascii="Arial" w:cs="Arial" w:eastAsia="Arial" w:hAnsi="Arial"/>
          <w:sz w:val="13"/>
          <w:szCs w:val="13"/>
          <w:color w:val="auto"/>
        </w:rPr>
        <w:t>incentives for such persons to exert maximum efforts for the success of the Company and its Affiliates.</w:t>
      </w:r>
    </w:p>
    <w:p>
      <w:pPr>
        <w:spacing w:after="0" w:line="119" w:lineRule="exact"/>
        <w:rPr>
          <w:rFonts w:ascii="Arial" w:cs="Arial" w:eastAsia="Arial" w:hAnsi="Arial"/>
          <w:sz w:val="13"/>
          <w:szCs w:val="13"/>
          <w:b w:val="1"/>
          <w:bCs w:val="1"/>
          <w:color w:val="auto"/>
        </w:rPr>
      </w:pPr>
    </w:p>
    <w:p>
      <w:pPr>
        <w:ind w:left="121" w:hanging="121"/>
        <w:spacing w:after="0"/>
        <w:tabs>
          <w:tab w:leader="none" w:pos="121"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EFINITIONS</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b w:val="1"/>
          <w:bCs w:val="1"/>
          <w:color w:val="auto"/>
        </w:rPr>
      </w:pPr>
    </w:p>
    <w:p>
      <w:pPr>
        <w:ind w:left="341" w:hanging="178"/>
        <w:spacing w:after="0"/>
        <w:tabs>
          <w:tab w:leader="none" w:pos="341" w:val="left"/>
        </w:tabs>
        <w:numPr>
          <w:ilvl w:val="1"/>
          <w:numId w:val="45"/>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“Affiliate” </w:t>
      </w:r>
      <w:r>
        <w:rPr>
          <w:rFonts w:ascii="Arial" w:cs="Arial" w:eastAsia="Arial" w:hAnsi="Arial"/>
          <w:sz w:val="12"/>
          <w:szCs w:val="12"/>
          <w:color w:val="auto"/>
        </w:rPr>
        <w:t>means any parent corporation or subsidiary corporation of the Company, whether now or hereafter existing, as those terms are defined in Sections 424(e) and (f), respectively, of the Code.</w:t>
      </w:r>
    </w:p>
    <w:p>
      <w:pPr>
        <w:spacing w:after="0" w:line="97" w:lineRule="exact"/>
        <w:rPr>
          <w:rFonts w:ascii="Arial" w:cs="Arial" w:eastAsia="Arial" w:hAnsi="Arial"/>
          <w:sz w:val="12"/>
          <w:szCs w:val="12"/>
          <w:b w:val="1"/>
          <w:bCs w:val="1"/>
          <w:color w:val="auto"/>
        </w:rPr>
      </w:pPr>
    </w:p>
    <w:p>
      <w:pPr>
        <w:ind w:left="361" w:hanging="198"/>
        <w:spacing w:after="0"/>
        <w:tabs>
          <w:tab w:leader="none" w:pos="36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“Annual Grant” </w:t>
      </w:r>
      <w:r>
        <w:rPr>
          <w:rFonts w:ascii="Arial" w:cs="Arial" w:eastAsia="Arial" w:hAnsi="Arial"/>
          <w:sz w:val="13"/>
          <w:szCs w:val="13"/>
          <w:color w:val="auto"/>
        </w:rPr>
        <w:t>means an Option granted annually to all Non-Employee Directors who meet the specified criteria pursuant to Section 6(b).</w:t>
      </w:r>
    </w:p>
    <w:p>
      <w:pPr>
        <w:spacing w:after="0" w:line="86" w:lineRule="exact"/>
        <w:rPr>
          <w:rFonts w:ascii="Arial" w:cs="Arial" w:eastAsia="Arial" w:hAnsi="Arial"/>
          <w:sz w:val="13"/>
          <w:szCs w:val="13"/>
          <w:b w:val="1"/>
          <w:bCs w:val="1"/>
          <w:color w:val="auto"/>
        </w:rPr>
      </w:pPr>
    </w:p>
    <w:p>
      <w:pPr>
        <w:ind w:left="341" w:hanging="178"/>
        <w:spacing w:after="0"/>
        <w:tabs>
          <w:tab w:leader="none" w:pos="34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“Annual Meeting” </w:t>
      </w:r>
      <w:r>
        <w:rPr>
          <w:rFonts w:ascii="Arial" w:cs="Arial" w:eastAsia="Arial" w:hAnsi="Arial"/>
          <w:sz w:val="13"/>
          <w:szCs w:val="13"/>
          <w:color w:val="auto"/>
        </w:rPr>
        <w:t>means the annual meeting of the stockholders of the Company.</w:t>
      </w:r>
    </w:p>
    <w:p>
      <w:pPr>
        <w:spacing w:after="0" w:line="86" w:lineRule="exact"/>
        <w:rPr>
          <w:rFonts w:ascii="Arial" w:cs="Arial" w:eastAsia="Arial" w:hAnsi="Arial"/>
          <w:sz w:val="13"/>
          <w:szCs w:val="13"/>
          <w:b w:val="1"/>
          <w:bCs w:val="1"/>
          <w:color w:val="auto"/>
        </w:rPr>
      </w:pPr>
    </w:p>
    <w:p>
      <w:pPr>
        <w:ind w:left="361" w:hanging="198"/>
        <w:spacing w:after="0"/>
        <w:tabs>
          <w:tab w:leader="none" w:pos="36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“Board” </w:t>
      </w:r>
      <w:r>
        <w:rPr>
          <w:rFonts w:ascii="Arial" w:cs="Arial" w:eastAsia="Arial" w:hAnsi="Arial"/>
          <w:sz w:val="13"/>
          <w:szCs w:val="13"/>
          <w:color w:val="auto"/>
        </w:rPr>
        <w:t>means the Board of Directors of the Company.</w:t>
      </w:r>
    </w:p>
    <w:p>
      <w:pPr>
        <w:spacing w:after="0" w:line="86" w:lineRule="exact"/>
        <w:rPr>
          <w:rFonts w:ascii="Arial" w:cs="Arial" w:eastAsia="Arial" w:hAnsi="Arial"/>
          <w:sz w:val="13"/>
          <w:szCs w:val="13"/>
          <w:b w:val="1"/>
          <w:bCs w:val="1"/>
          <w:color w:val="auto"/>
        </w:rPr>
      </w:pPr>
    </w:p>
    <w:p>
      <w:pPr>
        <w:ind w:left="341" w:hanging="178"/>
        <w:spacing w:after="0"/>
        <w:tabs>
          <w:tab w:leader="none" w:pos="34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“Capitalization Adjustment” </w:t>
      </w:r>
      <w:r>
        <w:rPr>
          <w:rFonts w:ascii="Arial" w:cs="Arial" w:eastAsia="Arial" w:hAnsi="Arial"/>
          <w:sz w:val="13"/>
          <w:szCs w:val="13"/>
          <w:color w:val="auto"/>
        </w:rPr>
        <w:t>has the meaning ascribed to that term in Section 11(a).</w:t>
      </w:r>
    </w:p>
    <w:p>
      <w:pPr>
        <w:spacing w:after="0" w:line="86" w:lineRule="exact"/>
        <w:rPr>
          <w:rFonts w:ascii="Arial" w:cs="Arial" w:eastAsia="Arial" w:hAnsi="Arial"/>
          <w:sz w:val="13"/>
          <w:szCs w:val="13"/>
          <w:b w:val="1"/>
          <w:bCs w:val="1"/>
          <w:color w:val="auto"/>
        </w:rPr>
      </w:pPr>
    </w:p>
    <w:p>
      <w:pPr>
        <w:ind w:left="321" w:hanging="158"/>
        <w:spacing w:after="0"/>
        <w:tabs>
          <w:tab w:leader="none" w:pos="32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“Code” </w:t>
      </w:r>
      <w:r>
        <w:rPr>
          <w:rFonts w:ascii="Arial" w:cs="Arial" w:eastAsia="Arial" w:hAnsi="Arial"/>
          <w:sz w:val="13"/>
          <w:szCs w:val="13"/>
          <w:color w:val="auto"/>
        </w:rPr>
        <w:t>means the Internal Revenue Code of 1986, as amended.</w:t>
      </w:r>
    </w:p>
    <w:p>
      <w:pPr>
        <w:spacing w:after="0" w:line="86" w:lineRule="exact"/>
        <w:rPr>
          <w:rFonts w:ascii="Arial" w:cs="Arial" w:eastAsia="Arial" w:hAnsi="Arial"/>
          <w:sz w:val="13"/>
          <w:szCs w:val="13"/>
          <w:b w:val="1"/>
          <w:bCs w:val="1"/>
          <w:color w:val="auto"/>
        </w:rPr>
      </w:pPr>
    </w:p>
    <w:p>
      <w:pPr>
        <w:ind w:left="341" w:hanging="178"/>
        <w:spacing w:after="0"/>
        <w:tabs>
          <w:tab w:leader="none" w:pos="34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“Committee” </w:t>
      </w:r>
      <w:r>
        <w:rPr>
          <w:rFonts w:ascii="Arial" w:cs="Arial" w:eastAsia="Arial" w:hAnsi="Arial"/>
          <w:sz w:val="13"/>
          <w:szCs w:val="13"/>
          <w:color w:val="auto"/>
        </w:rPr>
        <w:t>means a committee of one or more members of the Board appointed by the Board in accordance with Section 3(c).</w:t>
      </w:r>
    </w:p>
    <w:p>
      <w:pPr>
        <w:spacing w:after="0" w:line="86" w:lineRule="exact"/>
        <w:rPr>
          <w:rFonts w:ascii="Arial" w:cs="Arial" w:eastAsia="Arial" w:hAnsi="Arial"/>
          <w:sz w:val="13"/>
          <w:szCs w:val="13"/>
          <w:b w:val="1"/>
          <w:bCs w:val="1"/>
          <w:color w:val="auto"/>
        </w:rPr>
      </w:pPr>
    </w:p>
    <w:p>
      <w:pPr>
        <w:ind w:left="361" w:hanging="198"/>
        <w:spacing w:after="0"/>
        <w:tabs>
          <w:tab w:leader="none" w:pos="361" w:val="left"/>
        </w:tabs>
        <w:numPr>
          <w:ilvl w:val="1"/>
          <w:numId w:val="4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“Committee Grant” </w:t>
      </w:r>
      <w:r>
        <w:rPr>
          <w:rFonts w:ascii="Arial" w:cs="Arial" w:eastAsia="Arial" w:hAnsi="Arial"/>
          <w:sz w:val="13"/>
          <w:szCs w:val="13"/>
          <w:color w:val="auto"/>
        </w:rPr>
        <w:t>means an Option granted annually to all Non-Employee Directors who meet the specified criteria pursuant to Section 6(c).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9" w:name="page100"/>
    <w:bookmarkEnd w:id="99"/>
    <w:p>
      <w:pPr>
        <w:ind w:left="320" w:hanging="158"/>
        <w:spacing w:after="0"/>
        <w:tabs>
          <w:tab w:leader="none" w:pos="32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“Common Stock” </w:t>
      </w:r>
      <w:r>
        <w:rPr>
          <w:rFonts w:ascii="Arial" w:cs="Arial" w:eastAsia="Arial" w:hAnsi="Arial"/>
          <w:sz w:val="13"/>
          <w:szCs w:val="13"/>
          <w:color w:val="auto"/>
        </w:rPr>
        <w:t>means the common stock of the Company.</w:t>
      </w:r>
    </w:p>
    <w:p>
      <w:pPr>
        <w:spacing w:after="0" w:line="86" w:lineRule="exact"/>
        <w:rPr>
          <w:rFonts w:ascii="Arial" w:cs="Arial" w:eastAsia="Arial" w:hAnsi="Arial"/>
          <w:sz w:val="13"/>
          <w:szCs w:val="13"/>
          <w:b w:val="1"/>
          <w:bCs w:val="1"/>
          <w:color w:val="auto"/>
        </w:rPr>
      </w:pPr>
    </w:p>
    <w:p>
      <w:pPr>
        <w:ind w:left="320" w:hanging="158"/>
        <w:spacing w:after="0"/>
        <w:tabs>
          <w:tab w:leader="none" w:pos="32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“Company” </w:t>
      </w:r>
      <w:r>
        <w:rPr>
          <w:rFonts w:ascii="Arial" w:cs="Arial" w:eastAsia="Arial" w:hAnsi="Arial"/>
          <w:sz w:val="13"/>
          <w:szCs w:val="13"/>
          <w:color w:val="auto"/>
        </w:rPr>
        <w:t>means MannKind Corporation, a Delaware corporation.</w:t>
      </w:r>
    </w:p>
    <w:p>
      <w:pPr>
        <w:spacing w:after="0" w:line="86" w:lineRule="exact"/>
        <w:rPr>
          <w:rFonts w:ascii="Arial" w:cs="Arial" w:eastAsia="Arial" w:hAnsi="Arial"/>
          <w:sz w:val="13"/>
          <w:szCs w:val="13"/>
          <w:b w:val="1"/>
          <w:bCs w:val="1"/>
          <w:color w:val="auto"/>
        </w:rPr>
      </w:pPr>
    </w:p>
    <w:p>
      <w:pPr>
        <w:ind w:right="440" w:firstLine="162"/>
        <w:spacing w:after="0" w:line="264" w:lineRule="auto"/>
        <w:tabs>
          <w:tab w:leader="none" w:pos="356"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“Consultant” </w:t>
      </w:r>
      <w:r>
        <w:rPr>
          <w:rFonts w:ascii="Arial" w:cs="Arial" w:eastAsia="Arial" w:hAnsi="Arial"/>
          <w:sz w:val="13"/>
          <w:szCs w:val="13"/>
          <w:color w:val="auto"/>
        </w:rPr>
        <w:t>means any person, including an advisor, who (i) is engaged by the Company or an Affiliate to render consulting or advisory service and is compensated for such service or (ii) is serving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member of the Board of Directors of an Affiliate and is compensated for such service. However, service solely as a Director, or payment of a fee for such service, shall not cause a Director to be considered a “Consultant” for purposes of the Plan.</w:t>
      </w:r>
    </w:p>
    <w:p>
      <w:pPr>
        <w:spacing w:after="0" w:line="57" w:lineRule="exact"/>
        <w:rPr>
          <w:rFonts w:ascii="Arial" w:cs="Arial" w:eastAsia="Arial" w:hAnsi="Arial"/>
          <w:sz w:val="13"/>
          <w:szCs w:val="13"/>
          <w:b w:val="1"/>
          <w:bCs w:val="1"/>
          <w:color w:val="auto"/>
        </w:rPr>
      </w:pPr>
    </w:p>
    <w:p>
      <w:pPr>
        <w:ind w:firstLine="162"/>
        <w:spacing w:after="0" w:line="256" w:lineRule="auto"/>
        <w:tabs>
          <w:tab w:leader="none" w:pos="32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“Continuous Service” </w:t>
      </w:r>
      <w:r>
        <w:rPr>
          <w:rFonts w:ascii="Arial" w:cs="Arial" w:eastAsia="Arial" w:hAnsi="Arial"/>
          <w:sz w:val="13"/>
          <w:szCs w:val="13"/>
          <w:color w:val="auto"/>
        </w:rPr>
        <w:t>means that the Optionholder’s service with the Company or an Affiliate, whether as an Employee, Director or Consultant, is not interrupted or terminated. The Optionholder’s Continuous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 shall not be deemed to have terminated merely because of a change in the capacity in which the Optionholder renders service to the Company or an Affiliate as an Employee, Consultant or Director or a change in the entity for which the Optionholder renders such service, provided that there is no interruption or termination of the Optionholder’s Continuous Service. For example, a change in status from a Non-Employee Director of the Company to a Consultant of an Affiliate or an Employee of the Company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an Option only to such extent as may be provided in the Company’s leave of absence policy or in the written terms of the Optionholders’s leave of absence.</w:t>
      </w:r>
    </w:p>
    <w:p>
      <w:pPr>
        <w:spacing w:after="0" w:line="63" w:lineRule="exact"/>
        <w:rPr>
          <w:rFonts w:ascii="Arial" w:cs="Arial" w:eastAsia="Arial" w:hAnsi="Arial"/>
          <w:sz w:val="13"/>
          <w:szCs w:val="13"/>
          <w:b w:val="1"/>
          <w:bCs w:val="1"/>
          <w:color w:val="auto"/>
        </w:rPr>
      </w:pPr>
    </w:p>
    <w:p>
      <w:pPr>
        <w:ind w:left="400" w:hanging="238"/>
        <w:spacing w:after="0"/>
        <w:tabs>
          <w:tab w:leader="none" w:pos="40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“Corporate Transaction” </w:t>
      </w:r>
      <w:r>
        <w:rPr>
          <w:rFonts w:ascii="Arial" w:cs="Arial" w:eastAsia="Arial" w:hAnsi="Arial"/>
          <w:sz w:val="13"/>
          <w:szCs w:val="13"/>
          <w:color w:val="auto"/>
        </w:rPr>
        <w:t>means the occurrence, in a single transaction or in a series of related transactions, of any one or more of the following events:</w:t>
      </w:r>
    </w:p>
    <w:p>
      <w:pPr>
        <w:spacing w:after="0" w:line="86" w:lineRule="exact"/>
        <w:rPr>
          <w:rFonts w:ascii="Arial" w:cs="Arial" w:eastAsia="Arial" w:hAnsi="Arial"/>
          <w:sz w:val="13"/>
          <w:szCs w:val="13"/>
          <w:b w:val="1"/>
          <w:bCs w:val="1"/>
          <w:color w:val="auto"/>
        </w:rPr>
      </w:pPr>
    </w:p>
    <w:p>
      <w:pPr>
        <w:ind w:left="480" w:hanging="154"/>
        <w:spacing w:after="0"/>
        <w:tabs>
          <w:tab w:leader="none" w:pos="480" w:val="left"/>
        </w:tabs>
        <w:numPr>
          <w:ilvl w:val="1"/>
          <w:numId w:val="46"/>
        </w:numPr>
        <w:rPr>
          <w:rFonts w:ascii="Arial" w:cs="Arial" w:eastAsia="Arial" w:hAnsi="Arial"/>
          <w:sz w:val="13"/>
          <w:szCs w:val="13"/>
          <w:b w:val="1"/>
          <w:bCs w:val="1"/>
          <w:color w:val="auto"/>
        </w:rPr>
      </w:pPr>
      <w:r>
        <w:rPr>
          <w:rFonts w:ascii="Arial" w:cs="Arial" w:eastAsia="Arial" w:hAnsi="Arial"/>
          <w:sz w:val="13"/>
          <w:szCs w:val="13"/>
          <w:color w:val="auto"/>
        </w:rPr>
        <w:t>a sale or other disposition of all or substantially all, as determined by the Board in its discretion, of the consolidated assets of the Company and its Subsidiaries;</w:t>
      </w:r>
    </w:p>
    <w:p>
      <w:pPr>
        <w:spacing w:after="0" w:line="86" w:lineRule="exact"/>
        <w:rPr>
          <w:rFonts w:ascii="Arial" w:cs="Arial" w:eastAsia="Arial" w:hAnsi="Arial"/>
          <w:sz w:val="13"/>
          <w:szCs w:val="13"/>
          <w:b w:val="1"/>
          <w:bCs w:val="1"/>
          <w:color w:val="auto"/>
        </w:rPr>
      </w:pPr>
    </w:p>
    <w:p>
      <w:pPr>
        <w:ind w:left="520" w:hanging="194"/>
        <w:spacing w:after="0"/>
        <w:tabs>
          <w:tab w:leader="none" w:pos="520" w:val="left"/>
        </w:tabs>
        <w:numPr>
          <w:ilvl w:val="1"/>
          <w:numId w:val="46"/>
        </w:numPr>
        <w:rPr>
          <w:rFonts w:ascii="Arial" w:cs="Arial" w:eastAsia="Arial" w:hAnsi="Arial"/>
          <w:sz w:val="13"/>
          <w:szCs w:val="13"/>
          <w:b w:val="1"/>
          <w:bCs w:val="1"/>
          <w:color w:val="auto"/>
        </w:rPr>
      </w:pPr>
      <w:r>
        <w:rPr>
          <w:rFonts w:ascii="Arial" w:cs="Arial" w:eastAsia="Arial" w:hAnsi="Arial"/>
          <w:sz w:val="13"/>
          <w:szCs w:val="13"/>
          <w:color w:val="auto"/>
        </w:rPr>
        <w:t>a sale or other disposition of at least ninety percent (90%) of the outstanding securities of the Company;</w:t>
      </w:r>
    </w:p>
    <w:p>
      <w:pPr>
        <w:spacing w:after="0" w:line="86" w:lineRule="exact"/>
        <w:rPr>
          <w:rFonts w:ascii="Arial" w:cs="Arial" w:eastAsia="Arial" w:hAnsi="Arial"/>
          <w:sz w:val="13"/>
          <w:szCs w:val="13"/>
          <w:b w:val="1"/>
          <w:bCs w:val="1"/>
          <w:color w:val="auto"/>
        </w:rPr>
      </w:pPr>
    </w:p>
    <w:p>
      <w:pPr>
        <w:ind w:left="560" w:hanging="234"/>
        <w:spacing w:after="0"/>
        <w:tabs>
          <w:tab w:leader="none" w:pos="560" w:val="left"/>
        </w:tabs>
        <w:numPr>
          <w:ilvl w:val="1"/>
          <w:numId w:val="46"/>
        </w:numPr>
        <w:rPr>
          <w:rFonts w:ascii="Arial" w:cs="Arial" w:eastAsia="Arial" w:hAnsi="Arial"/>
          <w:sz w:val="13"/>
          <w:szCs w:val="13"/>
          <w:b w:val="1"/>
          <w:bCs w:val="1"/>
          <w:color w:val="auto"/>
        </w:rPr>
      </w:pPr>
      <w:r>
        <w:rPr>
          <w:rFonts w:ascii="Arial" w:cs="Arial" w:eastAsia="Arial" w:hAnsi="Arial"/>
          <w:sz w:val="13"/>
          <w:szCs w:val="13"/>
          <w:color w:val="auto"/>
        </w:rPr>
        <w:t>a merger, consolidation or similar transaction following which the Company is not the surviving corporation; or</w:t>
      </w:r>
    </w:p>
    <w:p>
      <w:pPr>
        <w:spacing w:after="0" w:line="86" w:lineRule="exact"/>
        <w:rPr>
          <w:rFonts w:ascii="Arial" w:cs="Arial" w:eastAsia="Arial" w:hAnsi="Arial"/>
          <w:sz w:val="13"/>
          <w:szCs w:val="13"/>
          <w:b w:val="1"/>
          <w:bCs w:val="1"/>
          <w:color w:val="auto"/>
        </w:rPr>
      </w:pPr>
    </w:p>
    <w:p>
      <w:pPr>
        <w:ind w:right="300" w:firstLine="326"/>
        <w:spacing w:after="0" w:line="320" w:lineRule="auto"/>
        <w:tabs>
          <w:tab w:leader="none" w:pos="549" w:val="left"/>
        </w:tabs>
        <w:numPr>
          <w:ilvl w:val="1"/>
          <w:numId w:val="46"/>
        </w:numPr>
        <w:rPr>
          <w:rFonts w:ascii="Arial" w:cs="Arial" w:eastAsia="Arial" w:hAnsi="Arial"/>
          <w:sz w:val="12"/>
          <w:szCs w:val="12"/>
          <w:b w:val="1"/>
          <w:bCs w:val="1"/>
          <w:color w:val="auto"/>
        </w:rPr>
      </w:pPr>
      <w:r>
        <w:rPr>
          <w:rFonts w:ascii="Arial" w:cs="Arial" w:eastAsia="Arial" w:hAnsi="Arial"/>
          <w:sz w:val="12"/>
          <w:szCs w:val="1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5" w:lineRule="exact"/>
        <w:rPr>
          <w:rFonts w:ascii="Arial" w:cs="Arial" w:eastAsia="Arial" w:hAnsi="Arial"/>
          <w:sz w:val="12"/>
          <w:szCs w:val="12"/>
          <w:b w:val="1"/>
          <w:bCs w:val="1"/>
          <w:color w:val="auto"/>
        </w:rPr>
      </w:pPr>
    </w:p>
    <w:p>
      <w:pPr>
        <w:ind w:left="360" w:hanging="198"/>
        <w:spacing w:after="0"/>
        <w:tabs>
          <w:tab w:leader="none" w:pos="3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“Director” </w:t>
      </w:r>
      <w:r>
        <w:rPr>
          <w:rFonts w:ascii="Arial" w:cs="Arial" w:eastAsia="Arial" w:hAnsi="Arial"/>
          <w:sz w:val="13"/>
          <w:szCs w:val="13"/>
          <w:color w:val="auto"/>
        </w:rPr>
        <w:t>means a member of the Board of Directors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0" w:name="page101"/>
    <w:bookmarkEnd w:id="100"/>
    <w:p>
      <w:pPr>
        <w:ind w:left="-160" w:right="260" w:firstLine="162"/>
        <w:spacing w:after="0" w:line="276" w:lineRule="auto"/>
        <w:tabs>
          <w:tab w:leader="none" w:pos="189"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“Disability” </w:t>
      </w:r>
      <w:r>
        <w:rPr>
          <w:rFonts w:ascii="Arial" w:cs="Arial" w:eastAsia="Arial" w:hAnsi="Arial"/>
          <w:sz w:val="13"/>
          <w:szCs w:val="13"/>
          <w:color w:val="auto"/>
        </w:rPr>
        <w:t>means the inability of a person, in the opinion of a qualified physician acceptable to the Company, to perform the major duties of that person’s position with the Company or an Affiliate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because of the sickness or injury of the person.</w:t>
      </w:r>
    </w:p>
    <w:p>
      <w:pPr>
        <w:spacing w:after="0" w:line="49" w:lineRule="exact"/>
        <w:rPr>
          <w:rFonts w:ascii="Arial" w:cs="Arial" w:eastAsia="Arial" w:hAnsi="Arial"/>
          <w:sz w:val="13"/>
          <w:szCs w:val="13"/>
          <w:b w:val="1"/>
          <w:bCs w:val="1"/>
          <w:color w:val="auto"/>
        </w:rPr>
      </w:pPr>
    </w:p>
    <w:p>
      <w:pPr>
        <w:ind w:left="-160" w:firstLine="162"/>
        <w:spacing w:after="0" w:line="276" w:lineRule="auto"/>
        <w:tabs>
          <w:tab w:leader="none" w:pos="196"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“Employee” </w:t>
      </w:r>
      <w:r>
        <w:rPr>
          <w:rFonts w:ascii="Arial" w:cs="Arial" w:eastAsia="Arial" w:hAnsi="Arial"/>
          <w:sz w:val="13"/>
          <w:szCs w:val="13"/>
          <w:color w:val="auto"/>
        </w:rPr>
        <w:t>means any person employed by the Company or an Affiliate. However, service solely as a Director, or payment of a fee for such service, shall not cause a Director to be considered an “Employee”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purposes of the Plan.</w:t>
      </w:r>
    </w:p>
    <w:p>
      <w:pPr>
        <w:spacing w:after="0" w:line="49" w:lineRule="exact"/>
        <w:rPr>
          <w:rFonts w:ascii="Arial" w:cs="Arial" w:eastAsia="Arial" w:hAnsi="Arial"/>
          <w:sz w:val="13"/>
          <w:szCs w:val="13"/>
          <w:b w:val="1"/>
          <w:bCs w:val="1"/>
          <w:color w:val="auto"/>
        </w:rPr>
      </w:pPr>
    </w:p>
    <w:p>
      <w:pPr>
        <w:ind w:left="200" w:hanging="198"/>
        <w:spacing w:after="0"/>
        <w:tabs>
          <w:tab w:leader="none" w:pos="2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“Entity” </w:t>
      </w:r>
      <w:r>
        <w:rPr>
          <w:rFonts w:ascii="Arial" w:cs="Arial" w:eastAsia="Arial" w:hAnsi="Arial"/>
          <w:sz w:val="13"/>
          <w:szCs w:val="13"/>
          <w:color w:val="auto"/>
        </w:rPr>
        <w:t>means a corporation, partnership or other entity.</w:t>
      </w:r>
    </w:p>
    <w:p>
      <w:pPr>
        <w:spacing w:after="0" w:line="86" w:lineRule="exact"/>
        <w:rPr>
          <w:rFonts w:ascii="Arial" w:cs="Arial" w:eastAsia="Arial" w:hAnsi="Arial"/>
          <w:sz w:val="13"/>
          <w:szCs w:val="13"/>
          <w:b w:val="1"/>
          <w:bCs w:val="1"/>
          <w:color w:val="auto"/>
        </w:rPr>
      </w:pPr>
    </w:p>
    <w:p>
      <w:pPr>
        <w:ind w:left="180" w:hanging="178"/>
        <w:spacing w:after="0"/>
        <w:tabs>
          <w:tab w:leader="none" w:pos="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“Exchange Act” </w:t>
      </w:r>
      <w:r>
        <w:rPr>
          <w:rFonts w:ascii="Arial" w:cs="Arial" w:eastAsia="Arial" w:hAnsi="Arial"/>
          <w:sz w:val="13"/>
          <w:szCs w:val="13"/>
          <w:color w:val="auto"/>
        </w:rPr>
        <w:t>means the Securities Exchange Act of 1934, as amended.</w:t>
      </w:r>
    </w:p>
    <w:p>
      <w:pPr>
        <w:spacing w:after="0" w:line="86" w:lineRule="exact"/>
        <w:rPr>
          <w:rFonts w:ascii="Arial" w:cs="Arial" w:eastAsia="Arial" w:hAnsi="Arial"/>
          <w:sz w:val="13"/>
          <w:szCs w:val="13"/>
          <w:b w:val="1"/>
          <w:bCs w:val="1"/>
          <w:color w:val="auto"/>
        </w:rPr>
      </w:pPr>
    </w:p>
    <w:p>
      <w:pPr>
        <w:ind w:left="180" w:hanging="178"/>
        <w:spacing w:after="0"/>
        <w:tabs>
          <w:tab w:leader="none" w:pos="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“Fair Market Value” </w:t>
      </w:r>
      <w:r>
        <w:rPr>
          <w:rFonts w:ascii="Arial" w:cs="Arial" w:eastAsia="Arial" w:hAnsi="Arial"/>
          <w:sz w:val="13"/>
          <w:szCs w:val="13"/>
          <w:color w:val="auto"/>
        </w:rPr>
        <w:t>means, as of any date, the value of the Common Stock determined as follows:</w:t>
      </w:r>
    </w:p>
    <w:p>
      <w:pPr>
        <w:spacing w:after="0" w:line="86" w:lineRule="exact"/>
        <w:rPr>
          <w:rFonts w:ascii="Arial" w:cs="Arial" w:eastAsia="Arial" w:hAnsi="Arial"/>
          <w:sz w:val="13"/>
          <w:szCs w:val="13"/>
          <w:b w:val="1"/>
          <w:bCs w:val="1"/>
          <w:color w:val="auto"/>
        </w:rPr>
      </w:pPr>
    </w:p>
    <w:p>
      <w:pPr>
        <w:ind w:left="-160" w:right="40" w:firstLine="326"/>
        <w:spacing w:after="0" w:line="264" w:lineRule="auto"/>
        <w:tabs>
          <w:tab w:leader="none" w:pos="324" w:val="left"/>
        </w:tabs>
        <w:numPr>
          <w:ilvl w:val="1"/>
          <w:numId w:val="47"/>
        </w:numPr>
        <w:rPr>
          <w:rFonts w:ascii="Arial" w:cs="Arial" w:eastAsia="Arial" w:hAnsi="Arial"/>
          <w:sz w:val="13"/>
          <w:szCs w:val="13"/>
          <w:b w:val="1"/>
          <w:bCs w:val="1"/>
          <w:color w:val="auto"/>
        </w:rPr>
      </w:pPr>
      <w:r>
        <w:rPr>
          <w:rFonts w:ascii="Arial" w:cs="Arial" w:eastAsia="Arial" w:hAnsi="Arial"/>
          <w:sz w:val="13"/>
          <w:szCs w:val="13"/>
          <w:color w:val="auto"/>
        </w:rPr>
        <w:t xml:space="preserve">If the Common Stock is listed on any established stock exchange or traded on the Nasdaq National Market or the Nasdaq SmallCap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Board deems reliable.</w:t>
      </w:r>
    </w:p>
    <w:p>
      <w:pPr>
        <w:spacing w:after="0" w:line="57" w:lineRule="exact"/>
        <w:rPr>
          <w:rFonts w:ascii="Arial" w:cs="Arial" w:eastAsia="Arial" w:hAnsi="Arial"/>
          <w:sz w:val="13"/>
          <w:szCs w:val="13"/>
          <w:b w:val="1"/>
          <w:bCs w:val="1"/>
          <w:color w:val="auto"/>
        </w:rPr>
      </w:pPr>
    </w:p>
    <w:p>
      <w:pPr>
        <w:ind w:left="360" w:hanging="194"/>
        <w:spacing w:after="0"/>
        <w:tabs>
          <w:tab w:leader="none" w:pos="360" w:val="left"/>
        </w:tabs>
        <w:numPr>
          <w:ilvl w:val="1"/>
          <w:numId w:val="47"/>
        </w:numPr>
        <w:rPr>
          <w:rFonts w:ascii="Arial" w:cs="Arial" w:eastAsia="Arial" w:hAnsi="Arial"/>
          <w:sz w:val="13"/>
          <w:szCs w:val="13"/>
          <w:b w:val="1"/>
          <w:bCs w:val="1"/>
          <w:color w:val="auto"/>
        </w:rPr>
      </w:pPr>
      <w:r>
        <w:rPr>
          <w:rFonts w:ascii="Arial" w:cs="Arial" w:eastAsia="Arial" w:hAnsi="Arial"/>
          <w:sz w:val="13"/>
          <w:szCs w:val="13"/>
          <w:color w:val="auto"/>
        </w:rPr>
        <w:t>In the absence of such markets for the Common Stock, the Fair Market Value shall be determined in good faith by the Board.</w:t>
      </w:r>
    </w:p>
    <w:p>
      <w:pPr>
        <w:spacing w:after="0" w:line="86" w:lineRule="exact"/>
        <w:rPr>
          <w:rFonts w:ascii="Arial" w:cs="Arial" w:eastAsia="Arial" w:hAnsi="Arial"/>
          <w:sz w:val="13"/>
          <w:szCs w:val="13"/>
          <w:b w:val="1"/>
          <w:bCs w:val="1"/>
          <w:color w:val="auto"/>
        </w:rPr>
      </w:pPr>
    </w:p>
    <w:p>
      <w:pPr>
        <w:ind w:left="160" w:hanging="158"/>
        <w:spacing w:after="0"/>
        <w:tabs>
          <w:tab w:leader="none" w:pos="16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“Initial Grant” </w:t>
      </w:r>
      <w:r>
        <w:rPr>
          <w:rFonts w:ascii="Arial" w:cs="Arial" w:eastAsia="Arial" w:hAnsi="Arial"/>
          <w:sz w:val="13"/>
          <w:szCs w:val="13"/>
          <w:color w:val="auto"/>
        </w:rPr>
        <w:t>means an Option granted to a Non-Employee Director who meets the specified criteria pursuant to Section 6(a).</w:t>
      </w:r>
    </w:p>
    <w:p>
      <w:pPr>
        <w:spacing w:after="0" w:line="86" w:lineRule="exact"/>
        <w:rPr>
          <w:rFonts w:ascii="Arial" w:cs="Arial" w:eastAsia="Arial" w:hAnsi="Arial"/>
          <w:sz w:val="13"/>
          <w:szCs w:val="13"/>
          <w:b w:val="1"/>
          <w:bCs w:val="1"/>
          <w:color w:val="auto"/>
        </w:rPr>
      </w:pPr>
    </w:p>
    <w:p>
      <w:pPr>
        <w:ind w:left="200" w:hanging="198"/>
        <w:spacing w:after="0"/>
        <w:tabs>
          <w:tab w:leader="none" w:pos="2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“IPO Date” </w:t>
      </w:r>
      <w:r>
        <w:rPr>
          <w:rFonts w:ascii="Arial" w:cs="Arial" w:eastAsia="Arial" w:hAnsi="Arial"/>
          <w:sz w:val="13"/>
          <w:szCs w:val="13"/>
          <w:color w:val="auto"/>
        </w:rPr>
        <w:t>means the closing date of the initial public offering of the Common Stock.</w:t>
      </w:r>
    </w:p>
    <w:p>
      <w:pPr>
        <w:spacing w:after="0" w:line="86" w:lineRule="exact"/>
        <w:rPr>
          <w:rFonts w:ascii="Arial" w:cs="Arial" w:eastAsia="Arial" w:hAnsi="Arial"/>
          <w:sz w:val="13"/>
          <w:szCs w:val="13"/>
          <w:b w:val="1"/>
          <w:bCs w:val="1"/>
          <w:color w:val="auto"/>
        </w:rPr>
      </w:pPr>
    </w:p>
    <w:p>
      <w:pPr>
        <w:ind w:left="180" w:hanging="178"/>
        <w:spacing w:after="0"/>
        <w:tabs>
          <w:tab w:leader="none" w:pos="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“Non-Employee Director” </w:t>
      </w:r>
      <w:r>
        <w:rPr>
          <w:rFonts w:ascii="Arial" w:cs="Arial" w:eastAsia="Arial" w:hAnsi="Arial"/>
          <w:sz w:val="13"/>
          <w:szCs w:val="13"/>
          <w:color w:val="auto"/>
        </w:rPr>
        <w:t>means a Director who is not an Employee.</w:t>
      </w:r>
    </w:p>
    <w:p>
      <w:pPr>
        <w:spacing w:after="0" w:line="86" w:lineRule="exact"/>
        <w:rPr>
          <w:rFonts w:ascii="Arial" w:cs="Arial" w:eastAsia="Arial" w:hAnsi="Arial"/>
          <w:sz w:val="13"/>
          <w:szCs w:val="13"/>
          <w:b w:val="1"/>
          <w:bCs w:val="1"/>
          <w:color w:val="auto"/>
        </w:rPr>
      </w:pPr>
    </w:p>
    <w:p>
      <w:pPr>
        <w:ind w:left="220" w:hanging="218"/>
        <w:spacing w:after="0"/>
        <w:tabs>
          <w:tab w:leader="none" w:pos="220"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“Nonstatutory Stock Option” </w:t>
      </w:r>
      <w:r>
        <w:rPr>
          <w:rFonts w:ascii="Arial" w:cs="Arial" w:eastAsia="Arial" w:hAnsi="Arial"/>
          <w:sz w:val="12"/>
          <w:szCs w:val="12"/>
          <w:color w:val="auto"/>
        </w:rPr>
        <w:t>means an Option not intended to qualify as an incentive stock option within the meaning of Section 422 of the Code and the regulations promulgated thereunder.</w:t>
      </w:r>
    </w:p>
    <w:p>
      <w:pPr>
        <w:spacing w:after="0" w:line="97" w:lineRule="exact"/>
        <w:rPr>
          <w:rFonts w:ascii="Arial" w:cs="Arial" w:eastAsia="Arial" w:hAnsi="Arial"/>
          <w:sz w:val="12"/>
          <w:szCs w:val="12"/>
          <w:b w:val="1"/>
          <w:bCs w:val="1"/>
          <w:color w:val="auto"/>
        </w:rPr>
      </w:pPr>
    </w:p>
    <w:p>
      <w:pPr>
        <w:ind w:left="180" w:hanging="178"/>
        <w:spacing w:after="0"/>
        <w:tabs>
          <w:tab w:leader="none" w:pos="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“Officer” </w:t>
      </w:r>
      <w:r>
        <w:rPr>
          <w:rFonts w:ascii="Arial" w:cs="Arial" w:eastAsia="Arial" w:hAnsi="Arial"/>
          <w:sz w:val="13"/>
          <w:szCs w:val="13"/>
          <w:color w:val="auto"/>
        </w:rPr>
        <w:t>means a person who is an officer of the Company within the meaning of Section 16 of the Exchange Act and the rules and regulations promulgated thereunder.</w:t>
      </w:r>
    </w:p>
    <w:p>
      <w:pPr>
        <w:spacing w:after="0" w:line="86" w:lineRule="exact"/>
        <w:rPr>
          <w:rFonts w:ascii="Arial" w:cs="Arial" w:eastAsia="Arial" w:hAnsi="Arial"/>
          <w:sz w:val="13"/>
          <w:szCs w:val="13"/>
          <w:b w:val="1"/>
          <w:bCs w:val="1"/>
          <w:color w:val="auto"/>
        </w:rPr>
      </w:pPr>
    </w:p>
    <w:p>
      <w:pPr>
        <w:ind w:left="180" w:hanging="178"/>
        <w:spacing w:after="0"/>
        <w:tabs>
          <w:tab w:leader="none" w:pos="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“Option” </w:t>
      </w:r>
      <w:r>
        <w:rPr>
          <w:rFonts w:ascii="Arial" w:cs="Arial" w:eastAsia="Arial" w:hAnsi="Arial"/>
          <w:sz w:val="13"/>
          <w:szCs w:val="13"/>
          <w:color w:val="auto"/>
        </w:rPr>
        <w:t>means a Nonstatutory Stock Option granted pursuant to the Plan.</w:t>
      </w:r>
    </w:p>
    <w:p>
      <w:pPr>
        <w:spacing w:after="0" w:line="86" w:lineRule="exact"/>
        <w:rPr>
          <w:rFonts w:ascii="Arial" w:cs="Arial" w:eastAsia="Arial" w:hAnsi="Arial"/>
          <w:sz w:val="13"/>
          <w:szCs w:val="13"/>
          <w:b w:val="1"/>
          <w:bCs w:val="1"/>
          <w:color w:val="auto"/>
        </w:rPr>
      </w:pPr>
    </w:p>
    <w:p>
      <w:pPr>
        <w:ind w:left="-160" w:right="80" w:firstLine="162"/>
        <w:spacing w:after="0" w:line="276" w:lineRule="auto"/>
        <w:tabs>
          <w:tab w:leader="none" w:pos="182"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“Option Agreement” </w:t>
      </w:r>
      <w:r>
        <w:rPr>
          <w:rFonts w:ascii="Arial" w:cs="Arial" w:eastAsia="Arial" w:hAnsi="Arial"/>
          <w:sz w:val="13"/>
          <w:szCs w:val="13"/>
          <w:color w:val="auto"/>
        </w:rPr>
        <w:t>means a written agreement between the Company and an Optionholder evidencing the terms and conditions of an individual Option grant. Each Option Agreement shall be subject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terms and conditions of the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380" w:top="720" w:right="379" w:bottom="1440" w:gutter="0" w:footer="0" w:header="0"/>
        </w:sectPr>
      </w:pPr>
    </w:p>
    <w:bookmarkStart w:id="101" w:name="page102"/>
    <w:bookmarkEnd w:id="101"/>
    <w:p>
      <w:pPr>
        <w:ind w:left="421" w:hanging="258"/>
        <w:spacing w:after="0"/>
        <w:tabs>
          <w:tab w:leader="none" w:pos="421" w:val="left"/>
        </w:tabs>
        <w:numPr>
          <w:ilvl w:val="1"/>
          <w:numId w:val="4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“Optionholder” </w:t>
      </w:r>
      <w:r>
        <w:rPr>
          <w:rFonts w:ascii="Arial" w:cs="Arial" w:eastAsia="Arial" w:hAnsi="Arial"/>
          <w:sz w:val="13"/>
          <w:szCs w:val="13"/>
          <w:color w:val="auto"/>
        </w:rPr>
        <w:t>means a person to whom an Option is granted pursuant to the Plan or, if applicable, such other person who holds an outstanding Option.</w:t>
      </w:r>
    </w:p>
    <w:p>
      <w:pPr>
        <w:spacing w:after="0" w:line="86" w:lineRule="exact"/>
        <w:rPr>
          <w:rFonts w:ascii="Arial" w:cs="Arial" w:eastAsia="Arial" w:hAnsi="Arial"/>
          <w:sz w:val="13"/>
          <w:szCs w:val="13"/>
          <w:b w:val="1"/>
          <w:bCs w:val="1"/>
          <w:color w:val="auto"/>
        </w:rPr>
      </w:pPr>
    </w:p>
    <w:p>
      <w:pPr>
        <w:ind w:left="1" w:right="220" w:firstLine="162"/>
        <w:spacing w:after="0" w:line="369" w:lineRule="auto"/>
        <w:tabs>
          <w:tab w:leader="none" w:pos="431" w:val="left"/>
        </w:tabs>
        <w:numPr>
          <w:ilvl w:val="1"/>
          <w:numId w:val="48"/>
        </w:numPr>
        <w:rPr>
          <w:rFonts w:ascii="Arial" w:cs="Arial" w:eastAsia="Arial" w:hAnsi="Arial"/>
          <w:sz w:val="11"/>
          <w:szCs w:val="11"/>
          <w:b w:val="1"/>
          <w:bCs w:val="1"/>
          <w:color w:val="auto"/>
        </w:rPr>
      </w:pPr>
      <w:r>
        <w:rPr>
          <w:rFonts w:ascii="Arial" w:cs="Arial" w:eastAsia="Arial" w:hAnsi="Arial"/>
          <w:sz w:val="11"/>
          <w:szCs w:val="11"/>
          <w:b w:val="1"/>
          <w:bCs w:val="1"/>
          <w:i w:val="1"/>
          <w:iCs w:val="1"/>
          <w:color w:val="auto"/>
        </w:rPr>
        <w:t xml:space="preserve">“Own,” “Owned,” “Owner,” “Ownership” </w:t>
      </w:r>
      <w:r>
        <w:rPr>
          <w:rFonts w:ascii="Arial" w:cs="Arial" w:eastAsia="Arial" w:hAnsi="Arial"/>
          <w:sz w:val="11"/>
          <w:szCs w:val="11"/>
          <w:color w:val="auto"/>
        </w:rPr>
        <w:t>A person or Entity shall be deemed to “Own,” to have “Owned,” to be the “Owner” of, or to have acquired “Ownership” of securities if such person or Entity,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directly or indirectly, through any contract, arrangement, understanding, relationship or otherwise, has or shares voting power, which includes the power to vote or to direct the voting, with respect to such securities.</w:t>
      </w:r>
    </w:p>
    <w:p>
      <w:pPr>
        <w:spacing w:after="0" w:line="4" w:lineRule="exact"/>
        <w:rPr>
          <w:rFonts w:ascii="Arial" w:cs="Arial" w:eastAsia="Arial" w:hAnsi="Arial"/>
          <w:sz w:val="11"/>
          <w:szCs w:val="11"/>
          <w:b w:val="1"/>
          <w:bCs w:val="1"/>
          <w:color w:val="auto"/>
        </w:rPr>
      </w:pPr>
    </w:p>
    <w:p>
      <w:pPr>
        <w:ind w:left="401" w:hanging="238"/>
        <w:spacing w:after="0"/>
        <w:tabs>
          <w:tab w:leader="none" w:pos="401" w:val="left"/>
        </w:tabs>
        <w:numPr>
          <w:ilvl w:val="1"/>
          <w:numId w:val="4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“Plan” </w:t>
      </w:r>
      <w:r>
        <w:rPr>
          <w:rFonts w:ascii="Arial" w:cs="Arial" w:eastAsia="Arial" w:hAnsi="Arial"/>
          <w:sz w:val="13"/>
          <w:szCs w:val="13"/>
          <w:color w:val="auto"/>
        </w:rPr>
        <w:t>means this MannKind Corporation 2003 Non-Employee Directors’ Stock Option Plan.</w:t>
      </w:r>
    </w:p>
    <w:p>
      <w:pPr>
        <w:spacing w:after="0" w:line="86" w:lineRule="exact"/>
        <w:rPr>
          <w:rFonts w:ascii="Arial" w:cs="Arial" w:eastAsia="Arial" w:hAnsi="Arial"/>
          <w:sz w:val="13"/>
          <w:szCs w:val="13"/>
          <w:b w:val="1"/>
          <w:bCs w:val="1"/>
          <w:color w:val="auto"/>
        </w:rPr>
      </w:pPr>
    </w:p>
    <w:p>
      <w:pPr>
        <w:ind w:left="421" w:hanging="258"/>
        <w:spacing w:after="0"/>
        <w:tabs>
          <w:tab w:leader="none" w:pos="421" w:val="left"/>
        </w:tabs>
        <w:numPr>
          <w:ilvl w:val="1"/>
          <w:numId w:val="4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“Rule 16b-3” </w:t>
      </w:r>
      <w:r>
        <w:rPr>
          <w:rFonts w:ascii="Arial" w:cs="Arial" w:eastAsia="Arial" w:hAnsi="Arial"/>
          <w:sz w:val="13"/>
          <w:szCs w:val="13"/>
          <w:color w:val="auto"/>
        </w:rPr>
        <w:t>means Rule 16b-3 promulgated under the Exchange Act or any successor to Rule 16b-3, as in effect from time to time.</w:t>
      </w:r>
    </w:p>
    <w:p>
      <w:pPr>
        <w:spacing w:after="0" w:line="86" w:lineRule="exact"/>
        <w:rPr>
          <w:rFonts w:ascii="Arial" w:cs="Arial" w:eastAsia="Arial" w:hAnsi="Arial"/>
          <w:sz w:val="13"/>
          <w:szCs w:val="13"/>
          <w:b w:val="1"/>
          <w:bCs w:val="1"/>
          <w:color w:val="auto"/>
        </w:rPr>
      </w:pPr>
    </w:p>
    <w:p>
      <w:pPr>
        <w:ind w:left="401" w:hanging="238"/>
        <w:spacing w:after="0"/>
        <w:tabs>
          <w:tab w:leader="none" w:pos="401" w:val="left"/>
        </w:tabs>
        <w:numPr>
          <w:ilvl w:val="1"/>
          <w:numId w:val="4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“Securities Act” </w:t>
      </w:r>
      <w:r>
        <w:rPr>
          <w:rFonts w:ascii="Arial" w:cs="Arial" w:eastAsia="Arial" w:hAnsi="Arial"/>
          <w:sz w:val="13"/>
          <w:szCs w:val="13"/>
          <w:color w:val="auto"/>
        </w:rPr>
        <w:t>means the Securities Act of 1933, as amended.</w:t>
      </w:r>
    </w:p>
    <w:p>
      <w:pPr>
        <w:spacing w:after="0" w:line="86" w:lineRule="exact"/>
        <w:rPr>
          <w:rFonts w:ascii="Arial" w:cs="Arial" w:eastAsia="Arial" w:hAnsi="Arial"/>
          <w:sz w:val="13"/>
          <w:szCs w:val="13"/>
          <w:b w:val="1"/>
          <w:bCs w:val="1"/>
          <w:color w:val="auto"/>
        </w:rPr>
      </w:pPr>
    </w:p>
    <w:p>
      <w:pPr>
        <w:ind w:left="1" w:right="120" w:firstLine="162"/>
        <w:spacing w:after="0" w:line="260" w:lineRule="auto"/>
        <w:tabs>
          <w:tab w:leader="none" w:pos="372" w:val="left"/>
        </w:tabs>
        <w:numPr>
          <w:ilvl w:val="1"/>
          <w:numId w:val="4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“Subsidiary” </w:t>
      </w:r>
      <w:r>
        <w:rPr>
          <w:rFonts w:ascii="Arial" w:cs="Arial" w:eastAsia="Arial" w:hAnsi="Arial"/>
          <w:sz w:val="13"/>
          <w:szCs w:val="13"/>
          <w:color w:val="auto"/>
        </w:rPr>
        <w:t>means, with respect to the Company, (i) any corporation of which more than fifty percent (50%) of the outstanding capital stock having ordinary voting power to elect a majority of the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134" w:lineRule="exact"/>
        <w:rPr>
          <w:rFonts w:ascii="Arial" w:cs="Arial" w:eastAsia="Arial" w:hAnsi="Arial"/>
          <w:sz w:val="13"/>
          <w:szCs w:val="13"/>
          <w:b w:val="1"/>
          <w:bCs w:val="1"/>
          <w:color w:val="auto"/>
        </w:rPr>
      </w:pPr>
    </w:p>
    <w:p>
      <w:pPr>
        <w:ind w:left="121" w:hanging="121"/>
        <w:spacing w:after="0"/>
        <w:tabs>
          <w:tab w:leader="none" w:pos="121"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DMINISTRATION</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341" w:hanging="178"/>
        <w:spacing w:after="0"/>
        <w:tabs>
          <w:tab w:leader="none" w:pos="341" w:val="left"/>
        </w:tabs>
        <w:numPr>
          <w:ilvl w:val="1"/>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Administration by Board</w:t>
      </w:r>
      <w:r>
        <w:rPr>
          <w:rFonts w:ascii="Arial" w:cs="Arial" w:eastAsia="Arial" w:hAnsi="Arial"/>
          <w:sz w:val="13"/>
          <w:szCs w:val="13"/>
          <w:color w:val="auto"/>
        </w:rPr>
        <w:t>. The Plan shall be administered by the Board unless and until the Board delegates administration of the Plan to a Committee, as provided in Section 3(c).</w:t>
      </w:r>
    </w:p>
    <w:p>
      <w:pPr>
        <w:spacing w:after="0" w:line="86" w:lineRule="exact"/>
        <w:rPr>
          <w:rFonts w:ascii="Arial" w:cs="Arial" w:eastAsia="Arial" w:hAnsi="Arial"/>
          <w:sz w:val="13"/>
          <w:szCs w:val="13"/>
          <w:b w:val="1"/>
          <w:bCs w:val="1"/>
          <w:color w:val="auto"/>
        </w:rPr>
      </w:pPr>
    </w:p>
    <w:p>
      <w:pPr>
        <w:ind w:left="361" w:hanging="198"/>
        <w:spacing w:after="0"/>
        <w:tabs>
          <w:tab w:leader="none" w:pos="361" w:val="left"/>
        </w:tabs>
        <w:numPr>
          <w:ilvl w:val="1"/>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Powers of Board</w:t>
      </w:r>
      <w:r>
        <w:rPr>
          <w:rFonts w:ascii="Arial" w:cs="Arial" w:eastAsia="Arial" w:hAnsi="Arial"/>
          <w:sz w:val="13"/>
          <w:szCs w:val="13"/>
          <w:color w:val="auto"/>
        </w:rPr>
        <w:t>. The Board shall have the power, subject to, and within the limitations of, the express provisions of the Plan:</w:t>
      </w:r>
    </w:p>
    <w:p>
      <w:pPr>
        <w:spacing w:after="0" w:line="90" w:lineRule="exact"/>
        <w:rPr>
          <w:rFonts w:ascii="Arial" w:cs="Arial" w:eastAsia="Arial" w:hAnsi="Arial"/>
          <w:sz w:val="13"/>
          <w:szCs w:val="13"/>
          <w:b w:val="1"/>
          <w:bCs w:val="1"/>
          <w:color w:val="auto"/>
        </w:rPr>
      </w:pPr>
    </w:p>
    <w:p>
      <w:pPr>
        <w:ind w:left="481" w:hanging="154"/>
        <w:spacing w:after="0"/>
        <w:tabs>
          <w:tab w:leader="none" w:pos="481" w:val="left"/>
        </w:tabs>
        <w:numPr>
          <w:ilvl w:val="2"/>
          <w:numId w:val="49"/>
        </w:numPr>
        <w:rPr>
          <w:rFonts w:ascii="Arial" w:cs="Arial" w:eastAsia="Arial" w:hAnsi="Arial"/>
          <w:sz w:val="13"/>
          <w:szCs w:val="13"/>
          <w:b w:val="1"/>
          <w:bCs w:val="1"/>
          <w:color w:val="auto"/>
        </w:rPr>
      </w:pPr>
      <w:r>
        <w:rPr>
          <w:rFonts w:ascii="Arial" w:cs="Arial" w:eastAsia="Arial" w:hAnsi="Arial"/>
          <w:sz w:val="13"/>
          <w:szCs w:val="13"/>
          <w:color w:val="auto"/>
        </w:rPr>
        <w:t>To determine the provisions of each Option to the extent not specified in the Plan.</w:t>
      </w:r>
    </w:p>
    <w:p>
      <w:pPr>
        <w:spacing w:after="0" w:line="86" w:lineRule="exact"/>
        <w:rPr>
          <w:rFonts w:ascii="Arial" w:cs="Arial" w:eastAsia="Arial" w:hAnsi="Arial"/>
          <w:sz w:val="13"/>
          <w:szCs w:val="13"/>
          <w:b w:val="1"/>
          <w:bCs w:val="1"/>
          <w:color w:val="auto"/>
        </w:rPr>
      </w:pPr>
    </w:p>
    <w:p>
      <w:pPr>
        <w:ind w:left="1" w:firstLine="326"/>
        <w:spacing w:after="0" w:line="276" w:lineRule="auto"/>
        <w:tabs>
          <w:tab w:leader="none" w:pos="522" w:val="left"/>
        </w:tabs>
        <w:numPr>
          <w:ilvl w:val="2"/>
          <w:numId w:val="49"/>
        </w:numPr>
        <w:rPr>
          <w:rFonts w:ascii="Arial" w:cs="Arial" w:eastAsia="Arial" w:hAnsi="Arial"/>
          <w:sz w:val="13"/>
          <w:szCs w:val="13"/>
          <w:b w:val="1"/>
          <w:bCs w:val="1"/>
          <w:color w:val="auto"/>
        </w:rPr>
      </w:pPr>
      <w:r>
        <w:rPr>
          <w:rFonts w:ascii="Arial" w:cs="Arial" w:eastAsia="Arial" w:hAnsi="Arial"/>
          <w:sz w:val="13"/>
          <w:szCs w:val="13"/>
          <w:color w:val="auto"/>
        </w:rPr>
        <w:t>To construe and interpret the Plan and Options granted under it, and to establish, amend and revoke rules and regulations for its administration. The Board, in the exercise of this power, may correct any defect, omission or inconsistency in the Plan or in any Option Agreement, in a manner and to the extent it shall deem necessary or expedient to make the Plan fully effective.</w:t>
      </w:r>
    </w:p>
    <w:p>
      <w:pPr>
        <w:spacing w:after="0" w:line="49" w:lineRule="exact"/>
        <w:rPr>
          <w:rFonts w:ascii="Arial" w:cs="Arial" w:eastAsia="Arial" w:hAnsi="Arial"/>
          <w:sz w:val="13"/>
          <w:szCs w:val="13"/>
          <w:b w:val="1"/>
          <w:bCs w:val="1"/>
          <w:color w:val="auto"/>
        </w:rPr>
      </w:pPr>
    </w:p>
    <w:p>
      <w:pPr>
        <w:ind w:left="1" w:right="160" w:firstLine="326"/>
        <w:spacing w:after="0" w:line="276" w:lineRule="auto"/>
        <w:tabs>
          <w:tab w:leader="none" w:pos="558" w:val="left"/>
        </w:tabs>
        <w:numPr>
          <w:ilvl w:val="2"/>
          <w:numId w:val="49"/>
        </w:numPr>
        <w:rPr>
          <w:rFonts w:ascii="Arial" w:cs="Arial" w:eastAsia="Arial" w:hAnsi="Arial"/>
          <w:sz w:val="13"/>
          <w:szCs w:val="13"/>
          <w:b w:val="1"/>
          <w:bCs w:val="1"/>
          <w:color w:val="auto"/>
        </w:rPr>
      </w:pPr>
      <w:r>
        <w:rPr>
          <w:rFonts w:ascii="Arial" w:cs="Arial" w:eastAsia="Arial" w:hAnsi="Arial"/>
          <w:sz w:val="13"/>
          <w:szCs w:val="13"/>
          <w:color w:val="auto"/>
        </w:rPr>
        <w:t>To effect, at any time and from time to time, with the consent of any adversely affected Optionholder, (1) the reduction of the exercise price of any outstanding Option under the Plan, (2) the cancellation of any outstanding Option under the Plan and the grant in substitution therefor of (A) a new Option under the Plan or another equity plan of the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2" w:name="page103"/>
    <w:bookmarkEnd w:id="102"/>
    <w:p>
      <w:pPr>
        <w:ind w:left="1" w:right="60"/>
        <w:spacing w:after="0" w:line="276" w:lineRule="auto"/>
        <w:rPr>
          <w:sz w:val="20"/>
          <w:szCs w:val="20"/>
          <w:color w:val="auto"/>
        </w:rPr>
      </w:pPr>
      <w:r>
        <w:rPr>
          <w:rFonts w:ascii="Arial" w:cs="Arial" w:eastAsia="Arial" w:hAnsi="Arial"/>
          <w:sz w:val="13"/>
          <w:szCs w:val="13"/>
          <w:color w:val="auto"/>
        </w:rPr>
        <w:t>Company covering the same or a different number of shares of Common Stock, (B) cash and/or (C) other valuable consideration (as determined by the Board, in its sole discretion), or (3) any other action that is treated as a repricing under generally accepted accounting principles.</w:t>
      </w:r>
    </w:p>
    <w:p>
      <w:pPr>
        <w:spacing w:after="0" w:line="49" w:lineRule="exact"/>
        <w:rPr>
          <w:sz w:val="20"/>
          <w:szCs w:val="20"/>
          <w:color w:val="auto"/>
        </w:rPr>
      </w:pPr>
    </w:p>
    <w:p>
      <w:pPr>
        <w:ind w:left="541" w:hanging="214"/>
        <w:spacing w:after="0"/>
        <w:tabs>
          <w:tab w:leader="none" w:pos="541" w:val="left"/>
        </w:tabs>
        <w:numPr>
          <w:ilvl w:val="2"/>
          <w:numId w:val="50"/>
        </w:numPr>
        <w:rPr>
          <w:rFonts w:ascii="Arial" w:cs="Arial" w:eastAsia="Arial" w:hAnsi="Arial"/>
          <w:sz w:val="13"/>
          <w:szCs w:val="13"/>
          <w:b w:val="1"/>
          <w:bCs w:val="1"/>
          <w:color w:val="auto"/>
        </w:rPr>
      </w:pPr>
      <w:r>
        <w:rPr>
          <w:rFonts w:ascii="Arial" w:cs="Arial" w:eastAsia="Arial" w:hAnsi="Arial"/>
          <w:sz w:val="13"/>
          <w:szCs w:val="13"/>
          <w:color w:val="auto"/>
        </w:rPr>
        <w:t>To amend the Plan or an Option as provided in Section 12.</w:t>
      </w:r>
    </w:p>
    <w:p>
      <w:pPr>
        <w:spacing w:after="0" w:line="86" w:lineRule="exact"/>
        <w:rPr>
          <w:rFonts w:ascii="Arial" w:cs="Arial" w:eastAsia="Arial" w:hAnsi="Arial"/>
          <w:sz w:val="13"/>
          <w:szCs w:val="13"/>
          <w:b w:val="1"/>
          <w:bCs w:val="1"/>
          <w:color w:val="auto"/>
        </w:rPr>
      </w:pPr>
    </w:p>
    <w:p>
      <w:pPr>
        <w:ind w:left="521" w:hanging="194"/>
        <w:spacing w:after="0"/>
        <w:tabs>
          <w:tab w:leader="none" w:pos="521" w:val="left"/>
        </w:tabs>
        <w:numPr>
          <w:ilvl w:val="2"/>
          <w:numId w:val="50"/>
        </w:numPr>
        <w:rPr>
          <w:rFonts w:ascii="Arial" w:cs="Arial" w:eastAsia="Arial" w:hAnsi="Arial"/>
          <w:sz w:val="13"/>
          <w:szCs w:val="13"/>
          <w:b w:val="1"/>
          <w:bCs w:val="1"/>
          <w:color w:val="auto"/>
        </w:rPr>
      </w:pPr>
      <w:r>
        <w:rPr>
          <w:rFonts w:ascii="Arial" w:cs="Arial" w:eastAsia="Arial" w:hAnsi="Arial"/>
          <w:sz w:val="13"/>
          <w:szCs w:val="13"/>
          <w:color w:val="auto"/>
        </w:rPr>
        <w:t>To terminate or suspend the Plan as provided in Section 13.</w:t>
      </w:r>
    </w:p>
    <w:p>
      <w:pPr>
        <w:spacing w:after="0" w:line="86" w:lineRule="exact"/>
        <w:rPr>
          <w:rFonts w:ascii="Arial" w:cs="Arial" w:eastAsia="Arial" w:hAnsi="Arial"/>
          <w:sz w:val="13"/>
          <w:szCs w:val="13"/>
          <w:b w:val="1"/>
          <w:bCs w:val="1"/>
          <w:color w:val="auto"/>
        </w:rPr>
      </w:pPr>
    </w:p>
    <w:p>
      <w:pPr>
        <w:ind w:left="541" w:hanging="214"/>
        <w:spacing w:after="0"/>
        <w:tabs>
          <w:tab w:leader="none" w:pos="541" w:val="left"/>
        </w:tabs>
        <w:numPr>
          <w:ilvl w:val="2"/>
          <w:numId w:val="50"/>
        </w:numPr>
        <w:rPr>
          <w:rFonts w:ascii="Arial" w:cs="Arial" w:eastAsia="Arial" w:hAnsi="Arial"/>
          <w:sz w:val="11"/>
          <w:szCs w:val="11"/>
          <w:b w:val="1"/>
          <w:bCs w:val="1"/>
          <w:color w:val="auto"/>
        </w:rPr>
      </w:pPr>
      <w:r>
        <w:rPr>
          <w:rFonts w:ascii="Arial" w:cs="Arial" w:eastAsia="Arial" w:hAnsi="Arial"/>
          <w:sz w:val="11"/>
          <w:szCs w:val="11"/>
          <w:color w:val="auto"/>
        </w:rPr>
        <w:t>Generally, to exercise such powers and to perform such acts as the Board deems necessary or expedient to promote the best interests of the Company and that are not in conflict with the provisions of the Plan.</w:t>
      </w:r>
    </w:p>
    <w:p>
      <w:pPr>
        <w:spacing w:after="0" w:line="105" w:lineRule="exact"/>
        <w:rPr>
          <w:rFonts w:ascii="Arial" w:cs="Arial" w:eastAsia="Arial" w:hAnsi="Arial"/>
          <w:sz w:val="11"/>
          <w:szCs w:val="11"/>
          <w:b w:val="1"/>
          <w:bCs w:val="1"/>
          <w:color w:val="auto"/>
        </w:rPr>
      </w:pPr>
    </w:p>
    <w:p>
      <w:pPr>
        <w:ind w:left="1" w:right="20" w:firstLine="162"/>
        <w:spacing w:after="0" w:line="260" w:lineRule="auto"/>
        <w:tabs>
          <w:tab w:leader="none" w:pos="343" w:val="left"/>
        </w:tabs>
        <w:numPr>
          <w:ilvl w:val="1"/>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Delegation to Committee. </w:t>
      </w:r>
      <w:r>
        <w:rPr>
          <w:rFonts w:ascii="Arial" w:cs="Arial" w:eastAsia="Arial" w:hAnsi="Arial"/>
          <w:sz w:val="13"/>
          <w:szCs w:val="13"/>
          <w:color w:val="auto"/>
        </w:rPr>
        <w:t>The Board may delegate administration of the Plan to a Committee or Committees of one or more members of the Board, and the term</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shall apply to any person or</w:t>
      </w:r>
      <w:r>
        <w:rPr>
          <w:rFonts w:ascii="Arial" w:cs="Arial" w:eastAsia="Arial" w:hAnsi="Arial"/>
          <w:sz w:val="13"/>
          <w:szCs w:val="13"/>
          <w:b w:val="1"/>
          <w:bCs w:val="1"/>
          <w:color w:val="auto"/>
        </w:rPr>
        <w:t xml:space="preserve"> </w:t>
      </w:r>
      <w:r>
        <w:rPr>
          <w:rFonts w:ascii="Arial" w:cs="Arial" w:eastAsia="Arial" w:hAnsi="Arial"/>
          <w:sz w:val="13"/>
          <w:szCs w:val="13"/>
          <w:color w:val="auto"/>
        </w:rPr>
        <w:t>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55" w:lineRule="exact"/>
        <w:rPr>
          <w:rFonts w:ascii="Arial" w:cs="Arial" w:eastAsia="Arial" w:hAnsi="Arial"/>
          <w:sz w:val="13"/>
          <w:szCs w:val="13"/>
          <w:b w:val="1"/>
          <w:bCs w:val="1"/>
          <w:color w:val="auto"/>
        </w:rPr>
      </w:pPr>
    </w:p>
    <w:p>
      <w:pPr>
        <w:ind w:left="1" w:right="220" w:firstLine="162"/>
        <w:spacing w:after="0" w:line="283" w:lineRule="auto"/>
        <w:tabs>
          <w:tab w:leader="none" w:pos="358" w:val="left"/>
        </w:tabs>
        <w:numPr>
          <w:ilvl w:val="1"/>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Effect of Board’s Decision</w:t>
      </w:r>
      <w:r>
        <w:rPr>
          <w:rFonts w:ascii="Arial" w:cs="Arial" w:eastAsia="Arial" w:hAnsi="Arial"/>
          <w:sz w:val="13"/>
          <w:szCs w:val="13"/>
          <w:color w:val="auto"/>
        </w:rPr>
        <w:t>. All determinations, interpretations and constructions made by the Board in good faith shall not be subject to review by any person and shall be final, binding and conclusive on all</w:t>
      </w:r>
      <w:r>
        <w:rPr>
          <w:rFonts w:ascii="Arial" w:cs="Arial" w:eastAsia="Arial" w:hAnsi="Arial"/>
          <w:sz w:val="13"/>
          <w:szCs w:val="13"/>
          <w:b w:val="1"/>
          <w:bCs w:val="1"/>
          <w:color w:val="auto"/>
        </w:rPr>
        <w:t xml:space="preserve"> </w:t>
      </w:r>
      <w:r>
        <w:rPr>
          <w:rFonts w:ascii="Arial" w:cs="Arial" w:eastAsia="Arial" w:hAnsi="Arial"/>
          <w:sz w:val="13"/>
          <w:szCs w:val="13"/>
          <w:color w:val="auto"/>
        </w:rPr>
        <w:t>persons.</w:t>
      </w:r>
    </w:p>
    <w:p>
      <w:pPr>
        <w:spacing w:after="0" w:line="119" w:lineRule="exact"/>
        <w:rPr>
          <w:rFonts w:ascii="Arial" w:cs="Arial" w:eastAsia="Arial" w:hAnsi="Arial"/>
          <w:sz w:val="13"/>
          <w:szCs w:val="13"/>
          <w:b w:val="1"/>
          <w:bCs w:val="1"/>
          <w:color w:val="auto"/>
        </w:rPr>
      </w:pPr>
    </w:p>
    <w:p>
      <w:pPr>
        <w:ind w:left="121" w:hanging="121"/>
        <w:spacing w:after="0"/>
        <w:tabs>
          <w:tab w:leader="none" w:pos="121"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HARES</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UBJECT TO THE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1" w:right="340" w:firstLine="162"/>
        <w:spacing w:after="0" w:line="283" w:lineRule="auto"/>
        <w:tabs>
          <w:tab w:leader="none" w:pos="351" w:val="left"/>
        </w:tabs>
        <w:numPr>
          <w:ilvl w:val="1"/>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Share Reserve</w:t>
      </w:r>
      <w:r>
        <w:rPr>
          <w:rFonts w:ascii="Arial" w:cs="Arial" w:eastAsia="Arial" w:hAnsi="Arial"/>
          <w:sz w:val="13"/>
          <w:szCs w:val="13"/>
          <w:color w:val="auto"/>
        </w:rPr>
        <w:t>. Subject to the provisions of Section 11(a) relating to Capitalization Adjustments, the shares of Common Stock that may be issued pursuant to Options shall not exceed in the aggregate eight</w:t>
      </w:r>
      <w:r>
        <w:rPr>
          <w:rFonts w:ascii="Arial" w:cs="Arial" w:eastAsia="Arial" w:hAnsi="Arial"/>
          <w:sz w:val="13"/>
          <w:szCs w:val="13"/>
          <w:b w:val="1"/>
          <w:bCs w:val="1"/>
          <w:color w:val="auto"/>
        </w:rPr>
        <w:t xml:space="preserve"> </w:t>
      </w:r>
      <w:r>
        <w:rPr>
          <w:rFonts w:ascii="Arial" w:cs="Arial" w:eastAsia="Arial" w:hAnsi="Arial"/>
          <w:sz w:val="13"/>
          <w:szCs w:val="13"/>
          <w:color w:val="auto"/>
        </w:rPr>
        <w:t>hundred thousand (800,000) shares of Common Stock.</w:t>
      </w:r>
    </w:p>
    <w:p>
      <w:pPr>
        <w:spacing w:after="0" w:line="40" w:lineRule="exact"/>
        <w:rPr>
          <w:rFonts w:ascii="Arial" w:cs="Arial" w:eastAsia="Arial" w:hAnsi="Arial"/>
          <w:sz w:val="13"/>
          <w:szCs w:val="13"/>
          <w:b w:val="1"/>
          <w:bCs w:val="1"/>
          <w:color w:val="auto"/>
        </w:rPr>
      </w:pPr>
    </w:p>
    <w:p>
      <w:pPr>
        <w:ind w:left="1" w:firstLine="162"/>
        <w:spacing w:after="0" w:line="260" w:lineRule="auto"/>
        <w:tabs>
          <w:tab w:leader="none" w:pos="358" w:val="left"/>
        </w:tabs>
        <w:numPr>
          <w:ilvl w:val="1"/>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Reversion of Shares to the Share Reserve</w:t>
      </w:r>
      <w:r>
        <w:rPr>
          <w:rFonts w:ascii="Arial" w:cs="Arial" w:eastAsia="Arial" w:hAnsi="Arial"/>
          <w:sz w:val="13"/>
          <w:szCs w:val="13"/>
          <w:color w:val="auto"/>
        </w:rPr>
        <w:t>. If any Option shall for any reason expire or otherwise terminate, in whole or in part, without having been exercised in full, the shares of Common Stock not acquired</w:t>
      </w:r>
      <w:r>
        <w:rPr>
          <w:rFonts w:ascii="Arial" w:cs="Arial" w:eastAsia="Arial" w:hAnsi="Arial"/>
          <w:sz w:val="13"/>
          <w:szCs w:val="13"/>
          <w:b w:val="1"/>
          <w:bCs w:val="1"/>
          <w:color w:val="auto"/>
        </w:rPr>
        <w:t xml:space="preserve"> </w:t>
      </w:r>
      <w:r>
        <w:rPr>
          <w:rFonts w:ascii="Arial" w:cs="Arial" w:eastAsia="Arial" w:hAnsi="Arial"/>
          <w:sz w:val="13"/>
          <w:szCs w:val="13"/>
          <w:color w:val="auto"/>
        </w:rPr>
        <w:t>under such Option shall revert to and again become available for issuance under the Plan. If any shares subject to an Option are not delivered to an Optionholder because such shares are withheld for the payment of taxes or the Option is exercised through a reduction of shares subject to the Option (</w:t>
      </w:r>
      <w:r>
        <w:rPr>
          <w:rFonts w:ascii="Arial" w:cs="Arial" w:eastAsia="Arial" w:hAnsi="Arial"/>
          <w:sz w:val="13"/>
          <w:szCs w:val="13"/>
          <w:i w:val="1"/>
          <w:iCs w:val="1"/>
          <w:color w:val="auto"/>
        </w:rPr>
        <w:t>i.e.,</w:t>
      </w:r>
      <w:r>
        <w:rPr>
          <w:rFonts w:ascii="Arial" w:cs="Arial" w:eastAsia="Arial" w:hAnsi="Arial"/>
          <w:sz w:val="13"/>
          <w:szCs w:val="13"/>
          <w:color w:val="auto"/>
        </w:rPr>
        <w:t xml:space="preserve"> “net exercised”), the number of shares that are not delivered to the Optionholder as a result thereof shall remain available for issuance under the Plan. If the exercise price of an Option is satisfied by tendering shares of Common Stock held by the Optionholder (either by actual delivery or attestation), then the number of shares so tendered shall remain available for issuance under the Plan.</w:t>
      </w:r>
    </w:p>
    <w:p>
      <w:pPr>
        <w:spacing w:after="0" w:line="55" w:lineRule="exact"/>
        <w:rPr>
          <w:rFonts w:ascii="Arial" w:cs="Arial" w:eastAsia="Arial" w:hAnsi="Arial"/>
          <w:sz w:val="13"/>
          <w:szCs w:val="13"/>
          <w:b w:val="1"/>
          <w:bCs w:val="1"/>
          <w:color w:val="auto"/>
        </w:rPr>
      </w:pPr>
    </w:p>
    <w:p>
      <w:pPr>
        <w:ind w:left="341" w:hanging="178"/>
        <w:spacing w:after="0"/>
        <w:tabs>
          <w:tab w:leader="none" w:pos="341" w:val="left"/>
        </w:tabs>
        <w:numPr>
          <w:ilvl w:val="1"/>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Shares</w:t>
      </w:r>
      <w:r>
        <w:rPr>
          <w:rFonts w:ascii="Arial" w:cs="Arial" w:eastAsia="Arial" w:hAnsi="Arial"/>
          <w:sz w:val="13"/>
          <w:szCs w:val="13"/>
          <w:color w:val="auto"/>
        </w:rPr>
        <w:t>. The shares of Common Stock subject to the Plan may be unissued shares or reacquired shares, bought on the market or otherwise.</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3" w:name="page104"/>
    <w:bookmarkEnd w:id="103"/>
    <w:p>
      <w:pPr>
        <w:ind w:left="121" w:hanging="121"/>
        <w:spacing w:after="0"/>
        <w:tabs>
          <w:tab w:leader="none" w:pos="121"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LIGIBILITY</w:t>
      </w:r>
      <w:r>
        <w:rPr>
          <w:rFonts w:ascii="Arial" w:cs="Arial" w:eastAsia="Arial" w:hAnsi="Arial"/>
          <w:sz w:val="13"/>
          <w:szCs w:val="13"/>
          <w:b w:val="1"/>
          <w:bCs w:val="1"/>
          <w:color w:val="auto"/>
        </w:rPr>
        <w:t>.</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Options, as set forth in Section 6, automatically shall be granted under the Plan to all Non-Employee Directors who meet the criteria specified in Section 6.</w:t>
      </w:r>
    </w:p>
    <w:p>
      <w:pPr>
        <w:spacing w:after="0" w:line="161" w:lineRule="exact"/>
        <w:rPr>
          <w:sz w:val="20"/>
          <w:szCs w:val="20"/>
          <w:color w:val="auto"/>
        </w:rPr>
      </w:pPr>
    </w:p>
    <w:p>
      <w:pPr>
        <w:ind w:left="121" w:hanging="121"/>
        <w:spacing w:after="0"/>
        <w:tabs>
          <w:tab w:leader="none" w:pos="121"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ON</w:t>
      </w:r>
      <w:r>
        <w:rPr>
          <w:rFonts w:ascii="Arial" w:cs="Arial" w:eastAsia="Arial" w:hAnsi="Arial"/>
          <w:sz w:val="13"/>
          <w:szCs w:val="13"/>
          <w:b w:val="1"/>
          <w:bCs w:val="1"/>
          <w:color w:val="auto"/>
        </w:rPr>
        <w:t>-D</w:t>
      </w:r>
      <w:r>
        <w:rPr>
          <w:rFonts w:ascii="Arial" w:cs="Arial" w:eastAsia="Arial" w:hAnsi="Arial"/>
          <w:sz w:val="8"/>
          <w:szCs w:val="8"/>
          <w:b w:val="1"/>
          <w:bCs w:val="1"/>
          <w:color w:val="auto"/>
        </w:rPr>
        <w:t>ISCRETIONARY</w:t>
      </w:r>
      <w:r>
        <w:rPr>
          <w:rFonts w:ascii="Arial" w:cs="Arial" w:eastAsia="Arial" w:hAnsi="Arial"/>
          <w:sz w:val="13"/>
          <w:szCs w:val="13"/>
          <w:b w:val="1"/>
          <w:bCs w:val="1"/>
          <w:color w:val="auto"/>
        </w:rPr>
        <w:t xml:space="preserve"> G</w:t>
      </w:r>
      <w:r>
        <w:rPr>
          <w:rFonts w:ascii="Arial" w:cs="Arial" w:eastAsia="Arial" w:hAnsi="Arial"/>
          <w:sz w:val="8"/>
          <w:szCs w:val="8"/>
          <w:b w:val="1"/>
          <w:bCs w:val="1"/>
          <w:color w:val="auto"/>
        </w:rPr>
        <w:t>RANTS</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1" w:right="120" w:firstLine="162"/>
        <w:spacing w:after="0" w:line="262" w:lineRule="auto"/>
        <w:tabs>
          <w:tab w:leader="none" w:pos="351" w:val="left"/>
        </w:tabs>
        <w:numPr>
          <w:ilvl w:val="1"/>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Initial Grants. </w:t>
      </w:r>
      <w:r>
        <w:rPr>
          <w:rFonts w:ascii="Arial" w:cs="Arial" w:eastAsia="Arial" w:hAnsi="Arial"/>
          <w:sz w:val="13"/>
          <w:szCs w:val="13"/>
          <w:color w:val="auto"/>
        </w:rPr>
        <w:t>Without any further action of the Board, each person who is serving as a Non-Employee Director on the IPO Date automatically shall, on the IPO Date, be granted an Initial Grant to purchase</w:t>
      </w:r>
      <w:r>
        <w:rPr>
          <w:rFonts w:ascii="Arial" w:cs="Arial" w:eastAsia="Arial" w:hAnsi="Arial"/>
          <w:sz w:val="13"/>
          <w:szCs w:val="13"/>
          <w:b w:val="1"/>
          <w:bCs w:val="1"/>
          <w:color w:val="auto"/>
        </w:rPr>
        <w:t xml:space="preserve"> </w:t>
      </w:r>
      <w:r>
        <w:rPr>
          <w:rFonts w:ascii="Arial" w:cs="Arial" w:eastAsia="Arial" w:hAnsi="Arial"/>
          <w:sz w:val="13"/>
          <w:szCs w:val="13"/>
          <w:color w:val="auto"/>
        </w:rPr>
        <w:t>thirty thousand (30,000) shares of Common Stock on the terms and conditions set forth herein. Additionally, without any further action of the Board, each person who after the IPO Date is elected or appointed for the first time to be a Non-Employee Director automatically shall, upon the date of his or her initial election or appointment to be a Non-Employee Director, be granted an Initial Grant to purchase thirty thousand (30,000) shares of Common Stock on the terms and conditions set forth herein.</w:t>
      </w:r>
    </w:p>
    <w:p>
      <w:pPr>
        <w:spacing w:after="0" w:line="54" w:lineRule="exact"/>
        <w:rPr>
          <w:rFonts w:ascii="Arial" w:cs="Arial" w:eastAsia="Arial" w:hAnsi="Arial"/>
          <w:sz w:val="13"/>
          <w:szCs w:val="13"/>
          <w:b w:val="1"/>
          <w:bCs w:val="1"/>
          <w:color w:val="auto"/>
        </w:rPr>
      </w:pPr>
    </w:p>
    <w:p>
      <w:pPr>
        <w:ind w:left="1" w:right="60" w:firstLine="162"/>
        <w:spacing w:after="0" w:line="262" w:lineRule="auto"/>
        <w:tabs>
          <w:tab w:leader="none" w:pos="351" w:val="left"/>
        </w:tabs>
        <w:numPr>
          <w:ilvl w:val="1"/>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Annual Grants. </w:t>
      </w:r>
      <w:r>
        <w:rPr>
          <w:rFonts w:ascii="Arial" w:cs="Arial" w:eastAsia="Arial" w:hAnsi="Arial"/>
          <w:sz w:val="13"/>
          <w:szCs w:val="13"/>
          <w:color w:val="auto"/>
        </w:rPr>
        <w:t>Without any further action of the Board, on the date of each Annual Meeting, commencing with the Annual Meeting in 2005, each person who is then a Non-Employee Director automatically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shall be granted an Annual Grant to purchase ten thousand (10,000) shares of Common Stock on the terms and conditions set forth herein;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if the person has not been serving as a Non-Employee Director for the entire period since the preceding Annual Meeting, then the number of shares subject to such Annual Grant shall be reduced pro rata for each full quarter prior to the date of grant during which such person did not serve as a Non-Employee Director.</w:t>
      </w:r>
    </w:p>
    <w:p>
      <w:pPr>
        <w:spacing w:after="0" w:line="133" w:lineRule="exact"/>
        <w:rPr>
          <w:rFonts w:ascii="Arial" w:cs="Arial" w:eastAsia="Arial" w:hAnsi="Arial"/>
          <w:sz w:val="13"/>
          <w:szCs w:val="13"/>
          <w:b w:val="1"/>
          <w:bCs w:val="1"/>
          <w:color w:val="auto"/>
        </w:rPr>
      </w:pPr>
    </w:p>
    <w:p>
      <w:pPr>
        <w:ind w:left="121" w:hanging="121"/>
        <w:spacing w:after="0"/>
        <w:tabs>
          <w:tab w:leader="none" w:pos="121"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O</w:t>
      </w:r>
      <w:r>
        <w:rPr>
          <w:rFonts w:ascii="Arial" w:cs="Arial" w:eastAsia="Arial" w:hAnsi="Arial"/>
          <w:sz w:val="8"/>
          <w:szCs w:val="8"/>
          <w:b w:val="1"/>
          <w:bCs w:val="1"/>
          <w:color w:val="auto"/>
        </w:rPr>
        <w:t>PTION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ROVISIONS</w:t>
      </w:r>
      <w:r>
        <w:rPr>
          <w:rFonts w:ascii="Arial" w:cs="Arial" w:eastAsia="Arial" w:hAnsi="Arial"/>
          <w:sz w:val="13"/>
          <w:szCs w:val="13"/>
          <w:b w:val="1"/>
          <w:bCs w:val="1"/>
          <w:color w:val="auto"/>
        </w:rPr>
        <w:t>.</w:t>
      </w:r>
    </w:p>
    <w:p>
      <w:pPr>
        <w:spacing w:after="0" w:line="90" w:lineRule="exact"/>
        <w:rPr>
          <w:sz w:val="20"/>
          <w:szCs w:val="20"/>
          <w:color w:val="auto"/>
        </w:rPr>
      </w:pPr>
    </w:p>
    <w:p>
      <w:pPr>
        <w:ind w:left="1" w:right="200" w:firstLine="164"/>
        <w:spacing w:after="0" w:line="320" w:lineRule="auto"/>
        <w:rPr>
          <w:sz w:val="20"/>
          <w:szCs w:val="20"/>
          <w:color w:val="auto"/>
        </w:rPr>
      </w:pPr>
      <w:r>
        <w:rPr>
          <w:rFonts w:ascii="Arial" w:cs="Arial" w:eastAsia="Arial" w:hAnsi="Arial"/>
          <w:sz w:val="12"/>
          <w:szCs w:val="12"/>
          <w:color w:val="auto"/>
        </w:rPr>
        <w:t>Each Option shall be in such form and shall contain such terms and conditions as required by the Plan. Each Option shall contain such additional terms and conditions, not inconsistent with the Plan, as the Board shall deem appropriate. Each Option shall include (through incorporation of provisions hereof by reference in the Option or otherwise) the substance of each of the following provisions:</w:t>
      </w:r>
    </w:p>
    <w:p>
      <w:pPr>
        <w:spacing w:after="0" w:line="21" w:lineRule="exact"/>
        <w:rPr>
          <w:sz w:val="20"/>
          <w:szCs w:val="20"/>
          <w:color w:val="auto"/>
        </w:rPr>
      </w:pPr>
    </w:p>
    <w:p>
      <w:pPr>
        <w:ind w:left="341" w:hanging="178"/>
        <w:spacing w:after="0"/>
        <w:tabs>
          <w:tab w:leader="none" w:pos="341"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Term</w:t>
      </w:r>
      <w:r>
        <w:rPr>
          <w:rFonts w:ascii="Arial" w:cs="Arial" w:eastAsia="Arial" w:hAnsi="Arial"/>
          <w:sz w:val="13"/>
          <w:szCs w:val="13"/>
          <w:color w:val="auto"/>
        </w:rPr>
        <w:t>. No Option shall be exercisable after the expiration of ten (10) years from the date on which it was granted.</w:t>
      </w:r>
    </w:p>
    <w:p>
      <w:pPr>
        <w:spacing w:after="0" w:line="86" w:lineRule="exact"/>
        <w:rPr>
          <w:rFonts w:ascii="Arial" w:cs="Arial" w:eastAsia="Arial" w:hAnsi="Arial"/>
          <w:sz w:val="13"/>
          <w:szCs w:val="13"/>
          <w:b w:val="1"/>
          <w:bCs w:val="1"/>
          <w:color w:val="auto"/>
        </w:rPr>
      </w:pPr>
    </w:p>
    <w:p>
      <w:pPr>
        <w:ind w:left="361" w:hanging="198"/>
        <w:spacing w:after="0"/>
        <w:tabs>
          <w:tab w:leader="none" w:pos="361"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Exercise Price</w:t>
      </w:r>
      <w:r>
        <w:rPr>
          <w:rFonts w:ascii="Arial" w:cs="Arial" w:eastAsia="Arial" w:hAnsi="Arial"/>
          <w:sz w:val="13"/>
          <w:szCs w:val="13"/>
          <w:color w:val="auto"/>
        </w:rPr>
        <w:t>. The exercise price of each Option shall be one hundred percent (100%) of the Fair Market Value of the Common Stock subject to the Option on the date the Option is granted.</w:t>
      </w:r>
    </w:p>
    <w:p>
      <w:pPr>
        <w:spacing w:after="0" w:line="86" w:lineRule="exact"/>
        <w:rPr>
          <w:rFonts w:ascii="Arial" w:cs="Arial" w:eastAsia="Arial" w:hAnsi="Arial"/>
          <w:sz w:val="13"/>
          <w:szCs w:val="13"/>
          <w:b w:val="1"/>
          <w:bCs w:val="1"/>
          <w:color w:val="auto"/>
        </w:rPr>
      </w:pPr>
    </w:p>
    <w:p>
      <w:pPr>
        <w:ind w:left="1" w:firstLine="162"/>
        <w:spacing w:after="0" w:line="262" w:lineRule="auto"/>
        <w:tabs>
          <w:tab w:leader="none" w:pos="343"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Consideration</w:t>
      </w:r>
      <w:r>
        <w:rPr>
          <w:rFonts w:ascii="Arial" w:cs="Arial" w:eastAsia="Arial" w:hAnsi="Arial"/>
          <w:sz w:val="13"/>
          <w:szCs w:val="13"/>
          <w:color w:val="auto"/>
        </w:rPr>
        <w:t>. The purchase price of Common Stock acquired pursuant to an Option shall be paid, to the extent permitted by applicable law, either (i) in cash at the time the Option is exercised or (ii) at the</w:t>
      </w:r>
      <w:r>
        <w:rPr>
          <w:rFonts w:ascii="Arial" w:cs="Arial" w:eastAsia="Arial" w:hAnsi="Arial"/>
          <w:sz w:val="13"/>
          <w:szCs w:val="13"/>
          <w:b w:val="1"/>
          <w:bCs w:val="1"/>
          <w:color w:val="auto"/>
        </w:rPr>
        <w:t xml:space="preserve"> </w:t>
      </w:r>
      <w:r>
        <w:rPr>
          <w:rFonts w:ascii="Arial" w:cs="Arial" w:eastAsia="Arial" w:hAnsi="Arial"/>
          <w:sz w:val="13"/>
          <w:szCs w:val="13"/>
          <w:color w:val="auto"/>
        </w:rPr>
        <w:t>discretion of the Board either at the time of the grant of the Option or subsequent thereto (1) by delivery to the Company of other Common Stock at the time the Option is exercised, (2) by a “net exercise” of the Option (as further described below), (3)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16" w:right="259" w:bottom="1440" w:gutter="0" w:footer="0" w:header="0"/>
        </w:sectPr>
      </w:pPr>
    </w:p>
    <w:bookmarkStart w:id="104" w:name="page105"/>
    <w:bookmarkEnd w:id="104"/>
    <w:p>
      <w:pPr>
        <w:ind w:left="1"/>
        <w:spacing w:after="0" w:line="264" w:lineRule="auto"/>
        <w:rPr>
          <w:sz w:val="20"/>
          <w:szCs w:val="20"/>
          <w:color w:val="auto"/>
        </w:rPr>
      </w:pPr>
      <w:r>
        <w:rPr>
          <w:rFonts w:ascii="Arial" w:cs="Arial" w:eastAsia="Arial" w:hAnsi="Arial"/>
          <w:sz w:val="13"/>
          <w:szCs w:val="13"/>
          <w:color w:val="auto"/>
        </w:rPr>
        <w:t>the Company from the sales proceeds or (4) in any other form of legal consideration that may be acceptable to the Board. Unless otherwise specifically provided in the Option, the purchase price of Common Stock acquired pursuant to an Option that is paid by delivery to the Company of other Common Stock acquired, directly or indirectly from the Company, shall be paid only by shares of the Common Stock of the Company that have been held for more than six (6) months (or such longer or shorter period of time required to avoid a charge to earnings for financial accounting purposes).</w:t>
      </w:r>
    </w:p>
    <w:p>
      <w:pPr>
        <w:spacing w:after="0" w:line="57" w:lineRule="exact"/>
        <w:rPr>
          <w:sz w:val="20"/>
          <w:szCs w:val="20"/>
          <w:color w:val="auto"/>
        </w:rPr>
      </w:pPr>
    </w:p>
    <w:p>
      <w:pPr>
        <w:jc w:val="both"/>
        <w:ind w:left="1" w:right="100" w:firstLine="164"/>
        <w:spacing w:after="0" w:line="322" w:lineRule="auto"/>
        <w:rPr>
          <w:sz w:val="20"/>
          <w:szCs w:val="20"/>
          <w:color w:val="auto"/>
        </w:rPr>
      </w:pPr>
      <w:r>
        <w:rPr>
          <w:rFonts w:ascii="Arial" w:cs="Arial" w:eastAsia="Arial" w:hAnsi="Arial"/>
          <w:sz w:val="11"/>
          <w:szCs w:val="11"/>
          <w:color w:val="auto"/>
        </w:rPr>
        <w:t>In the case of a “net exercise” of an Option, the Company will not require a payment of the exercise price of the Option from the Participant but will reduce the number of shares of Common Stock issued upon the exercise by the largest number of whole shares that has a Fair Market Value that does not exceed the aggregate exercise price. With respect to any remaining balance of the aggregate exercise price, The Company shall accept a cash payment from the Participant. Shares of Common Stock will no longer be outstanding under an Option (and will therefore not thereafter be exercisable) following the exercise of such Option to the extent of (i) shares used to pay the exercise price of an Option under a “net exercise”, (ii) shares actually delivered to the Participant as a result of such exercise and (iii) shares withheld for purposes of tax withholding.</w:t>
      </w:r>
    </w:p>
    <w:p>
      <w:pPr>
        <w:spacing w:after="0" w:line="25" w:lineRule="exact"/>
        <w:rPr>
          <w:sz w:val="20"/>
          <w:szCs w:val="20"/>
          <w:color w:val="auto"/>
        </w:rPr>
      </w:pPr>
    </w:p>
    <w:p>
      <w:pPr>
        <w:jc w:val="both"/>
        <w:ind w:left="1" w:right="360" w:firstLine="162"/>
        <w:spacing w:after="0" w:line="300" w:lineRule="auto"/>
        <w:tabs>
          <w:tab w:leader="none" w:pos="356"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color w:val="auto"/>
        </w:rPr>
        <w:t>Transferability</w:t>
      </w:r>
      <w:r>
        <w:rPr>
          <w:rFonts w:ascii="Arial" w:cs="Arial" w:eastAsia="Arial" w:hAnsi="Arial"/>
          <w:sz w:val="12"/>
          <w:szCs w:val="12"/>
          <w:color w:val="auto"/>
        </w:rPr>
        <w:t>. An Option is transferable by will or by the laws of descent and distribution. An Option also may be transferable upon written consent of the Company if, at the time of transfer, a Form S-8</w:t>
      </w:r>
      <w:r>
        <w:rPr>
          <w:rFonts w:ascii="Arial" w:cs="Arial" w:eastAsia="Arial" w:hAnsi="Arial"/>
          <w:sz w:val="12"/>
          <w:szCs w:val="12"/>
          <w:b w:val="1"/>
          <w:bCs w:val="1"/>
          <w:color w:val="auto"/>
        </w:rPr>
        <w:t xml:space="preserve"> </w:t>
      </w:r>
      <w:r>
        <w:rPr>
          <w:rFonts w:ascii="Arial" w:cs="Arial" w:eastAsia="Arial" w:hAnsi="Arial"/>
          <w:sz w:val="12"/>
          <w:szCs w:val="12"/>
          <w:color w:val="auto"/>
        </w:rPr>
        <w:t>registration statement under the Securities Act is available for the exercise of the Option and the subsequent resale of the underlying securities. In addition, an Optionholder may, by delivering written notice to the Company, in a form provided by or otherwise satisfactory to the Company, designate a third party who, in the event of the death of the Optionholder, shall thereafter be entitled to exercise the Option.</w:t>
      </w:r>
    </w:p>
    <w:p>
      <w:pPr>
        <w:spacing w:after="0" w:line="32" w:lineRule="exact"/>
        <w:rPr>
          <w:rFonts w:ascii="Arial" w:cs="Arial" w:eastAsia="Arial" w:hAnsi="Arial"/>
          <w:sz w:val="12"/>
          <w:szCs w:val="12"/>
          <w:b w:val="1"/>
          <w:bCs w:val="1"/>
          <w:color w:val="auto"/>
        </w:rPr>
      </w:pPr>
    </w:p>
    <w:p>
      <w:pPr>
        <w:jc w:val="both"/>
        <w:ind w:left="1" w:right="280" w:firstLine="162"/>
        <w:spacing w:after="0" w:line="267" w:lineRule="auto"/>
        <w:tabs>
          <w:tab w:leader="none" w:pos="341"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Vesting</w:t>
      </w:r>
      <w:r>
        <w:rPr>
          <w:rFonts w:ascii="Arial" w:cs="Arial" w:eastAsia="Arial" w:hAnsi="Arial"/>
          <w:sz w:val="13"/>
          <w:szCs w:val="13"/>
          <w:color w:val="auto"/>
        </w:rPr>
        <w:t>. Initial Grants shall vest in three (3) equal annual installments on each anniversary of the IPO Date, in the case of each person who is serving as a Non-Employee Director on the IPO Date, or on each</w:t>
      </w:r>
      <w:r>
        <w:rPr>
          <w:rFonts w:ascii="Arial" w:cs="Arial" w:eastAsia="Arial" w:hAnsi="Arial"/>
          <w:sz w:val="13"/>
          <w:szCs w:val="13"/>
          <w:b w:val="1"/>
          <w:bCs w:val="1"/>
          <w:color w:val="auto"/>
        </w:rPr>
        <w:t xml:space="preserve"> </w:t>
      </w:r>
      <w:r>
        <w:rPr>
          <w:rFonts w:ascii="Arial" w:cs="Arial" w:eastAsia="Arial" w:hAnsi="Arial"/>
          <w:sz w:val="13"/>
          <w:szCs w:val="13"/>
          <w:color w:val="auto"/>
        </w:rPr>
        <w:t>anniversary of his or her initial election or appointment to be a Non-Employee Director, in the case of each person who after the IPO Date is elected or appointment for the first time to be a Non-Employee Director. Annual Grants shall vest in thirty-six (36) equal monthly installments commencing one month from the date of grant.</w:t>
      </w:r>
    </w:p>
    <w:p>
      <w:pPr>
        <w:spacing w:after="0" w:line="51" w:lineRule="exact"/>
        <w:rPr>
          <w:rFonts w:ascii="Arial" w:cs="Arial" w:eastAsia="Arial" w:hAnsi="Arial"/>
          <w:sz w:val="13"/>
          <w:szCs w:val="13"/>
          <w:b w:val="1"/>
          <w:bCs w:val="1"/>
          <w:color w:val="auto"/>
        </w:rPr>
      </w:pPr>
    </w:p>
    <w:p>
      <w:pPr>
        <w:ind w:left="1" w:right="20" w:firstLine="162"/>
        <w:spacing w:after="0" w:line="267" w:lineRule="auto"/>
        <w:tabs>
          <w:tab w:leader="none" w:pos="326"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 of Continuous Service</w:t>
      </w:r>
      <w:r>
        <w:rPr>
          <w:rFonts w:ascii="Arial" w:cs="Arial" w:eastAsia="Arial" w:hAnsi="Arial"/>
          <w:sz w:val="13"/>
          <w:szCs w:val="13"/>
          <w:color w:val="auto"/>
        </w:rPr>
        <w:t>. In the event an Optionholder’s Continuous Service terminates for any reason, the Optionholder may exercise his or her Option (to the extent that the Optionholder was</w:t>
      </w:r>
      <w:r>
        <w:rPr>
          <w:rFonts w:ascii="Arial" w:cs="Arial" w:eastAsia="Arial" w:hAnsi="Arial"/>
          <w:sz w:val="13"/>
          <w:szCs w:val="13"/>
          <w:b w:val="1"/>
          <w:bCs w:val="1"/>
          <w:color w:val="auto"/>
        </w:rPr>
        <w:t xml:space="preserve"> </w:t>
      </w:r>
      <w:r>
        <w:rPr>
          <w:rFonts w:ascii="Arial" w:cs="Arial" w:eastAsia="Arial" w:hAnsi="Arial"/>
          <w:sz w:val="13"/>
          <w:szCs w:val="13"/>
          <w:color w:val="auto"/>
        </w:rPr>
        <w:t>entitled to exercise it as of the date of termination) but only within such period of time ending on the expiration of the term of the Option as set forth in the Option Agreement. If, after termination, the Optionholder does not exercise his or her Option within the time specified in the Option Agreement, the Option shall terminate.</w:t>
      </w:r>
    </w:p>
    <w:p>
      <w:pPr>
        <w:spacing w:after="0" w:line="130" w:lineRule="exact"/>
        <w:rPr>
          <w:sz w:val="20"/>
          <w:szCs w:val="20"/>
          <w:color w:val="auto"/>
        </w:rPr>
      </w:pPr>
    </w:p>
    <w:p>
      <w:pPr>
        <w:ind w:left="121" w:hanging="121"/>
        <w:spacing w:after="0"/>
        <w:tabs>
          <w:tab w:leader="none" w:pos="121"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ECURITIES</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AW</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OMPLIANCE</w:t>
      </w:r>
      <w:r>
        <w:rPr>
          <w:rFonts w:ascii="Arial" w:cs="Arial" w:eastAsia="Arial" w:hAnsi="Arial"/>
          <w:sz w:val="13"/>
          <w:szCs w:val="13"/>
          <w:b w:val="1"/>
          <w:bCs w:val="1"/>
          <w:color w:val="auto"/>
        </w:rPr>
        <w:t>.</w:t>
      </w:r>
    </w:p>
    <w:p>
      <w:pPr>
        <w:spacing w:after="0" w:line="90" w:lineRule="exact"/>
        <w:rPr>
          <w:sz w:val="20"/>
          <w:szCs w:val="20"/>
          <w:color w:val="auto"/>
        </w:rPr>
      </w:pPr>
    </w:p>
    <w:p>
      <w:pPr>
        <w:ind w:left="1" w:firstLine="161"/>
        <w:spacing w:after="0" w:line="276" w:lineRule="auto"/>
        <w:rPr>
          <w:sz w:val="20"/>
          <w:szCs w:val="20"/>
          <w:color w:val="auto"/>
        </w:rPr>
      </w:pPr>
      <w:r>
        <w:rPr>
          <w:rFonts w:ascii="Arial" w:cs="Arial" w:eastAsia="Arial" w:hAnsi="Arial"/>
          <w:sz w:val="13"/>
          <w:szCs w:val="13"/>
          <w:color w:val="auto"/>
        </w:rPr>
        <w:t xml:space="preserve">The Company shall seek to obtain from each regulatory commission or agency having jurisdiction over the Plan such authority as may be required to grant Options and to issue and sell shares of Common Stock upon exercise of the Options;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this undertaking shall not require the Company to register under the Securities Act the Plan, any Option or 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05" w:name="page106"/>
    <w:bookmarkEnd w:id="105"/>
    <w:p>
      <w:pPr>
        <w:jc w:val="both"/>
        <w:ind w:left="1"/>
        <w:spacing w:after="0" w:line="264" w:lineRule="auto"/>
        <w:rPr>
          <w:sz w:val="20"/>
          <w:szCs w:val="20"/>
          <w:color w:val="auto"/>
        </w:rPr>
      </w:pPr>
      <w:r>
        <w:rPr>
          <w:rFonts w:ascii="Arial" w:cs="Arial" w:eastAsia="Arial" w:hAnsi="Arial"/>
          <w:sz w:val="13"/>
          <w:szCs w:val="13"/>
          <w:color w:val="auto"/>
        </w:rPr>
        <w:t>Common Stock issued or issuable pursuant to any such Option.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Options unless and until such authority is obtained.</w:t>
      </w:r>
    </w:p>
    <w:p>
      <w:pPr>
        <w:spacing w:after="0" w:line="132" w:lineRule="exact"/>
        <w:rPr>
          <w:sz w:val="20"/>
          <w:szCs w:val="20"/>
          <w:color w:val="auto"/>
        </w:rPr>
      </w:pPr>
    </w:p>
    <w:p>
      <w:pPr>
        <w:ind w:left="121" w:hanging="121"/>
        <w:spacing w:after="0"/>
        <w:tabs>
          <w:tab w:leader="none" w:pos="121"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U</w:t>
      </w:r>
      <w:r>
        <w:rPr>
          <w:rFonts w:ascii="Arial" w:cs="Arial" w:eastAsia="Arial" w:hAnsi="Arial"/>
          <w:sz w:val="8"/>
          <w:szCs w:val="8"/>
          <w:b w:val="1"/>
          <w:bCs w:val="1"/>
          <w:color w:val="auto"/>
        </w:rPr>
        <w:t>SE OF</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ROCEEDS FROM</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TOCK</w:t>
      </w:r>
      <w:r>
        <w:rPr>
          <w:rFonts w:ascii="Arial" w:cs="Arial" w:eastAsia="Arial" w:hAnsi="Arial"/>
          <w:sz w:val="13"/>
          <w:szCs w:val="13"/>
          <w:b w:val="1"/>
          <w:bCs w:val="1"/>
          <w:color w:val="auto"/>
        </w:rPr>
        <w:t>.</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Proceeds from the sale of Common Stock pursuant to Options shall constitute general funds of the Company.</w:t>
      </w:r>
    </w:p>
    <w:p>
      <w:pPr>
        <w:spacing w:after="0" w:line="161" w:lineRule="exact"/>
        <w:rPr>
          <w:sz w:val="20"/>
          <w:szCs w:val="20"/>
          <w:color w:val="auto"/>
        </w:rPr>
      </w:pPr>
    </w:p>
    <w:p>
      <w:pPr>
        <w:ind w:left="201" w:hanging="201"/>
        <w:spacing w:after="0"/>
        <w:tabs>
          <w:tab w:leader="none" w:pos="201"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ISCELLANEOUS</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1" w:right="360" w:firstLine="162"/>
        <w:spacing w:after="0" w:line="283" w:lineRule="auto"/>
        <w:tabs>
          <w:tab w:leader="none" w:pos="351" w:val="left"/>
        </w:tabs>
        <w:numPr>
          <w:ilvl w:val="1"/>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 Rights</w:t>
      </w:r>
      <w:r>
        <w:rPr>
          <w:rFonts w:ascii="Arial" w:cs="Arial" w:eastAsia="Arial" w:hAnsi="Arial"/>
          <w:sz w:val="13"/>
          <w:szCs w:val="13"/>
          <w:color w:val="auto"/>
        </w:rPr>
        <w:t>. No Optionholder shall be deemed to be the holder of, or to have any of the rights of a holder with respect to, any shares of Common Stock subject to such Option unless and until such</w:t>
      </w:r>
      <w:r>
        <w:rPr>
          <w:rFonts w:ascii="Arial" w:cs="Arial" w:eastAsia="Arial" w:hAnsi="Arial"/>
          <w:sz w:val="13"/>
          <w:szCs w:val="13"/>
          <w:b w:val="1"/>
          <w:bCs w:val="1"/>
          <w:color w:val="auto"/>
        </w:rPr>
        <w:t xml:space="preserve"> </w:t>
      </w:r>
      <w:r>
        <w:rPr>
          <w:rFonts w:ascii="Arial" w:cs="Arial" w:eastAsia="Arial" w:hAnsi="Arial"/>
          <w:sz w:val="13"/>
          <w:szCs w:val="13"/>
          <w:color w:val="auto"/>
        </w:rPr>
        <w:t>Optionholder has satisfied all requirements for exercise of the Option pursuant to its terms.</w:t>
      </w:r>
    </w:p>
    <w:p>
      <w:pPr>
        <w:spacing w:after="0" w:line="40" w:lineRule="exact"/>
        <w:rPr>
          <w:rFonts w:ascii="Arial" w:cs="Arial" w:eastAsia="Arial" w:hAnsi="Arial"/>
          <w:sz w:val="13"/>
          <w:szCs w:val="13"/>
          <w:b w:val="1"/>
          <w:bCs w:val="1"/>
          <w:color w:val="auto"/>
        </w:rPr>
      </w:pPr>
    </w:p>
    <w:p>
      <w:pPr>
        <w:ind w:left="1" w:right="60" w:firstLine="162"/>
        <w:spacing w:after="0" w:line="262" w:lineRule="auto"/>
        <w:tabs>
          <w:tab w:leader="none" w:pos="358" w:val="left"/>
        </w:tabs>
        <w:numPr>
          <w:ilvl w:val="1"/>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No Service Rights</w:t>
      </w:r>
      <w:r>
        <w:rPr>
          <w:rFonts w:ascii="Arial" w:cs="Arial" w:eastAsia="Arial" w:hAnsi="Arial"/>
          <w:sz w:val="13"/>
          <w:szCs w:val="13"/>
          <w:color w:val="auto"/>
        </w:rPr>
        <w:t>. Nothing in the Plan or any instrument executed or Option granted pursuant thereto shall confer upon any Optionholder any right to continue to serve the Company as a Non-Employee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54" w:lineRule="exact"/>
        <w:rPr>
          <w:rFonts w:ascii="Arial" w:cs="Arial" w:eastAsia="Arial" w:hAnsi="Arial"/>
          <w:sz w:val="13"/>
          <w:szCs w:val="13"/>
          <w:b w:val="1"/>
          <w:bCs w:val="1"/>
          <w:color w:val="auto"/>
        </w:rPr>
      </w:pPr>
    </w:p>
    <w:p>
      <w:pPr>
        <w:ind w:left="1" w:right="20" w:firstLine="162"/>
        <w:spacing w:after="0" w:line="281" w:lineRule="auto"/>
        <w:tabs>
          <w:tab w:leader="none" w:pos="343" w:val="left"/>
        </w:tabs>
        <w:numPr>
          <w:ilvl w:val="1"/>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Assurances</w:t>
      </w:r>
      <w:r>
        <w:rPr>
          <w:rFonts w:ascii="Arial" w:cs="Arial" w:eastAsia="Arial" w:hAnsi="Arial"/>
          <w:sz w:val="12"/>
          <w:szCs w:val="12"/>
          <w:color w:val="auto"/>
        </w:rPr>
        <w:t>. The Company may require an Optionholder, as a condition of exercising or acquiring Common Stock under any Option, (i) to give written assurances satisfactory to the Company as to</w:t>
      </w:r>
      <w:r>
        <w:rPr>
          <w:rFonts w:ascii="Arial" w:cs="Arial" w:eastAsia="Arial" w:hAnsi="Arial"/>
          <w:sz w:val="12"/>
          <w:szCs w:val="12"/>
          <w:b w:val="1"/>
          <w:bCs w:val="1"/>
          <w:color w:val="auto"/>
        </w:rPr>
        <w:t xml:space="preserve"> </w:t>
      </w:r>
      <w:r>
        <w:rPr>
          <w:rFonts w:ascii="Arial" w:cs="Arial" w:eastAsia="Arial" w:hAnsi="Arial"/>
          <w:sz w:val="12"/>
          <w:szCs w:val="12"/>
          <w:color w:val="auto"/>
        </w:rPr>
        <w:t>the Optionholder’s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Option; and (ii) to give written assurances satisfactory to the Company stating that the Optionholder is acquiring the Common Stock subject to the Option for the Optionholder’s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Option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6" w:name="page107"/>
    <w:bookmarkEnd w:id="106"/>
    <w:p>
      <w:pPr>
        <w:ind w:left="1" w:right="20" w:firstLine="162"/>
        <w:spacing w:after="0" w:line="262" w:lineRule="auto"/>
        <w:tabs>
          <w:tab w:leader="none" w:pos="356" w:val="left"/>
        </w:tabs>
        <w:numPr>
          <w:ilvl w:val="1"/>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Withholding Obligations</w:t>
      </w:r>
      <w:r>
        <w:rPr>
          <w:rFonts w:ascii="Arial" w:cs="Arial" w:eastAsia="Arial" w:hAnsi="Arial"/>
          <w:sz w:val="13"/>
          <w:szCs w:val="13"/>
          <w:color w:val="auto"/>
        </w:rPr>
        <w:t>. To the extent provided by the terms of an Option Agreement, the Company may in its sole discretion, satisfy any federal state or local tax withholding obligation relating to an Option</w:t>
      </w:r>
      <w:r>
        <w:rPr>
          <w:rFonts w:ascii="Arial" w:cs="Arial" w:eastAsia="Arial" w:hAnsi="Arial"/>
          <w:sz w:val="13"/>
          <w:szCs w:val="13"/>
          <w:b w:val="1"/>
          <w:bCs w:val="1"/>
          <w:color w:val="auto"/>
        </w:rPr>
        <w:t xml:space="preserve"> </w:t>
      </w:r>
      <w:r>
        <w:rPr>
          <w:rFonts w:ascii="Arial" w:cs="Arial" w:eastAsia="Arial" w:hAnsi="Arial"/>
          <w:sz w:val="13"/>
          <w:szCs w:val="13"/>
          <w:color w:val="auto"/>
        </w:rPr>
        <w:t>by any of the following means (in addition to the Company’s right to withhold from any compensation paid to the Participant by the Company) or by a combination of such means: (i) causing the Optionholder to tender a cash payment; (ii) withholding shares of Common Stock from the shares of Common Stock issued or otherwise issuable to the Optionholder in connection with the Option; or (iii) via such other method as may be set forth in the Option Agreement.</w:t>
      </w:r>
    </w:p>
    <w:p>
      <w:pPr>
        <w:spacing w:after="0" w:line="133" w:lineRule="exact"/>
        <w:rPr>
          <w:rFonts w:ascii="Arial" w:cs="Arial" w:eastAsia="Arial" w:hAnsi="Arial"/>
          <w:sz w:val="13"/>
          <w:szCs w:val="13"/>
          <w:b w:val="1"/>
          <w:bCs w:val="1"/>
          <w:color w:val="auto"/>
        </w:rPr>
      </w:pPr>
    </w:p>
    <w:p>
      <w:pPr>
        <w:ind w:left="181" w:hanging="181"/>
        <w:spacing w:after="0"/>
        <w:tabs>
          <w:tab w:leader="none" w:pos="18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DJUSTMENTS UPON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HANGES IN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OMMON</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TOCK</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1" w:firstLine="162"/>
        <w:spacing w:after="0" w:line="284" w:lineRule="auto"/>
        <w:tabs>
          <w:tab w:leader="none" w:pos="351" w:val="left"/>
        </w:tabs>
        <w:numPr>
          <w:ilvl w:val="1"/>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Adjustments</w:t>
      </w:r>
      <w:r>
        <w:rPr>
          <w:rFonts w:ascii="Arial" w:cs="Arial" w:eastAsia="Arial" w:hAnsi="Arial"/>
          <w:sz w:val="12"/>
          <w:szCs w:val="12"/>
          <w:color w:val="auto"/>
        </w:rPr>
        <w:t>. If any change is made in, or other event occurs with respect to, the Common Stock subject to the Plan, or subject to any Option, without the receipt of consideration by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(each a “</w:t>
      </w:r>
      <w:r>
        <w:rPr>
          <w:rFonts w:ascii="Arial" w:cs="Arial" w:eastAsia="Arial" w:hAnsi="Arial"/>
          <w:sz w:val="12"/>
          <w:szCs w:val="12"/>
          <w:b w:val="1"/>
          <w:bCs w:val="1"/>
          <w:i w:val="1"/>
          <w:iCs w:val="1"/>
          <w:color w:val="auto"/>
        </w:rPr>
        <w:t>Capitalization Adjustment</w:t>
      </w:r>
      <w:r>
        <w:rPr>
          <w:rFonts w:ascii="Arial" w:cs="Arial" w:eastAsia="Arial" w:hAnsi="Arial"/>
          <w:sz w:val="12"/>
          <w:szCs w:val="12"/>
          <w:color w:val="auto"/>
        </w:rPr>
        <w:t>”), the Plan will be appropriately adjusted in the class(es) and maximum number of securities subject both to the Plan pursuant to Section 4 and to the nondiscretionary Options specified in Section 6, and the outstanding Options will be appropriately adjusted in the class(es) and number of securities and price per share of Common Stock subject to such outstanding Options. The Board shall make such adjustments, and its determination shall be final, binding and conclusive. (Notwithstanding the foregoing, the conversion of any convertible securities of the Company shall not be treated as a transaction “without receipt of consideration” by the Company.)</w:t>
      </w:r>
    </w:p>
    <w:p>
      <w:pPr>
        <w:spacing w:after="0" w:line="42" w:lineRule="exact"/>
        <w:rPr>
          <w:rFonts w:ascii="Arial" w:cs="Arial" w:eastAsia="Arial" w:hAnsi="Arial"/>
          <w:sz w:val="12"/>
          <w:szCs w:val="12"/>
          <w:b w:val="1"/>
          <w:bCs w:val="1"/>
          <w:color w:val="auto"/>
        </w:rPr>
      </w:pPr>
    </w:p>
    <w:p>
      <w:pPr>
        <w:ind w:left="361" w:hanging="198"/>
        <w:spacing w:after="0"/>
        <w:tabs>
          <w:tab w:leader="none" w:pos="361" w:val="left"/>
        </w:tabs>
        <w:numPr>
          <w:ilvl w:val="1"/>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Dissolution or Liquidation</w:t>
      </w:r>
      <w:r>
        <w:rPr>
          <w:rFonts w:ascii="Arial" w:cs="Arial" w:eastAsia="Arial" w:hAnsi="Arial"/>
          <w:sz w:val="12"/>
          <w:szCs w:val="12"/>
          <w:color w:val="auto"/>
        </w:rPr>
        <w:t>. In the event of a dissolution or liquidation of the Company, then all outstanding Options shall terminate immediately prior to the completion of such dissolution or liquidation.</w:t>
      </w:r>
    </w:p>
    <w:p>
      <w:pPr>
        <w:spacing w:after="0" w:line="97" w:lineRule="exact"/>
        <w:rPr>
          <w:rFonts w:ascii="Arial" w:cs="Arial" w:eastAsia="Arial" w:hAnsi="Arial"/>
          <w:sz w:val="12"/>
          <w:szCs w:val="12"/>
          <w:b w:val="1"/>
          <w:bCs w:val="1"/>
          <w:color w:val="auto"/>
        </w:rPr>
      </w:pPr>
    </w:p>
    <w:p>
      <w:pPr>
        <w:ind w:left="1" w:right="20" w:firstLine="162"/>
        <w:spacing w:after="0" w:line="291" w:lineRule="auto"/>
        <w:tabs>
          <w:tab w:leader="none" w:pos="343" w:val="left"/>
        </w:tabs>
        <w:numPr>
          <w:ilvl w:val="1"/>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Corporate Transaction</w:t>
      </w:r>
      <w:r>
        <w:rPr>
          <w:rFonts w:ascii="Arial" w:cs="Arial" w:eastAsia="Arial" w:hAnsi="Arial"/>
          <w:sz w:val="12"/>
          <w:szCs w:val="12"/>
          <w:color w:val="auto"/>
        </w:rPr>
        <w:t>. In the event of a Corporate Transaction, any surviving corporation or acquiring corporation may assume or continue any or all Options outstanding under the Plan or may substitute</w:t>
      </w:r>
      <w:r>
        <w:rPr>
          <w:rFonts w:ascii="Arial" w:cs="Arial" w:eastAsia="Arial" w:hAnsi="Arial"/>
          <w:sz w:val="12"/>
          <w:szCs w:val="12"/>
          <w:b w:val="1"/>
          <w:bCs w:val="1"/>
          <w:color w:val="auto"/>
        </w:rPr>
        <w:t xml:space="preserve"> </w:t>
      </w:r>
      <w:r>
        <w:rPr>
          <w:rFonts w:ascii="Arial" w:cs="Arial" w:eastAsia="Arial" w:hAnsi="Arial"/>
          <w:sz w:val="12"/>
          <w:szCs w:val="12"/>
          <w:color w:val="auto"/>
        </w:rPr>
        <w:t>similar stock options for Options outstanding under the Plan (including, but not limited to, options to acquire the same consideration paid to the stockholders of the Company, as the case may be, pursuant to the Corporate Transaction). In the event that any surviving corporation or acquiring corporation does not assume or continue all such outstanding Options or substitute similar stock options for all such outstanding Options, then with respect to Options that have been not assumed, continued or substituted, the Options shall terminate if not exercised (if applicable) at or prior to the effective time of such Corporate Transaction.</w:t>
      </w:r>
    </w:p>
    <w:p>
      <w:pPr>
        <w:spacing w:after="0" w:line="117" w:lineRule="exact"/>
        <w:rPr>
          <w:rFonts w:ascii="Arial" w:cs="Arial" w:eastAsia="Arial" w:hAnsi="Arial"/>
          <w:sz w:val="12"/>
          <w:szCs w:val="12"/>
          <w:b w:val="1"/>
          <w:bCs w:val="1"/>
          <w:color w:val="auto"/>
        </w:rPr>
      </w:pPr>
    </w:p>
    <w:p>
      <w:pPr>
        <w:ind w:left="201" w:hanging="201"/>
        <w:spacing w:after="0"/>
        <w:tabs>
          <w:tab w:leader="none" w:pos="20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MENDMENT OF THE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 AND</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PTIONS</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1" w:right="720" w:firstLine="162"/>
        <w:spacing w:after="0" w:line="283" w:lineRule="auto"/>
        <w:tabs>
          <w:tab w:leader="none" w:pos="343" w:val="left"/>
        </w:tabs>
        <w:numPr>
          <w:ilvl w:val="1"/>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Amendment of Plan</w:t>
      </w:r>
      <w:r>
        <w:rPr>
          <w:rFonts w:ascii="Arial" w:cs="Arial" w:eastAsia="Arial" w:hAnsi="Arial"/>
          <w:sz w:val="13"/>
          <w:szCs w:val="13"/>
          <w:color w:val="auto"/>
        </w:rPr>
        <w:t>. Subject to the limitations, if any, of applicable law, the Board, at any time and from time to time, may amend the Plan. However, except as provided in Section 11(a) relating to</w:t>
      </w:r>
      <w:r>
        <w:rPr>
          <w:rFonts w:ascii="Arial" w:cs="Arial" w:eastAsia="Arial" w:hAnsi="Arial"/>
          <w:sz w:val="13"/>
          <w:szCs w:val="13"/>
          <w:b w:val="1"/>
          <w:bCs w:val="1"/>
          <w:color w:val="auto"/>
        </w:rPr>
        <w:t xml:space="preserve"> </w:t>
      </w:r>
      <w:r>
        <w:rPr>
          <w:rFonts w:ascii="Arial" w:cs="Arial" w:eastAsia="Arial" w:hAnsi="Arial"/>
          <w:sz w:val="13"/>
          <w:szCs w:val="13"/>
          <w:color w:val="auto"/>
        </w:rPr>
        <w:t>Capitalization Adjustments, no amendment shall be effective unless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6" w:right="239" w:bottom="1440" w:gutter="0" w:footer="0" w:header="0"/>
        </w:sectPr>
      </w:pPr>
    </w:p>
    <w:bookmarkStart w:id="107" w:name="page108"/>
    <w:bookmarkEnd w:id="107"/>
    <w:p>
      <w:pPr>
        <w:ind w:left="1"/>
        <w:spacing w:after="0"/>
        <w:rPr>
          <w:sz w:val="20"/>
          <w:szCs w:val="20"/>
          <w:color w:val="auto"/>
        </w:rPr>
      </w:pPr>
      <w:r>
        <w:rPr>
          <w:rFonts w:ascii="Arial" w:cs="Arial" w:eastAsia="Arial" w:hAnsi="Arial"/>
          <w:sz w:val="13"/>
          <w:szCs w:val="13"/>
          <w:color w:val="auto"/>
        </w:rPr>
        <w:t>approved by the stockholders of the Company to the extent stockholder approval is necessary to satisfy the requirements of applicable law.</w:t>
      </w:r>
    </w:p>
    <w:p>
      <w:pPr>
        <w:spacing w:after="0" w:line="82" w:lineRule="exact"/>
        <w:rPr>
          <w:sz w:val="20"/>
          <w:szCs w:val="20"/>
          <w:color w:val="auto"/>
        </w:rPr>
      </w:pPr>
    </w:p>
    <w:p>
      <w:pPr>
        <w:ind w:left="361" w:hanging="198"/>
        <w:spacing w:after="0"/>
        <w:tabs>
          <w:tab w:leader="none" w:pos="361" w:val="left"/>
        </w:tabs>
        <w:numPr>
          <w:ilvl w:val="1"/>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 Approval</w:t>
      </w:r>
      <w:r>
        <w:rPr>
          <w:rFonts w:ascii="Arial" w:cs="Arial" w:eastAsia="Arial" w:hAnsi="Arial"/>
          <w:sz w:val="13"/>
          <w:szCs w:val="13"/>
          <w:color w:val="auto"/>
        </w:rPr>
        <w:t>. The Board, in its sole discretion, may submit any other amendment to the Plan for stockholder approval.</w:t>
      </w:r>
    </w:p>
    <w:p>
      <w:pPr>
        <w:spacing w:after="0" w:line="86" w:lineRule="exact"/>
        <w:rPr>
          <w:rFonts w:ascii="Arial" w:cs="Arial" w:eastAsia="Arial" w:hAnsi="Arial"/>
          <w:sz w:val="13"/>
          <w:szCs w:val="13"/>
          <w:b w:val="1"/>
          <w:bCs w:val="1"/>
          <w:color w:val="auto"/>
        </w:rPr>
      </w:pPr>
    </w:p>
    <w:p>
      <w:pPr>
        <w:ind w:left="1" w:right="140" w:firstLine="162"/>
        <w:spacing w:after="0" w:line="283" w:lineRule="auto"/>
        <w:tabs>
          <w:tab w:leader="none" w:pos="343" w:val="left"/>
        </w:tabs>
        <w:numPr>
          <w:ilvl w:val="1"/>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No Impairment of Rights</w:t>
      </w:r>
      <w:r>
        <w:rPr>
          <w:rFonts w:ascii="Arial" w:cs="Arial" w:eastAsia="Arial" w:hAnsi="Arial"/>
          <w:sz w:val="13"/>
          <w:szCs w:val="13"/>
          <w:color w:val="auto"/>
        </w:rPr>
        <w:t>. Rights under any Option granted before amendment of the Plan shall not be impaired by any amendment of the Plan unless (i) the Company requests the consent of the Optionholder</w:t>
      </w:r>
      <w:r>
        <w:rPr>
          <w:rFonts w:ascii="Arial" w:cs="Arial" w:eastAsia="Arial" w:hAnsi="Arial"/>
          <w:sz w:val="13"/>
          <w:szCs w:val="13"/>
          <w:b w:val="1"/>
          <w:bCs w:val="1"/>
          <w:color w:val="auto"/>
        </w:rPr>
        <w:t xml:space="preserve"> </w:t>
      </w:r>
      <w:r>
        <w:rPr>
          <w:rFonts w:ascii="Arial" w:cs="Arial" w:eastAsia="Arial" w:hAnsi="Arial"/>
          <w:sz w:val="13"/>
          <w:szCs w:val="13"/>
          <w:color w:val="auto"/>
        </w:rPr>
        <w:t>and (ii) the Optionholder consents in writing.</w:t>
      </w:r>
    </w:p>
    <w:p>
      <w:pPr>
        <w:spacing w:after="0" w:line="40" w:lineRule="exact"/>
        <w:rPr>
          <w:rFonts w:ascii="Arial" w:cs="Arial" w:eastAsia="Arial" w:hAnsi="Arial"/>
          <w:sz w:val="13"/>
          <w:szCs w:val="13"/>
          <w:b w:val="1"/>
          <w:bCs w:val="1"/>
          <w:color w:val="auto"/>
        </w:rPr>
      </w:pPr>
    </w:p>
    <w:p>
      <w:pPr>
        <w:ind w:left="1" w:firstLine="162"/>
        <w:spacing w:after="0" w:line="267" w:lineRule="auto"/>
        <w:tabs>
          <w:tab w:leader="none" w:pos="351" w:val="left"/>
        </w:tabs>
        <w:numPr>
          <w:ilvl w:val="1"/>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Amendment of Options</w:t>
      </w:r>
      <w:r>
        <w:rPr>
          <w:rFonts w:ascii="Arial" w:cs="Arial" w:eastAsia="Arial" w:hAnsi="Arial"/>
          <w:sz w:val="13"/>
          <w:szCs w:val="13"/>
          <w:color w:val="auto"/>
        </w:rPr>
        <w:t>. The Board, at any time, and from time to time, may amend the terms of any one or more Options, including, but not limited to, amendments to provide terms more favorable than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previously provided in the agreement evidencing an Option, subject to any specified limits in the Plan that are not subject to Board discretion;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rights under any Option shall not be impaired by any such amendment unless (i) the Company requests the consent of the Optionholder and (ii) the Optionholder consents in writing.</w:t>
      </w:r>
    </w:p>
    <w:p>
      <w:pPr>
        <w:spacing w:after="0" w:line="130" w:lineRule="exact"/>
        <w:rPr>
          <w:rFonts w:ascii="Arial" w:cs="Arial" w:eastAsia="Arial" w:hAnsi="Arial"/>
          <w:sz w:val="13"/>
          <w:szCs w:val="13"/>
          <w:b w:val="1"/>
          <w:bCs w:val="1"/>
          <w:color w:val="auto"/>
        </w:rPr>
      </w:pPr>
    </w:p>
    <w:p>
      <w:pPr>
        <w:ind w:left="201" w:hanging="201"/>
        <w:spacing w:after="0"/>
        <w:tabs>
          <w:tab w:leader="none" w:pos="201"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ERMINATION OR</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USPENSION OF THE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341" w:hanging="178"/>
        <w:spacing w:after="0"/>
        <w:tabs>
          <w:tab w:leader="none" w:pos="341" w:val="left"/>
        </w:tabs>
        <w:numPr>
          <w:ilvl w:val="1"/>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Plan Term</w:t>
      </w:r>
      <w:r>
        <w:rPr>
          <w:rFonts w:ascii="Arial" w:cs="Arial" w:eastAsia="Arial" w:hAnsi="Arial"/>
          <w:sz w:val="13"/>
          <w:szCs w:val="13"/>
          <w:color w:val="auto"/>
        </w:rPr>
        <w:t>. The Board may suspend or terminate the Plan at any time. No Options may be granted under the Plan while the Plan is suspended or after it is terminated.</w:t>
      </w:r>
    </w:p>
    <w:p>
      <w:pPr>
        <w:spacing w:after="0" w:line="86" w:lineRule="exact"/>
        <w:rPr>
          <w:rFonts w:ascii="Arial" w:cs="Arial" w:eastAsia="Arial" w:hAnsi="Arial"/>
          <w:sz w:val="13"/>
          <w:szCs w:val="13"/>
          <w:b w:val="1"/>
          <w:bCs w:val="1"/>
          <w:color w:val="auto"/>
        </w:rPr>
      </w:pPr>
    </w:p>
    <w:p>
      <w:pPr>
        <w:ind w:left="361" w:hanging="198"/>
        <w:spacing w:after="0"/>
        <w:tabs>
          <w:tab w:leader="none" w:pos="361" w:val="left"/>
        </w:tabs>
        <w:numPr>
          <w:ilvl w:val="1"/>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No Impairment of Rights</w:t>
      </w:r>
      <w:r>
        <w:rPr>
          <w:rFonts w:ascii="Arial" w:cs="Arial" w:eastAsia="Arial" w:hAnsi="Arial"/>
          <w:sz w:val="12"/>
          <w:szCs w:val="12"/>
          <w:color w:val="auto"/>
        </w:rPr>
        <w:t>. Suspension or termination of the Plan shall not impair rights and obligations under any Option granted while the Plan is in effect except with the written consent of the Optionholder.</w:t>
      </w:r>
    </w:p>
    <w:p>
      <w:pPr>
        <w:spacing w:after="0" w:line="176" w:lineRule="exact"/>
        <w:rPr>
          <w:rFonts w:ascii="Arial" w:cs="Arial" w:eastAsia="Arial" w:hAnsi="Arial"/>
          <w:sz w:val="12"/>
          <w:szCs w:val="12"/>
          <w:b w:val="1"/>
          <w:bCs w:val="1"/>
          <w:color w:val="auto"/>
        </w:rPr>
      </w:pPr>
    </w:p>
    <w:p>
      <w:pPr>
        <w:ind w:left="201" w:hanging="201"/>
        <w:spacing w:after="0"/>
        <w:tabs>
          <w:tab w:leader="none" w:pos="201"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FFECTIVE</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ATE OF</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r>
        <w:rPr>
          <w:rFonts w:ascii="Arial" w:cs="Arial" w:eastAsia="Arial" w:hAnsi="Arial"/>
          <w:sz w:val="13"/>
          <w:szCs w:val="13"/>
          <w:b w:val="1"/>
          <w:bCs w:val="1"/>
          <w:color w:val="auto"/>
        </w:rPr>
        <w:t>.</w:t>
      </w:r>
    </w:p>
    <w:p>
      <w:pPr>
        <w:spacing w:after="0" w:line="90" w:lineRule="exact"/>
        <w:rPr>
          <w:sz w:val="20"/>
          <w:szCs w:val="20"/>
          <w:color w:val="auto"/>
        </w:rPr>
      </w:pPr>
    </w:p>
    <w:p>
      <w:pPr>
        <w:ind w:left="1" w:right="20" w:firstLine="161"/>
        <w:spacing w:after="0" w:line="276" w:lineRule="auto"/>
        <w:rPr>
          <w:sz w:val="20"/>
          <w:szCs w:val="20"/>
          <w:color w:val="auto"/>
        </w:rPr>
      </w:pPr>
      <w:r>
        <w:rPr>
          <w:rFonts w:ascii="Arial" w:cs="Arial" w:eastAsia="Arial" w:hAnsi="Arial"/>
          <w:sz w:val="13"/>
          <w:szCs w:val="13"/>
          <w:color w:val="auto"/>
        </w:rPr>
        <w:t>The Plan shall become effective on the IPO Date, but no Option shall be exercised unless and until the Plan has been approved by the stockholders of the Company, which approval shall be within twelve (12) months before or after the date the Plan is adopted by the Board.</w:t>
      </w:r>
    </w:p>
    <w:p>
      <w:pPr>
        <w:spacing w:after="0" w:line="124" w:lineRule="exact"/>
        <w:rPr>
          <w:sz w:val="20"/>
          <w:szCs w:val="20"/>
          <w:color w:val="auto"/>
        </w:rPr>
      </w:pPr>
    </w:p>
    <w:p>
      <w:pPr>
        <w:ind w:left="201" w:hanging="201"/>
        <w:spacing w:after="0"/>
        <w:tabs>
          <w:tab w:leader="none" w:pos="201"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HOICE OF</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AW</w:t>
      </w:r>
      <w:r>
        <w:rPr>
          <w:rFonts w:ascii="Arial" w:cs="Arial" w:eastAsia="Arial" w:hAnsi="Arial"/>
          <w:sz w:val="13"/>
          <w:szCs w:val="13"/>
          <w:b w:val="1"/>
          <w:bCs w:val="1"/>
          <w:color w:val="auto"/>
        </w:rPr>
        <w:t>.</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law of the state of California shall govern all questions concerning the construction, validity and interpretation of this Plan, without regard to such state’s conflict of laws rules.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ANN</w:t>
      </w:r>
      <w:r>
        <w:rPr>
          <w:rFonts w:ascii="Arial" w:cs="Arial" w:eastAsia="Arial" w:hAnsi="Arial"/>
          <w:sz w:val="13"/>
          <w:szCs w:val="13"/>
          <w:b w:val="1"/>
          <w:bCs w:val="1"/>
          <w:color w:val="auto"/>
        </w:rPr>
        <w:t>K</w:t>
      </w:r>
      <w:r>
        <w:rPr>
          <w:rFonts w:ascii="Arial" w:cs="Arial" w:eastAsia="Arial" w:hAnsi="Arial"/>
          <w:sz w:val="8"/>
          <w:szCs w:val="8"/>
          <w:b w:val="1"/>
          <w:bCs w:val="1"/>
          <w:color w:val="auto"/>
        </w:rPr>
        <w:t>IND</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2004 N</w:t>
      </w:r>
      <w:r>
        <w:rPr>
          <w:rFonts w:ascii="Arial" w:cs="Arial" w:eastAsia="Arial" w:hAnsi="Arial"/>
          <w:sz w:val="8"/>
          <w:szCs w:val="8"/>
          <w:b w:val="1"/>
          <w:bCs w:val="1"/>
          <w:color w:val="auto"/>
        </w:rPr>
        <w:t>ON</w:t>
      </w:r>
      <w:r>
        <w:rPr>
          <w:rFonts w:ascii="Arial" w:cs="Arial" w:eastAsia="Arial" w:hAnsi="Arial"/>
          <w:sz w:val="13"/>
          <w:szCs w:val="13"/>
          <w:b w:val="1"/>
          <w:bCs w:val="1"/>
          <w:color w:val="auto"/>
        </w:rPr>
        <w:t>-E</w:t>
      </w:r>
      <w:r>
        <w:rPr>
          <w:rFonts w:ascii="Arial" w:cs="Arial" w:eastAsia="Arial" w:hAnsi="Arial"/>
          <w:sz w:val="8"/>
          <w:szCs w:val="8"/>
          <w:b w:val="1"/>
          <w:bCs w:val="1"/>
          <w:color w:val="auto"/>
        </w:rPr>
        <w:t>MPLOYEE</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IRECTORS</w:t>
      </w:r>
      <w:r>
        <w:rPr>
          <w:rFonts w:ascii="Arial" w:cs="Arial" w:eastAsia="Arial" w:hAnsi="Arial"/>
          <w:sz w:val="13"/>
          <w:szCs w:val="13"/>
          <w:b w:val="1"/>
          <w:bCs w:val="1"/>
          <w:color w:val="auto"/>
        </w:rPr>
        <w:t>’ S</w:t>
      </w:r>
      <w:r>
        <w:rPr>
          <w:rFonts w:ascii="Arial" w:cs="Arial" w:eastAsia="Arial" w:hAnsi="Arial"/>
          <w:sz w:val="8"/>
          <w:szCs w:val="8"/>
          <w:b w:val="1"/>
          <w:bCs w:val="1"/>
          <w:color w:val="auto"/>
        </w:rPr>
        <w:t>TOCK</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PTION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TOCK</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PTION</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90" w:lineRule="exact"/>
        <w:rPr>
          <w:sz w:val="20"/>
          <w:szCs w:val="20"/>
          <w:color w:val="auto"/>
        </w:rPr>
      </w:pPr>
    </w:p>
    <w:p>
      <w:pPr>
        <w:jc w:val="both"/>
        <w:ind w:right="160" w:firstLine="164"/>
        <w:spacing w:after="0" w:line="264" w:lineRule="auto"/>
        <w:rPr>
          <w:sz w:val="20"/>
          <w:szCs w:val="20"/>
          <w:color w:val="auto"/>
        </w:rPr>
      </w:pPr>
      <w:r>
        <w:rPr>
          <w:rFonts w:ascii="Arial" w:cs="Arial" w:eastAsia="Arial" w:hAnsi="Arial"/>
          <w:sz w:val="13"/>
          <w:szCs w:val="13"/>
          <w:color w:val="auto"/>
        </w:rPr>
        <w:t>Pursuant to your Stock Option Grant Notice (“Grant Notice”) and this Stock Option Agreement, MannKind Corporation (the “Company”) has granted you an option under its 2004 Non-Employee Directors’ Stock Option Plan (the “Plan”)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details of your option are as follows:</w:t>
      </w:r>
    </w:p>
    <w:p>
      <w:pPr>
        <w:spacing w:after="0" w:line="82" w:lineRule="exact"/>
        <w:rPr>
          <w:sz w:val="20"/>
          <w:szCs w:val="20"/>
          <w:color w:val="auto"/>
        </w:rPr>
      </w:pPr>
    </w:p>
    <w:p>
      <w:pPr>
        <w:ind w:left="300" w:hanging="138"/>
        <w:spacing w:after="0"/>
        <w:tabs>
          <w:tab w:leader="none" w:pos="3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ESTING</w:t>
      </w:r>
      <w:r>
        <w:rPr>
          <w:rFonts w:ascii="Arial" w:cs="Arial" w:eastAsia="Arial" w:hAnsi="Arial"/>
          <w:sz w:val="13"/>
          <w:szCs w:val="13"/>
          <w:color w:val="auto"/>
        </w:rPr>
        <w:t>. Subject to the limitations contained herein, your option will vest as provided in your Grant Notice, provided that vesting will cease upon the termination of your Continuous Service.</w:t>
      </w:r>
    </w:p>
    <w:p>
      <w:pPr>
        <w:spacing w:after="0" w:line="86" w:lineRule="exact"/>
        <w:rPr>
          <w:rFonts w:ascii="Arial" w:cs="Arial" w:eastAsia="Arial" w:hAnsi="Arial"/>
          <w:sz w:val="13"/>
          <w:szCs w:val="13"/>
          <w:b w:val="1"/>
          <w:bCs w:val="1"/>
          <w:color w:val="auto"/>
        </w:rPr>
      </w:pPr>
    </w:p>
    <w:p>
      <w:pPr>
        <w:ind w:right="240" w:firstLine="162"/>
        <w:spacing w:after="0" w:line="283" w:lineRule="auto"/>
        <w:tabs>
          <w:tab w:leader="none" w:pos="295"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UMBER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HARES AND</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XERCISE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RICE</w:t>
      </w:r>
      <w:r>
        <w:rPr>
          <w:rFonts w:ascii="Arial" w:cs="Arial" w:eastAsia="Arial" w:hAnsi="Arial"/>
          <w:sz w:val="13"/>
          <w:szCs w:val="13"/>
          <w:color w:val="auto"/>
        </w:rPr>
        <w:t>. The number of shares of Common Stock subject to your option and your exercise price per share referenced in your Grant Notice may be adjusted from time to time for</w:t>
      </w:r>
      <w:r>
        <w:rPr>
          <w:rFonts w:ascii="Arial" w:cs="Arial" w:eastAsia="Arial" w:hAnsi="Arial"/>
          <w:sz w:val="13"/>
          <w:szCs w:val="13"/>
          <w:b w:val="1"/>
          <w:bCs w:val="1"/>
          <w:color w:val="auto"/>
        </w:rPr>
        <w:t xml:space="preserve"> </w:t>
      </w:r>
      <w:r>
        <w:rPr>
          <w:rFonts w:ascii="Arial" w:cs="Arial" w:eastAsia="Arial" w:hAnsi="Arial"/>
          <w:sz w:val="13"/>
          <w:szCs w:val="13"/>
          <w:color w:val="auto"/>
        </w:rPr>
        <w:t>Capitalization Adjustments, as provided in the Plan.</w:t>
      </w:r>
    </w:p>
    <w:p>
      <w:pPr>
        <w:spacing w:after="0" w:line="40" w:lineRule="exact"/>
        <w:rPr>
          <w:rFonts w:ascii="Arial" w:cs="Arial" w:eastAsia="Arial" w:hAnsi="Arial"/>
          <w:sz w:val="13"/>
          <w:szCs w:val="13"/>
          <w:b w:val="1"/>
          <w:bCs w:val="1"/>
          <w:color w:val="auto"/>
        </w:rPr>
      </w:pPr>
    </w:p>
    <w:p>
      <w:pPr>
        <w:ind w:right="200" w:firstLine="162"/>
        <w:spacing w:after="0" w:line="283" w:lineRule="auto"/>
        <w:tabs>
          <w:tab w:leader="none" w:pos="295"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ETHOD OF</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AYMENT</w:t>
      </w:r>
      <w:r>
        <w:rPr>
          <w:rFonts w:ascii="Arial" w:cs="Arial" w:eastAsia="Arial" w:hAnsi="Arial"/>
          <w:sz w:val="13"/>
          <w:szCs w:val="13"/>
          <w:color w:val="auto"/>
        </w:rPr>
        <w:t>. Payment of the exercise price is due in full upon exercise of all or any part of your option. You may elect to make payment of the exercise price in cash or by check or in any other manner</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u w:val="single" w:color="auto"/>
          <w:color w:val="auto"/>
        </w:rPr>
        <w:t>permitted by your Grant Notice</w:t>
      </w:r>
      <w:r>
        <w:rPr>
          <w:rFonts w:ascii="Arial" w:cs="Arial" w:eastAsia="Arial" w:hAnsi="Arial"/>
          <w:sz w:val="13"/>
          <w:szCs w:val="13"/>
          <w:color w:val="auto"/>
        </w:rPr>
        <w:t>, which may include one or more of the following:</w:t>
      </w:r>
    </w:p>
    <w:p>
      <w:pPr>
        <w:spacing w:after="0" w:line="44" w:lineRule="exact"/>
        <w:rPr>
          <w:rFonts w:ascii="Arial" w:cs="Arial" w:eastAsia="Arial" w:hAnsi="Arial"/>
          <w:sz w:val="13"/>
          <w:szCs w:val="13"/>
          <w:b w:val="1"/>
          <w:bCs w:val="1"/>
          <w:color w:val="auto"/>
        </w:rPr>
      </w:pPr>
    </w:p>
    <w:p>
      <w:pPr>
        <w:ind w:right="60" w:firstLine="326"/>
        <w:spacing w:after="0" w:line="264" w:lineRule="auto"/>
        <w:tabs>
          <w:tab w:leader="none" w:pos="513" w:val="left"/>
        </w:tabs>
        <w:numPr>
          <w:ilvl w:val="1"/>
          <w:numId w:val="65"/>
        </w:numPr>
        <w:rPr>
          <w:rFonts w:ascii="Arial" w:cs="Arial" w:eastAsia="Arial" w:hAnsi="Arial"/>
          <w:sz w:val="13"/>
          <w:szCs w:val="13"/>
          <w:b w:val="1"/>
          <w:bCs w:val="1"/>
          <w:color w:val="auto"/>
        </w:rPr>
      </w:pPr>
      <w:r>
        <w:rPr>
          <w:rFonts w:ascii="Arial" w:cs="Arial" w:eastAsia="Arial" w:hAnsi="Arial"/>
          <w:sz w:val="13"/>
          <w:szCs w:val="13"/>
          <w:color w:val="auto"/>
        </w:rPr>
        <w:t xml:space="preserve">In the Company’s sole discretion at the time your option is exercised and provided that at the time of exercise the Common Stock is publicly traded and quoted regularly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57" w:lineRule="exact"/>
        <w:rPr>
          <w:rFonts w:ascii="Arial" w:cs="Arial" w:eastAsia="Arial" w:hAnsi="Arial"/>
          <w:sz w:val="13"/>
          <w:szCs w:val="13"/>
          <w:b w:val="1"/>
          <w:bCs w:val="1"/>
          <w:color w:val="auto"/>
        </w:rPr>
      </w:pPr>
    </w:p>
    <w:p>
      <w:pPr>
        <w:ind w:firstLine="326"/>
        <w:spacing w:after="0" w:line="285" w:lineRule="auto"/>
        <w:tabs>
          <w:tab w:leader="none" w:pos="520" w:val="left"/>
        </w:tabs>
        <w:numPr>
          <w:ilvl w:val="1"/>
          <w:numId w:val="65"/>
        </w:numPr>
        <w:rPr>
          <w:rFonts w:ascii="Arial" w:cs="Arial" w:eastAsia="Arial" w:hAnsi="Arial"/>
          <w:sz w:val="12"/>
          <w:szCs w:val="12"/>
          <w:b w:val="1"/>
          <w:bCs w:val="1"/>
          <w:color w:val="auto"/>
        </w:rPr>
      </w:pPr>
      <w:r>
        <w:rPr>
          <w:rFonts w:ascii="Arial" w:cs="Arial" w:eastAsia="Arial" w:hAnsi="Arial"/>
          <w:sz w:val="12"/>
          <w:szCs w:val="12"/>
          <w:color w:val="auto"/>
        </w:rPr>
        <w:t xml:space="preserve">Provided that at the time of exercise the Common Stock is publicly traded and quoted regularly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by delivery of already-owned shares of Common Stock either that you have held for the period required to avoid a charge to the Company’s reported earnings (generally six 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09" w:name="page110"/>
    <w:bookmarkEnd w:id="109"/>
    <w:p>
      <w:pPr>
        <w:ind w:left="301" w:hanging="138"/>
        <w:spacing w:after="0"/>
        <w:tabs>
          <w:tab w:leader="none" w:pos="301" w:val="left"/>
        </w:tabs>
        <w:numPr>
          <w:ilvl w:val="1"/>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HOLE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HARES</w:t>
      </w:r>
      <w:r>
        <w:rPr>
          <w:rFonts w:ascii="Arial" w:cs="Arial" w:eastAsia="Arial" w:hAnsi="Arial"/>
          <w:sz w:val="13"/>
          <w:szCs w:val="13"/>
          <w:color w:val="auto"/>
        </w:rPr>
        <w:t>. You may exercise your option only for whole shares of Common Stock.</w:t>
      </w:r>
    </w:p>
    <w:p>
      <w:pPr>
        <w:spacing w:after="0" w:line="86" w:lineRule="exact"/>
        <w:rPr>
          <w:rFonts w:ascii="Arial" w:cs="Arial" w:eastAsia="Arial" w:hAnsi="Arial"/>
          <w:sz w:val="13"/>
          <w:szCs w:val="13"/>
          <w:b w:val="1"/>
          <w:bCs w:val="1"/>
          <w:color w:val="auto"/>
        </w:rPr>
      </w:pPr>
    </w:p>
    <w:p>
      <w:pPr>
        <w:ind w:left="1" w:firstLine="162"/>
        <w:spacing w:after="0" w:line="262" w:lineRule="auto"/>
        <w:tabs>
          <w:tab w:leader="none" w:pos="296" w:val="left"/>
        </w:tabs>
        <w:numPr>
          <w:ilvl w:val="1"/>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ECURITIES</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AW</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OMPLIANCE</w:t>
      </w:r>
      <w:r>
        <w:rPr>
          <w:rFonts w:ascii="Arial" w:cs="Arial" w:eastAsia="Arial" w:hAnsi="Arial"/>
          <w:sz w:val="13"/>
          <w:szCs w:val="13"/>
          <w:color w:val="auto"/>
        </w:rPr>
        <w:t>. Notwithstanding anything to the contrary contained herein, you may not exercise your option unless the shares of Common Stock issuable upon such exercise are then registered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Securities Act or, if such shares of Common Stock are not then so registered, the Company has determined that such exercise and issuance would be exempt from the registration requirements of the Securities Act. The exercise of your option must also comply with other applicable laws and regulations governing your option, and you may not exercise your option if the Company determines that such exercise would not be in material compliance with such laws and regulations.</w:t>
      </w:r>
    </w:p>
    <w:p>
      <w:pPr>
        <w:spacing w:after="0" w:line="54" w:lineRule="exact"/>
        <w:rPr>
          <w:rFonts w:ascii="Arial" w:cs="Arial" w:eastAsia="Arial" w:hAnsi="Arial"/>
          <w:sz w:val="13"/>
          <w:szCs w:val="13"/>
          <w:b w:val="1"/>
          <w:bCs w:val="1"/>
          <w:color w:val="auto"/>
        </w:rPr>
      </w:pPr>
    </w:p>
    <w:p>
      <w:pPr>
        <w:ind w:left="301" w:hanging="138"/>
        <w:spacing w:after="0"/>
        <w:tabs>
          <w:tab w:leader="none" w:pos="301" w:val="left"/>
        </w:tabs>
        <w:numPr>
          <w:ilvl w:val="1"/>
          <w:numId w:val="66"/>
        </w:numPr>
        <w:rPr>
          <w:rFonts w:ascii="Arial" w:cs="Arial" w:eastAsia="Arial" w:hAnsi="Arial"/>
          <w:sz w:val="12"/>
          <w:szCs w:val="12"/>
          <w:b w:val="1"/>
          <w:bCs w:val="1"/>
          <w:color w:val="auto"/>
        </w:rPr>
      </w:pPr>
      <w:r>
        <w:rPr>
          <w:rFonts w:ascii="Arial" w:cs="Arial" w:eastAsia="Arial" w:hAnsi="Arial"/>
          <w:sz w:val="12"/>
          <w:szCs w:val="12"/>
          <w:b w:val="1"/>
          <w:bCs w:val="1"/>
          <w:color w:val="auto"/>
        </w:rPr>
        <w:t>T</w:t>
      </w:r>
      <w:r>
        <w:rPr>
          <w:rFonts w:ascii="Arial" w:cs="Arial" w:eastAsia="Arial" w:hAnsi="Arial"/>
          <w:sz w:val="7"/>
          <w:szCs w:val="7"/>
          <w:b w:val="1"/>
          <w:bCs w:val="1"/>
          <w:color w:val="auto"/>
        </w:rPr>
        <w:t>ERM</w:t>
      </w:r>
      <w:r>
        <w:rPr>
          <w:rFonts w:ascii="Arial" w:cs="Arial" w:eastAsia="Arial" w:hAnsi="Arial"/>
          <w:sz w:val="12"/>
          <w:szCs w:val="12"/>
          <w:color w:val="auto"/>
        </w:rPr>
        <w:t>. You may not exercise your option before the commencement of its term or after its term expires. The term of your option commences on the Date of Grant and expires upon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earliest</w:t>
      </w:r>
      <w:r>
        <w:rPr>
          <w:rFonts w:ascii="Arial" w:cs="Arial" w:eastAsia="Arial" w:hAnsi="Arial"/>
          <w:sz w:val="12"/>
          <w:szCs w:val="12"/>
          <w:b w:val="1"/>
          <w:bCs w:val="1"/>
          <w:color w:val="auto"/>
        </w:rPr>
        <w:t xml:space="preserve"> </w:t>
      </w:r>
      <w:r>
        <w:rPr>
          <w:rFonts w:ascii="Arial" w:cs="Arial" w:eastAsia="Arial" w:hAnsi="Arial"/>
          <w:sz w:val="12"/>
          <w:szCs w:val="12"/>
          <w:color w:val="auto"/>
        </w:rPr>
        <w:t>of the following:</w:t>
      </w:r>
    </w:p>
    <w:p>
      <w:pPr>
        <w:spacing w:after="0" w:line="101" w:lineRule="exact"/>
        <w:rPr>
          <w:rFonts w:ascii="Arial" w:cs="Arial" w:eastAsia="Arial" w:hAnsi="Arial"/>
          <w:sz w:val="12"/>
          <w:szCs w:val="12"/>
          <w:b w:val="1"/>
          <w:bCs w:val="1"/>
          <w:color w:val="auto"/>
        </w:rPr>
      </w:pPr>
    </w:p>
    <w:p>
      <w:pPr>
        <w:ind w:left="1" w:right="240" w:firstLine="326"/>
        <w:spacing w:after="0" w:line="264" w:lineRule="auto"/>
        <w:tabs>
          <w:tab w:leader="none" w:pos="514" w:val="left"/>
        </w:tabs>
        <w:numPr>
          <w:ilvl w:val="2"/>
          <w:numId w:val="66"/>
        </w:numPr>
        <w:rPr>
          <w:rFonts w:ascii="Arial" w:cs="Arial" w:eastAsia="Arial" w:hAnsi="Arial"/>
          <w:sz w:val="13"/>
          <w:szCs w:val="13"/>
          <w:b w:val="1"/>
          <w:bCs w:val="1"/>
          <w:color w:val="auto"/>
        </w:rPr>
      </w:pPr>
      <w:r>
        <w:rPr>
          <w:rFonts w:ascii="Arial" w:cs="Arial" w:eastAsia="Arial" w:hAnsi="Arial"/>
          <w:sz w:val="13"/>
          <w:szCs w:val="13"/>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preceding paragraph relating to “Securities Law Compliance,” your option shall not expire until the earlier of the Expiration Date or until it shall have been exercisable for an aggregate period of three (3) months after the termination of your Continuous Service;</w:t>
      </w:r>
    </w:p>
    <w:p>
      <w:pPr>
        <w:spacing w:after="0" w:line="57" w:lineRule="exact"/>
        <w:rPr>
          <w:rFonts w:ascii="Arial" w:cs="Arial" w:eastAsia="Arial" w:hAnsi="Arial"/>
          <w:sz w:val="13"/>
          <w:szCs w:val="13"/>
          <w:b w:val="1"/>
          <w:bCs w:val="1"/>
          <w:color w:val="auto"/>
        </w:rPr>
      </w:pPr>
    </w:p>
    <w:p>
      <w:pPr>
        <w:ind w:left="521" w:hanging="194"/>
        <w:spacing w:after="0"/>
        <w:tabs>
          <w:tab w:leader="none" w:pos="521" w:val="left"/>
        </w:tabs>
        <w:numPr>
          <w:ilvl w:val="2"/>
          <w:numId w:val="66"/>
        </w:numPr>
        <w:rPr>
          <w:rFonts w:ascii="Arial" w:cs="Arial" w:eastAsia="Arial" w:hAnsi="Arial"/>
          <w:sz w:val="13"/>
          <w:szCs w:val="13"/>
          <w:b w:val="1"/>
          <w:bCs w:val="1"/>
          <w:color w:val="auto"/>
        </w:rPr>
      </w:pPr>
      <w:r>
        <w:rPr>
          <w:rFonts w:ascii="Arial" w:cs="Arial" w:eastAsia="Arial" w:hAnsi="Arial"/>
          <w:sz w:val="13"/>
          <w:szCs w:val="13"/>
          <w:color w:val="auto"/>
        </w:rPr>
        <w:t>twelve (12) months after the termination of your Continuous Service due to your Disability;</w:t>
      </w:r>
    </w:p>
    <w:p>
      <w:pPr>
        <w:spacing w:after="0" w:line="86" w:lineRule="exact"/>
        <w:rPr>
          <w:rFonts w:ascii="Arial" w:cs="Arial" w:eastAsia="Arial" w:hAnsi="Arial"/>
          <w:sz w:val="13"/>
          <w:szCs w:val="13"/>
          <w:b w:val="1"/>
          <w:bCs w:val="1"/>
          <w:color w:val="auto"/>
        </w:rPr>
      </w:pPr>
    </w:p>
    <w:p>
      <w:pPr>
        <w:ind w:left="501" w:hanging="174"/>
        <w:spacing w:after="0"/>
        <w:tabs>
          <w:tab w:leader="none" w:pos="501" w:val="left"/>
        </w:tabs>
        <w:numPr>
          <w:ilvl w:val="2"/>
          <w:numId w:val="66"/>
        </w:numPr>
        <w:rPr>
          <w:rFonts w:ascii="Arial" w:cs="Arial" w:eastAsia="Arial" w:hAnsi="Arial"/>
          <w:sz w:val="13"/>
          <w:szCs w:val="13"/>
          <w:b w:val="1"/>
          <w:bCs w:val="1"/>
          <w:color w:val="auto"/>
        </w:rPr>
      </w:pPr>
      <w:r>
        <w:rPr>
          <w:rFonts w:ascii="Arial" w:cs="Arial" w:eastAsia="Arial" w:hAnsi="Arial"/>
          <w:sz w:val="13"/>
          <w:szCs w:val="13"/>
          <w:color w:val="auto"/>
        </w:rPr>
        <w:t>eighteen (18) months after your death if you die either during your Continuous Service or within three (3) months after your Continuous Service terminates;</w:t>
      </w:r>
    </w:p>
    <w:p>
      <w:pPr>
        <w:spacing w:after="0" w:line="86" w:lineRule="exact"/>
        <w:rPr>
          <w:rFonts w:ascii="Arial" w:cs="Arial" w:eastAsia="Arial" w:hAnsi="Arial"/>
          <w:sz w:val="13"/>
          <w:szCs w:val="13"/>
          <w:b w:val="1"/>
          <w:bCs w:val="1"/>
          <w:color w:val="auto"/>
        </w:rPr>
      </w:pPr>
    </w:p>
    <w:p>
      <w:pPr>
        <w:ind w:left="521" w:hanging="194"/>
        <w:spacing w:after="0"/>
        <w:tabs>
          <w:tab w:leader="none" w:pos="521" w:val="left"/>
        </w:tabs>
        <w:numPr>
          <w:ilvl w:val="2"/>
          <w:numId w:val="66"/>
        </w:numPr>
        <w:rPr>
          <w:rFonts w:ascii="Arial" w:cs="Arial" w:eastAsia="Arial" w:hAnsi="Arial"/>
          <w:sz w:val="13"/>
          <w:szCs w:val="13"/>
          <w:b w:val="1"/>
          <w:bCs w:val="1"/>
          <w:color w:val="auto"/>
        </w:rPr>
      </w:pPr>
      <w:r>
        <w:rPr>
          <w:rFonts w:ascii="Arial" w:cs="Arial" w:eastAsia="Arial" w:hAnsi="Arial"/>
          <w:sz w:val="13"/>
          <w:szCs w:val="13"/>
          <w:color w:val="auto"/>
        </w:rPr>
        <w:t>the Expiration Date indicated in your Grant Notice; or</w:t>
      </w:r>
    </w:p>
    <w:p>
      <w:pPr>
        <w:spacing w:after="0" w:line="86" w:lineRule="exact"/>
        <w:rPr>
          <w:rFonts w:ascii="Arial" w:cs="Arial" w:eastAsia="Arial" w:hAnsi="Arial"/>
          <w:sz w:val="13"/>
          <w:szCs w:val="13"/>
          <w:b w:val="1"/>
          <w:bCs w:val="1"/>
          <w:color w:val="auto"/>
        </w:rPr>
      </w:pPr>
    </w:p>
    <w:p>
      <w:pPr>
        <w:ind w:left="501" w:hanging="174"/>
        <w:spacing w:after="0"/>
        <w:tabs>
          <w:tab w:leader="none" w:pos="501" w:val="left"/>
        </w:tabs>
        <w:numPr>
          <w:ilvl w:val="2"/>
          <w:numId w:val="66"/>
        </w:numPr>
        <w:rPr>
          <w:rFonts w:ascii="Arial" w:cs="Arial" w:eastAsia="Arial" w:hAnsi="Arial"/>
          <w:sz w:val="13"/>
          <w:szCs w:val="13"/>
          <w:b w:val="1"/>
          <w:bCs w:val="1"/>
          <w:color w:val="auto"/>
        </w:rPr>
      </w:pPr>
      <w:r>
        <w:rPr>
          <w:rFonts w:ascii="Arial" w:cs="Arial" w:eastAsia="Arial" w:hAnsi="Arial"/>
          <w:sz w:val="13"/>
          <w:szCs w:val="13"/>
          <w:color w:val="auto"/>
        </w:rPr>
        <w:t>the day before the tenth (10th) anniversary of the Date of Grant.</w:t>
      </w:r>
    </w:p>
    <w:p>
      <w:pPr>
        <w:spacing w:after="0" w:line="161" w:lineRule="exact"/>
        <w:rPr>
          <w:rFonts w:ascii="Arial" w:cs="Arial" w:eastAsia="Arial" w:hAnsi="Arial"/>
          <w:sz w:val="13"/>
          <w:szCs w:val="13"/>
          <w:b w:val="1"/>
          <w:bCs w:val="1"/>
          <w:color w:val="auto"/>
        </w:rPr>
      </w:pPr>
    </w:p>
    <w:p>
      <w:pPr>
        <w:ind w:left="121" w:hanging="121"/>
        <w:spacing w:after="0"/>
        <w:tabs>
          <w:tab w:leader="none" w:pos="121"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XERCISE</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b w:val="1"/>
          <w:bCs w:val="1"/>
          <w:color w:val="auto"/>
        </w:rPr>
      </w:pPr>
    </w:p>
    <w:p>
      <w:pPr>
        <w:ind w:left="1" w:right="360" w:firstLine="326"/>
        <w:spacing w:after="0" w:line="276" w:lineRule="auto"/>
        <w:tabs>
          <w:tab w:leader="none" w:pos="514" w:val="left"/>
        </w:tabs>
        <w:numPr>
          <w:ilvl w:val="2"/>
          <w:numId w:val="67"/>
        </w:numPr>
        <w:rPr>
          <w:rFonts w:ascii="Arial" w:cs="Arial" w:eastAsia="Arial" w:hAnsi="Arial"/>
          <w:sz w:val="13"/>
          <w:szCs w:val="13"/>
          <w:b w:val="1"/>
          <w:bCs w:val="1"/>
          <w:color w:val="auto"/>
        </w:rPr>
      </w:pPr>
      <w:r>
        <w:rPr>
          <w:rFonts w:ascii="Arial" w:cs="Arial" w:eastAsia="Arial" w:hAnsi="Arial"/>
          <w:sz w:val="13"/>
          <w:szCs w:val="13"/>
          <w:color w:val="auto"/>
        </w:rPr>
        <w:t>You may exercise your option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49" w:lineRule="exact"/>
        <w:rPr>
          <w:rFonts w:ascii="Arial" w:cs="Arial" w:eastAsia="Arial" w:hAnsi="Arial"/>
          <w:sz w:val="13"/>
          <w:szCs w:val="13"/>
          <w:b w:val="1"/>
          <w:bCs w:val="1"/>
          <w:color w:val="auto"/>
        </w:rPr>
      </w:pPr>
    </w:p>
    <w:p>
      <w:pPr>
        <w:ind w:left="1" w:right="20" w:firstLine="326"/>
        <w:spacing w:after="0" w:line="305" w:lineRule="auto"/>
        <w:tabs>
          <w:tab w:leader="none" w:pos="522" w:val="left"/>
        </w:tabs>
        <w:numPr>
          <w:ilvl w:val="2"/>
          <w:numId w:val="67"/>
        </w:numPr>
        <w:rPr>
          <w:rFonts w:ascii="Arial" w:cs="Arial" w:eastAsia="Arial" w:hAnsi="Arial"/>
          <w:sz w:val="11"/>
          <w:szCs w:val="11"/>
          <w:b w:val="1"/>
          <w:bCs w:val="1"/>
          <w:color w:val="auto"/>
        </w:rPr>
      </w:pPr>
      <w:r>
        <w:rPr>
          <w:rFonts w:ascii="Arial" w:cs="Arial" w:eastAsia="Arial" w:hAnsi="Arial"/>
          <w:sz w:val="11"/>
          <w:szCs w:val="11"/>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w:t>
      </w:r>
    </w:p>
    <w:p>
      <w:pPr>
        <w:ind w:left="1"/>
        <w:spacing w:after="0"/>
        <w:rPr>
          <w:rFonts w:ascii="Arial" w:cs="Arial" w:eastAsia="Arial" w:hAnsi="Arial"/>
          <w:sz w:val="11"/>
          <w:szCs w:val="11"/>
          <w:b w:val="1"/>
          <w:bCs w:val="1"/>
          <w:color w:val="auto"/>
        </w:rPr>
      </w:pPr>
      <w:r>
        <w:rPr>
          <w:rFonts w:ascii="Arial" w:cs="Arial" w:eastAsia="Arial" w:hAnsi="Arial"/>
          <w:sz w:val="13"/>
          <w:szCs w:val="13"/>
          <w:color w:val="auto"/>
        </w:rPr>
        <w:t>(3) the disposition of shares of Common Stock acquired upon such exercise.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10" w:name="page111"/>
    <w:bookmarkEnd w:id="110"/>
    <w:p>
      <w:pPr>
        <w:ind w:left="-40" w:right="240" w:firstLine="162"/>
        <w:spacing w:after="0" w:line="327" w:lineRule="auto"/>
        <w:tabs>
          <w:tab w:leader="none" w:pos="255"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color w:val="auto"/>
        </w:rPr>
        <w:t>T</w:t>
      </w:r>
      <w:r>
        <w:rPr>
          <w:rFonts w:ascii="Arial" w:cs="Arial" w:eastAsia="Arial" w:hAnsi="Arial"/>
          <w:sz w:val="7"/>
          <w:szCs w:val="7"/>
          <w:b w:val="1"/>
          <w:bCs w:val="1"/>
          <w:color w:val="auto"/>
        </w:rPr>
        <w:t>RANSFERABILITY</w:t>
      </w:r>
      <w:r>
        <w:rPr>
          <w:rFonts w:ascii="Arial" w:cs="Arial" w:eastAsia="Arial" w:hAnsi="Arial"/>
          <w:sz w:val="12"/>
          <w:szCs w:val="12"/>
          <w:color w:val="auto"/>
        </w:rPr>
        <w:t>. Your option is not transferable, except by will or by the laws of descent and distribution, and is exercisable during your life only by you. Notwithstanding the foregoing, by delivering written</w:t>
      </w:r>
      <w:r>
        <w:rPr>
          <w:rFonts w:ascii="Arial" w:cs="Arial" w:eastAsia="Arial" w:hAnsi="Arial"/>
          <w:sz w:val="12"/>
          <w:szCs w:val="12"/>
          <w:b w:val="1"/>
          <w:bCs w:val="1"/>
          <w:color w:val="auto"/>
        </w:rPr>
        <w:t xml:space="preserve"> </w:t>
      </w:r>
      <w:r>
        <w:rPr>
          <w:rFonts w:ascii="Arial" w:cs="Arial" w:eastAsia="Arial" w:hAnsi="Arial"/>
          <w:sz w:val="12"/>
          <w:szCs w:val="12"/>
          <w:color w:val="auto"/>
        </w:rPr>
        <w:t>notice to the Company, in a form satisfactory to the Company, you may designate a third party who, in the event of your death, shall thereafter be entitled to exercise your option.</w:t>
      </w:r>
    </w:p>
    <w:p>
      <w:pPr>
        <w:spacing w:after="0" w:line="17" w:lineRule="exact"/>
        <w:rPr>
          <w:rFonts w:ascii="Arial" w:cs="Arial" w:eastAsia="Arial" w:hAnsi="Arial"/>
          <w:sz w:val="12"/>
          <w:szCs w:val="12"/>
          <w:b w:val="1"/>
          <w:bCs w:val="1"/>
          <w:color w:val="auto"/>
        </w:rPr>
      </w:pPr>
    </w:p>
    <w:p>
      <w:pPr>
        <w:ind w:left="-40" w:right="100" w:firstLine="162"/>
        <w:spacing w:after="0" w:line="267" w:lineRule="auto"/>
        <w:tabs>
          <w:tab w:leader="none" w:pos="255"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O</w:t>
      </w:r>
      <w:r>
        <w:rPr>
          <w:rFonts w:ascii="Arial" w:cs="Arial" w:eastAsia="Arial" w:hAnsi="Arial"/>
          <w:sz w:val="8"/>
          <w:szCs w:val="8"/>
          <w:b w:val="1"/>
          <w:bCs w:val="1"/>
          <w:color w:val="auto"/>
        </w:rPr>
        <w:t>PTION NOT A</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ERVICE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ONTRACT</w:t>
      </w:r>
      <w:r>
        <w:rPr>
          <w:rFonts w:ascii="Arial" w:cs="Arial" w:eastAsia="Arial" w:hAnsi="Arial"/>
          <w:sz w:val="13"/>
          <w:szCs w:val="13"/>
          <w:color w:val="auto"/>
        </w:rPr>
        <w:t>. Your option is not an employment or service contract, and nothing in your option shall be deemed to create in any way whatsoever any obligation on your part to continue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employ of the Company or an Affiliate, or of the Company or an Affiliate to continue your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51" w:lineRule="exact"/>
        <w:rPr>
          <w:rFonts w:ascii="Arial" w:cs="Arial" w:eastAsia="Arial" w:hAnsi="Arial"/>
          <w:sz w:val="13"/>
          <w:szCs w:val="13"/>
          <w:b w:val="1"/>
          <w:bCs w:val="1"/>
          <w:color w:val="auto"/>
        </w:rPr>
      </w:pPr>
    </w:p>
    <w:p>
      <w:pPr>
        <w:ind w:left="320" w:hanging="198"/>
        <w:spacing w:after="0"/>
        <w:tabs>
          <w:tab w:leader="none" w:pos="32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ITHHOLDING</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BLIGATIONS</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b w:val="1"/>
          <w:bCs w:val="1"/>
          <w:color w:val="auto"/>
        </w:rPr>
      </w:pPr>
    </w:p>
    <w:p>
      <w:pPr>
        <w:ind w:left="-40" w:right="120" w:firstLine="326"/>
        <w:spacing w:after="0" w:line="296" w:lineRule="auto"/>
        <w:tabs>
          <w:tab w:leader="none" w:pos="473" w:val="left"/>
        </w:tabs>
        <w:numPr>
          <w:ilvl w:val="1"/>
          <w:numId w:val="68"/>
        </w:numPr>
        <w:rPr>
          <w:rFonts w:ascii="Arial" w:cs="Arial" w:eastAsia="Arial" w:hAnsi="Arial"/>
          <w:sz w:val="12"/>
          <w:szCs w:val="12"/>
          <w:b w:val="1"/>
          <w:bCs w:val="1"/>
          <w:color w:val="auto"/>
        </w:rPr>
      </w:pPr>
      <w:r>
        <w:rPr>
          <w:rFonts w:ascii="Arial" w:cs="Arial" w:eastAsia="Arial" w:hAnsi="Arial"/>
          <w:sz w:val="12"/>
          <w:szCs w:val="12"/>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your option.</w:t>
      </w:r>
    </w:p>
    <w:p>
      <w:pPr>
        <w:spacing w:after="0" w:line="39" w:lineRule="exact"/>
        <w:rPr>
          <w:rFonts w:ascii="Arial" w:cs="Arial" w:eastAsia="Arial" w:hAnsi="Arial"/>
          <w:sz w:val="12"/>
          <w:szCs w:val="12"/>
          <w:b w:val="1"/>
          <w:bCs w:val="1"/>
          <w:color w:val="auto"/>
        </w:rPr>
      </w:pPr>
    </w:p>
    <w:p>
      <w:pPr>
        <w:ind w:left="-40" w:firstLine="326"/>
        <w:spacing w:after="0" w:line="281" w:lineRule="auto"/>
        <w:tabs>
          <w:tab w:leader="none" w:pos="480" w:val="left"/>
        </w:tabs>
        <w:numPr>
          <w:ilvl w:val="1"/>
          <w:numId w:val="68"/>
        </w:numPr>
        <w:rPr>
          <w:rFonts w:ascii="Arial" w:cs="Arial" w:eastAsia="Arial" w:hAnsi="Arial"/>
          <w:sz w:val="12"/>
          <w:szCs w:val="12"/>
          <w:b w:val="1"/>
          <w:bCs w:val="1"/>
          <w:color w:val="auto"/>
        </w:rPr>
      </w:pPr>
      <w:r>
        <w:rPr>
          <w:rFonts w:ascii="Arial" w:cs="Arial" w:eastAsia="Arial" w:hAnsi="Arial"/>
          <w:sz w:val="12"/>
          <w:szCs w:val="12"/>
          <w:color w:val="auto"/>
        </w:rPr>
        <w:t>Upon your request and subject to approval by the Company, in its sole discretion, and compliance with any applicable conditions or restrictions of law, the Company may withhold from shares of Common Stock otherwise issuable to you upon the exercise of your option a number of whole shares of Common Stock having a Fair Market Value, determined by the Company as of the date of exercise, not in excess of the minimum amount of tax required to be withheld by law.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48" w:lineRule="exact"/>
        <w:rPr>
          <w:rFonts w:ascii="Arial" w:cs="Arial" w:eastAsia="Arial" w:hAnsi="Arial"/>
          <w:sz w:val="12"/>
          <w:szCs w:val="12"/>
          <w:b w:val="1"/>
          <w:bCs w:val="1"/>
          <w:color w:val="auto"/>
        </w:rPr>
      </w:pPr>
    </w:p>
    <w:p>
      <w:pPr>
        <w:ind w:left="-40" w:right="260" w:firstLine="326"/>
        <w:spacing w:after="0" w:line="276" w:lineRule="auto"/>
        <w:tabs>
          <w:tab w:leader="none" w:pos="465" w:val="left"/>
        </w:tabs>
        <w:numPr>
          <w:ilvl w:val="1"/>
          <w:numId w:val="68"/>
        </w:numPr>
        <w:rPr>
          <w:rFonts w:ascii="Arial" w:cs="Arial" w:eastAsia="Arial" w:hAnsi="Arial"/>
          <w:sz w:val="13"/>
          <w:szCs w:val="13"/>
          <w:b w:val="1"/>
          <w:bCs w:val="1"/>
          <w:color w:val="auto"/>
        </w:rPr>
      </w:pPr>
      <w:r>
        <w:rPr>
          <w:rFonts w:ascii="Arial" w:cs="Arial" w:eastAsia="Arial" w:hAnsi="Arial"/>
          <w:sz w:val="13"/>
          <w:szCs w:val="13"/>
          <w:color w:val="auto"/>
        </w:rPr>
        <w:t>You may not exercise your option unless the tax withholding obligations of the Company and/or any Affiliate are satisfied. Accordingly, you may not be able to exercise your option when desired, and the Company shall have no obligation to issue a certificate for such shares of Common Stock or release such shares of Common Stock from any escrow provided for herein.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16" w:right="259" w:bottom="1440" w:gutter="0" w:footer="0" w:header="0"/>
        </w:sectPr>
      </w:pPr>
    </w:p>
    <w:bookmarkStart w:id="111" w:name="page112"/>
    <w:bookmarkEnd w:id="111"/>
    <w:p>
      <w:pPr>
        <w:ind w:left="361" w:hanging="198"/>
        <w:spacing w:after="0"/>
        <w:tabs>
          <w:tab w:leader="none" w:pos="361" w:val="left"/>
        </w:tabs>
        <w:numPr>
          <w:ilvl w:val="1"/>
          <w:numId w:val="69"/>
        </w:numPr>
        <w:rPr>
          <w:rFonts w:ascii="Arial" w:cs="Arial" w:eastAsia="Arial" w:hAnsi="Arial"/>
          <w:sz w:val="12"/>
          <w:szCs w:val="12"/>
          <w:b w:val="1"/>
          <w:bCs w:val="1"/>
          <w:color w:val="auto"/>
        </w:rPr>
      </w:pPr>
      <w:r>
        <w:rPr>
          <w:rFonts w:ascii="Arial" w:cs="Arial" w:eastAsia="Arial" w:hAnsi="Arial"/>
          <w:sz w:val="12"/>
          <w:szCs w:val="12"/>
          <w:b w:val="1"/>
          <w:bCs w:val="1"/>
          <w:color w:val="auto"/>
        </w:rPr>
        <w:t>N</w:t>
      </w:r>
      <w:r>
        <w:rPr>
          <w:rFonts w:ascii="Arial" w:cs="Arial" w:eastAsia="Arial" w:hAnsi="Arial"/>
          <w:sz w:val="7"/>
          <w:szCs w:val="7"/>
          <w:b w:val="1"/>
          <w:bCs w:val="1"/>
          <w:color w:val="auto"/>
        </w:rPr>
        <w:t>OTICES</w:t>
      </w:r>
      <w:r>
        <w:rPr>
          <w:rFonts w:ascii="Arial" w:cs="Arial" w:eastAsia="Arial" w:hAnsi="Arial"/>
          <w:sz w:val="12"/>
          <w:szCs w:val="12"/>
          <w:color w:val="auto"/>
        </w:rPr>
        <w:t>. Any notices provided for in your option or the Plan shall be given in writing and shall be deemed effectively given upon receipt or, in the case of notices delivered by mail by the Company to you, five</w:t>
      </w:r>
    </w:p>
    <w:p>
      <w:pPr>
        <w:spacing w:after="0" w:line="30" w:lineRule="exact"/>
        <w:rPr>
          <w:rFonts w:ascii="Arial" w:cs="Arial" w:eastAsia="Arial" w:hAnsi="Arial"/>
          <w:sz w:val="12"/>
          <w:szCs w:val="12"/>
          <w:b w:val="1"/>
          <w:bCs w:val="1"/>
          <w:color w:val="auto"/>
        </w:rPr>
      </w:pPr>
    </w:p>
    <w:p>
      <w:pPr>
        <w:ind w:left="181" w:hanging="181"/>
        <w:spacing w:after="0"/>
        <w:tabs>
          <w:tab w:leader="none" w:pos="181" w:val="left"/>
        </w:tabs>
        <w:numPr>
          <w:ilvl w:val="0"/>
          <w:numId w:val="70"/>
        </w:numPr>
        <w:rPr>
          <w:rFonts w:ascii="Arial" w:cs="Arial" w:eastAsia="Arial" w:hAnsi="Arial"/>
          <w:sz w:val="13"/>
          <w:szCs w:val="13"/>
          <w:color w:val="auto"/>
        </w:rPr>
      </w:pPr>
      <w:r>
        <w:rPr>
          <w:rFonts w:ascii="Arial" w:cs="Arial" w:eastAsia="Arial" w:hAnsi="Arial"/>
          <w:sz w:val="13"/>
          <w:szCs w:val="13"/>
          <w:color w:val="auto"/>
        </w:rPr>
        <w:t>days after deposit in the United States mail, postage prepaid, addressed to you at the last address you provided to the Company.</w:t>
      </w:r>
    </w:p>
    <w:p>
      <w:pPr>
        <w:spacing w:after="0" w:line="74" w:lineRule="exact"/>
        <w:rPr>
          <w:rFonts w:ascii="Arial" w:cs="Arial" w:eastAsia="Arial" w:hAnsi="Arial"/>
          <w:sz w:val="13"/>
          <w:szCs w:val="13"/>
          <w:color w:val="auto"/>
        </w:rPr>
      </w:pPr>
    </w:p>
    <w:p>
      <w:pPr>
        <w:jc w:val="both"/>
        <w:ind w:left="1" w:firstLine="162"/>
        <w:spacing w:after="0" w:line="267" w:lineRule="auto"/>
        <w:tabs>
          <w:tab w:leader="none" w:pos="362" w:val="left"/>
        </w:tabs>
        <w:numPr>
          <w:ilvl w:val="1"/>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G</w:t>
      </w:r>
      <w:r>
        <w:rPr>
          <w:rFonts w:ascii="Arial" w:cs="Arial" w:eastAsia="Arial" w:hAnsi="Arial"/>
          <w:sz w:val="8"/>
          <w:szCs w:val="8"/>
          <w:b w:val="1"/>
          <w:bCs w:val="1"/>
          <w:color w:val="auto"/>
        </w:rPr>
        <w:t>OVERNING</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OCUMENT</w:t>
      </w:r>
      <w:r>
        <w:rPr>
          <w:rFonts w:ascii="Arial" w:cs="Arial" w:eastAsia="Arial" w:hAnsi="Arial"/>
          <w:sz w:val="13"/>
          <w:szCs w:val="13"/>
          <w:color w:val="auto"/>
        </w:rPr>
        <w:t>. Your option is subject to all the provisions of the Plan, the provisions of which are hereby made a part of your option, and is further subject to all interpretations, amendments, rules</w:t>
      </w:r>
      <w:r>
        <w:rPr>
          <w:rFonts w:ascii="Arial" w:cs="Arial" w:eastAsia="Arial" w:hAnsi="Arial"/>
          <w:sz w:val="13"/>
          <w:szCs w:val="13"/>
          <w:b w:val="1"/>
          <w:bCs w:val="1"/>
          <w:color w:val="auto"/>
        </w:rPr>
        <w:t xml:space="preserve"> </w:t>
      </w:r>
      <w:r>
        <w:rPr>
          <w:rFonts w:ascii="Arial" w:cs="Arial" w:eastAsia="Arial" w:hAnsi="Arial"/>
          <w:sz w:val="13"/>
          <w:szCs w:val="13"/>
          <w:color w:val="auto"/>
        </w:rPr>
        <w:t>and regulations which may from time to time be promulgated and adopted pursuant to the Plan. In the event of any conflict between the provisions of your option and those of the Plan, the provisions of the Plan shall control.</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21"/>
          </w:cols>
          <w:pgMar w:left="219" w:top="716" w:right="3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ind w:right="240"/>
        <w:spacing w:after="0" w:line="264" w:lineRule="auto"/>
        <w:rPr>
          <w:sz w:val="20"/>
          <w:szCs w:val="20"/>
          <w:color w:val="auto"/>
        </w:rPr>
      </w:pPr>
      <w:r>
        <w:rPr>
          <w:rFonts w:ascii="Arial" w:cs="Arial" w:eastAsia="Arial" w:hAnsi="Arial"/>
          <w:sz w:val="13"/>
          <w:szCs w:val="13"/>
          <w:color w:val="auto"/>
        </w:rPr>
        <w:t>We consent to the incorporation by reference in Registration Statement No. 333-117811 of MannKind Corporation on Form S-8 of our reports relating to the financial statements of MannKind Corporation and management’s report on the effectiveness of internal control over financial reporting dated March 15, 2006, appearing in the Annual Report on Form 10-K of MannKind Corporation for the year ended December 31, 2005.</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15, 2006</w:t>
      </w:r>
    </w:p>
    <w:p>
      <w:pPr>
        <w:sectPr>
          <w:pgSz w:w="11900" w:h="16838" w:orient="portrait"/>
          <w:cols w:equalWidth="0" w:num="1">
            <w:col w:w="9980"/>
          </w:cols>
          <w:pgMar w:left="900" w:top="716" w:right="10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I, Alfred E. Mann, certify that:</w:t>
      </w:r>
    </w:p>
    <w:p>
      <w:pPr>
        <w:spacing w:after="0" w:line="96" w:lineRule="exact"/>
        <w:rPr>
          <w:sz w:val="20"/>
          <w:szCs w:val="20"/>
          <w:color w:val="auto"/>
        </w:rPr>
      </w:pPr>
    </w:p>
    <w:p>
      <w:pPr>
        <w:ind w:left="140" w:hanging="133"/>
        <w:spacing w:after="0"/>
        <w:tabs>
          <w:tab w:leader="none" w:pos="1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MannKind Corporation;</w:t>
      </w:r>
    </w:p>
    <w:p>
      <w:pPr>
        <w:spacing w:after="0" w:line="96" w:lineRule="exact"/>
        <w:rPr>
          <w:rFonts w:ascii="Arial" w:cs="Arial" w:eastAsia="Arial" w:hAnsi="Arial"/>
          <w:sz w:val="13"/>
          <w:szCs w:val="13"/>
          <w:color w:val="auto"/>
        </w:rPr>
      </w:pPr>
    </w:p>
    <w:p>
      <w:pPr>
        <w:ind w:right="540" w:firstLine="7"/>
        <w:spacing w:after="0" w:line="276" w:lineRule="auto"/>
        <w:tabs>
          <w:tab w:leader="none" w:pos="131" w:val="left"/>
        </w:tabs>
        <w:numPr>
          <w:ilvl w:val="0"/>
          <w:numId w:val="7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40" w:firstLine="7"/>
        <w:spacing w:after="0" w:line="276" w:lineRule="auto"/>
        <w:tabs>
          <w:tab w:leader="none" w:pos="131" w:val="left"/>
        </w:tabs>
        <w:numPr>
          <w:ilvl w:val="0"/>
          <w:numId w:val="7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140" w:hanging="133"/>
        <w:spacing w:after="0"/>
        <w:tabs>
          <w:tab w:leader="none" w:pos="1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9" w:lineRule="exact"/>
        <w:rPr>
          <w:sz w:val="20"/>
          <w:szCs w:val="20"/>
          <w:color w:val="auto"/>
        </w:rPr>
      </w:pPr>
    </w:p>
    <w:p>
      <w:pPr>
        <w:ind w:left="400" w:right="80" w:firstLine="389"/>
        <w:spacing w:after="0" w:line="264" w:lineRule="auto"/>
        <w:tabs>
          <w:tab w:leader="none" w:pos="961" w:val="left"/>
        </w:tabs>
        <w:numPr>
          <w:ilvl w:val="1"/>
          <w:numId w:val="7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20" w:firstLine="389"/>
        <w:spacing w:after="0" w:line="371" w:lineRule="auto"/>
        <w:tabs>
          <w:tab w:leader="none" w:pos="969" w:val="left"/>
        </w:tabs>
        <w:numPr>
          <w:ilvl w:val="1"/>
          <w:numId w:val="7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40" w:firstLine="389"/>
        <w:spacing w:after="0" w:line="276" w:lineRule="auto"/>
        <w:tabs>
          <w:tab w:leader="none" w:pos="961" w:val="left"/>
        </w:tabs>
        <w:numPr>
          <w:ilvl w:val="1"/>
          <w:numId w:val="7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200" w:firstLine="389"/>
        <w:spacing w:after="0" w:line="371" w:lineRule="auto"/>
        <w:tabs>
          <w:tab w:leader="none" w:pos="969" w:val="left"/>
        </w:tabs>
        <w:numPr>
          <w:ilvl w:val="1"/>
          <w:numId w:val="7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360" w:firstLine="7"/>
        <w:spacing w:after="0" w:line="276" w:lineRule="auto"/>
        <w:tabs>
          <w:tab w:leader="none" w:pos="129"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firstLine="389"/>
        <w:spacing w:after="0" w:line="276" w:lineRule="auto"/>
        <w:tabs>
          <w:tab w:leader="none" w:pos="954" w:val="left"/>
        </w:tabs>
        <w:numPr>
          <w:ilvl w:val="1"/>
          <w:numId w:val="7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 and Chairman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March 15, 2006</w:t>
      </w:r>
    </w:p>
    <w:p>
      <w:pPr>
        <w:sectPr>
          <w:pgSz w:w="11900" w:h="16838" w:orient="portrait"/>
          <w:cols w:equalWidth="0" w:num="1">
            <w:col w:w="9980"/>
          </w:cols>
          <w:pgMar w:left="900" w:top="716" w:right="10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I, Richard L. Anderson, certify that:</w:t>
      </w:r>
    </w:p>
    <w:p>
      <w:pPr>
        <w:spacing w:after="0" w:line="96" w:lineRule="exact"/>
        <w:rPr>
          <w:sz w:val="20"/>
          <w:szCs w:val="20"/>
          <w:color w:val="auto"/>
        </w:rPr>
      </w:pPr>
    </w:p>
    <w:p>
      <w:pPr>
        <w:ind w:left="140" w:hanging="133"/>
        <w:spacing w:after="0"/>
        <w:tabs>
          <w:tab w:leader="none" w:pos="1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MannKind Corporation;</w:t>
      </w:r>
    </w:p>
    <w:p>
      <w:pPr>
        <w:spacing w:after="0" w:line="96" w:lineRule="exact"/>
        <w:rPr>
          <w:rFonts w:ascii="Arial" w:cs="Arial" w:eastAsia="Arial" w:hAnsi="Arial"/>
          <w:sz w:val="13"/>
          <w:szCs w:val="13"/>
          <w:color w:val="auto"/>
        </w:rPr>
      </w:pPr>
    </w:p>
    <w:p>
      <w:pPr>
        <w:ind w:right="540" w:firstLine="7"/>
        <w:spacing w:after="0" w:line="276" w:lineRule="auto"/>
        <w:tabs>
          <w:tab w:leader="none" w:pos="131"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40" w:firstLine="7"/>
        <w:spacing w:after="0" w:line="276" w:lineRule="auto"/>
        <w:tabs>
          <w:tab w:leader="none" w:pos="131"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140" w:hanging="133"/>
        <w:spacing w:after="0"/>
        <w:tabs>
          <w:tab w:leader="none" w:pos="1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9" w:lineRule="exact"/>
        <w:rPr>
          <w:sz w:val="20"/>
          <w:szCs w:val="20"/>
          <w:color w:val="auto"/>
        </w:rPr>
      </w:pPr>
    </w:p>
    <w:p>
      <w:pPr>
        <w:ind w:left="400" w:right="80" w:firstLine="389"/>
        <w:spacing w:after="0" w:line="264" w:lineRule="auto"/>
        <w:tabs>
          <w:tab w:leader="none" w:pos="961" w:val="left"/>
        </w:tabs>
        <w:numPr>
          <w:ilvl w:val="1"/>
          <w:numId w:val="7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20" w:firstLine="389"/>
        <w:spacing w:after="0" w:line="371" w:lineRule="auto"/>
        <w:tabs>
          <w:tab w:leader="none" w:pos="969" w:val="left"/>
        </w:tabs>
        <w:numPr>
          <w:ilvl w:val="1"/>
          <w:numId w:val="7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40" w:firstLine="389"/>
        <w:spacing w:after="0" w:line="276" w:lineRule="auto"/>
        <w:tabs>
          <w:tab w:leader="none" w:pos="961" w:val="left"/>
        </w:tabs>
        <w:numPr>
          <w:ilvl w:val="1"/>
          <w:numId w:val="7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200" w:firstLine="389"/>
        <w:spacing w:after="0" w:line="371" w:lineRule="auto"/>
        <w:tabs>
          <w:tab w:leader="none" w:pos="969" w:val="left"/>
        </w:tabs>
        <w:numPr>
          <w:ilvl w:val="1"/>
          <w:numId w:val="75"/>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360" w:firstLine="7"/>
        <w:spacing w:after="0" w:line="276" w:lineRule="auto"/>
        <w:tabs>
          <w:tab w:leader="none" w:pos="129"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firstLine="389"/>
        <w:spacing w:after="0" w:line="276" w:lineRule="auto"/>
        <w:tabs>
          <w:tab w:leader="none" w:pos="954"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Richard L. Anderson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Corporate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March 15, 2006</w:t>
      </w:r>
    </w:p>
    <w:p>
      <w:pPr>
        <w:sectPr>
          <w:pgSz w:w="11900" w:h="16838" w:orient="portrait"/>
          <w:cols w:equalWidth="0" w:num="1">
            <w:col w:w="9980"/>
          </w:cols>
          <w:pgMar w:left="900" w:top="716" w:right="10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32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00"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67" w:lineRule="exact"/>
        <w:rPr>
          <w:sz w:val="20"/>
          <w:szCs w:val="20"/>
          <w:color w:val="auto"/>
        </w:rPr>
      </w:pPr>
    </w:p>
    <w:p>
      <w:pPr>
        <w:ind w:left="400" w:right="260" w:firstLine="389"/>
        <w:spacing w:after="0" w:line="276" w:lineRule="auto"/>
        <w:tabs>
          <w:tab w:leader="none" w:pos="91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Company’s Annual Report on Form 10-K for the period ended December 31, 2005, to which this Certification is attached as Exhibit 32 (the “Annual Report”) fully complies with the requirements of Section 13(a) or Section 15(d) of the Exchange Act,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information contained in the Annual Report fairly presents, in all material respects, the financial condition and results of operations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have set their hands hereto as of the 15th day of March 2006.</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LFRED</w:t>
            </w:r>
            <w:r>
              <w:rPr>
                <w:rFonts w:ascii="Arial" w:cs="Arial" w:eastAsia="Arial" w:hAnsi="Arial"/>
                <w:sz w:val="13"/>
                <w:szCs w:val="13"/>
                <w:color w:val="auto"/>
              </w:rPr>
              <w:t xml:space="preserve"> E. M</w:t>
            </w:r>
            <w:r>
              <w:rPr>
                <w:rFonts w:ascii="Arial" w:cs="Arial" w:eastAsia="Arial" w:hAnsi="Arial"/>
                <w:sz w:val="8"/>
                <w:szCs w:val="8"/>
                <w:color w:val="auto"/>
              </w:rPr>
              <w:t>ANN</w:t>
            </w:r>
          </w:p>
        </w:tc>
        <w:tc>
          <w:tcPr>
            <w:tcW w:w="1200" w:type="dxa"/>
            <w:vAlign w:val="bottom"/>
          </w:tcPr>
          <w:p>
            <w:pPr>
              <w:spacing w:after="0"/>
              <w:rPr>
                <w:sz w:val="14"/>
                <w:szCs w:val="1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L. A</w:t>
            </w:r>
            <w:r>
              <w:rPr>
                <w:rFonts w:ascii="Arial" w:cs="Arial" w:eastAsia="Arial" w:hAnsi="Arial"/>
                <w:sz w:val="8"/>
                <w:szCs w:val="8"/>
                <w:color w:val="auto"/>
              </w:rPr>
              <w:t>NDERSON</w:t>
            </w:r>
          </w:p>
        </w:tc>
      </w:tr>
      <w:tr>
        <w:trPr>
          <w:trHeight w:val="139"/>
        </w:trPr>
        <w:tc>
          <w:tcPr>
            <w:tcW w:w="4000" w:type="dxa"/>
            <w:vAlign w:val="bottom"/>
          </w:tcPr>
          <w:p>
            <w:pPr>
              <w:spacing w:after="0" w:line="139" w:lineRule="exact"/>
              <w:rPr>
                <w:sz w:val="20"/>
                <w:szCs w:val="20"/>
                <w:color w:val="auto"/>
              </w:rPr>
            </w:pPr>
            <w:r>
              <w:rPr>
                <w:rFonts w:ascii="Arial" w:cs="Arial" w:eastAsia="Arial" w:hAnsi="Arial"/>
                <w:sz w:val="13"/>
                <w:szCs w:val="13"/>
                <w:color w:val="auto"/>
              </w:rPr>
              <w:t>Alfred E. Mann</w:t>
            </w:r>
          </w:p>
        </w:tc>
        <w:tc>
          <w:tcPr>
            <w:tcW w:w="1200" w:type="dxa"/>
            <w:vAlign w:val="bottom"/>
          </w:tcPr>
          <w:p>
            <w:pPr>
              <w:spacing w:after="0"/>
              <w:rPr>
                <w:sz w:val="12"/>
                <w:szCs w:val="12"/>
                <w:color w:val="auto"/>
              </w:rPr>
            </w:pPr>
          </w:p>
        </w:tc>
        <w:tc>
          <w:tcPr>
            <w:tcW w:w="3820" w:type="dxa"/>
            <w:vAlign w:val="bottom"/>
          </w:tcPr>
          <w:p>
            <w:pPr>
              <w:spacing w:after="0" w:line="139" w:lineRule="exact"/>
              <w:rPr>
                <w:sz w:val="20"/>
                <w:szCs w:val="20"/>
                <w:color w:val="auto"/>
              </w:rPr>
            </w:pPr>
            <w:r>
              <w:rPr>
                <w:rFonts w:ascii="Arial" w:cs="Arial" w:eastAsia="Arial" w:hAnsi="Arial"/>
                <w:sz w:val="13"/>
                <w:szCs w:val="13"/>
                <w:color w:val="auto"/>
              </w:rPr>
              <w:t>Richard L. Anderson</w:t>
            </w:r>
          </w:p>
        </w:tc>
      </w:tr>
      <w:tr>
        <w:trPr>
          <w:trHeight w:val="165"/>
        </w:trPr>
        <w:tc>
          <w:tcPr>
            <w:tcW w:w="400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120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“This certification accompanies the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9980"/>
      </w:cols>
      <w:pgMar w:left="900" w:top="71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lvl w:ilvl="1">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3"/>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1"/>
    </w:lvl>
    <w:lvl w:ilvl="1">
      <w:lvlJc w:val="left"/>
      <w:lvlText w:val="(%2)"/>
      <w:numFmt w:val="decimal"/>
      <w:start w:val="3"/>
    </w:lvl>
  </w:abstractNum>
  <w:abstractNum w:abstractNumId="26">
    <w:nsid w:val="75C6C33A"/>
    <w:multiLevelType w:val="hybridMultilevel"/>
    <w:lvl w:ilvl="0">
      <w:lvlJc w:val="left"/>
      <w:lvlText w:val="(%1)"/>
      <w:numFmt w:val="lowerLetter"/>
      <w:start w:val="3"/>
    </w:lvl>
    <w:lvl w:ilvl="1">
      <w:lvlJc w:val="left"/>
      <w:lvlText w:val="%2"/>
      <w:numFmt w:val="decimal"/>
      <w:start w:val="1"/>
    </w:lvl>
  </w:abstractNum>
  <w:abstractNum w:abstractNumId="27">
    <w:nsid w:val="12E685FB"/>
    <w:multiLevelType w:val="hybridMultilevel"/>
    <w:lvl w:ilvl="0">
      <w:lvlJc w:val="left"/>
      <w:lvlText w:val="*"/>
      <w:numFmt w:val="bullet"/>
      <w:start w:val="1"/>
    </w:lvl>
    <w:lvl w:ilvl="1">
      <w:lvlJc w:val="left"/>
      <w:lvlText w:val="%2"/>
      <w:numFmt w:val="decimal"/>
      <w:start w:val="32"/>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2"/>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4"/>
    </w:lvl>
  </w:abstractNum>
  <w:abstractNum w:abstractNumId="34">
    <w:nsid w:val="275AC794"/>
    <w:multiLevelType w:val="hybridMultilevel"/>
    <w:lvl w:ilvl="0">
      <w:lvlJc w:val="left"/>
      <w:lvlText w:val="%1."/>
      <w:numFmt w:val="decimal"/>
      <w:start w:val="5"/>
    </w:lvl>
  </w:abstractNum>
  <w:abstractNum w:abstractNumId="35">
    <w:nsid w:val="39386575"/>
    <w:multiLevelType w:val="hybridMultilevel"/>
    <w:lvl w:ilvl="0">
      <w:lvlJc w:val="left"/>
      <w:lvlText w:val="%1."/>
      <w:numFmt w:val="decimal"/>
      <w:start w:val="7"/>
    </w:lvl>
  </w:abstractNum>
  <w:abstractNum w:abstractNumId="36">
    <w:nsid w:val="1CF10FD8"/>
    <w:multiLevelType w:val="hybridMultilevel"/>
    <w:lvl w:ilvl="0">
      <w:lvlJc w:val="left"/>
      <w:lvlText w:val="%1."/>
      <w:numFmt w:val="decimal"/>
      <w:start w:val="8"/>
    </w:lvl>
  </w:abstractNum>
  <w:abstractNum w:abstractNumId="37">
    <w:nsid w:val="180115BE"/>
    <w:multiLevelType w:val="hybridMultilevel"/>
    <w:lvl w:ilvl="0">
      <w:lvlJc w:val="left"/>
      <w:lvlText w:val="%1."/>
      <w:numFmt w:val="decimal"/>
      <w:start w:val="9"/>
    </w:lvl>
  </w:abstractNum>
  <w:abstractNum w:abstractNumId="38">
    <w:nsid w:val="235BA861"/>
    <w:multiLevelType w:val="hybridMultilevel"/>
    <w:lvl w:ilvl="0">
      <w:lvlJc w:val="left"/>
      <w:lvlText w:val="%1."/>
      <w:numFmt w:val="decimal"/>
      <w:start w:val="10"/>
    </w:lvl>
  </w:abstractNum>
  <w:abstractNum w:abstractNumId="39">
    <w:nsid w:val="47398C89"/>
    <w:multiLevelType w:val="hybridMultilevel"/>
    <w:lvl w:ilvl="0">
      <w:lvlJc w:val="left"/>
      <w:lvlText w:val="%1."/>
      <w:numFmt w:val="decimal"/>
      <w:start w:val="11"/>
    </w:lvl>
  </w:abstractNum>
  <w:abstractNum w:abstractNumId="40">
    <w:nsid w:val="354FE9F9"/>
    <w:multiLevelType w:val="hybridMultilevel"/>
    <w:lvl w:ilvl="0">
      <w:lvlJc w:val="left"/>
      <w:lvlText w:val="%1."/>
      <w:numFmt w:val="decimal"/>
      <w:start w:val="12"/>
    </w:lvl>
  </w:abstractNum>
  <w:abstractNum w:abstractNumId="41">
    <w:nsid w:val="15B5AF5C"/>
    <w:multiLevelType w:val="hybridMultilevel"/>
    <w:lvl w:ilvl="0">
      <w:lvlJc w:val="left"/>
      <w:lvlText w:val="%1."/>
      <w:numFmt w:val="decimal"/>
      <w:start w:val="13"/>
    </w:lvl>
  </w:abstractNum>
  <w:abstractNum w:abstractNumId="42">
    <w:nsid w:val="741226BB"/>
    <w:multiLevelType w:val="hybridMultilevel"/>
    <w:lvl w:ilvl="0">
      <w:lvlJc w:val="left"/>
      <w:lvlText w:val="%1."/>
      <w:numFmt w:val="decimal"/>
      <w:start w:val="14"/>
    </w:lvl>
  </w:abstractNum>
  <w:abstractNum w:abstractNumId="43">
    <w:nsid w:val="D34B6A8"/>
    <w:multiLevelType w:val="hybridMultilevel"/>
    <w:lvl w:ilvl="0">
      <w:lvlJc w:val="left"/>
      <w:lvlText w:val="%1."/>
      <w:numFmt w:val="decimal"/>
      <w:start w:val="15"/>
    </w:lvl>
  </w:abstractNum>
  <w:abstractNum w:abstractNumId="44">
    <w:nsid w:val="10233C99"/>
    <w:multiLevelType w:val="hybridMultilevel"/>
    <w:lvl w:ilvl="0">
      <w:lvlJc w:val="left"/>
      <w:lvlText w:val="%1."/>
      <w:numFmt w:val="decimal"/>
      <w:start w:val="1"/>
    </w:lvl>
    <w:lvl w:ilvl="1">
      <w:lvlJc w:val="left"/>
      <w:lvlText w:val="(%2)"/>
      <w:numFmt w:val="lowerLetter"/>
      <w:start w:val="1"/>
    </w:lvl>
  </w:abstractNum>
  <w:abstractNum w:abstractNumId="45">
    <w:nsid w:val="3F6AB60F"/>
    <w:multiLevelType w:val="hybridMultilevel"/>
    <w:lvl w:ilvl="0">
      <w:lvlJc w:val="left"/>
      <w:lvlText w:val="(%1)"/>
      <w:numFmt w:val="lowerLetter"/>
      <w:start w:val="9"/>
    </w:lvl>
    <w:lvl w:ilvl="1">
      <w:lvlJc w:val="left"/>
      <w:lvlText w:val="(%2)"/>
      <w:numFmt w:val="lowerRoman"/>
      <w:start w:val="1"/>
    </w:lvl>
  </w:abstractNum>
  <w:abstractNum w:abstractNumId="46">
    <w:nsid w:val="61574095"/>
    <w:multiLevelType w:val="hybridMultilevel"/>
    <w:lvl w:ilvl="0">
      <w:lvlJc w:val="left"/>
      <w:lvlText w:val="(%1)"/>
      <w:numFmt w:val="lowerLetter"/>
      <w:start w:val="15"/>
    </w:lvl>
    <w:lvl w:ilvl="1">
      <w:lvlJc w:val="left"/>
      <w:lvlText w:val="(%2)"/>
      <w:numFmt w:val="lowerRoman"/>
      <w:start w:val="1"/>
    </w:lvl>
  </w:abstractNum>
  <w:abstractNum w:abstractNumId="47">
    <w:nsid w:val="7E0C57B1"/>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48">
    <w:nsid w:val="77AE35E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0">
    <w:nsid w:val="310C50B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
    <w:nsid w:val="5FF87E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2F305DEF"/>
    <w:multiLevelType w:val="hybridMultilevel"/>
    <w:lvl w:ilvl="0">
      <w:lvlJc w:val="left"/>
      <w:lvlText w:val="%1."/>
      <w:numFmt w:val="decimal"/>
      <w:start w:val="5"/>
    </w:lvl>
  </w:abstractNum>
  <w:abstractNum w:abstractNumId="53">
    <w:nsid w:val="25A70BF7"/>
    <w:multiLevelType w:val="hybridMultilevel"/>
    <w:lvl w:ilvl="0">
      <w:lvlJc w:val="left"/>
      <w:lvlText w:val="%1."/>
      <w:numFmt w:val="decimal"/>
      <w:start w:val="6"/>
    </w:lvl>
    <w:lvl w:ilvl="1">
      <w:lvlJc w:val="left"/>
      <w:lvlText w:val="(%2)"/>
      <w:numFmt w:val="lowerLetter"/>
      <w:start w:val="1"/>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4"/>
    </w:lvl>
  </w:abstractNum>
  <w:abstractNum w:abstractNumId="56">
    <w:nsid w:val="1F48EAA1"/>
    <w:multiLevelType w:val="hybridMultilevel"/>
    <w:lvl w:ilvl="0">
      <w:lvlJc w:val="left"/>
      <w:lvlText w:val="%1."/>
      <w:numFmt w:val="decimal"/>
      <w:start w:val="8"/>
    </w:lvl>
  </w:abstractNum>
  <w:abstractNum w:abstractNumId="57">
    <w:nsid w:val="1381823A"/>
    <w:multiLevelType w:val="hybridMultilevel"/>
    <w:lvl w:ilvl="0">
      <w:lvlJc w:val="left"/>
      <w:lvlText w:val="%1."/>
      <w:numFmt w:val="decimal"/>
      <w:start w:val="9"/>
    </w:lvl>
  </w:abstractNum>
  <w:abstractNum w:abstractNumId="58">
    <w:nsid w:val="5DB70AE5"/>
    <w:multiLevelType w:val="hybridMultilevel"/>
    <w:lvl w:ilvl="0">
      <w:lvlJc w:val="left"/>
      <w:lvlText w:val="%1."/>
      <w:numFmt w:val="decimal"/>
      <w:start w:val="10"/>
    </w:lvl>
    <w:lvl w:ilvl="1">
      <w:lvlJc w:val="left"/>
      <w:lvlText w:val="(%2)"/>
      <w:numFmt w:val="lowerLetter"/>
      <w:start w:val="1"/>
    </w:lvl>
  </w:abstractNum>
  <w:abstractNum w:abstractNumId="59">
    <w:nsid w:val="100F8FCA"/>
    <w:multiLevelType w:val="hybridMultilevel"/>
    <w:lvl w:ilvl="0">
      <w:lvlJc w:val="left"/>
      <w:lvlText w:val="%1"/>
      <w:numFmt w:val="decimal"/>
      <w:start w:val="1"/>
    </w:lvl>
    <w:lvl w:ilvl="1">
      <w:lvlJc w:val="left"/>
      <w:lvlText w:val="(%2)"/>
      <w:numFmt w:val="lowerLetter"/>
      <w:start w:val="4"/>
    </w:lvl>
  </w:abstractNum>
  <w:abstractNum w:abstractNumId="60">
    <w:nsid w:val="6590700B"/>
    <w:multiLevelType w:val="hybridMultilevel"/>
    <w:lvl w:ilvl="0">
      <w:lvlJc w:val="left"/>
      <w:lvlText w:val="%1."/>
      <w:numFmt w:val="decimal"/>
      <w:start w:val="11"/>
    </w:lvl>
    <w:lvl w:ilvl="1">
      <w:lvlJc w:val="left"/>
      <w:lvlText w:val="(%2)"/>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2"/>
    </w:lvl>
  </w:abstractNum>
  <w:abstractNum w:abstractNumId="62">
    <w:nsid w:val="5F5E7FD0"/>
    <w:multiLevelType w:val="hybridMultilevel"/>
    <w:lvl w:ilvl="0">
      <w:lvlJc w:val="left"/>
      <w:lvlText w:val="%1."/>
      <w:numFmt w:val="decimal"/>
      <w:start w:val="13"/>
    </w:lvl>
    <w:lvl w:ilvl="1">
      <w:lvlJc w:val="left"/>
      <w:lvlText w:val="(%2)"/>
      <w:numFmt w:val="lowerLetter"/>
      <w:start w:val="1"/>
    </w:lvl>
  </w:abstractNum>
  <w:abstractNum w:abstractNumId="63">
    <w:nsid w:val="98A3148"/>
    <w:multiLevelType w:val="hybridMultilevel"/>
    <w:lvl w:ilvl="0">
      <w:lvlJc w:val="left"/>
      <w:lvlText w:val="%1."/>
      <w:numFmt w:val="decimal"/>
      <w:start w:val="15"/>
    </w:lvl>
  </w:abstractNum>
  <w:abstractNum w:abstractNumId="64">
    <w:nsid w:val="799D0247"/>
    <w:multiLevelType w:val="hybridMultilevel"/>
    <w:lvl w:ilvl="0">
      <w:lvlJc w:val="left"/>
      <w:lvlText w:val="%1."/>
      <w:numFmt w:val="decimal"/>
      <w:start w:val="1"/>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6">
    <w:nsid w:val="42C296BD"/>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67">
    <w:nsid w:val="168E121F"/>
    <w:multiLevelType w:val="hybridMultilevel"/>
    <w:lvl w:ilvl="0">
      <w:lvlJc w:val="left"/>
      <w:lvlText w:val="%1."/>
      <w:numFmt w:val="decimal"/>
      <w:start w:val="8"/>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decimal"/>
      <w:start w:val="11"/>
    </w:lvl>
  </w:abstractNum>
  <w:abstractNum w:abstractNumId="69">
    <w:nsid w:val="661E3F1E"/>
    <w:multiLevelType w:val="hybridMultilevel"/>
    <w:lvl w:ilvl="0">
      <w:lvlJc w:val="left"/>
      <w:lvlText w:val="(%1)"/>
      <w:numFmt w:val="decimal"/>
      <w:start w:val="5"/>
    </w:lvl>
    <w:lvl w:ilvl="1">
      <w:lvlJc w:val="left"/>
      <w:lvlText w:val="%2."/>
      <w:numFmt w:val="decimal"/>
      <w:start w:val="12"/>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5"/>
    </w:lvl>
    <w:lvl w:ilvl="1">
      <w:lvlJc w:val="left"/>
      <w:lvlText w:val="(%2)"/>
      <w:numFmt w:val="lowerLetter"/>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5"/>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2019-12-14T00:54:40Z</dcterms:created>
  <dcterms:modified xsi:type="dcterms:W3CDTF">2019-12-14T00:54:40Z</dcterms:modified>
</cp:coreProperties>
</file>