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63030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2603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248285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7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8"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Washington, D.C. 20549</w:t>
      </w:r>
    </w:p>
    <w:p>
      <w:pPr>
        <w:ind w:left="4880"/>
        <w:spacing w:after="0" w:line="238" w:lineRule="auto"/>
        <w:rPr>
          <w:sz w:val="20"/>
          <w:szCs w:val="20"/>
          <w:color w:val="auto"/>
        </w:rPr>
      </w:pPr>
      <w:r>
        <w:rPr>
          <w:rFonts w:ascii="Arial" w:cs="Arial" w:eastAsia="Arial" w:hAnsi="Arial"/>
          <w:sz w:val="32"/>
          <w:szCs w:val="32"/>
          <w:b w:val="1"/>
          <w:bCs w:val="1"/>
          <w:color w:val="auto"/>
        </w:rPr>
        <w:t>Form 10-K</w:t>
      </w:r>
    </w:p>
    <w:p>
      <w:pPr>
        <w:ind w:left="980" w:hanging="266"/>
        <w:spacing w:after="0" w:line="232"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w:t>
      </w:r>
    </w:p>
    <w:p>
      <w:pPr>
        <w:ind w:left="980"/>
        <w:spacing w:after="0" w:line="235" w:lineRule="auto"/>
        <w:rPr>
          <w:sz w:val="20"/>
          <w:szCs w:val="20"/>
          <w:color w:val="auto"/>
        </w:rPr>
      </w:pPr>
      <w:r>
        <w:rPr>
          <w:rFonts w:ascii="Arial" w:cs="Arial" w:eastAsia="Arial" w:hAnsi="Arial"/>
          <w:sz w:val="22"/>
          <w:szCs w:val="22"/>
          <w:b w:val="1"/>
          <w:bCs w:val="1"/>
          <w:color w:val="auto"/>
        </w:rPr>
        <w:t>EXCHANGE ACT OF 1934</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4" w:lineRule="exact"/>
        <w:rPr>
          <w:sz w:val="20"/>
          <w:szCs w:val="20"/>
          <w:color w:val="auto"/>
        </w:rPr>
      </w:pPr>
    </w:p>
    <w:p>
      <w:pPr>
        <w:ind w:left="1900" w:hanging="714"/>
        <w:spacing w:after="0"/>
        <w:tabs>
          <w:tab w:leader="none" w:pos="19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w:t>
      </w:r>
    </w:p>
    <w:p>
      <w:pPr>
        <w:ind w:left="1900"/>
        <w:spacing w:after="0" w:line="235"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700" w:type="dxa"/>
            <w:vAlign w:val="bottom"/>
            <w:gridSpan w:val="3"/>
          </w:tcPr>
          <w:p>
            <w:pPr>
              <w:jc w:val="center"/>
              <w:ind w:left="476"/>
              <w:spacing w:after="0"/>
              <w:rPr>
                <w:sz w:val="20"/>
                <w:szCs w:val="20"/>
                <w:color w:val="auto"/>
              </w:rPr>
            </w:pPr>
            <w:r>
              <w:rPr>
                <w:rFonts w:ascii="Arial" w:cs="Arial" w:eastAsia="Arial" w:hAnsi="Arial"/>
                <w:sz w:val="18"/>
                <w:szCs w:val="18"/>
                <w:b w:val="1"/>
                <w:bCs w:val="1"/>
                <w:color w:val="auto"/>
                <w:w w:val="92"/>
              </w:rPr>
              <w:t>For the transition period from</w:t>
            </w:r>
          </w:p>
        </w:tc>
        <w:tc>
          <w:tcPr>
            <w:tcW w:w="550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c>
          <w:tcPr>
            <w:tcW w:w="480" w:type="dxa"/>
            <w:vAlign w:val="bottom"/>
          </w:tcPr>
          <w:p>
            <w:pPr>
              <w:spacing w:after="0"/>
              <w:rPr>
                <w:sz w:val="20"/>
                <w:szCs w:val="20"/>
                <w:color w:val="auto"/>
              </w:rPr>
            </w:pPr>
          </w:p>
        </w:tc>
      </w:tr>
      <w:tr>
        <w:trPr>
          <w:trHeight w:val="261"/>
        </w:trPr>
        <w:tc>
          <w:tcPr>
            <w:tcW w:w="1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60" w:type="dxa"/>
            <w:vAlign w:val="bottom"/>
            <w:gridSpan w:val="4"/>
          </w:tcPr>
          <w:p>
            <w:pPr>
              <w:jc w:val="center"/>
              <w:ind w:right="2280"/>
              <w:spacing w:after="0"/>
              <w:rPr>
                <w:sz w:val="20"/>
                <w:szCs w:val="20"/>
                <w:color w:val="auto"/>
              </w:rPr>
            </w:pPr>
            <w:r>
              <w:rPr>
                <w:rFonts w:ascii="Arial" w:cs="Arial" w:eastAsia="Arial" w:hAnsi="Arial"/>
                <w:sz w:val="18"/>
                <w:szCs w:val="18"/>
                <w:b w:val="1"/>
                <w:bCs w:val="1"/>
                <w:color w:val="auto"/>
                <w:w w:val="90"/>
              </w:rPr>
              <w:t>Commission file number: 000-50865.</w:t>
            </w:r>
          </w:p>
        </w:tc>
        <w:tc>
          <w:tcPr>
            <w:tcW w:w="480" w:type="dxa"/>
            <w:vAlign w:val="bottom"/>
          </w:tcPr>
          <w:p>
            <w:pPr>
              <w:spacing w:after="0"/>
              <w:rPr>
                <w:sz w:val="22"/>
                <w:szCs w:val="22"/>
                <w:color w:val="auto"/>
              </w:rPr>
            </w:pPr>
          </w:p>
        </w:tc>
      </w:tr>
      <w:tr>
        <w:trPr>
          <w:trHeight w:val="524"/>
        </w:trPr>
        <w:tc>
          <w:tcPr>
            <w:tcW w:w="1720" w:type="dxa"/>
            <w:vAlign w:val="bottom"/>
          </w:tcPr>
          <w:p>
            <w:pPr>
              <w:spacing w:after="0"/>
              <w:rPr>
                <w:sz w:val="24"/>
                <w:szCs w:val="24"/>
                <w:color w:val="auto"/>
              </w:rPr>
            </w:pPr>
          </w:p>
        </w:tc>
        <w:tc>
          <w:tcPr>
            <w:tcW w:w="7480" w:type="dxa"/>
            <w:vAlign w:val="bottom"/>
            <w:gridSpan w:val="5"/>
          </w:tcPr>
          <w:p>
            <w:pPr>
              <w:jc w:val="center"/>
              <w:ind w:right="1460"/>
              <w:spacing w:after="0"/>
              <w:rPr>
                <w:sz w:val="20"/>
                <w:szCs w:val="20"/>
                <w:color w:val="auto"/>
              </w:rPr>
            </w:pPr>
            <w:r>
              <w:rPr>
                <w:rFonts w:ascii="Arial" w:cs="Arial" w:eastAsia="Arial" w:hAnsi="Arial"/>
                <w:sz w:val="43"/>
                <w:szCs w:val="43"/>
                <w:b w:val="1"/>
                <w:bCs w:val="1"/>
                <w:color w:val="auto"/>
                <w:w w:val="95"/>
              </w:rPr>
              <w:t>MannKind Corporation</w:t>
            </w:r>
          </w:p>
        </w:tc>
        <w:tc>
          <w:tcPr>
            <w:tcW w:w="480" w:type="dxa"/>
            <w:vAlign w:val="bottom"/>
          </w:tcPr>
          <w:p>
            <w:pPr>
              <w:spacing w:after="0"/>
              <w:rPr>
                <w:sz w:val="24"/>
                <w:szCs w:val="24"/>
                <w:color w:val="auto"/>
              </w:rPr>
            </w:pPr>
          </w:p>
        </w:tc>
      </w:tr>
      <w:tr>
        <w:trPr>
          <w:trHeight w:val="182"/>
        </w:trPr>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60" w:type="dxa"/>
            <w:vAlign w:val="bottom"/>
            <w:gridSpan w:val="4"/>
          </w:tcPr>
          <w:p>
            <w:pPr>
              <w:jc w:val="center"/>
              <w:ind w:right="2260"/>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480" w:type="dxa"/>
            <w:vAlign w:val="bottom"/>
          </w:tcPr>
          <w:p>
            <w:pPr>
              <w:spacing w:after="0"/>
              <w:rPr>
                <w:sz w:val="15"/>
                <w:szCs w:val="15"/>
                <w:color w:val="auto"/>
              </w:rPr>
            </w:pPr>
          </w:p>
        </w:tc>
      </w:tr>
      <w:tr>
        <w:trPr>
          <w:trHeight w:val="398"/>
        </w:trPr>
        <w:tc>
          <w:tcPr>
            <w:tcW w:w="1720" w:type="dxa"/>
            <w:vAlign w:val="bottom"/>
          </w:tcPr>
          <w:p>
            <w:pPr>
              <w:spacing w:after="0"/>
              <w:rPr>
                <w:sz w:val="24"/>
                <w:szCs w:val="24"/>
                <w:color w:val="auto"/>
              </w:rPr>
            </w:pPr>
          </w:p>
        </w:tc>
        <w:tc>
          <w:tcPr>
            <w:tcW w:w="1980" w:type="dxa"/>
            <w:vAlign w:val="bottom"/>
            <w:gridSpan w:val="2"/>
          </w:tcPr>
          <w:p>
            <w:pPr>
              <w:jc w:val="center"/>
              <w:ind w:right="1074"/>
              <w:spacing w:after="0"/>
              <w:rPr>
                <w:sz w:val="20"/>
                <w:szCs w:val="20"/>
                <w:color w:val="auto"/>
              </w:rPr>
            </w:pPr>
            <w:r>
              <w:rPr>
                <w:rFonts w:ascii="Arial" w:cs="Arial" w:eastAsia="Arial" w:hAnsi="Arial"/>
                <w:sz w:val="18"/>
                <w:szCs w:val="18"/>
                <w:b w:val="1"/>
                <w:bCs w:val="1"/>
                <w:color w:val="auto"/>
                <w:w w:val="93"/>
              </w:rPr>
              <w:t>Delaware</w:t>
            </w:r>
          </w:p>
        </w:tc>
        <w:tc>
          <w:tcPr>
            <w:tcW w:w="5040" w:type="dxa"/>
            <w:vAlign w:val="bottom"/>
            <w:gridSpan w:val="2"/>
          </w:tcPr>
          <w:p>
            <w:pPr>
              <w:jc w:val="right"/>
              <w:ind w:right="884"/>
              <w:spacing w:after="0"/>
              <w:rPr>
                <w:sz w:val="20"/>
                <w:szCs w:val="20"/>
                <w:color w:val="auto"/>
              </w:rPr>
            </w:pPr>
            <w:r>
              <w:rPr>
                <w:rFonts w:ascii="Arial" w:cs="Arial" w:eastAsia="Arial" w:hAnsi="Arial"/>
                <w:sz w:val="18"/>
                <w:szCs w:val="18"/>
                <w:b w:val="1"/>
                <w:bCs w:val="1"/>
                <w:color w:val="auto"/>
              </w:rPr>
              <w:t>13-3607736</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9"/>
        </w:trPr>
        <w:tc>
          <w:tcPr>
            <w:tcW w:w="3700" w:type="dxa"/>
            <w:vAlign w:val="bottom"/>
            <w:gridSpan w:val="3"/>
          </w:tcPr>
          <w:p>
            <w:pPr>
              <w:jc w:val="center"/>
              <w:ind w:left="436"/>
              <w:spacing w:after="0" w:line="149" w:lineRule="exact"/>
              <w:rPr>
                <w:sz w:val="20"/>
                <w:szCs w:val="20"/>
                <w:color w:val="auto"/>
              </w:rPr>
            </w:pPr>
            <w:r>
              <w:rPr>
                <w:rFonts w:ascii="Arial" w:cs="Arial" w:eastAsia="Arial" w:hAnsi="Arial"/>
                <w:sz w:val="14"/>
                <w:szCs w:val="14"/>
                <w:i w:val="1"/>
                <w:iCs w:val="1"/>
                <w:color w:val="auto"/>
                <w:w w:val="97"/>
              </w:rPr>
              <w:t>(State or other jurisdiction of</w:t>
            </w:r>
          </w:p>
        </w:tc>
        <w:tc>
          <w:tcPr>
            <w:tcW w:w="2220" w:type="dxa"/>
            <w:vAlign w:val="bottom"/>
          </w:tcPr>
          <w:p>
            <w:pPr>
              <w:spacing w:after="0"/>
              <w:rPr>
                <w:sz w:val="12"/>
                <w:szCs w:val="12"/>
                <w:color w:val="auto"/>
              </w:rPr>
            </w:pPr>
          </w:p>
        </w:tc>
        <w:tc>
          <w:tcPr>
            <w:tcW w:w="3280" w:type="dxa"/>
            <w:vAlign w:val="bottom"/>
            <w:gridSpan w:val="2"/>
          </w:tcPr>
          <w:p>
            <w:pPr>
              <w:jc w:val="center"/>
              <w:ind w:right="440"/>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480" w:type="dxa"/>
            <w:vAlign w:val="bottom"/>
          </w:tcPr>
          <w:p>
            <w:pPr>
              <w:spacing w:after="0"/>
              <w:rPr>
                <w:sz w:val="12"/>
                <w:szCs w:val="12"/>
                <w:color w:val="auto"/>
              </w:rPr>
            </w:pPr>
          </w:p>
        </w:tc>
      </w:tr>
      <w:tr>
        <w:trPr>
          <w:trHeight w:val="182"/>
        </w:trPr>
        <w:tc>
          <w:tcPr>
            <w:tcW w:w="3700" w:type="dxa"/>
            <w:vAlign w:val="bottom"/>
            <w:gridSpan w:val="3"/>
          </w:tcPr>
          <w:p>
            <w:pPr>
              <w:jc w:val="center"/>
              <w:ind w:left="476"/>
              <w:spacing w:after="0"/>
              <w:rPr>
                <w:sz w:val="20"/>
                <w:szCs w:val="20"/>
                <w:color w:val="auto"/>
              </w:rPr>
            </w:pPr>
            <w:r>
              <w:rPr>
                <w:rFonts w:ascii="Arial" w:cs="Arial" w:eastAsia="Arial" w:hAnsi="Arial"/>
                <w:sz w:val="14"/>
                <w:szCs w:val="14"/>
                <w:i w:val="1"/>
                <w:iCs w:val="1"/>
                <w:color w:val="auto"/>
                <w:w w:val="97"/>
              </w:rPr>
              <w:t>incorporation or organization)</w:t>
            </w:r>
          </w:p>
        </w:tc>
        <w:tc>
          <w:tcPr>
            <w:tcW w:w="2220" w:type="dxa"/>
            <w:vAlign w:val="bottom"/>
          </w:tcPr>
          <w:p>
            <w:pPr>
              <w:spacing w:after="0"/>
              <w:rPr>
                <w:sz w:val="15"/>
                <w:szCs w:val="15"/>
                <w:color w:val="auto"/>
              </w:rPr>
            </w:pPr>
          </w:p>
        </w:tc>
        <w:tc>
          <w:tcPr>
            <w:tcW w:w="3280" w:type="dxa"/>
            <w:vAlign w:val="bottom"/>
            <w:gridSpan w:val="2"/>
          </w:tcPr>
          <w:p>
            <w:pPr>
              <w:jc w:val="center"/>
              <w:ind w:right="460"/>
              <w:spacing w:after="0"/>
              <w:rPr>
                <w:sz w:val="20"/>
                <w:szCs w:val="20"/>
                <w:color w:val="auto"/>
              </w:rPr>
            </w:pPr>
            <w:r>
              <w:rPr>
                <w:rFonts w:ascii="Arial" w:cs="Arial" w:eastAsia="Arial" w:hAnsi="Arial"/>
                <w:sz w:val="14"/>
                <w:szCs w:val="14"/>
                <w:i w:val="1"/>
                <w:iCs w:val="1"/>
                <w:color w:val="auto"/>
                <w:w w:val="97"/>
              </w:rPr>
              <w:t>Identification No.)</w:t>
            </w:r>
          </w:p>
        </w:tc>
        <w:tc>
          <w:tcPr>
            <w:tcW w:w="480" w:type="dxa"/>
            <w:vAlign w:val="bottom"/>
          </w:tcPr>
          <w:p>
            <w:pPr>
              <w:spacing w:after="0"/>
              <w:rPr>
                <w:sz w:val="15"/>
                <w:szCs w:val="15"/>
                <w:color w:val="auto"/>
              </w:rPr>
            </w:pPr>
          </w:p>
        </w:tc>
      </w:tr>
      <w:tr>
        <w:trPr>
          <w:trHeight w:val="398"/>
        </w:trPr>
        <w:tc>
          <w:tcPr>
            <w:tcW w:w="3700" w:type="dxa"/>
            <w:vAlign w:val="bottom"/>
            <w:gridSpan w:val="3"/>
          </w:tcPr>
          <w:p>
            <w:pPr>
              <w:jc w:val="center"/>
              <w:ind w:left="416"/>
              <w:spacing w:after="0"/>
              <w:rPr>
                <w:sz w:val="20"/>
                <w:szCs w:val="20"/>
                <w:color w:val="auto"/>
              </w:rPr>
            </w:pPr>
            <w:r>
              <w:rPr>
                <w:rFonts w:ascii="Arial" w:cs="Arial" w:eastAsia="Arial" w:hAnsi="Arial"/>
                <w:sz w:val="18"/>
                <w:szCs w:val="18"/>
                <w:b w:val="1"/>
                <w:bCs w:val="1"/>
                <w:color w:val="auto"/>
                <w:w w:val="90"/>
              </w:rPr>
              <w:t>28903 North Avenue Paine</w:t>
            </w:r>
          </w:p>
        </w:tc>
        <w:tc>
          <w:tcPr>
            <w:tcW w:w="5040" w:type="dxa"/>
            <w:vAlign w:val="bottom"/>
            <w:gridSpan w:val="2"/>
          </w:tcPr>
          <w:p>
            <w:pPr>
              <w:jc w:val="right"/>
              <w:ind w:right="1104"/>
              <w:spacing w:after="0"/>
              <w:rPr>
                <w:sz w:val="20"/>
                <w:szCs w:val="20"/>
                <w:color w:val="auto"/>
              </w:rPr>
            </w:pPr>
            <w:r>
              <w:rPr>
                <w:rFonts w:ascii="Arial" w:cs="Arial" w:eastAsia="Arial" w:hAnsi="Arial"/>
                <w:sz w:val="18"/>
                <w:szCs w:val="18"/>
                <w:b w:val="1"/>
                <w:bCs w:val="1"/>
                <w:color w:val="auto"/>
              </w:rPr>
              <w:t>91355</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3700" w:type="dxa"/>
            <w:vAlign w:val="bottom"/>
            <w:gridSpan w:val="3"/>
          </w:tcPr>
          <w:p>
            <w:pPr>
              <w:jc w:val="center"/>
              <w:ind w:left="476"/>
              <w:spacing w:after="0"/>
              <w:rPr>
                <w:sz w:val="20"/>
                <w:szCs w:val="20"/>
                <w:color w:val="auto"/>
              </w:rPr>
            </w:pPr>
            <w:r>
              <w:rPr>
                <w:rFonts w:ascii="Arial" w:cs="Arial" w:eastAsia="Arial" w:hAnsi="Arial"/>
                <w:sz w:val="18"/>
                <w:szCs w:val="18"/>
                <w:b w:val="1"/>
                <w:bCs w:val="1"/>
                <w:color w:val="auto"/>
                <w:w w:val="92"/>
              </w:rPr>
              <w:t>Valencia, California</w:t>
            </w:r>
          </w:p>
        </w:tc>
        <w:tc>
          <w:tcPr>
            <w:tcW w:w="2220" w:type="dxa"/>
            <w:vAlign w:val="bottom"/>
          </w:tcPr>
          <w:p>
            <w:pPr>
              <w:spacing w:after="0"/>
              <w:rPr>
                <w:sz w:val="18"/>
                <w:szCs w:val="18"/>
                <w:color w:val="auto"/>
              </w:rPr>
            </w:pPr>
          </w:p>
        </w:tc>
        <w:tc>
          <w:tcPr>
            <w:tcW w:w="32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6"/>
              </w:rPr>
              <w:t>(Zip Code)</w:t>
            </w:r>
          </w:p>
        </w:tc>
        <w:tc>
          <w:tcPr>
            <w:tcW w:w="480" w:type="dxa"/>
            <w:vAlign w:val="bottom"/>
          </w:tcPr>
          <w:p>
            <w:pPr>
              <w:spacing w:after="0"/>
              <w:rPr>
                <w:sz w:val="18"/>
                <w:szCs w:val="18"/>
                <w:color w:val="auto"/>
              </w:rPr>
            </w:pPr>
          </w:p>
        </w:tc>
      </w:tr>
      <w:tr>
        <w:trPr>
          <w:trHeight w:val="182"/>
        </w:trPr>
        <w:tc>
          <w:tcPr>
            <w:tcW w:w="3700" w:type="dxa"/>
            <w:vAlign w:val="bottom"/>
            <w:gridSpan w:val="3"/>
          </w:tcPr>
          <w:p>
            <w:pPr>
              <w:jc w:val="center"/>
              <w:ind w:left="476"/>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2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91"/>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60" w:type="dxa"/>
            <w:vAlign w:val="bottom"/>
            <w:gridSpan w:val="4"/>
          </w:tcPr>
          <w:p>
            <w:pPr>
              <w:jc w:val="center"/>
              <w:ind w:right="228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48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20" w:type="dxa"/>
            <w:vAlign w:val="bottom"/>
          </w:tcPr>
          <w:p>
            <w:pPr>
              <w:jc w:val="center"/>
              <w:ind w:right="53"/>
              <w:spacing w:after="0"/>
              <w:rPr>
                <w:sz w:val="20"/>
                <w:szCs w:val="20"/>
                <w:color w:val="auto"/>
              </w:rPr>
            </w:pPr>
            <w:r>
              <w:rPr>
                <w:rFonts w:ascii="Arial" w:cs="Arial" w:eastAsia="Arial" w:hAnsi="Arial"/>
                <w:sz w:val="18"/>
                <w:szCs w:val="18"/>
                <w:b w:val="1"/>
                <w:bCs w:val="1"/>
                <w:color w:val="auto"/>
                <w:w w:val="90"/>
              </w:rPr>
              <w:t>(661) 775-5300</w:t>
            </w:r>
          </w:p>
        </w:tc>
        <w:tc>
          <w:tcPr>
            <w:tcW w:w="2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24"/>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6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r>
      <w:tr>
        <w:trPr>
          <w:trHeight w:val="351"/>
        </w:trPr>
        <w:tc>
          <w:tcPr>
            <w:tcW w:w="17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Title of Class</w:t>
            </w:r>
          </w:p>
        </w:tc>
        <w:tc>
          <w:tcPr>
            <w:tcW w:w="1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48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91"/>
        </w:trPr>
        <w:tc>
          <w:tcPr>
            <w:tcW w:w="3700" w:type="dxa"/>
            <w:vAlign w:val="bottom"/>
            <w:gridSpan w:val="3"/>
          </w:tcPr>
          <w:p>
            <w:pPr>
              <w:jc w:val="center"/>
              <w:ind w:left="476"/>
              <w:spacing w:after="0"/>
              <w:rPr>
                <w:sz w:val="20"/>
                <w:szCs w:val="20"/>
                <w:color w:val="auto"/>
              </w:rPr>
            </w:pPr>
            <w:r>
              <w:rPr>
                <w:rFonts w:ascii="Arial" w:cs="Arial" w:eastAsia="Arial" w:hAnsi="Arial"/>
                <w:sz w:val="18"/>
                <w:szCs w:val="18"/>
                <w:color w:val="auto"/>
                <w:w w:val="89"/>
              </w:rPr>
              <w:t>Common Stock, par value $0.01 per share</w:t>
            </w:r>
          </w:p>
        </w:tc>
        <w:tc>
          <w:tcPr>
            <w:tcW w:w="2220" w:type="dxa"/>
            <w:vAlign w:val="bottom"/>
          </w:tcPr>
          <w:p>
            <w:pPr>
              <w:spacing w:after="0"/>
              <w:rPr>
                <w:sz w:val="24"/>
                <w:szCs w:val="24"/>
                <w:color w:val="auto"/>
              </w:rPr>
            </w:pPr>
          </w:p>
        </w:tc>
        <w:tc>
          <w:tcPr>
            <w:tcW w:w="32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The Nasdaq Global Market</w:t>
            </w:r>
          </w:p>
        </w:tc>
        <w:tc>
          <w:tcPr>
            <w:tcW w:w="480" w:type="dxa"/>
            <w:vAlign w:val="bottom"/>
          </w:tcPr>
          <w:p>
            <w:pPr>
              <w:spacing w:after="0"/>
              <w:rPr>
                <w:sz w:val="24"/>
                <w:szCs w:val="24"/>
                <w:color w:val="auto"/>
              </w:rPr>
            </w:pPr>
          </w:p>
        </w:tc>
      </w:tr>
      <w:tr>
        <w:trPr>
          <w:trHeight w:val="306"/>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6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48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gridSpan w:val="3"/>
          </w:tcPr>
          <w:p>
            <w:pPr>
              <w:jc w:val="center"/>
              <w:ind w:right="3420"/>
              <w:spacing w:after="0"/>
              <w:rPr>
                <w:sz w:val="20"/>
                <w:szCs w:val="20"/>
                <w:color w:val="auto"/>
              </w:rPr>
            </w:pPr>
            <w:r>
              <w:rPr>
                <w:rFonts w:ascii="Arial" w:cs="Arial" w:eastAsia="Arial" w:hAnsi="Arial"/>
                <w:sz w:val="18"/>
                <w:szCs w:val="18"/>
                <w:b w:val="1"/>
                <w:bCs w:val="1"/>
                <w:color w:val="auto"/>
                <w:w w:val="88"/>
              </w:rPr>
              <w:t>None</w:t>
            </w:r>
          </w:p>
        </w:tc>
        <w:tc>
          <w:tcPr>
            <w:tcW w:w="480" w:type="dxa"/>
            <w:vAlign w:val="bottom"/>
          </w:tcPr>
          <w:p>
            <w:pPr>
              <w:spacing w:after="0"/>
              <w:rPr>
                <w:sz w:val="18"/>
                <w:szCs w:val="18"/>
                <w:color w:val="auto"/>
              </w:rPr>
            </w:pPr>
          </w:p>
        </w:tc>
      </w:tr>
      <w:tr>
        <w:trPr>
          <w:trHeight w:val="182"/>
        </w:trPr>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500" w:type="dxa"/>
            <w:vAlign w:val="bottom"/>
            <w:gridSpan w:val="3"/>
          </w:tcPr>
          <w:p>
            <w:pPr>
              <w:jc w:val="center"/>
              <w:ind w:right="3440"/>
              <w:spacing w:after="0"/>
              <w:rPr>
                <w:sz w:val="20"/>
                <w:szCs w:val="20"/>
                <w:color w:val="auto"/>
              </w:rPr>
            </w:pPr>
            <w:r>
              <w:rPr>
                <w:rFonts w:ascii="Arial" w:cs="Arial" w:eastAsia="Arial" w:hAnsi="Arial"/>
                <w:sz w:val="14"/>
                <w:szCs w:val="14"/>
                <w:i w:val="1"/>
                <w:iCs w:val="1"/>
                <w:color w:val="auto"/>
                <w:w w:val="95"/>
              </w:rPr>
              <w:t>(Title of Class)</w:t>
            </w:r>
          </w:p>
        </w:tc>
        <w:tc>
          <w:tcPr>
            <w:tcW w:w="480" w:type="dxa"/>
            <w:vAlign w:val="bottom"/>
          </w:tcPr>
          <w:p>
            <w:pPr>
              <w:spacing w:after="0"/>
              <w:rPr>
                <w:sz w:val="15"/>
                <w:szCs w:val="15"/>
                <w:color w:val="auto"/>
              </w:rPr>
            </w:pPr>
          </w:p>
        </w:tc>
      </w:tr>
      <w:tr>
        <w:trPr>
          <w:trHeight w:val="329"/>
        </w:trPr>
        <w:tc>
          <w:tcPr>
            <w:tcW w:w="9200" w:type="dxa"/>
            <w:vAlign w:val="bottom"/>
            <w:gridSpan w:val="6"/>
          </w:tcPr>
          <w:p>
            <w:pPr>
              <w:spacing w:after="0"/>
              <w:rPr>
                <w:sz w:val="20"/>
                <w:szCs w:val="20"/>
                <w:color w:val="auto"/>
              </w:rPr>
            </w:pPr>
            <w:r>
              <w:rPr>
                <w:rFonts w:ascii="Arial" w:cs="Arial" w:eastAsia="Arial" w:hAnsi="Arial"/>
                <w:sz w:val="18"/>
                <w:szCs w:val="18"/>
                <w:color w:val="auto"/>
                <w:w w:val="93"/>
              </w:rPr>
              <w:t>Indicate by check mark if the registrant is a well-known seasoned issuer, as defined in Rule 405 of the Securities Act.  Yes o</w:t>
            </w:r>
          </w:p>
        </w:tc>
        <w:tc>
          <w:tcPr>
            <w:tcW w:w="480" w:type="dxa"/>
            <w:vAlign w:val="bottom"/>
          </w:tcPr>
          <w:p>
            <w:pPr>
              <w:ind w:left="40"/>
              <w:spacing w:after="0" w:line="207" w:lineRule="exact"/>
              <w:rPr>
                <w:sz w:val="20"/>
                <w:szCs w:val="20"/>
                <w:color w:val="auto"/>
              </w:rPr>
            </w:pPr>
            <w:r>
              <w:rPr>
                <w:rFonts w:ascii="Arial" w:cs="Arial" w:eastAsia="Arial" w:hAnsi="Arial"/>
                <w:sz w:val="18"/>
                <w:szCs w:val="18"/>
                <w:color w:val="auto"/>
                <w:w w:val="91"/>
              </w:rPr>
              <w:t xml:space="preserve">No </w:t>
            </w:r>
            <w:r>
              <w:rPr>
                <w:rFonts w:ascii="MS PGothic" w:cs="MS PGothic" w:eastAsia="MS PGothic" w:hAnsi="MS PGothic"/>
                <w:sz w:val="18"/>
                <w:szCs w:val="18"/>
                <w:color w:val="auto"/>
                <w:w w:val="91"/>
              </w:rPr>
              <w:t>☑</w:t>
            </w:r>
          </w:p>
        </w:tc>
      </w:tr>
      <w:tr>
        <w:trPr>
          <w:trHeight w:val="299"/>
        </w:trPr>
        <w:tc>
          <w:tcPr>
            <w:tcW w:w="920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 o</w:t>
            </w:r>
          </w:p>
        </w:tc>
        <w:tc>
          <w:tcPr>
            <w:tcW w:w="480" w:type="dxa"/>
            <w:vAlign w:val="bottom"/>
          </w:tcPr>
          <w:p>
            <w:pPr>
              <w:ind w:left="220"/>
              <w:spacing w:after="0"/>
              <w:rPr>
                <w:sz w:val="20"/>
                <w:szCs w:val="20"/>
                <w:color w:val="auto"/>
              </w:rPr>
            </w:pPr>
            <w:r>
              <w:rPr>
                <w:rFonts w:ascii="Arial" w:cs="Arial" w:eastAsia="Arial" w:hAnsi="Arial"/>
                <w:sz w:val="18"/>
                <w:szCs w:val="18"/>
                <w:color w:val="auto"/>
              </w:rPr>
              <w:t>No</w:t>
            </w:r>
          </w:p>
        </w:tc>
      </w:tr>
    </w:tbl>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135" w:lineRule="exact"/>
        <w:rPr>
          <w:sz w:val="20"/>
          <w:szCs w:val="20"/>
          <w:color w:val="auto"/>
        </w:rPr>
      </w:pPr>
    </w:p>
    <w:p>
      <w:pPr>
        <w:ind w:left="700" w:right="260" w:firstLine="225"/>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700"/>
        <w:spacing w:after="0" w:line="207" w:lineRule="exact"/>
        <w:tabs>
          <w:tab w:leader="none" w:pos="14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108" w:lineRule="exact"/>
        <w:rPr>
          <w:sz w:val="20"/>
          <w:szCs w:val="20"/>
          <w:color w:val="auto"/>
        </w:rPr>
      </w:pPr>
    </w:p>
    <w:p>
      <w:pPr>
        <w:jc w:val="both"/>
        <w:ind w:left="700" w:right="12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left="700" w:right="6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left="700" w:right="100" w:firstLine="22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8"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3460" w:type="dxa"/>
            <w:vAlign w:val="bottom"/>
          </w:tcPr>
          <w:p>
            <w:pPr>
              <w:jc w:val="center"/>
              <w:ind w:right="30"/>
              <w:spacing w:after="0"/>
              <w:rPr>
                <w:sz w:val="20"/>
                <w:szCs w:val="20"/>
                <w:color w:val="auto"/>
              </w:rPr>
            </w:pPr>
            <w:r>
              <w:rPr>
                <w:rFonts w:ascii="Arial" w:cs="Arial" w:eastAsia="Arial" w:hAnsi="Arial"/>
                <w:sz w:val="18"/>
                <w:szCs w:val="18"/>
                <w:color w:val="auto"/>
                <w:w w:val="91"/>
              </w:rPr>
              <w:t>Non-accelerated filer o</w:t>
            </w:r>
          </w:p>
        </w:tc>
        <w:tc>
          <w:tcPr>
            <w:tcW w:w="1920" w:type="dxa"/>
            <w:vAlign w:val="bottom"/>
          </w:tcPr>
          <w:p>
            <w:pPr>
              <w:jc w:val="center"/>
              <w:ind w:left="430"/>
              <w:spacing w:after="0"/>
              <w:rPr>
                <w:sz w:val="20"/>
                <w:szCs w:val="20"/>
                <w:color w:val="auto"/>
              </w:rPr>
            </w:pPr>
            <w:r>
              <w:rPr>
                <w:rFonts w:ascii="Arial" w:cs="Arial" w:eastAsia="Arial" w:hAnsi="Arial"/>
                <w:sz w:val="18"/>
                <w:szCs w:val="18"/>
                <w:color w:val="auto"/>
                <w:w w:val="92"/>
              </w:rPr>
              <w:t>Smaller reporting o</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4"/>
                <w:szCs w:val="24"/>
                <w:color w:val="auto"/>
              </w:rPr>
            </w:pPr>
          </w:p>
        </w:tc>
        <w:tc>
          <w:tcPr>
            <w:tcW w:w="1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6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(Do not check if a smaller reporting</w:t>
            </w:r>
          </w:p>
        </w:tc>
        <w:tc>
          <w:tcPr>
            <w:tcW w:w="1920" w:type="dxa"/>
            <w:vAlign w:val="bottom"/>
            <w:vMerge w:val="restart"/>
          </w:tcPr>
          <w:p>
            <w:pPr>
              <w:jc w:val="center"/>
              <w:ind w:left="41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60" w:type="dxa"/>
            <w:vAlign w:val="bottom"/>
          </w:tcPr>
          <w:p>
            <w:pPr>
              <w:jc w:val="center"/>
              <w:ind w:right="50"/>
              <w:spacing w:after="0"/>
              <w:rPr>
                <w:sz w:val="20"/>
                <w:szCs w:val="20"/>
                <w:color w:val="auto"/>
              </w:rPr>
            </w:pPr>
            <w:r>
              <w:rPr>
                <w:rFonts w:ascii="Arial" w:cs="Arial" w:eastAsia="Arial" w:hAnsi="Arial"/>
                <w:sz w:val="18"/>
                <w:szCs w:val="18"/>
                <w:color w:val="auto"/>
                <w:w w:val="91"/>
              </w:rPr>
              <w:t>company)</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ind w:left="700"/>
        <w:spacing w:after="0" w:line="207" w:lineRule="exact"/>
        <w:tabs>
          <w:tab w:leader="none" w:pos="13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0"/>
          <w:szCs w:val="20"/>
          <w:color w:val="auto"/>
        </w:rPr>
      </w:pPr>
    </w:p>
    <w:p>
      <w:pPr>
        <w:ind w:left="700" w:right="140" w:firstLine="215"/>
        <w:spacing w:after="0" w:line="308" w:lineRule="auto"/>
        <w:rPr>
          <w:sz w:val="20"/>
          <w:szCs w:val="20"/>
          <w:color w:val="auto"/>
        </w:rPr>
      </w:pPr>
      <w:r>
        <w:rPr>
          <w:rFonts w:ascii="Arial" w:cs="Arial" w:eastAsia="Arial" w:hAnsi="Arial"/>
          <w:sz w:val="17"/>
          <w:szCs w:val="17"/>
          <w:color w:val="auto"/>
        </w:rPr>
        <w:t>As of June 30, 2009, the aggregate market value of the voting stock held by non-affiliates of the registrant, computed by reference to the last sale price of such stock as of such date on the Nasdaq Global Market, was approximately $473,888,088.</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February 19, 2010, there were 113,355,204 shares of the registrant’s Common Stock outstanding.</w:t>
      </w:r>
    </w:p>
    <w:p>
      <w:pPr>
        <w:spacing w:after="0" w:line="11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jc w:val="both"/>
        <w:ind w:left="700" w:right="260" w:firstLine="225"/>
        <w:spacing w:after="0" w:line="286" w:lineRule="auto"/>
        <w:rPr>
          <w:sz w:val="20"/>
          <w:szCs w:val="20"/>
          <w:color w:val="auto"/>
        </w:rPr>
      </w:pPr>
      <w:r>
        <w:rPr>
          <w:rFonts w:ascii="Arial" w:cs="Arial" w:eastAsia="Arial" w:hAnsi="Arial"/>
          <w:sz w:val="17"/>
          <w:szCs w:val="17"/>
          <w:color w:val="auto"/>
        </w:rPr>
        <w:t>Portions of the registrant’s definitive Proxy Statement, or the Proxy Statement, for the 2010 Annual Meeting of Stockholders to be filed with the Securities and Exchange Commission pursuant to Regulation 14A not later than 120 days after the end of the fiscal year covered by this Form 10-K, are incorporated by reference in Part III, Items 9-13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105410</wp:posOffset>
            </wp:positionV>
            <wp:extent cx="630301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532130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122" w:right="1059" w:bottom="472"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80" w:type="dxa"/>
            <w:vAlign w:val="bottom"/>
            <w:gridSpan w:val="12"/>
            <w:vMerge w:val="restart"/>
          </w:tcPr>
          <w:p>
            <w:pPr>
              <w:jc w:val="center"/>
              <w:ind w:right="43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80" w:type="dxa"/>
            <w:vAlign w:val="bottom"/>
            <w:gridSpan w:val="12"/>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560" w:type="dxa"/>
            <w:vAlign w:val="bottom"/>
            <w:gridSpan w:val="4"/>
          </w:tcPr>
          <w:p>
            <w:pPr>
              <w:spacing w:after="0"/>
              <w:rPr>
                <w:sz w:val="24"/>
                <w:szCs w:val="24"/>
                <w:color w:val="auto"/>
              </w:rPr>
            </w:pPr>
          </w:p>
        </w:tc>
        <w:tc>
          <w:tcPr>
            <w:tcW w:w="33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430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420" w:type="dxa"/>
            <w:vAlign w:val="bottom"/>
          </w:tcPr>
          <w:p>
            <w:pPr>
              <w:spacing w:after="0"/>
              <w:rPr>
                <w:sz w:val="17"/>
                <w:szCs w:val="17"/>
                <w:color w:val="auto"/>
              </w:rPr>
            </w:pPr>
          </w:p>
        </w:tc>
        <w:tc>
          <w:tcPr>
            <w:tcW w:w="8200" w:type="dxa"/>
            <w:vAlign w:val="bottom"/>
            <w:gridSpan w:val="2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Item 1B.</w:t>
              </w:r>
            </w:hyperlink>
          </w:p>
        </w:tc>
        <w:tc>
          <w:tcPr>
            <w:tcW w:w="420" w:type="dxa"/>
            <w:vAlign w:val="bottom"/>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Unresolved Staff Comments</w:t>
              </w:r>
            </w:hyperlink>
          </w:p>
        </w:tc>
        <w:tc>
          <w:tcPr>
            <w:tcW w:w="6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2.</w:t>
              </w:r>
            </w:hyperlink>
          </w:p>
        </w:tc>
        <w:tc>
          <w:tcPr>
            <w:tcW w:w="560" w:type="dxa"/>
            <w:vAlign w:val="bottom"/>
            <w:gridSpan w:val="4"/>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Properties</w:t>
              </w:r>
            </w:hyperlink>
          </w:p>
        </w:tc>
        <w:tc>
          <w:tcPr>
            <w:tcW w:w="7460" w:type="dxa"/>
            <w:vAlign w:val="bottom"/>
            <w:gridSpan w:val="2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3.</w:t>
              </w:r>
            </w:hyperlink>
          </w:p>
        </w:tc>
        <w:tc>
          <w:tcPr>
            <w:tcW w:w="560" w:type="dxa"/>
            <w:vAlign w:val="bottom"/>
            <w:gridSpan w:val="4"/>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686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8200" w:type="dxa"/>
            <w:vAlign w:val="bottom"/>
            <w:gridSpan w:val="2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(Removed and Reserved)</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3"/>
          </w:tcPr>
          <w:p>
            <w:pPr>
              <w:jc w:val="center"/>
              <w:ind w:right="4260"/>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5.</w:t>
              </w:r>
            </w:hyperlink>
          </w:p>
        </w:tc>
        <w:tc>
          <w:tcPr>
            <w:tcW w:w="560" w:type="dxa"/>
            <w:vAlign w:val="bottom"/>
            <w:gridSpan w:val="4"/>
          </w:tcPr>
          <w:p>
            <w:pPr>
              <w:spacing w:after="0"/>
              <w:rPr>
                <w:sz w:val="17"/>
                <w:szCs w:val="17"/>
                <w:color w:val="auto"/>
              </w:rPr>
            </w:pPr>
          </w:p>
        </w:tc>
        <w:tc>
          <w:tcPr>
            <w:tcW w:w="76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Market for the Registrant’s Common Equity, Related Stockholder Matters and Issuer Purchases of Equity</w:t>
              </w:r>
            </w:hyperlink>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Securities</w:t>
              </w:r>
            </w:hyperlink>
          </w:p>
        </w:tc>
        <w:tc>
          <w:tcPr>
            <w:tcW w:w="748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Item 6.</w:t>
              </w:r>
            </w:hyperlink>
          </w:p>
        </w:tc>
        <w:tc>
          <w:tcPr>
            <w:tcW w:w="560" w:type="dxa"/>
            <w:vAlign w:val="bottom"/>
            <w:gridSpan w:val="4"/>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Selected Financial Data</w:t>
              </w:r>
            </w:hyperlink>
          </w:p>
        </w:tc>
        <w:tc>
          <w:tcPr>
            <w:tcW w:w="648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Item 7.</w:t>
              </w:r>
            </w:hyperlink>
          </w:p>
        </w:tc>
        <w:tc>
          <w:tcPr>
            <w:tcW w:w="560" w:type="dxa"/>
            <w:vAlign w:val="bottom"/>
            <w:gridSpan w:val="4"/>
          </w:tcPr>
          <w:p>
            <w:pPr>
              <w:spacing w:after="0"/>
              <w:rPr>
                <w:sz w:val="17"/>
                <w:szCs w:val="17"/>
                <w:color w:val="auto"/>
              </w:rPr>
            </w:pPr>
          </w:p>
        </w:tc>
        <w:tc>
          <w:tcPr>
            <w:tcW w:w="8200" w:type="dxa"/>
            <w:vAlign w:val="bottom"/>
            <w:gridSpan w:val="2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Item 7A.</w:t>
              </w:r>
            </w:hyperlink>
          </w:p>
        </w:tc>
        <w:tc>
          <w:tcPr>
            <w:tcW w:w="420" w:type="dxa"/>
            <w:vAlign w:val="bottom"/>
          </w:tcPr>
          <w:p>
            <w:pPr>
              <w:spacing w:after="0"/>
              <w:rPr>
                <w:sz w:val="17"/>
                <w:szCs w:val="17"/>
                <w:color w:val="auto"/>
              </w:rPr>
            </w:pPr>
          </w:p>
        </w:tc>
        <w:tc>
          <w:tcPr>
            <w:tcW w:w="8200" w:type="dxa"/>
            <w:vAlign w:val="bottom"/>
            <w:gridSpan w:val="2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Item 8.</w:t>
              </w:r>
            </w:hyperlink>
          </w:p>
        </w:tc>
        <w:tc>
          <w:tcPr>
            <w:tcW w:w="140" w:type="dxa"/>
            <w:vAlign w:val="bottom"/>
            <w:tcBorders>
              <w:top w:val="single" w:sz="8" w:color="0000EE"/>
            </w:tcBorders>
            <w:gridSpan w:val="3"/>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6"/>
          </w:tcPr>
          <w:p>
            <w:pPr>
              <w:spacing w:after="0"/>
              <w:rPr>
                <w:sz w:val="17"/>
                <w:szCs w:val="17"/>
                <w:color w:val="auto"/>
              </w:rPr>
            </w:pPr>
          </w:p>
        </w:tc>
        <w:tc>
          <w:tcPr>
            <w:tcW w:w="38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gridSpan w:val="28"/>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8"/>
          </w:tcPr>
          <w:p>
            <w:pPr>
              <w:spacing w:after="0"/>
              <w:rPr>
                <w:sz w:val="20"/>
                <w:szCs w:val="20"/>
                <w:color w:val="auto"/>
              </w:rPr>
            </w:pPr>
            <w:r>
              <w:rPr>
                <w:rFonts w:ascii="Arial" w:cs="Arial" w:eastAsia="Arial" w:hAnsi="Arial"/>
                <w:sz w:val="18"/>
                <w:szCs w:val="18"/>
                <w:color w:val="auto"/>
              </w:rPr>
              <w:t>CONSOLIDATED BALANCE SHEETS</w:t>
            </w: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8"/>
          </w:tcPr>
          <w:p>
            <w:pPr>
              <w:spacing w:after="0"/>
              <w:rPr>
                <w:sz w:val="20"/>
                <w:szCs w:val="20"/>
                <w:color w:val="auto"/>
              </w:rPr>
            </w:pPr>
            <w:r>
              <w:rPr>
                <w:rFonts w:ascii="Arial" w:cs="Arial" w:eastAsia="Arial" w:hAnsi="Arial"/>
                <w:sz w:val="18"/>
                <w:szCs w:val="18"/>
                <w:color w:val="auto"/>
              </w:rPr>
              <w:t>CONSOLIDATED STATEMENTS OF OPERATIONS</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8"/>
          </w:tcPr>
          <w:p>
            <w:pPr>
              <w:spacing w:after="0"/>
              <w:rPr>
                <w:sz w:val="20"/>
                <w:szCs w:val="20"/>
                <w:color w:val="auto"/>
              </w:rPr>
            </w:pPr>
            <w:r>
              <w:rPr>
                <w:rFonts w:ascii="Arial" w:cs="Arial" w:eastAsia="Arial" w:hAnsi="Arial"/>
                <w:sz w:val="18"/>
                <w:szCs w:val="18"/>
                <w:color w:val="auto"/>
              </w:rPr>
              <w:t>CONSOLIDATED STATEMENTS OF STOCKHOLDERS’ EQUITY (DEFICIT)</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8"/>
          </w:tcPr>
          <w:p>
            <w:pPr>
              <w:spacing w:after="0"/>
              <w:rPr>
                <w:sz w:val="20"/>
                <w:szCs w:val="20"/>
                <w:color w:val="auto"/>
              </w:rPr>
            </w:pPr>
            <w:r>
              <w:rPr>
                <w:rFonts w:ascii="Arial" w:cs="Arial" w:eastAsia="Arial" w:hAnsi="Arial"/>
                <w:sz w:val="18"/>
                <w:szCs w:val="18"/>
                <w:color w:val="auto"/>
              </w:rPr>
              <w:t>CONSOLIDATED STATEMENTS OF CASH FLOWS</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8"/>
          </w:tcPr>
          <w:p>
            <w:pPr>
              <w:spacing w:after="0"/>
              <w:rPr>
                <w:sz w:val="20"/>
                <w:szCs w:val="20"/>
                <w:color w:val="auto"/>
              </w:rPr>
            </w:pPr>
            <w:r>
              <w:rPr>
                <w:rFonts w:ascii="Arial" w:cs="Arial" w:eastAsia="Arial" w:hAnsi="Arial"/>
                <w:sz w:val="18"/>
                <w:szCs w:val="18"/>
                <w:color w:val="auto"/>
              </w:rPr>
              <w:t>NOTES TO CONSOLIDATED FINANCIAL STATEMENTS</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520" w:type="dxa"/>
            <w:vAlign w:val="bottom"/>
            <w:tcBorders>
              <w:bottom w:val="single" w:sz="8" w:color="0000EE"/>
            </w:tcBorders>
          </w:tcPr>
          <w:p>
            <w:pPr>
              <w:spacing w:after="0" w:line="190"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9.</w:t>
              </w:r>
            </w:hyperlink>
          </w:p>
        </w:tc>
        <w:tc>
          <w:tcPr>
            <w:tcW w:w="560" w:type="dxa"/>
            <w:vAlign w:val="bottom"/>
            <w:gridSpan w:val="4"/>
          </w:tcPr>
          <w:p>
            <w:pPr>
              <w:spacing w:after="0"/>
              <w:rPr>
                <w:sz w:val="16"/>
                <w:szCs w:val="16"/>
                <w:color w:val="auto"/>
              </w:rPr>
            </w:pPr>
          </w:p>
        </w:tc>
        <w:tc>
          <w:tcPr>
            <w:tcW w:w="8200" w:type="dxa"/>
            <w:vAlign w:val="bottom"/>
            <w:gridSpan w:val="28"/>
          </w:tcPr>
          <w:p>
            <w:pPr>
              <w:spacing w:after="0" w:line="190"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9A.</w:t>
              </w:r>
            </w:hyperlink>
          </w:p>
        </w:tc>
        <w:tc>
          <w:tcPr>
            <w:tcW w:w="42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Controls and Procedures</w:t>
              </w:r>
            </w:hyperlink>
          </w:p>
        </w:tc>
        <w:tc>
          <w:tcPr>
            <w:tcW w:w="64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9B.</w:t>
              </w:r>
            </w:hyperlink>
          </w:p>
        </w:tc>
        <w:tc>
          <w:tcPr>
            <w:tcW w:w="8200" w:type="dxa"/>
            <w:vAlign w:val="bottom"/>
            <w:gridSpan w:val="2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420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10.</w:t>
              </w:r>
            </w:hyperlink>
          </w:p>
        </w:tc>
        <w:tc>
          <w:tcPr>
            <w:tcW w:w="8200" w:type="dxa"/>
            <w:vAlign w:val="bottom"/>
            <w:gridSpan w:val="2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Item 11.</w:t>
              </w:r>
            </w:hyperlink>
          </w:p>
        </w:tc>
        <w:tc>
          <w:tcPr>
            <w:tcW w:w="480" w:type="dxa"/>
            <w:vAlign w:val="bottom"/>
            <w:gridSpan w:val="3"/>
          </w:tcPr>
          <w:p>
            <w:pPr>
              <w:spacing w:after="0"/>
              <w:rPr>
                <w:sz w:val="17"/>
                <w:szCs w:val="17"/>
                <w:color w:val="auto"/>
              </w:rPr>
            </w:pPr>
          </w:p>
        </w:tc>
        <w:tc>
          <w:tcPr>
            <w:tcW w:w="4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Executive Compensation</w:t>
              </w:r>
            </w:hyperlink>
          </w:p>
        </w:tc>
        <w:tc>
          <w:tcPr>
            <w:tcW w:w="410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Item 12.</w:t>
              </w:r>
            </w:hyperlink>
          </w:p>
        </w:tc>
        <w:tc>
          <w:tcPr>
            <w:tcW w:w="460" w:type="dxa"/>
            <w:vAlign w:val="bottom"/>
            <w:gridSpan w:val="2"/>
          </w:tcPr>
          <w:p>
            <w:pPr>
              <w:spacing w:after="0"/>
              <w:rPr>
                <w:sz w:val="17"/>
                <w:szCs w:val="17"/>
                <w:color w:val="auto"/>
              </w:rPr>
            </w:pPr>
          </w:p>
        </w:tc>
        <w:tc>
          <w:tcPr>
            <w:tcW w:w="7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Security Ownership of Certain Beneficial Owners and Management and Related Stockholder Matters</w:t>
              </w:r>
            </w:hyperlink>
          </w:p>
        </w:tc>
        <w:tc>
          <w:tcPr>
            <w:tcW w:w="9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Item 13.</w:t>
              </w:r>
            </w:hyperlink>
          </w:p>
        </w:tc>
        <w:tc>
          <w:tcPr>
            <w:tcW w:w="460" w:type="dxa"/>
            <w:vAlign w:val="bottom"/>
            <w:gridSpan w:val="2"/>
          </w:tcPr>
          <w:p>
            <w:pPr>
              <w:spacing w:after="0"/>
              <w:rPr>
                <w:sz w:val="17"/>
                <w:szCs w:val="17"/>
                <w:color w:val="auto"/>
              </w:rPr>
            </w:pPr>
          </w:p>
        </w:tc>
        <w:tc>
          <w:tcPr>
            <w:tcW w:w="5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Certain Relationships and Related Transactions, and Director Independence</w:t>
              </w:r>
            </w:hyperlink>
          </w:p>
        </w:tc>
        <w:tc>
          <w:tcPr>
            <w:tcW w:w="27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14.</w:t>
              </w:r>
            </w:hyperlink>
          </w:p>
        </w:tc>
        <w:tc>
          <w:tcPr>
            <w:tcW w:w="8200" w:type="dxa"/>
            <w:vAlign w:val="bottom"/>
            <w:gridSpan w:val="2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IV</w:t>
              </w:r>
            </w:hyperlink>
          </w:p>
        </w:tc>
        <w:tc>
          <w:tcPr>
            <w:tcW w:w="422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15.</w:t>
              </w:r>
            </w:hyperlink>
          </w:p>
        </w:tc>
        <w:tc>
          <w:tcPr>
            <w:tcW w:w="8200" w:type="dxa"/>
            <w:vAlign w:val="bottom"/>
            <w:gridSpan w:val="2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Exhibits and Financial Statement Schedules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Signatures</w:t>
              </w:r>
            </w:hyperlink>
          </w:p>
        </w:tc>
        <w:tc>
          <w:tcPr>
            <w:tcW w:w="56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EX-23.1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58"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700" w:firstLine="225"/>
        <w:spacing w:after="0" w:line="268" w:lineRule="auto"/>
        <w:rPr>
          <w:sz w:val="20"/>
          <w:szCs w:val="20"/>
          <w:color w:val="auto"/>
        </w:rPr>
      </w:pPr>
      <w:r>
        <w:rPr>
          <w:rFonts w:ascii="Arial" w:cs="Arial" w:eastAsia="Arial" w:hAnsi="Arial"/>
          <w:sz w:val="17"/>
          <w:szCs w:val="17"/>
          <w:color w:val="auto"/>
        </w:rPr>
        <w:t>Statements in this report that are not strictly historical in nature are forward-looking statements. These statements include, but are not limited to, statements about: the progress or success of our research, development and clinical programs, including the submission of application for and receipt of regulatory clearances and approvals, and the timing or success of the commercialization of AFREZZA</w:t>
      </w:r>
      <w:r>
        <w:rPr>
          <w:rFonts w:ascii="Arial" w:cs="Arial" w:eastAsia="Arial" w:hAnsi="Arial"/>
          <w:sz w:val="14"/>
          <w:szCs w:val="14"/>
          <w:color w:val="auto"/>
        </w:rPr>
        <w:t>™</w:t>
      </w:r>
      <w:r>
        <w:rPr>
          <w:rFonts w:ascii="Arial" w:cs="Arial" w:eastAsia="Arial" w:hAnsi="Arial"/>
          <w:sz w:val="17"/>
          <w:szCs w:val="17"/>
          <w:color w:val="auto"/>
        </w:rPr>
        <w:t>, our ultra rapid-acting insulin product that was formerly known as AFRESA</w:t>
      </w:r>
      <w:r>
        <w:rPr>
          <w:rFonts w:ascii="Arial" w:cs="Arial" w:eastAsia="Arial" w:hAnsi="Arial"/>
          <w:sz w:val="14"/>
          <w:szCs w:val="14"/>
          <w:color w:val="auto"/>
        </w:rPr>
        <w:t>®</w:t>
      </w:r>
      <w:r>
        <w:rPr>
          <w:rFonts w:ascii="Arial" w:cs="Arial" w:eastAsia="Arial" w:hAnsi="Arial"/>
          <w:sz w:val="17"/>
          <w:szCs w:val="17"/>
          <w:color w:val="auto"/>
        </w:rPr>
        <w:t>, or any other products or therapies that we may develop; our ability to market, commercialize and achieve market acceptance for AFREZZA,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“Risks and Uncertainties That May Affect Results” and elsewhere in this report. Except as required by law, we undertake no obligation to publicly update or revise any forward-looking statements, whether as a result of new information, future events or otherwise.</w:t>
      </w:r>
    </w:p>
    <w:p>
      <w:pPr>
        <w:spacing w:after="0" w:line="73" w:lineRule="exact"/>
        <w:rPr>
          <w:sz w:val="20"/>
          <w:szCs w:val="20"/>
          <w:color w:val="auto"/>
        </w:rPr>
      </w:pPr>
    </w:p>
    <w:p>
      <w:pPr>
        <w:jc w:val="both"/>
        <w:ind w:left="700" w:right="260" w:firstLine="215"/>
        <w:spacing w:after="0" w:line="264"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w:t>
      </w:r>
      <w:r>
        <w:rPr>
          <w:rFonts w:ascii="Arial" w:cs="Arial" w:eastAsia="Arial" w:hAnsi="Arial"/>
          <w:sz w:val="18"/>
          <w:szCs w:val="18"/>
          <w:color w:val="auto"/>
        </w:rPr>
        <w:t>, MedTone</w:t>
      </w:r>
      <w:r>
        <w:rPr>
          <w:rFonts w:ascii="Arial" w:cs="Arial" w:eastAsia="Arial" w:hAnsi="Arial"/>
          <w:sz w:val="15"/>
          <w:szCs w:val="15"/>
          <w:color w:val="auto"/>
        </w:rPr>
        <w:t>®</w:t>
      </w:r>
      <w:r>
        <w:rPr>
          <w:rFonts w:ascii="Arial" w:cs="Arial" w:eastAsia="Arial" w:hAnsi="Arial"/>
          <w:sz w:val="18"/>
          <w:szCs w:val="18"/>
          <w:color w:val="auto"/>
        </w:rPr>
        <w:t xml:space="preserve"> and Technosphere</w:t>
      </w:r>
      <w:r>
        <w:rPr>
          <w:rFonts w:ascii="Arial" w:cs="Arial" w:eastAsia="Arial" w:hAnsi="Arial"/>
          <w:sz w:val="15"/>
          <w:szCs w:val="15"/>
          <w:color w:val="auto"/>
        </w:rPr>
        <w:t>®</w:t>
      </w:r>
      <w:r>
        <w:rPr>
          <w:rFonts w:ascii="Arial" w:cs="Arial" w:eastAsia="Arial" w:hAnsi="Arial"/>
          <w:sz w:val="18"/>
          <w:szCs w:val="18"/>
          <w:color w:val="auto"/>
        </w:rPr>
        <w:t xml:space="preserve"> are our trademarks in the United States. We have also applied for or have registered company trademarks in other jurisdictions, including Europe and Japan. This document also contains trademarks and service marks of other companies that are the property of their respective owners.</w:t>
      </w:r>
    </w:p>
    <w:p>
      <w:pPr>
        <w:spacing w:after="0" w:line="28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Unless the context requires otherwise, the words “MannKind,” “we,” “company,” “us” and “our” refer to MannKind Corporation.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Unless explicitly stated otherwise, AFREZZA refers to the combination of AFREZZA inhalation powder and the AFREZZA inhaler.</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00" w:right="60" w:firstLine="225"/>
        <w:spacing w:after="0" w:line="293" w:lineRule="auto"/>
        <w:rPr>
          <w:sz w:val="20"/>
          <w:szCs w:val="20"/>
          <w:color w:val="auto"/>
        </w:rPr>
      </w:pPr>
      <w:r>
        <w:rPr>
          <w:rFonts w:ascii="Arial" w:cs="Arial" w:eastAsia="Arial" w:hAnsi="Arial"/>
          <w:sz w:val="16"/>
          <w:szCs w:val="16"/>
          <w:color w:val="auto"/>
        </w:rPr>
        <w:t>MannKind Corporation is a biopharmaceutical company focused on the discovery, development and commercialization of therapeutic products for diseases such as diabetes and cancer. Our lead product candidate, AFREZZA (insulin human [rDNA origin]) Inhalation Powder, is an ultra rapid-acting insulin that has completed Phase 3 clinical trials that evaluated its safety and efficacy in the treatment of diabetes. We submitted a new drug application, or NDA, to the United Stated Food and Drug Administration, or FDA, for AFREZZA in March 2009. On March 12, 2010, we received a Complete Response letter from the FDA regarding this NDA, seeking additional information about AFREZZA. As of the date of this Annual Report, AFREZZA remains under review by the FDA.</w:t>
      </w:r>
    </w:p>
    <w:p>
      <w:pPr>
        <w:spacing w:after="0" w:line="57" w:lineRule="exact"/>
        <w:rPr>
          <w:sz w:val="20"/>
          <w:szCs w:val="20"/>
          <w:color w:val="auto"/>
        </w:rPr>
      </w:pPr>
    </w:p>
    <w:p>
      <w:pPr>
        <w:ind w:left="700" w:right="20" w:firstLine="215"/>
        <w:spacing w:after="0" w:line="293" w:lineRule="auto"/>
        <w:rPr>
          <w:sz w:val="20"/>
          <w:szCs w:val="20"/>
          <w:color w:val="auto"/>
        </w:rPr>
      </w:pPr>
      <w:r>
        <w:rPr>
          <w:rFonts w:ascii="Arial" w:cs="Arial" w:eastAsia="Arial" w:hAnsi="Arial"/>
          <w:sz w:val="16"/>
          <w:szCs w:val="16"/>
          <w:color w:val="auto"/>
        </w:rPr>
        <w:t>AFREZZA utilizes our proprietary Technosphere formulation technology, which is based on a class of organic molecules that are designed to self-assemble into small particles onto which drug molecules can be loaded. With AFREZZA, we load recombinant human insulin onto the Technosphere particles; however, this technology is not limited to insulin delivery. We believe it represents a versatile drug delivery platform that may allow pulmonary administration of certain drugs that currently require administration by injection, such as glucagon-like peptide-1, or GLP-1. Beyond convenience, we believe the key advantage of drugs inhaled as Technosphere formulations is that they have been shown to be absorbed very rapidly into the arterial circulation, essentially mimicking intra-arterial administration.</w:t>
      </w:r>
    </w:p>
    <w:p>
      <w:pPr>
        <w:spacing w:after="0" w:line="57" w:lineRule="exact"/>
        <w:rPr>
          <w:sz w:val="20"/>
          <w:szCs w:val="20"/>
          <w:color w:val="auto"/>
        </w:rPr>
      </w:pPr>
    </w:p>
    <w:p>
      <w:pPr>
        <w:ind w:left="700" w:right="300" w:firstLine="225"/>
        <w:spacing w:after="0" w:line="279" w:lineRule="auto"/>
        <w:rPr>
          <w:sz w:val="20"/>
          <w:szCs w:val="20"/>
          <w:color w:val="auto"/>
        </w:rPr>
      </w:pPr>
      <w:r>
        <w:rPr>
          <w:rFonts w:ascii="Arial" w:cs="Arial" w:eastAsia="Arial" w:hAnsi="Arial"/>
          <w:sz w:val="17"/>
          <w:szCs w:val="17"/>
          <w:color w:val="auto"/>
        </w:rPr>
        <w:t>In addition to our Technosphere platform, we are developing therapies for the treatment of different types of cancer. We have conducted Phase 1 clinical studies of two immunotherapy product candidates, MKC1106-PP and MKC1106-MT, and are preparing to initiate a Phase 2 study of MKC1106-MT in patients with advanced melanoma. We are also conducting preclinical studies of a drug candidate, MKC204, that may have the potential to treat certain malignancies and inflammatory diseases.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chart indicates the most advanced stage of development for each of our product candidates.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color w:val="auto"/>
              </w:rPr>
              <w:t>Preclinical</w:t>
            </w: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Clinical Studies</w:t>
            </w:r>
          </w:p>
        </w:tc>
        <w:tc>
          <w:tcPr>
            <w:tcW w:w="5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1"/>
              </w:rPr>
              <w:t>Regulatory</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720" w:type="dxa"/>
            <w:vAlign w:val="bottom"/>
            <w:gridSpan w:val="3"/>
          </w:tcPr>
          <w:p>
            <w:pPr>
              <w:jc w:val="right"/>
              <w:ind w:right="560"/>
              <w:spacing w:after="0" w:line="142" w:lineRule="exact"/>
              <w:rPr>
                <w:sz w:val="20"/>
                <w:szCs w:val="20"/>
                <w:color w:val="auto"/>
              </w:rPr>
            </w:pPr>
            <w:r>
              <w:rPr>
                <w:rFonts w:ascii="Arial" w:cs="Arial" w:eastAsia="Arial" w:hAnsi="Arial"/>
                <w:sz w:val="14"/>
                <w:szCs w:val="14"/>
                <w:color w:val="auto"/>
              </w:rPr>
              <w:t>Development</w:t>
            </w:r>
          </w:p>
        </w:tc>
        <w:tc>
          <w:tcPr>
            <w:tcW w:w="580" w:type="dxa"/>
            <w:vAlign w:val="bottom"/>
          </w:tcPr>
          <w:p>
            <w:pPr>
              <w:ind w:left="80"/>
              <w:spacing w:after="0" w:line="142" w:lineRule="exact"/>
              <w:rPr>
                <w:sz w:val="20"/>
                <w:szCs w:val="20"/>
                <w:color w:val="auto"/>
              </w:rPr>
            </w:pPr>
            <w:r>
              <w:rPr>
                <w:rFonts w:ascii="Arial" w:cs="Arial" w:eastAsia="Arial" w:hAnsi="Arial"/>
                <w:sz w:val="14"/>
                <w:szCs w:val="14"/>
                <w:color w:val="auto"/>
                <w:w w:val="93"/>
              </w:rPr>
              <w:t>Phase 1</w:t>
            </w:r>
          </w:p>
        </w:tc>
        <w:tc>
          <w:tcPr>
            <w:tcW w:w="580" w:type="dxa"/>
            <w:vAlign w:val="bottom"/>
          </w:tcPr>
          <w:p>
            <w:pPr>
              <w:spacing w:after="0"/>
              <w:rPr>
                <w:sz w:val="12"/>
                <w:szCs w:val="12"/>
                <w:color w:val="auto"/>
              </w:rPr>
            </w:pPr>
          </w:p>
        </w:tc>
        <w:tc>
          <w:tcPr>
            <w:tcW w:w="1140" w:type="dxa"/>
            <w:vAlign w:val="bottom"/>
            <w:gridSpan w:val="2"/>
          </w:tcPr>
          <w:p>
            <w:pPr>
              <w:jc w:val="center"/>
              <w:ind w:right="580"/>
              <w:spacing w:after="0" w:line="142" w:lineRule="exact"/>
              <w:rPr>
                <w:sz w:val="20"/>
                <w:szCs w:val="20"/>
                <w:color w:val="auto"/>
              </w:rPr>
            </w:pPr>
            <w:r>
              <w:rPr>
                <w:rFonts w:ascii="Arial" w:cs="Arial" w:eastAsia="Arial" w:hAnsi="Arial"/>
                <w:sz w:val="14"/>
                <w:szCs w:val="14"/>
                <w:color w:val="auto"/>
                <w:w w:val="85"/>
              </w:rPr>
              <w:t>Phase 2</w:t>
            </w:r>
          </w:p>
        </w:tc>
        <w:tc>
          <w:tcPr>
            <w:tcW w:w="580" w:type="dxa"/>
            <w:vAlign w:val="bottom"/>
          </w:tcPr>
          <w:p>
            <w:pPr>
              <w:ind w:left="60"/>
              <w:spacing w:after="0" w:line="142" w:lineRule="exact"/>
              <w:rPr>
                <w:sz w:val="20"/>
                <w:szCs w:val="20"/>
                <w:color w:val="auto"/>
              </w:rPr>
            </w:pPr>
            <w:r>
              <w:rPr>
                <w:rFonts w:ascii="Arial" w:cs="Arial" w:eastAsia="Arial" w:hAnsi="Arial"/>
                <w:sz w:val="14"/>
                <w:szCs w:val="14"/>
                <w:color w:val="auto"/>
                <w:w w:val="97"/>
              </w:rPr>
              <w:t>Phase 3</w:t>
            </w:r>
          </w:p>
        </w:tc>
        <w:tc>
          <w:tcPr>
            <w:tcW w:w="580" w:type="dxa"/>
            <w:vAlign w:val="bottom"/>
          </w:tcPr>
          <w:p>
            <w:pPr>
              <w:spacing w:after="0"/>
              <w:rPr>
                <w:sz w:val="12"/>
                <w:szCs w:val="12"/>
                <w:color w:val="auto"/>
              </w:rPr>
            </w:pPr>
          </w:p>
        </w:tc>
        <w:tc>
          <w:tcPr>
            <w:tcW w:w="640" w:type="dxa"/>
            <w:vAlign w:val="bottom"/>
          </w:tcPr>
          <w:p>
            <w:pPr>
              <w:jc w:val="right"/>
              <w:ind w:right="22"/>
              <w:spacing w:after="0" w:line="142" w:lineRule="exact"/>
              <w:rPr>
                <w:sz w:val="20"/>
                <w:szCs w:val="20"/>
                <w:color w:val="auto"/>
              </w:rPr>
            </w:pPr>
            <w:r>
              <w:rPr>
                <w:rFonts w:ascii="Arial" w:cs="Arial" w:eastAsia="Arial" w:hAnsi="Arial"/>
                <w:sz w:val="14"/>
                <w:szCs w:val="14"/>
                <w:color w:val="auto"/>
              </w:rPr>
              <w:t>Review</w:t>
            </w:r>
          </w:p>
        </w:tc>
        <w:tc>
          <w:tcPr>
            <w:tcW w:w="1360" w:type="dxa"/>
            <w:vAlign w:val="bottom"/>
            <w:gridSpan w:val="3"/>
          </w:tcPr>
          <w:p>
            <w:pPr>
              <w:ind w:left="560"/>
              <w:spacing w:after="0" w:line="142" w:lineRule="exact"/>
              <w:rPr>
                <w:sz w:val="20"/>
                <w:szCs w:val="20"/>
                <w:color w:val="auto"/>
              </w:rPr>
            </w:pPr>
            <w:r>
              <w:rPr>
                <w:rFonts w:ascii="Arial" w:cs="Arial" w:eastAsia="Arial" w:hAnsi="Arial"/>
                <w:sz w:val="14"/>
                <w:szCs w:val="14"/>
                <w:color w:val="auto"/>
              </w:rPr>
              <w:t>Commercial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Technosphere Platform</w:t>
            </w:r>
          </w:p>
        </w:tc>
        <w:tc>
          <w:tcPr>
            <w:tcW w:w="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AFREZZA (insulin)</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X</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MKC253 (GLP-1)</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2"/>
              </w:rPr>
              <w:t>X</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MKC180 (obesity compound)</w:t>
            </w:r>
          </w:p>
        </w:tc>
        <w:tc>
          <w:tcPr>
            <w:tcW w:w="40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Cancer Immunotherapy</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MKC1106-MT</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MKC1106-PP</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2"/>
              </w:rPr>
              <w:t>X</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MKC1106-NS</w:t>
            </w:r>
          </w:p>
        </w:tc>
        <w:tc>
          <w:tcPr>
            <w:tcW w:w="40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Cancer Drugs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MKC204 (IRE-1 inhibitor)</w:t>
            </w:r>
          </w:p>
        </w:tc>
        <w:tc>
          <w:tcPr>
            <w:tcW w:w="40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00" w:right="80" w:firstLine="222"/>
        <w:spacing w:after="0" w:line="291" w:lineRule="auto"/>
        <w:rPr>
          <w:sz w:val="20"/>
          <w:szCs w:val="20"/>
          <w:color w:val="auto"/>
        </w:rPr>
      </w:pPr>
      <w:r>
        <w:rPr>
          <w:rFonts w:ascii="Arial" w:cs="Arial" w:eastAsia="Arial" w:hAnsi="Arial"/>
          <w:sz w:val="16"/>
          <w:szCs w:val="16"/>
          <w:color w:val="auto"/>
        </w:rPr>
        <w:t>We were incorporated in the State of Delaware in 1991. Our principal executive offices are located at 28903 North Avenue Paine, Valencia, California 91355, and our telephone number at that address is (661) 775-5300. Our website address is http://www.mannkindcorp.com. Our filings with the Securities and Exchange Commission, or SEC, including our annual report on Form 10-K, quarterly reports on Form 10-Q, current reports on Form 8-K and any amendments to those reports are available free of charge through our website as soon as reasonably practicable after being electronically filed with or furnished to the SEC. We regularly post copies of our press releases as well as additional information on our website. Interested persons can subscribe on the website to e-mail alerts that are sent automatically when we issue press releases, file reports with the SEC or post certain other information to the website.</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700" w:right="20" w:firstLine="225"/>
        <w:spacing w:after="0" w:line="264" w:lineRule="auto"/>
        <w:rPr>
          <w:sz w:val="20"/>
          <w:szCs w:val="20"/>
          <w:color w:val="auto"/>
        </w:rPr>
      </w:pPr>
      <w:r>
        <w:rPr>
          <w:rFonts w:ascii="Arial" w:cs="Arial" w:eastAsia="Arial" w:hAnsi="Arial"/>
          <w:sz w:val="18"/>
          <w:szCs w:val="18"/>
          <w:color w:val="auto"/>
        </w:rPr>
        <w:t>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Complete Response letter related to the AFREZZA application requested several items, including:</w:t>
      </w:r>
    </w:p>
    <w:p>
      <w:pPr>
        <w:spacing w:after="0" w:line="117" w:lineRule="exact"/>
        <w:rPr>
          <w:sz w:val="20"/>
          <w:szCs w:val="20"/>
          <w:color w:val="auto"/>
        </w:rPr>
      </w:pPr>
    </w:p>
    <w:p>
      <w:pPr>
        <w:ind w:left="1480" w:hanging="396"/>
        <w:spacing w:after="0"/>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information and currently available clinical data that support the clinical utility of AFREZZA;</w:t>
      </w:r>
    </w:p>
    <w:p>
      <w:pPr>
        <w:spacing w:after="0" w:line="130" w:lineRule="exact"/>
        <w:rPr>
          <w:rFonts w:ascii="Arial" w:cs="Arial" w:eastAsia="Arial" w:hAnsi="Arial"/>
          <w:sz w:val="18"/>
          <w:szCs w:val="18"/>
          <w:b w:val="1"/>
          <w:bCs w:val="1"/>
          <w:color w:val="auto"/>
        </w:rPr>
      </w:pPr>
    </w:p>
    <w:p>
      <w:pPr>
        <w:ind w:left="1480" w:right="560" w:hanging="396"/>
        <w:spacing w:after="0" w:line="277" w:lineRule="auto"/>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information about the comparability of the MedTone inhaler to an earlier version of this device that was used in pivotal clinical trials;</w:t>
      </w:r>
    </w:p>
    <w:p>
      <w:pPr>
        <w:spacing w:after="0" w:line="75" w:lineRule="exact"/>
        <w:rPr>
          <w:rFonts w:ascii="Arial" w:cs="Arial" w:eastAsia="Arial" w:hAnsi="Arial"/>
          <w:sz w:val="18"/>
          <w:szCs w:val="18"/>
          <w:b w:val="1"/>
          <w:bCs w:val="1"/>
          <w:color w:val="auto"/>
        </w:rPr>
      </w:pPr>
    </w:p>
    <w:p>
      <w:pPr>
        <w:ind w:left="1480" w:hanging="396"/>
        <w:spacing w:after="0"/>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to the proposed labeling of the cartridges, foil pouches and cartons; and</w:t>
      </w:r>
    </w:p>
    <w:p>
      <w:pPr>
        <w:spacing w:after="0" w:line="130" w:lineRule="exact"/>
        <w:rPr>
          <w:rFonts w:ascii="Arial" w:cs="Arial" w:eastAsia="Arial" w:hAnsi="Arial"/>
          <w:sz w:val="18"/>
          <w:szCs w:val="18"/>
          <w:b w:val="1"/>
          <w:bCs w:val="1"/>
          <w:color w:val="auto"/>
        </w:rPr>
      </w:pPr>
    </w:p>
    <w:p>
      <w:pPr>
        <w:ind w:left="1480" w:right="500" w:hanging="396"/>
        <w:spacing w:after="0" w:line="277" w:lineRule="auto"/>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updated safety data related to AFREZZA, including whether there were any significant changes or findings in the safety profile.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letter did not require any additional pre-marketing clinical studies in order for the FDA to complete its review of the NDA.</w:t>
      </w:r>
    </w:p>
    <w:p>
      <w:pPr>
        <w:spacing w:after="0" w:line="117" w:lineRule="exact"/>
        <w:rPr>
          <w:sz w:val="20"/>
          <w:szCs w:val="20"/>
          <w:color w:val="auto"/>
        </w:rPr>
      </w:pPr>
    </w:p>
    <w:p>
      <w:pPr>
        <w:ind w:left="700" w:right="100" w:firstLine="222"/>
        <w:spacing w:after="0" w:line="279" w:lineRule="auto"/>
        <w:rPr>
          <w:sz w:val="20"/>
          <w:szCs w:val="20"/>
          <w:color w:val="auto"/>
        </w:rPr>
      </w:pPr>
      <w:r>
        <w:rPr>
          <w:rFonts w:ascii="Arial" w:cs="Arial" w:eastAsia="Arial" w:hAnsi="Arial"/>
          <w:sz w:val="17"/>
          <w:szCs w:val="17"/>
          <w:color w:val="auto"/>
        </w:rPr>
        <w:t>The letter stated that the FDA had not yet completed its inspection of one of the manufacturing or testing facilities listed in the NDA and that satisfactory inspection reports for all facilities must be received before the application could be approved. We had previously been informed by the FDA that it had not yet completed this inspection. We are aware from our supplier that the inspection of its facility has now been scheduled by the FDA and is expected to take place during the week of March 22, 2010.</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Complete Response letter, the FDA also stated that a Risk Evaluation and Mitigation Strategy, or REMS, will be necessary for</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AFREZZA, if it is approved, to ensure that the benefits of the drug outweigh:</w:t>
      </w:r>
    </w:p>
    <w:p>
      <w:pPr>
        <w:spacing w:after="0" w:line="103" w:lineRule="exact"/>
        <w:rPr>
          <w:sz w:val="20"/>
          <w:szCs w:val="20"/>
          <w:color w:val="auto"/>
        </w:rPr>
      </w:pPr>
    </w:p>
    <w:p>
      <w:pPr>
        <w:ind w:left="1480" w:hanging="396"/>
        <w:spacing w:after="0"/>
        <w:tabs>
          <w:tab w:leader="none" w:pos="14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risk of respiratory difficulty immediately post-inhalation, especially in patients with undiagnosed chronic lung disease;</w:t>
      </w:r>
    </w:p>
    <w:p>
      <w:pPr>
        <w:spacing w:after="0" w:line="142" w:lineRule="exact"/>
        <w:rPr>
          <w:rFonts w:ascii="Arial" w:cs="Arial" w:eastAsia="Arial" w:hAnsi="Arial"/>
          <w:sz w:val="17"/>
          <w:szCs w:val="17"/>
          <w:b w:val="1"/>
          <w:bCs w:val="1"/>
          <w:color w:val="auto"/>
        </w:rPr>
      </w:pPr>
    </w:p>
    <w:p>
      <w:pPr>
        <w:ind w:left="1480" w:hanging="396"/>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risk of pulmonary function decline over time; and</w:t>
      </w:r>
    </w:p>
    <w:p>
      <w:pPr>
        <w:spacing w:after="0" w:line="130" w:lineRule="exact"/>
        <w:rPr>
          <w:rFonts w:ascii="Arial" w:cs="Arial" w:eastAsia="Arial" w:hAnsi="Arial"/>
          <w:sz w:val="18"/>
          <w:szCs w:val="18"/>
          <w:b w:val="1"/>
          <w:bCs w:val="1"/>
          <w:color w:val="auto"/>
        </w:rPr>
      </w:pPr>
    </w:p>
    <w:p>
      <w:pPr>
        <w:ind w:left="1480" w:right="420" w:hanging="396"/>
        <w:spacing w:after="0" w:line="277"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potential risk of harm due to use by inappropriate patient populations, such as smokers and patients with chronic lung disease.</w:t>
      </w:r>
    </w:p>
    <w:p>
      <w:pPr>
        <w:spacing w:after="0" w:line="62" w:lineRule="exact"/>
        <w:rPr>
          <w:sz w:val="20"/>
          <w:szCs w:val="20"/>
          <w:color w:val="auto"/>
        </w:rPr>
      </w:pPr>
    </w:p>
    <w:p>
      <w:pPr>
        <w:ind w:left="700" w:right="260"/>
        <w:spacing w:after="0" w:line="342" w:lineRule="auto"/>
        <w:rPr>
          <w:sz w:val="20"/>
          <w:szCs w:val="20"/>
          <w:color w:val="auto"/>
        </w:rPr>
      </w:pPr>
      <w:r>
        <w:rPr>
          <w:rFonts w:ascii="Arial" w:cs="Arial" w:eastAsia="Arial" w:hAnsi="Arial"/>
          <w:sz w:val="16"/>
          <w:szCs w:val="16"/>
          <w:color w:val="auto"/>
        </w:rPr>
        <w:t>The FDA acknowledged receipt of our proposed REMS materials that were included in the original NDA submission and stated that it would continue its discussion with us regarding the REMS after we had submitted our response to the Complete Response letter.</w:t>
      </w:r>
    </w:p>
    <w:p>
      <w:pPr>
        <w:spacing w:after="0" w:line="16" w:lineRule="exact"/>
        <w:rPr>
          <w:sz w:val="20"/>
          <w:szCs w:val="20"/>
          <w:color w:val="auto"/>
        </w:rPr>
      </w:pPr>
    </w:p>
    <w:p>
      <w:pPr>
        <w:ind w:left="700" w:right="60" w:firstLine="215"/>
        <w:spacing w:after="0" w:line="273" w:lineRule="auto"/>
        <w:rPr>
          <w:sz w:val="20"/>
          <w:szCs w:val="20"/>
          <w:color w:val="auto"/>
        </w:rPr>
      </w:pPr>
      <w:r>
        <w:rPr>
          <w:rFonts w:ascii="Arial" w:cs="Arial" w:eastAsia="Arial" w:hAnsi="Arial"/>
          <w:sz w:val="17"/>
          <w:szCs w:val="17"/>
          <w:color w:val="auto"/>
        </w:rPr>
        <w:t>As recommended by the FDA, we will request an End-of-Review meeting with the agency to discuss our approach for resolving the remaining issues. Prior to this regulatory action, our plan had been to follow the original NDA for AFREZZA with another regulatory submission for our next-generation inhaler rather than launch AFREZZA with the MedTone device. We intend to discuss with the FDA whether it is appropriate to address the agency’s requests using what would otherwise have been a supplemental NDA submission. If this approach is acceptable, we believe that this regulatory action may not have a significant impact on the timing of the commercial launch of AFREZZA, which would not have occurred until at least 2011 in any event.</w:t>
      </w:r>
    </w:p>
    <w:p>
      <w:pPr>
        <w:spacing w:after="0" w:line="70" w:lineRule="exact"/>
        <w:rPr>
          <w:sz w:val="20"/>
          <w:szCs w:val="20"/>
          <w:color w:val="auto"/>
        </w:rPr>
      </w:pPr>
    </w:p>
    <w:p>
      <w:pPr>
        <w:ind w:left="700" w:right="120" w:firstLine="222"/>
        <w:spacing w:after="0" w:line="257" w:lineRule="auto"/>
        <w:rPr>
          <w:sz w:val="20"/>
          <w:szCs w:val="20"/>
          <w:color w:val="auto"/>
        </w:rPr>
      </w:pPr>
      <w:r>
        <w:rPr>
          <w:rFonts w:ascii="Arial" w:cs="Arial" w:eastAsia="Arial" w:hAnsi="Arial"/>
          <w:sz w:val="18"/>
          <w:szCs w:val="18"/>
          <w:color w:val="auto"/>
        </w:rPr>
        <w:t>We plan to work closely with the FDA to answer the agency’s questions and to provide the requested information and data as quickly as possible. There can be no assurance that we will be able to satisfy all of the FDA’s requirements with currently available data or that the FDA will find our proposed approach with respect to the inhaler acceptable. The FDA could also request that we conduct additional clinical trials to provide sufficient data for approval of the NDA. There can be no assurance that we will obtain approval of the NDA in time for a commercial launch of AFREZZA in 2011 or at any time.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DIABETES</w:t>
      </w:r>
    </w:p>
    <w:p>
      <w:pPr>
        <w:spacing w:after="0" w:line="121" w:lineRule="exact"/>
        <w:rPr>
          <w:sz w:val="20"/>
          <w:szCs w:val="20"/>
          <w:color w:val="auto"/>
        </w:rPr>
      </w:pPr>
    </w:p>
    <w:p>
      <w:pPr>
        <w:ind w:left="700" w:right="60" w:firstLine="225"/>
        <w:spacing w:after="0" w:line="312" w:lineRule="auto"/>
        <w:rPr>
          <w:sz w:val="20"/>
          <w:szCs w:val="20"/>
          <w:color w:val="auto"/>
        </w:rPr>
      </w:pPr>
      <w:r>
        <w:rPr>
          <w:rFonts w:ascii="Arial" w:cs="Arial" w:eastAsia="Arial" w:hAnsi="Arial"/>
          <w:sz w:val="16"/>
          <w:szCs w:val="16"/>
          <w:color w:val="auto"/>
        </w:rPr>
        <w:t>Diabetes is a major disease characterized by the body’s inability to properly regulate levels of blood glucose, or blood sugar. The cells of the body use glucose as fuel, which is consumed 24 hours a day. Between meals, when glucose is not being supplied from food, the liver releases glucose into the blood to sustain adequate levels. Insulin is a hormone produced by the pancreas that regulates the body’s</w:t>
      </w:r>
    </w:p>
    <w:p>
      <w:pPr>
        <w:sectPr>
          <w:pgSz w:w="11900" w:h="16838" w:orient="portrait"/>
          <w:cols w:equalWidth="0" w:num="1">
            <w:col w:w="10620"/>
          </w:cols>
          <w:pgMar w:left="240" w:top="419" w:right="1039" w:bottom="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blood glucose levels. Patients with diabetes develop abnormally high levels of glucose, a state known as hyperglycemia, either because they produce insufficient levels of insulin or because they fail to respond adequately to insulin produced by the body. Over time, poorly controlled levels of blood glucose can lead to major complications, including high blood pressure, blindness, amputations, kidney failure, heart attack, stroke and death.</w:t>
      </w:r>
    </w:p>
    <w:p>
      <w:pPr>
        <w:spacing w:after="0" w:line="79" w:lineRule="exact"/>
        <w:rPr>
          <w:sz w:val="20"/>
          <w:szCs w:val="20"/>
          <w:color w:val="auto"/>
        </w:rPr>
      </w:pPr>
    </w:p>
    <w:p>
      <w:pPr>
        <w:ind w:right="60" w:firstLine="215"/>
        <w:spacing w:after="0" w:line="293" w:lineRule="auto"/>
        <w:rPr>
          <w:sz w:val="20"/>
          <w:szCs w:val="20"/>
          <w:color w:val="auto"/>
        </w:rPr>
      </w:pPr>
      <w:r>
        <w:rPr>
          <w:rFonts w:ascii="Arial" w:cs="Arial" w:eastAsia="Arial" w:hAnsi="Arial"/>
          <w:sz w:val="16"/>
          <w:szCs w:val="16"/>
          <w:color w:val="auto"/>
        </w:rPr>
        <w:t>According to the United States Centers for Disease Control, or CDC, approximately 23.6 million people in the United States, or 7.8% of the population, suffered from diabetes as of 2007. The CDC estimated that 17.9 million cases of diabetes were diagnosed and under treatment, with about 1.6 million new cases being diagnosed each year in people aged 20 or older. Diabetes extracts a heavy toll from those who suffer from it. The CDC reported that diabetes was the seventh leading cause of death listed on death certificates in 2006, but that diabetes was likely to be underreported as a cause of death. Overall, the CDC found that the risk of death among people with diabetes is about twice that of people without diabetes of similar age. The economic costs of diabetes are high as well. The American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125"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0"/>
        <w:spacing w:after="0" w:line="286" w:lineRule="auto"/>
        <w:rPr>
          <w:sz w:val="20"/>
          <w:szCs w:val="20"/>
          <w:color w:val="auto"/>
        </w:rPr>
      </w:pPr>
      <w:r>
        <w:rPr>
          <w:rFonts w:ascii="Arial" w:cs="Arial" w:eastAsia="Arial" w:hAnsi="Arial"/>
          <w:sz w:val="17"/>
          <w:szCs w:val="17"/>
          <w:color w:val="auto"/>
        </w:rPr>
        <w:t>Diabetes Association estimated that, in 2007, the total cost of diabetes in the United States was $174 billion, an increase of 32% since 2002. This amount includes $27 billion of direct costs for drug treatment for glucose control, of which approximately $5.4 billion were for insulin and delivery supplies and approximately $8.5 billion were for non-insulin oral medications.</w:t>
      </w:r>
    </w:p>
    <w:p>
      <w:pPr>
        <w:spacing w:after="0" w:line="57" w:lineRule="exact"/>
        <w:rPr>
          <w:sz w:val="20"/>
          <w:szCs w:val="20"/>
          <w:color w:val="auto"/>
        </w:rPr>
      </w:pPr>
    </w:p>
    <w:p>
      <w:pPr>
        <w:ind w:left="700" w:right="80" w:firstLine="222"/>
        <w:spacing w:after="0" w:line="297" w:lineRule="auto"/>
        <w:rPr>
          <w:sz w:val="20"/>
          <w:szCs w:val="20"/>
          <w:color w:val="auto"/>
        </w:rPr>
      </w:pPr>
      <w:r>
        <w:rPr>
          <w:rFonts w:ascii="Arial" w:cs="Arial" w:eastAsia="Arial" w:hAnsi="Arial"/>
          <w:sz w:val="16"/>
          <w:szCs w:val="16"/>
          <w:color w:val="auto"/>
        </w:rPr>
        <w:t>There are two major forms of diabetes, type 1 and type 2. Type 1 diabetes is an autoimmune disease characterized by a complete lack of insulin secretion by the pancreas, so insulin must be supplied from outside the body in order to sustain life. In type 2 diabetes, the pancreas continues to produce insulin; however, insulin-dependent cells become resistant to the insulin effect. Over time, the pancreas becomes increasingly unable to secrete adequate amounts of insulin to support metabolism. According to the CDC, type 2 diabetes is the more prevalent form of the disease, affecting approximately 90% to 95% of people diagnosed with diabetes.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Challenges of Treating Diabetes</w:t>
      </w:r>
    </w:p>
    <w:p>
      <w:pPr>
        <w:spacing w:after="0" w:line="121" w:lineRule="exact"/>
        <w:rPr>
          <w:sz w:val="20"/>
          <w:szCs w:val="20"/>
          <w:color w:val="auto"/>
        </w:rPr>
      </w:pPr>
    </w:p>
    <w:p>
      <w:pPr>
        <w:ind w:left="700" w:right="60" w:firstLine="225"/>
        <w:spacing w:after="0" w:line="264" w:lineRule="auto"/>
        <w:rPr>
          <w:sz w:val="20"/>
          <w:szCs w:val="20"/>
          <w:color w:val="auto"/>
        </w:rPr>
      </w:pPr>
      <w:r>
        <w:rPr>
          <w:rFonts w:ascii="Arial" w:cs="Arial" w:eastAsia="Arial" w:hAnsi="Arial"/>
          <w:sz w:val="18"/>
          <w:szCs w:val="18"/>
          <w:color w:val="auto"/>
        </w:rPr>
        <w:t>Since patients with type 1 diabetes produce no insulin of their own, the primary treatment for type 1 diabetes is daily intensive insulin therapy. Such patients usually require a daily injection of long-acting, or basal, insulin along with an injection of rapid- or fast-acting insulin at mealtimes.</w:t>
      </w:r>
    </w:p>
    <w:p>
      <w:pPr>
        <w:spacing w:after="0" w:line="73" w:lineRule="exact"/>
        <w:rPr>
          <w:sz w:val="20"/>
          <w:szCs w:val="20"/>
          <w:color w:val="auto"/>
        </w:rPr>
      </w:pPr>
    </w:p>
    <w:p>
      <w:pPr>
        <w:ind w:left="700" w:firstLine="222"/>
        <w:spacing w:after="0" w:line="291" w:lineRule="auto"/>
        <w:rPr>
          <w:sz w:val="20"/>
          <w:szCs w:val="20"/>
          <w:color w:val="auto"/>
        </w:rPr>
      </w:pPr>
      <w:r>
        <w:rPr>
          <w:rFonts w:ascii="Arial" w:cs="Arial" w:eastAsia="Arial" w:hAnsi="Arial"/>
          <w:sz w:val="16"/>
          <w:szCs w:val="16"/>
          <w:color w:val="auto"/>
        </w:rPr>
        <w:t>When patients with type 2 diabetes are first diagnosed, the initial therapy is typically lifestyle intervention (diet and exercise) in order to try to normalize their blood glucose levels. As the disease progresses, treatment moves to various non-insulin oral medications. Often, the first drug introduced is metformin, which acts to reduce the glucose output of the liver. When this drug fails to reduce blood glucose levels, other drugs are added. Some of these additional medications act to increase the amount of insulin produced by the pancreas; others increase the sensitivity of muscle, fat and liver cells to the effects of insulin. Generally, these oral medications are limited in their ability to manage the disease effectively and tend to have significant side effects, such as weight gain and hypertension. Ultimately, many patients with type 2 diabetes will require insulin therapy in order to maintain appropriate levels of blood glucose.</w:t>
      </w:r>
    </w:p>
    <w:p>
      <w:pPr>
        <w:spacing w:after="0" w:line="59" w:lineRule="exact"/>
        <w:rPr>
          <w:sz w:val="20"/>
          <w:szCs w:val="20"/>
          <w:color w:val="auto"/>
        </w:rPr>
      </w:pPr>
    </w:p>
    <w:p>
      <w:pPr>
        <w:ind w:left="700" w:right="240" w:firstLine="215"/>
        <w:spacing w:after="0" w:line="277" w:lineRule="auto"/>
        <w:rPr>
          <w:sz w:val="20"/>
          <w:szCs w:val="20"/>
          <w:color w:val="auto"/>
        </w:rPr>
      </w:pPr>
      <w:r>
        <w:rPr>
          <w:rFonts w:ascii="Arial" w:cs="Arial" w:eastAsia="Arial" w:hAnsi="Arial"/>
          <w:sz w:val="18"/>
          <w:szCs w:val="18"/>
          <w:color w:val="auto"/>
        </w:rPr>
        <w:t>Although insulin therapy is accepted as an effective means to control glucose levels, the available insulin products have limitations, including:</w:t>
      </w:r>
    </w:p>
    <w:p>
      <w:pPr>
        <w:spacing w:after="0" w:line="62" w:lineRule="exact"/>
        <w:rPr>
          <w:sz w:val="20"/>
          <w:szCs w:val="20"/>
          <w:color w:val="auto"/>
        </w:rPr>
      </w:pPr>
    </w:p>
    <w:p>
      <w:pPr>
        <w:ind w:left="1080" w:right="120" w:hanging="198"/>
        <w:spacing w:after="0" w:line="264"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risk of severe hypoglycemia, which is abnormally low levels of blood glucose that result from excessive insulin administration. Hypoglycemia can result in loss of mental acuity, confusion, increased heart rate, hunger, sweating and faintness and, at very low glucose levels, loss of consciousness, seizures, coma and death;</w:t>
      </w:r>
    </w:p>
    <w:p>
      <w:pPr>
        <w:spacing w:after="0" w:line="86" w:lineRule="exact"/>
        <w:rPr>
          <w:rFonts w:ascii="Arial" w:cs="Arial" w:eastAsia="Arial" w:hAnsi="Arial"/>
          <w:sz w:val="18"/>
          <w:szCs w:val="18"/>
          <w:b w:val="1"/>
          <w:bCs w:val="1"/>
          <w:color w:val="auto"/>
        </w:rPr>
      </w:pPr>
    </w:p>
    <w:p>
      <w:pPr>
        <w:ind w:left="1080" w:hanging="198"/>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likelihood of weight gain;</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inadequate post-meal glucose control;</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need for complex titration of insulin doses in connection with meals;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need for injections.</w:t>
      </w:r>
    </w:p>
    <w:p>
      <w:pPr>
        <w:spacing w:after="0" w:line="117" w:lineRule="exact"/>
        <w:rPr>
          <w:sz w:val="20"/>
          <w:szCs w:val="20"/>
          <w:color w:val="auto"/>
        </w:rPr>
      </w:pPr>
    </w:p>
    <w:p>
      <w:pPr>
        <w:ind w:left="700" w:right="80"/>
        <w:spacing w:after="0" w:line="288" w:lineRule="auto"/>
        <w:rPr>
          <w:sz w:val="20"/>
          <w:szCs w:val="20"/>
          <w:color w:val="auto"/>
        </w:rPr>
      </w:pPr>
      <w:r>
        <w:rPr>
          <w:rFonts w:ascii="Arial" w:cs="Arial" w:eastAsia="Arial" w:hAnsi="Arial"/>
          <w:sz w:val="16"/>
          <w:szCs w:val="16"/>
          <w:color w:val="auto"/>
        </w:rPr>
        <w:t>Because of these limitations, patients tend not to comply with the prescribed treatment regimens and are often under-treated. Moreover, even when properly administered, subcutaneous injections of insulin do not replicate the natural time-action profile of insulin for a healthy person. In a person without diabetes, blood insulin levels rise within several minutes of the entry into the bloodstream of glucose from a meal. By contrast, injected insulin enters the bloodstream slowly, resulting in peak insulin levels in about 120 to 180 minutes for regular human insulin or 30-90 minutes for so-called “rapid-acting” insulin analogs. The consequence of these slower acting insulins is that patients do not have adequate levels of insulin present at the initiation of a meal and tend to be over-insulinized between meals. This lag in insulin delivery results in hyperglycemia early after meal onset, followed by a tendency for hypoglycemia to develop during the period between meals. Physicians who treat patients with diabetes are concerned about the risks of hypoglycemia and, as a result, tend to undertreat the chronic hyperglycemia that is associated with the disease. However, the resultant extensive hyperglycemia significantly contributes to many of the long-term cardiovascular and other serious complications of diabetes.</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700" w:right="140" w:firstLine="225"/>
        <w:spacing w:after="0" w:line="257" w:lineRule="auto"/>
        <w:rPr>
          <w:sz w:val="20"/>
          <w:szCs w:val="20"/>
          <w:color w:val="auto"/>
        </w:rPr>
      </w:pPr>
      <w:r>
        <w:rPr>
          <w:rFonts w:ascii="Arial" w:cs="Arial" w:eastAsia="Arial" w:hAnsi="Arial"/>
          <w:sz w:val="18"/>
          <w:szCs w:val="18"/>
          <w:color w:val="auto"/>
        </w:rPr>
        <w:t>Our lead product, AFREZZA (insulin human [rDNA origin]) Inhalation Powder, has a time-action profile unlike other insulin products. In our clinical trials to date, we have consistently observed that AFREZZA is rapidly absorbed into the bloodstream following inhalation, reaching peak levels within 12 to 14 minutes. In this manner, AFREZZA produces a profile of insulin levels in the bloodstream that closely approximates the early insulin secretion normally seen in healthy individuals immediately following the beginning of a meal, but which is absent in patients with diabetes.</w:t>
      </w:r>
    </w:p>
    <w:p>
      <w:pPr>
        <w:spacing w:after="0" w:line="80" w:lineRule="exact"/>
        <w:rPr>
          <w:sz w:val="20"/>
          <w:szCs w:val="20"/>
          <w:color w:val="auto"/>
        </w:rPr>
      </w:pPr>
    </w:p>
    <w:p>
      <w:pPr>
        <w:ind w:left="700" w:right="40" w:firstLine="222"/>
        <w:spacing w:after="0" w:line="269" w:lineRule="auto"/>
        <w:rPr>
          <w:sz w:val="20"/>
          <w:szCs w:val="20"/>
          <w:color w:val="auto"/>
        </w:rPr>
      </w:pPr>
      <w:r>
        <w:rPr>
          <w:rFonts w:ascii="Arial" w:cs="Arial" w:eastAsia="Arial" w:hAnsi="Arial"/>
          <w:sz w:val="17"/>
          <w:szCs w:val="17"/>
          <w:color w:val="auto"/>
        </w:rPr>
        <w:t>We believe the rapid action of AFREZZA may be related to the unique aspects of both the carrier molecule as well as the way insulin is stabilized in our formulation. Our formulation technology is centered on a class of pH-sensitive organic molecules that self-assemble into small particles under acidic conditions. We refer to these particles as Technosphere particles. Certain drugs, such as insulin, can be loaded onto these particles by combining an acidic solution of the drug with a suspension of Technosphere material, which is then dried to a powder. This powder is then filled into plastic cartridges and packaged. To administer AFREZZA, a patient loads a cartridge into our inhaler. By inhaling through this device, air is pulled through the cartridge, which aerosolizes the powder and pulls the particles into the air current and out through the mouthpiece. The individual particles within this aerosol are small and have aerodynamic properties that enable them to fly deep into the lungs. When the particles contact the moist lung surface with its neutral pH, the Technosphere particles dissolve immediately, releasing the insulin molecules to diffuse across a thin layer of cells into the bloodstream. We believe that the insulin absorption step is a passive process that occurs without any active assistance or enhancement and without disruption of either cell membranes or the tight junctions between cells.</w:t>
      </w:r>
    </w:p>
    <w:p>
      <w:pPr>
        <w:spacing w:after="0" w:line="75" w:lineRule="exact"/>
        <w:rPr>
          <w:sz w:val="20"/>
          <w:szCs w:val="20"/>
          <w:color w:val="auto"/>
        </w:rPr>
      </w:pPr>
    </w:p>
    <w:p>
      <w:pPr>
        <w:ind w:left="700" w:right="220" w:firstLine="225"/>
        <w:spacing w:after="0" w:line="288" w:lineRule="auto"/>
        <w:rPr>
          <w:sz w:val="20"/>
          <w:szCs w:val="20"/>
          <w:color w:val="auto"/>
        </w:rPr>
      </w:pPr>
      <w:r>
        <w:rPr>
          <w:rFonts w:ascii="Arial" w:cs="Arial" w:eastAsia="Arial" w:hAnsi="Arial"/>
          <w:sz w:val="16"/>
          <w:szCs w:val="16"/>
          <w:color w:val="auto"/>
        </w:rPr>
        <w:t>Significantly, when the Technosphere particles dissociate, we believe that the insulin that is released is in a form that can be readily used by the body. In most pharmaceutical dosage forms, regular human insulin exists as a hexamer, a complex of six associated insulin molecules. In order to exert a pharmacological effect, the hexamer must first dissociate into three dimers — complexes of two insulin molecules — which then further dissociate into individual insulin molecules, or monomers. Only monomeric insulin can attach to the insulin receptor and exert a physiological effect. Rapid-acting insulin analogs are designed to be fragile hexamers that dissociate more quickly, thereby reducing the time required to achieve an effect but this is still far slower than insulin that is released from a healthy pancreas. However, the insulin released from Technosphere particles is already largely in monomeric form. During the manufacture of AFREZZA, we cause hexameric insulin to dissociate into monomeric insulin before being loaded onto Technosphere particles. When AFREZZA particles dissolve in the deep lung, the insulin that is released diffuses across a thin layer of cells to reach the bloodstream. Little change is required before the insulin can start exerting its glucose-lowering effect in the body.</w:t>
      </w:r>
    </w:p>
    <w:p>
      <w:pPr>
        <w:spacing w:after="0" w:line="61" w:lineRule="exact"/>
        <w:rPr>
          <w:sz w:val="20"/>
          <w:szCs w:val="20"/>
          <w:color w:val="auto"/>
        </w:rPr>
      </w:pPr>
    </w:p>
    <w:p>
      <w:pPr>
        <w:ind w:left="700" w:right="120" w:firstLine="222"/>
        <w:spacing w:after="0" w:line="277" w:lineRule="auto"/>
        <w:rPr>
          <w:sz w:val="20"/>
          <w:szCs w:val="20"/>
          <w:color w:val="auto"/>
        </w:rPr>
      </w:pPr>
      <w:r>
        <w:rPr>
          <w:rFonts w:ascii="Arial" w:cs="Arial" w:eastAsia="Arial" w:hAnsi="Arial"/>
          <w:sz w:val="18"/>
          <w:szCs w:val="18"/>
          <w:color w:val="auto"/>
        </w:rPr>
        <w:t>The AFREZZA clinical program involved 49 different studies of AFREZZA and over 5,000 adult patients. In our clinical studies, we observed that AFREZZA produces the following clinical benefits:</w:t>
      </w:r>
    </w:p>
    <w:p>
      <w:pPr>
        <w:spacing w:after="0" w:line="62" w:lineRule="exact"/>
        <w:rPr>
          <w:sz w:val="20"/>
          <w:szCs w:val="20"/>
          <w:color w:val="auto"/>
        </w:rPr>
      </w:pPr>
    </w:p>
    <w:p>
      <w:pPr>
        <w:ind w:left="1080" w:right="100" w:hanging="198"/>
        <w:spacing w:after="0" w:line="276" w:lineRule="auto"/>
        <w:tabs>
          <w:tab w:leader="none" w:pos="108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Consistent decreases in A1C levels, comparable to current insulin therapies. </w:t>
      </w:r>
      <w:r>
        <w:rPr>
          <w:rFonts w:ascii="Arial" w:cs="Arial" w:eastAsia="Arial" w:hAnsi="Arial"/>
          <w:sz w:val="17"/>
          <w:szCs w:val="17"/>
          <w:color w:val="auto"/>
        </w:rPr>
        <w:t>In a number of clinical studies involving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type 1 and type 2 diabetes, we have evaluated levels of glycosylated hemoglobin, or A1C, which is a measure of average blood glucose. A consistent finding was that AFREZZA produced decreases in A1C levels that were essentially comparable to the decreases observed in the control arm of these studies, including studies that compared AFREZZA to rapid-acting insulin analogs, to pre-mixed insulin analogs and to metformin in combination with a sulfonylurea.</w:t>
      </w:r>
    </w:p>
    <w:p>
      <w:pPr>
        <w:spacing w:after="0" w:line="77" w:lineRule="exact"/>
        <w:rPr>
          <w:rFonts w:ascii="Arial" w:cs="Arial" w:eastAsia="Arial" w:hAnsi="Arial"/>
          <w:sz w:val="17"/>
          <w:szCs w:val="17"/>
          <w:b w:val="1"/>
          <w:bCs w:val="1"/>
          <w:color w:val="auto"/>
        </w:rPr>
      </w:pPr>
    </w:p>
    <w:p>
      <w:pPr>
        <w:ind w:left="1080" w:right="80" w:hanging="198"/>
        <w:spacing w:after="0" w:line="279" w:lineRule="auto"/>
        <w:tabs>
          <w:tab w:leader="none" w:pos="108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Superior post-meal glucose control. </w:t>
      </w:r>
      <w:r>
        <w:rPr>
          <w:rFonts w:ascii="Arial" w:cs="Arial" w:eastAsia="Arial" w:hAnsi="Arial"/>
          <w:sz w:val="17"/>
          <w:szCs w:val="17"/>
          <w:color w:val="auto"/>
        </w:rPr>
        <w:t>AFREZZA has a shorter duration of action than other insulin therapies, so its glucose-lowering</w:t>
      </w:r>
      <w:r>
        <w:rPr>
          <w:rFonts w:ascii="Arial" w:cs="Arial" w:eastAsia="Arial" w:hAnsi="Arial"/>
          <w:sz w:val="17"/>
          <w:szCs w:val="17"/>
          <w:i w:val="1"/>
          <w:iCs w:val="1"/>
          <w:color w:val="auto"/>
        </w:rPr>
        <w:t xml:space="preserve"> </w:t>
      </w:r>
      <w:r>
        <w:rPr>
          <w:rFonts w:ascii="Arial" w:cs="Arial" w:eastAsia="Arial" w:hAnsi="Arial"/>
          <w:sz w:val="17"/>
          <w:szCs w:val="17"/>
          <w:color w:val="auto"/>
        </w:rPr>
        <w:t>effect better meets a patient’s needs following a meal. Specifically, AFREZZA treatment produces lower blood glucose levels than comparators in the first hour following meal ingestion with comparable levels after two hours. Importantly, AFREZZA does not remain active for an extended period of time, thereby reducing the risk of hypoglycemia between meals.</w:t>
      </w:r>
    </w:p>
    <w:p>
      <w:pPr>
        <w:spacing w:after="0" w:line="76" w:lineRule="exact"/>
        <w:rPr>
          <w:rFonts w:ascii="Arial" w:cs="Arial" w:eastAsia="Arial" w:hAnsi="Arial"/>
          <w:sz w:val="17"/>
          <w:szCs w:val="17"/>
          <w:b w:val="1"/>
          <w:bCs w:val="1"/>
          <w:color w:val="auto"/>
        </w:rPr>
      </w:pPr>
    </w:p>
    <w:p>
      <w:pPr>
        <w:ind w:left="1080" w:right="260" w:hanging="198"/>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Improved fasting glucose control. </w:t>
      </w:r>
      <w:r>
        <w:rPr>
          <w:rFonts w:ascii="Arial" w:cs="Arial" w:eastAsia="Arial" w:hAnsi="Arial"/>
          <w:sz w:val="18"/>
          <w:szCs w:val="18"/>
          <w:color w:val="auto"/>
        </w:rPr>
        <w:t>In clinical trials of both type 1 and type 2 diabetes, AFREZZA has consistently provided lower</w:t>
      </w:r>
      <w:r>
        <w:rPr>
          <w:rFonts w:ascii="Arial" w:cs="Arial" w:eastAsia="Arial" w:hAnsi="Arial"/>
          <w:sz w:val="18"/>
          <w:szCs w:val="18"/>
          <w:i w:val="1"/>
          <w:iCs w:val="1"/>
          <w:color w:val="auto"/>
        </w:rPr>
        <w:t xml:space="preserve"> </w:t>
      </w:r>
      <w:r>
        <w:rPr>
          <w:rFonts w:ascii="Arial" w:cs="Arial" w:eastAsia="Arial" w:hAnsi="Arial"/>
          <w:sz w:val="18"/>
          <w:szCs w:val="18"/>
          <w:color w:val="auto"/>
        </w:rPr>
        <w:t>fasting blood glucose control than comparator insulin therapies.</w:t>
      </w:r>
    </w:p>
    <w:p>
      <w:pPr>
        <w:spacing w:after="0" w:line="75" w:lineRule="exact"/>
        <w:rPr>
          <w:rFonts w:ascii="Arial" w:cs="Arial" w:eastAsia="Arial" w:hAnsi="Arial"/>
          <w:sz w:val="18"/>
          <w:szCs w:val="18"/>
          <w:b w:val="1"/>
          <w:bCs w:val="1"/>
          <w:color w:val="auto"/>
        </w:rPr>
      </w:pPr>
    </w:p>
    <w:p>
      <w:pPr>
        <w:jc w:val="both"/>
        <w:ind w:left="1080" w:hanging="198"/>
        <w:spacing w:after="0" w:line="264"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Less hypoglycemia due to better synchronization with glucose absorption from meals. </w:t>
      </w:r>
      <w:r>
        <w:rPr>
          <w:rFonts w:ascii="Arial" w:cs="Arial" w:eastAsia="Arial" w:hAnsi="Arial"/>
          <w:sz w:val="18"/>
          <w:szCs w:val="18"/>
          <w:color w:val="auto"/>
        </w:rPr>
        <w:t>In clinical trials involving patients with type 2</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 we observed that the incidence and frequency of hypoglycemia was significantly reduced. Similar results were observed in patients with type 1 diabetes. The overall</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40"/>
        <w:spacing w:after="0" w:line="277" w:lineRule="auto"/>
        <w:rPr>
          <w:sz w:val="20"/>
          <w:szCs w:val="20"/>
          <w:color w:val="auto"/>
        </w:rPr>
      </w:pPr>
      <w:r>
        <w:rPr>
          <w:rFonts w:ascii="Arial" w:cs="Arial" w:eastAsia="Arial" w:hAnsi="Arial"/>
          <w:sz w:val="18"/>
          <w:szCs w:val="18"/>
          <w:color w:val="auto"/>
        </w:rPr>
        <w:t>hypoglycemic event rate was lower for AFREZZA at all times of the day, but in particular, there were fewer nocturnal hypoglycemic events, a condition much feared by patients with diabetes.</w:t>
      </w:r>
    </w:p>
    <w:p>
      <w:pPr>
        <w:spacing w:after="0" w:line="62" w:lineRule="exact"/>
        <w:rPr>
          <w:sz w:val="20"/>
          <w:szCs w:val="20"/>
          <w:color w:val="auto"/>
        </w:rPr>
      </w:pPr>
    </w:p>
    <w:p>
      <w:pPr>
        <w:ind w:left="1080" w:right="500" w:hanging="198"/>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Little or no weight gain. </w:t>
      </w:r>
      <w:r>
        <w:rPr>
          <w:rFonts w:ascii="Arial" w:cs="Arial" w:eastAsia="Arial" w:hAnsi="Arial"/>
          <w:sz w:val="18"/>
          <w:szCs w:val="18"/>
          <w:color w:val="auto"/>
        </w:rPr>
        <w:t>In our clinical trials, patients receiving AFREZZA experienced weight reduction or significantly less</w:t>
      </w:r>
      <w:r>
        <w:rPr>
          <w:rFonts w:ascii="Arial" w:cs="Arial" w:eastAsia="Arial" w:hAnsi="Arial"/>
          <w:sz w:val="18"/>
          <w:szCs w:val="18"/>
          <w:i w:val="1"/>
          <w:iCs w:val="1"/>
          <w:color w:val="auto"/>
        </w:rPr>
        <w:t xml:space="preserve"> </w:t>
      </w:r>
      <w:r>
        <w:rPr>
          <w:rFonts w:ascii="Arial" w:cs="Arial" w:eastAsia="Arial" w:hAnsi="Arial"/>
          <w:sz w:val="18"/>
          <w:szCs w:val="18"/>
          <w:color w:val="auto"/>
        </w:rPr>
        <w:t>weight gain compared to other insulin therapies.</w:t>
      </w:r>
    </w:p>
    <w:p>
      <w:pPr>
        <w:spacing w:after="0" w:line="62" w:lineRule="exact"/>
        <w:rPr>
          <w:sz w:val="20"/>
          <w:szCs w:val="20"/>
          <w:color w:val="auto"/>
        </w:rPr>
      </w:pPr>
    </w:p>
    <w:p>
      <w:pPr>
        <w:ind w:left="700" w:right="620" w:firstLine="222"/>
        <w:spacing w:after="0" w:line="277" w:lineRule="auto"/>
        <w:rPr>
          <w:sz w:val="20"/>
          <w:szCs w:val="20"/>
          <w:color w:val="auto"/>
        </w:rPr>
      </w:pPr>
      <w:r>
        <w:rPr>
          <w:rFonts w:ascii="Arial" w:cs="Arial" w:eastAsia="Arial" w:hAnsi="Arial"/>
          <w:sz w:val="18"/>
          <w:szCs w:val="18"/>
          <w:color w:val="auto"/>
        </w:rPr>
        <w:t>There are no assurances, however, that these or any other advantages of AFREZZA will be agreed to by the FDA or otherwise included in final product labeling or advertising.</w:t>
      </w:r>
    </w:p>
    <w:p>
      <w:pPr>
        <w:spacing w:after="0" w:line="62" w:lineRule="exact"/>
        <w:rPr>
          <w:sz w:val="20"/>
          <w:szCs w:val="20"/>
          <w:color w:val="auto"/>
        </w:rPr>
      </w:pPr>
    </w:p>
    <w:p>
      <w:pPr>
        <w:ind w:left="700" w:right="220" w:firstLine="222"/>
        <w:spacing w:after="0" w:line="279" w:lineRule="auto"/>
        <w:rPr>
          <w:sz w:val="20"/>
          <w:szCs w:val="20"/>
          <w:color w:val="auto"/>
        </w:rPr>
      </w:pPr>
      <w:r>
        <w:rPr>
          <w:rFonts w:ascii="Arial" w:cs="Arial" w:eastAsia="Arial" w:hAnsi="Arial"/>
          <w:sz w:val="17"/>
          <w:szCs w:val="17"/>
          <w:color w:val="auto"/>
        </w:rPr>
        <w:t>To date, our clinical trials have indicated that AFREZZA has a favorable safety profile. The most common adverse event associated with AFREZZA therapy was a transient, mild and non-productive cough, which occurred early in about 25-30% of subjects and diminished within the first few weeks after initiation of AFREZZA therapy. The occurrence of mild cough is well recognized with inhaled medications. In our studies, the incidence of cough leading to the discontinuation of AFREZZA was low.</w:t>
      </w:r>
    </w:p>
    <w:p>
      <w:pPr>
        <w:spacing w:after="0" w:line="63" w:lineRule="exact"/>
        <w:rPr>
          <w:sz w:val="20"/>
          <w:szCs w:val="20"/>
          <w:color w:val="auto"/>
        </w:rPr>
      </w:pPr>
    </w:p>
    <w:p>
      <w:pPr>
        <w:ind w:left="700" w:right="280" w:firstLine="215"/>
        <w:spacing w:after="0" w:line="286" w:lineRule="auto"/>
        <w:rPr>
          <w:sz w:val="20"/>
          <w:szCs w:val="20"/>
          <w:color w:val="auto"/>
        </w:rPr>
      </w:pPr>
      <w:r>
        <w:rPr>
          <w:rFonts w:ascii="Arial" w:cs="Arial" w:eastAsia="Arial" w:hAnsi="Arial"/>
          <w:sz w:val="17"/>
          <w:szCs w:val="17"/>
          <w:color w:val="auto"/>
        </w:rPr>
        <w:t>After a two-year Phase 3 clinical trial of AFREZZA, we determined that the use of AFREZZA in patients with diabetes was non-inferior to usual diabetes care with respect to a decline in FEV1, a measure of lung function that assesses the volume of air that can be forcibly expired within one second. Similar results were obtained for other measures of lung function.</w:t>
      </w:r>
    </w:p>
    <w:p>
      <w:pPr>
        <w:spacing w:after="0" w:line="57" w:lineRule="exact"/>
        <w:rPr>
          <w:sz w:val="20"/>
          <w:szCs w:val="20"/>
          <w:color w:val="auto"/>
        </w:rPr>
      </w:pPr>
    </w:p>
    <w:p>
      <w:pPr>
        <w:ind w:left="700" w:right="280" w:firstLine="225"/>
        <w:spacing w:after="0" w:line="259" w:lineRule="auto"/>
        <w:rPr>
          <w:sz w:val="20"/>
          <w:szCs w:val="20"/>
          <w:color w:val="auto"/>
        </w:rPr>
      </w:pPr>
      <w:r>
        <w:rPr>
          <w:rFonts w:ascii="Arial" w:cs="Arial" w:eastAsia="Arial" w:hAnsi="Arial"/>
          <w:sz w:val="18"/>
          <w:szCs w:val="18"/>
          <w:color w:val="auto"/>
        </w:rPr>
        <w:t>Our clinical trials for AFREZZA have not demonstrated an increased risk of pulmonary cancer. In addition, we conducted comprehensive nonclinical studies of AFREZZA and unloaded Technosphere particles, including a two-year rat carcinogenicity study and a six-month transgenic mouse study. These studies indicated that there was no increased risk of cancer, or any other pathological effects.</w:t>
      </w:r>
    </w:p>
    <w:p>
      <w:pPr>
        <w:spacing w:after="0" w:line="79" w:lineRule="exact"/>
        <w:rPr>
          <w:sz w:val="20"/>
          <w:szCs w:val="20"/>
          <w:color w:val="auto"/>
        </w:rPr>
      </w:pPr>
    </w:p>
    <w:p>
      <w:pPr>
        <w:ind w:left="700" w:right="180" w:firstLine="215"/>
        <w:spacing w:after="0" w:line="257" w:lineRule="auto"/>
        <w:rPr>
          <w:sz w:val="20"/>
          <w:szCs w:val="20"/>
          <w:color w:val="auto"/>
        </w:rPr>
      </w:pPr>
      <w:r>
        <w:rPr>
          <w:rFonts w:ascii="Arial" w:cs="Arial" w:eastAsia="Arial" w:hAnsi="Arial"/>
          <w:sz w:val="18"/>
          <w:szCs w:val="18"/>
          <w:color w:val="auto"/>
        </w:rPr>
        <w:t>As part of our NDA submission, we voluntarily proposed a REMS for ensuring that the benefits of AFREZZA outweighed its risks. Our proposed REMS included communication tools, such as the prescribing information, medication guide, educational materials and training materials, as well as evaluation tools, such as prescriber and patient surveys, a pharmacovigilance program and oversight by an independent safety monitoring committee. We have been informed by the FDA that a REMS will be necessary for AFREZZA, if it is approved, to ensure that the benefits of the drug outweigh:</w:t>
      </w:r>
    </w:p>
    <w:p>
      <w:pPr>
        <w:spacing w:after="0" w:line="80" w:lineRule="exact"/>
        <w:rPr>
          <w:sz w:val="20"/>
          <w:szCs w:val="20"/>
          <w:color w:val="auto"/>
        </w:rPr>
      </w:pPr>
    </w:p>
    <w:p>
      <w:pPr>
        <w:ind w:left="1280" w:hanging="398"/>
        <w:spacing w:after="0"/>
        <w:tabs>
          <w:tab w:leader="none" w:pos="12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risk of respiratory difficulty immediately post-inhalation, especially in patients with undiagnosed chronic lung disease;</w:t>
      </w:r>
    </w:p>
    <w:p>
      <w:pPr>
        <w:spacing w:after="0" w:line="142" w:lineRule="exact"/>
        <w:rPr>
          <w:rFonts w:ascii="Arial" w:cs="Arial" w:eastAsia="Arial" w:hAnsi="Arial"/>
          <w:sz w:val="17"/>
          <w:szCs w:val="17"/>
          <w:b w:val="1"/>
          <w:bCs w:val="1"/>
          <w:color w:val="auto"/>
        </w:rPr>
      </w:pPr>
    </w:p>
    <w:p>
      <w:pPr>
        <w:ind w:left="1280" w:hanging="398"/>
        <w:spacing w:after="0"/>
        <w:tabs>
          <w:tab w:leader="none" w:pos="1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risk of pulmonary function decline over time; and</w:t>
      </w:r>
    </w:p>
    <w:p>
      <w:pPr>
        <w:spacing w:after="0" w:line="130" w:lineRule="exact"/>
        <w:rPr>
          <w:rFonts w:ascii="Arial" w:cs="Arial" w:eastAsia="Arial" w:hAnsi="Arial"/>
          <w:sz w:val="18"/>
          <w:szCs w:val="18"/>
          <w:b w:val="1"/>
          <w:bCs w:val="1"/>
          <w:color w:val="auto"/>
        </w:rPr>
      </w:pPr>
    </w:p>
    <w:p>
      <w:pPr>
        <w:ind w:left="700" w:firstLine="182"/>
        <w:spacing w:after="0" w:line="422" w:lineRule="auto"/>
        <w:tabs>
          <w:tab w:leader="none" w:pos="1281"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potential risk of harm due to use by inappropriate patient populations, such as smokers and patients with chronic lung disease. We expect to continue our discussions with the FDA regarding the REMS after we submit our response to the Complete Response letter.</w:t>
      </w:r>
    </w:p>
    <w:p>
      <w:pPr>
        <w:spacing w:after="0" w:line="1" w:lineRule="exact"/>
        <w:rPr>
          <w:sz w:val="20"/>
          <w:szCs w:val="20"/>
          <w:color w:val="auto"/>
        </w:rPr>
      </w:pPr>
    </w:p>
    <w:p>
      <w:pPr>
        <w:ind w:left="700" w:right="80" w:firstLine="222"/>
        <w:spacing w:after="0" w:line="270" w:lineRule="auto"/>
        <w:rPr>
          <w:sz w:val="20"/>
          <w:szCs w:val="20"/>
          <w:color w:val="auto"/>
        </w:rPr>
      </w:pPr>
      <w:r>
        <w:rPr>
          <w:rFonts w:ascii="Arial" w:cs="Arial" w:eastAsia="Arial" w:hAnsi="Arial"/>
          <w:sz w:val="17"/>
          <w:szCs w:val="17"/>
          <w:color w:val="auto"/>
        </w:rPr>
        <w:t>To facilitate the delivery of Technosphere-formulated drugs to the deep lung, we developed an inhaler that utilizes single-use, disposable, plastic cartridges containing drug-loaded powder. The MedTone inhaler is light and easy to use, and fits in the palm of the patient’s hand. However, while this inhaler was under regulatory review as part of the AFREZZA NDA, we have been conducting bioequivalency and other studies to the safety and efficacy of our next-generation inhaler, which is even smaller (thumb-sized), easier to use, cheaper to manufacture and allows for more efficient emptying of the cartridge. Prior to receiving the Complete Response letter, our plan had been to follow the original NDA for AFREZZA with another regulatory submission for our next-generation inhaler rather than launch AFREZZA with the MedTone device. We intend to discuss with the FDA whether it is appropriate to address the agency’s requests using what would otherwise have been a supplemental NDA submission to amend the original NDA. If this approach is acceptable, we believe that this regulatory action may not have a significant impact on the timing of the commercial launch of AFREZZA, which would not have occurred until at least 2011 in any event.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Another Potential MannKind Solution</w:t>
      </w:r>
    </w:p>
    <w:p>
      <w:pPr>
        <w:spacing w:after="0" w:line="121" w:lineRule="exact"/>
        <w:rPr>
          <w:sz w:val="20"/>
          <w:szCs w:val="20"/>
          <w:color w:val="auto"/>
        </w:rPr>
      </w:pPr>
    </w:p>
    <w:p>
      <w:pPr>
        <w:ind w:left="700" w:right="60" w:firstLine="225"/>
        <w:spacing w:after="0" w:line="285" w:lineRule="auto"/>
        <w:rPr>
          <w:sz w:val="20"/>
          <w:szCs w:val="20"/>
          <w:color w:val="auto"/>
        </w:rPr>
      </w:pPr>
      <w:r>
        <w:rPr>
          <w:rFonts w:ascii="Arial" w:cs="Arial" w:eastAsia="Arial" w:hAnsi="Arial"/>
          <w:sz w:val="16"/>
          <w:szCs w:val="16"/>
          <w:color w:val="auto"/>
        </w:rPr>
        <w:t>In a healthy person, the consumption of a meal triggers the release of insulin by the pancreas. However, the insulin response is much less robust if the same amount of glucose is administered by intravenous injection, effectively by-passing the intestinal tract. This effect is due to the fact that when glucose is administered intravenously, the intestinal tract is not stimulated to release incretins, which are hormones that stimulate the release of insulin by the pancreas. One such incretin is GLP-1. In addition to its effect on the pancreas, GLP-1 slows stomach emptying and reduces food intake. The incretin effect — the robust release of insulin in response to meal consumption</w:t>
      </w:r>
    </w:p>
    <w:p>
      <w:pPr>
        <w:spacing w:after="0" w:line="2" w:lineRule="exact"/>
        <w:rPr>
          <w:sz w:val="20"/>
          <w:szCs w:val="20"/>
          <w:color w:val="auto"/>
        </w:rPr>
      </w:pPr>
    </w:p>
    <w:p>
      <w:pPr>
        <w:ind w:left="700" w:right="140"/>
        <w:spacing w:after="0" w:line="261" w:lineRule="auto"/>
        <w:rPr>
          <w:sz w:val="20"/>
          <w:szCs w:val="20"/>
          <w:color w:val="auto"/>
        </w:rPr>
      </w:pPr>
      <w:r>
        <w:rPr>
          <w:rFonts w:ascii="Arial" w:cs="Arial" w:eastAsia="Arial" w:hAnsi="Arial"/>
          <w:sz w:val="18"/>
          <w:szCs w:val="18"/>
          <w:color w:val="auto"/>
        </w:rPr>
        <w:t>— is much less pronounced in patients with type 2 diabetes. This observation has suggested that augmenting the GLP-1 signal may be a useful strategy to help treat type 2 diabetes.</w:t>
      </w:r>
    </w:p>
    <w:p>
      <w:pPr>
        <w:spacing w:after="0" w:line="76" w:lineRule="exact"/>
        <w:rPr>
          <w:sz w:val="20"/>
          <w:szCs w:val="20"/>
          <w:color w:val="auto"/>
        </w:rPr>
      </w:pPr>
    </w:p>
    <w:p>
      <w:pPr>
        <w:ind w:left="700" w:right="620" w:firstLine="225"/>
        <w:spacing w:after="0" w:line="277" w:lineRule="auto"/>
        <w:rPr>
          <w:sz w:val="20"/>
          <w:szCs w:val="20"/>
          <w:color w:val="auto"/>
        </w:rPr>
      </w:pPr>
      <w:r>
        <w:rPr>
          <w:rFonts w:ascii="Arial" w:cs="Arial" w:eastAsia="Arial" w:hAnsi="Arial"/>
          <w:sz w:val="18"/>
          <w:szCs w:val="18"/>
          <w:color w:val="auto"/>
        </w:rPr>
        <w:t>Under normal circumstances, GLP-1 is short-lived in the bloodstream; half the amount that is released by the intestinal tract is inactivated in about two minutes. Much of the circulating GLP-1 is degraded by an enzyme known</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2" w:lineRule="auto"/>
        <w:rPr>
          <w:sz w:val="20"/>
          <w:szCs w:val="20"/>
          <w:color w:val="auto"/>
        </w:rPr>
      </w:pPr>
      <w:r>
        <w:rPr>
          <w:rFonts w:ascii="Arial" w:cs="Arial" w:eastAsia="Arial" w:hAnsi="Arial"/>
          <w:sz w:val="17"/>
          <w:szCs w:val="17"/>
          <w:color w:val="auto"/>
        </w:rPr>
        <w:t>as dipeptidyl peptidase-4, or DPP-4. The rapid degradation of GLP-1 by DPP-4 represents a challenge for the use of exogenous GLP-1 in the treatment of type 2 diabetes. Some drug manufacturers have responded to this challenge by developing analog variations of GLP-1 that are resistant to DPP-4 degradation. Exenatide was the first so-called incretin mimetic to be marketed. Exenatide is a peptide derived from lizard venom that is sufficiently similar to human GLP-1 to have comparable effects but is much more resistant to DPP-4 degradation than human GLP-1. The formulation of exenatide currently being marketed requires twice-daily injection; however, a once-weekly injection is under development. Other drug manufacturers have developed drugs that inhibit DPP-4 activity. Sitagliptin was the first drug of this class to be approved. This drug is available as a once-daily pill.</w:t>
      </w:r>
    </w:p>
    <w:p>
      <w:pPr>
        <w:spacing w:after="0" w:line="70" w:lineRule="exact"/>
        <w:rPr>
          <w:sz w:val="20"/>
          <w:szCs w:val="20"/>
          <w:color w:val="auto"/>
        </w:rPr>
      </w:pPr>
    </w:p>
    <w:p>
      <w:pPr>
        <w:ind w:left="700" w:right="80" w:firstLine="222"/>
        <w:spacing w:after="0" w:line="259" w:lineRule="auto"/>
        <w:rPr>
          <w:sz w:val="20"/>
          <w:szCs w:val="20"/>
          <w:color w:val="auto"/>
        </w:rPr>
      </w:pPr>
      <w:r>
        <w:rPr>
          <w:rFonts w:ascii="Arial" w:cs="Arial" w:eastAsia="Arial" w:hAnsi="Arial"/>
          <w:sz w:val="18"/>
          <w:szCs w:val="18"/>
          <w:color w:val="auto"/>
        </w:rPr>
        <w:t>With both incretin mimetic and DPP-4 inhibitor therapies, the objective is to augment the GLP-1 signal to the pancreas and other target organs. However, this approach does not truly reestablish the incretin effect that is lost in type 2 diabetes. These types of drugs act to increase the duration of elevated GLP-1 levels in the bloodstream, but they do not restore or simulate the short burst of GLP-1 that is released by the gut in response to meal ingestion.</w:t>
      </w:r>
    </w:p>
    <w:p>
      <w:pPr>
        <w:spacing w:after="0" w:line="79" w:lineRule="exact"/>
        <w:rPr>
          <w:sz w:val="20"/>
          <w:szCs w:val="20"/>
          <w:color w:val="auto"/>
        </w:rPr>
      </w:pPr>
    </w:p>
    <w:p>
      <w:pPr>
        <w:ind w:left="700" w:firstLine="225"/>
        <w:spacing w:after="0" w:line="270" w:lineRule="auto"/>
        <w:rPr>
          <w:sz w:val="20"/>
          <w:szCs w:val="20"/>
          <w:color w:val="auto"/>
        </w:rPr>
      </w:pPr>
      <w:r>
        <w:rPr>
          <w:rFonts w:ascii="Arial" w:cs="Arial" w:eastAsia="Arial" w:hAnsi="Arial"/>
          <w:sz w:val="17"/>
          <w:szCs w:val="17"/>
          <w:color w:val="auto"/>
        </w:rPr>
        <w:t>Unlike incretin mimetics and DPP-4 inhibitors, our GLP-1 product candidate — MKC253, a proprietary formulation of human GLP-1 loaded onto Technosphere particles — is intended to mimic gut physiology more closely. In a Phase 1 clinical trial involving 26 healthy subjects, inhalation of MKC253 produced a sharp pulse of GLP-1 in the bloodstream that peaked within five minutes after inhalation. Administering human GLP-1 in this manner was found to produce the desired response. We observed a GLP-1-induced release of insulin from the pancreas that peaked within six minutes of inhalation. The insulin response increased in proportion to the dose of MKC253 that was inhaled. In subjects that received the highest dose of MKC253 (1.5 mg of GLP-1), blood glucose levels were observed to decrease for a period of approximately 20 minutes after administration. All of the subjects that participated in this trial had fasted prior to administration of MKC253; thus, these results support the hypothesis that inhalation of MKC253 may be able to simulate the incretin effect that is lost in patients with type 2 diabetes.</w:t>
      </w:r>
    </w:p>
    <w:p>
      <w:pPr>
        <w:spacing w:after="0" w:line="74" w:lineRule="exact"/>
        <w:rPr>
          <w:sz w:val="20"/>
          <w:szCs w:val="20"/>
          <w:color w:val="auto"/>
        </w:rPr>
      </w:pPr>
    </w:p>
    <w:p>
      <w:pPr>
        <w:ind w:left="700" w:right="20" w:firstLine="222"/>
        <w:spacing w:after="0" w:line="255" w:lineRule="auto"/>
        <w:rPr>
          <w:sz w:val="20"/>
          <w:szCs w:val="20"/>
          <w:color w:val="auto"/>
        </w:rPr>
      </w:pPr>
      <w:r>
        <w:rPr>
          <w:rFonts w:ascii="Arial" w:cs="Arial" w:eastAsia="Arial" w:hAnsi="Arial"/>
          <w:sz w:val="18"/>
          <w:szCs w:val="18"/>
          <w:color w:val="auto"/>
        </w:rPr>
        <w:t>The primary objective of this Phase 1a trial was to evaluate the tolerability of ascending doses of MKC253 as determined by the incidence and severity of reported adverse events. At all dose levels, MKC253 was well tolerated. Even in subjects that achieved plasma GLP-1 concentrations in excess of 100 pmol/L, we observed none of the nausea and vomiting characteristically associated with such levels of the GLP-1 products currently marketed or in late development. This lack of side effects may be another benefit of administering MKC253 in this pulsatile manner rather than administering a longer acting formulation of a GLP-1 analogue that lingers in the bloodstream for hours or days.</w:t>
      </w:r>
    </w:p>
    <w:p>
      <w:pPr>
        <w:spacing w:after="0" w:line="85" w:lineRule="exact"/>
        <w:rPr>
          <w:sz w:val="20"/>
          <w:szCs w:val="20"/>
          <w:color w:val="auto"/>
        </w:rPr>
      </w:pPr>
    </w:p>
    <w:p>
      <w:pPr>
        <w:ind w:left="700" w:firstLine="222"/>
        <w:spacing w:after="0" w:line="287" w:lineRule="auto"/>
        <w:rPr>
          <w:sz w:val="20"/>
          <w:szCs w:val="20"/>
          <w:color w:val="auto"/>
        </w:rPr>
      </w:pPr>
      <w:r>
        <w:rPr>
          <w:rFonts w:ascii="Arial" w:cs="Arial" w:eastAsia="Arial" w:hAnsi="Arial"/>
          <w:sz w:val="16"/>
          <w:szCs w:val="16"/>
          <w:color w:val="auto"/>
        </w:rPr>
        <w:t>We conducted a second Phase 1 trial to assess the effect of MKC253 on post-meal glucose excursions in patients with type 2 diabetes. A total of 15 subjects were each given MKC253, placebo or exenatide on different days and followed for a four-hour period after each administration. In both fasted and fed subjects, inhalation of MKC253 produced a rise in insulin levels that peaked within 10 — 15 minutes. In fasted subjects, this increase in insulin led to a rapid decrease in blood glucose concentrations within 30 minutes, with a slower decline over the next 3.5 hours. Subjects who were fed and given MKC253 displayed a blunting of the initial post-meal glucose excursion for approximately 30-50 minutes, depending on the dose. In the same subjects, exenatide stimulated insulin release but produced much lower peak levels than those produced by MKC253 in either the fed or fasted state. Nonetheless, over the four-hour study period, exenatide also produced mean decreases in blood glucose concentrations. This observation may be due to the fact that exenatide had a profound effect on gastric emptying, with approximately 90% of the meal retained in the stomach at four hours after meal ingestion. In contrast, MKC253 did not have any overall effect on gastric emptying. Until we have conducted a full program of clinical trials, we will not be able to reach definitive conclusions about the potential safety or efficacy of MKC253.</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CANCER</w:t>
      </w:r>
    </w:p>
    <w:p>
      <w:pPr>
        <w:spacing w:after="0" w:line="121" w:lineRule="exact"/>
        <w:rPr>
          <w:sz w:val="20"/>
          <w:szCs w:val="20"/>
          <w:color w:val="auto"/>
        </w:rPr>
      </w:pPr>
    </w:p>
    <w:p>
      <w:pPr>
        <w:ind w:left="700" w:right="260" w:firstLine="225"/>
        <w:spacing w:after="0" w:line="264" w:lineRule="auto"/>
        <w:rPr>
          <w:sz w:val="20"/>
          <w:szCs w:val="20"/>
          <w:color w:val="auto"/>
        </w:rPr>
      </w:pPr>
      <w:r>
        <w:rPr>
          <w:rFonts w:ascii="Arial" w:cs="Arial" w:eastAsia="Arial" w:hAnsi="Arial"/>
          <w:sz w:val="18"/>
          <w:szCs w:val="18"/>
          <w:color w:val="auto"/>
        </w:rPr>
        <w:t>Cancer is the unregulated proliferation of cells that have the capacity to spread to other sites in the body. A neoplasm is an uncontrolled growth of abnormal cells. A neoplasm is considered benign if it does not spread; if it invades other tissues, however, it is considered malignant. The term cancer refers to a malignant neoplasm.</w:t>
      </w:r>
    </w:p>
    <w:p>
      <w:pPr>
        <w:spacing w:after="0" w:line="73" w:lineRule="exact"/>
        <w:rPr>
          <w:sz w:val="20"/>
          <w:szCs w:val="20"/>
          <w:color w:val="auto"/>
        </w:rPr>
      </w:pPr>
    </w:p>
    <w:p>
      <w:pPr>
        <w:ind w:left="700" w:right="360" w:firstLine="222"/>
        <w:spacing w:after="0" w:line="264" w:lineRule="auto"/>
        <w:rPr>
          <w:sz w:val="20"/>
          <w:szCs w:val="20"/>
          <w:color w:val="auto"/>
        </w:rPr>
      </w:pPr>
      <w:r>
        <w:rPr>
          <w:rFonts w:ascii="Arial" w:cs="Arial" w:eastAsia="Arial" w:hAnsi="Arial"/>
          <w:sz w:val="18"/>
          <w:szCs w:val="18"/>
          <w:color w:val="auto"/>
        </w:rPr>
        <w:t>The first goal of cancer treatment is to eradicate the cancer. Typically, this goal is pursued using treatment methods — surgery, radiation and chemotherapy — that can be highly toxic and may offer little clinical benefit. In the past decade or so, newer treatment methods have begun to emerge, including:</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immunotherapy approaches that attempt to induce the immune system to kill tumor cells instead of tolerating them; and</w:t>
      </w:r>
    </w:p>
    <w:p>
      <w:pPr>
        <w:spacing w:after="0" w:line="130" w:lineRule="exact"/>
        <w:rPr>
          <w:rFonts w:ascii="Arial" w:cs="Arial" w:eastAsia="Arial" w:hAnsi="Arial"/>
          <w:sz w:val="18"/>
          <w:szCs w:val="18"/>
          <w:b w:val="1"/>
          <w:bCs w:val="1"/>
          <w:color w:val="auto"/>
        </w:rPr>
      </w:pPr>
    </w:p>
    <w:p>
      <w:pPr>
        <w:ind w:left="1080" w:right="320" w:hanging="198"/>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drugs and antibodies that specifically target the abnormal mechanisms of proliferation, differentiation and invasion of malignant cells.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Cancer Immunotherapy Program</w:t>
      </w:r>
    </w:p>
    <w:p>
      <w:pPr>
        <w:spacing w:after="0" w:line="121" w:lineRule="exact"/>
        <w:rPr>
          <w:sz w:val="20"/>
          <w:szCs w:val="20"/>
          <w:color w:val="auto"/>
        </w:rPr>
      </w:pPr>
    </w:p>
    <w:p>
      <w:pPr>
        <w:ind w:left="700" w:firstLine="225"/>
        <w:spacing w:after="0" w:line="289" w:lineRule="auto"/>
        <w:rPr>
          <w:sz w:val="20"/>
          <w:szCs w:val="20"/>
          <w:color w:val="auto"/>
        </w:rPr>
      </w:pPr>
      <w:r>
        <w:rPr>
          <w:rFonts w:ascii="Arial" w:cs="Arial" w:eastAsia="Arial" w:hAnsi="Arial"/>
          <w:sz w:val="16"/>
          <w:szCs w:val="16"/>
          <w:color w:val="auto"/>
        </w:rPr>
        <w:t>Our cancer immunotherapy program utilizes the body’s immune system to help eradicate tumor cells. The immune system is a network of cells and organs that defends the body against infection and abnormal cells, such as tumor cells. A key element of the immune system is its ability to distinguish between healthy cells and foreign or diseased cells that do not belong in the body. The immune system accomplishes this task by recognizing distinctive molecules called epitopes on the surface of each cell as either normal or abnormal, and responding to them appropriately. Any substance capable of being recognized by the immune system is known as an antigen. An antigen can be all or part of a pathogenic organism or it can be a by-product of diseased cells. Certain specialized cells of the immune system (antigen-presenting cells or APC) sample antigens found in the body and present the epitopes associated with foreign antigens to other cells of the immune system, known as Tcells, whose function is to destroy any cell that expresses the same epitope; this process is known as cell-mediated immunity. In this way, the immune system can launch a very specific response to infection or disease.</w:t>
      </w:r>
    </w:p>
    <w:p>
      <w:pPr>
        <w:spacing w:after="0" w:line="59" w:lineRule="exact"/>
        <w:rPr>
          <w:sz w:val="20"/>
          <w:szCs w:val="20"/>
          <w:color w:val="auto"/>
        </w:rPr>
      </w:pPr>
    </w:p>
    <w:p>
      <w:pPr>
        <w:ind w:left="700" w:right="20" w:firstLine="225"/>
        <w:spacing w:after="0" w:line="254" w:lineRule="auto"/>
        <w:rPr>
          <w:sz w:val="20"/>
          <w:szCs w:val="20"/>
          <w:color w:val="auto"/>
        </w:rPr>
      </w:pPr>
      <w:r>
        <w:rPr>
          <w:rFonts w:ascii="Arial" w:cs="Arial" w:eastAsia="Arial" w:hAnsi="Arial"/>
          <w:sz w:val="18"/>
          <w:szCs w:val="18"/>
          <w:color w:val="auto"/>
        </w:rPr>
        <w:t>Our approach uses DNA- and peptide-based compounds that correspond to tumor-associated antigens that are expressed in a range of tumors. We select as target antigens molecules that either play a role in disease progression or that are very selectively expressed by tumor cells. A patient’s immune system is first “primed” by DNA-based compounds, or plasmids, that are injected directly into the patient’s lymph nodes. This is designed to sensitize the immune system to the tumor-associated antigens encoded by the plasmids. After a period of time, the patient’s lymph nodes are then injected with synthetic peptides that are designed to “boost” or greatly amplify the immune response to the target antigens. The immune response is maintained by repeated immunization cycles. This prime-boost regimen is designed to provoke a potent cell-mediated immune response that destroys cancer cells along with the underlying blood supply to tumors.</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key features of our cancer immunotherapy program include the following:</w:t>
      </w:r>
    </w:p>
    <w:p>
      <w:pPr>
        <w:spacing w:after="0" w:line="117" w:lineRule="exact"/>
        <w:rPr>
          <w:sz w:val="20"/>
          <w:szCs w:val="20"/>
          <w:color w:val="auto"/>
        </w:rPr>
      </w:pPr>
    </w:p>
    <w:p>
      <w:pPr>
        <w:ind w:left="1080" w:right="180" w:hanging="198"/>
        <w:spacing w:after="0" w:line="342" w:lineRule="auto"/>
        <w:tabs>
          <w:tab w:leader="none" w:pos="10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It is a targeted therapeutic approach that aims to redirect patients’ immune response to the tumor targets expressed by their cancer. The patients with a highest likelihood to benefit from this treatment can be identified by histological analysis of their tumors.</w:t>
      </w:r>
    </w:p>
    <w:p>
      <w:pPr>
        <w:spacing w:after="0" w:line="29" w:lineRule="exact"/>
        <w:rPr>
          <w:rFonts w:ascii="Arial" w:cs="Arial" w:eastAsia="Arial" w:hAnsi="Arial"/>
          <w:sz w:val="16"/>
          <w:szCs w:val="16"/>
          <w:b w:val="1"/>
          <w:bCs w:val="1"/>
          <w:color w:val="auto"/>
        </w:rPr>
      </w:pPr>
    </w:p>
    <w:p>
      <w:pPr>
        <w:ind w:left="1080" w:right="460" w:hanging="198"/>
        <w:spacing w:after="0" w:line="277"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It involves an innovative and potent vaccination approach comprising direct intra-lymphatic administration of the immunizing components using a prime-boost sequence that is designed to achieve optimal response.</w:t>
      </w:r>
    </w:p>
    <w:p>
      <w:pPr>
        <w:spacing w:after="0" w:line="75" w:lineRule="exact"/>
        <w:rPr>
          <w:rFonts w:ascii="Arial" w:cs="Arial" w:eastAsia="Arial" w:hAnsi="Arial"/>
          <w:sz w:val="18"/>
          <w:szCs w:val="18"/>
          <w:b w:val="1"/>
          <w:bCs w:val="1"/>
          <w:color w:val="auto"/>
        </w:rPr>
      </w:pPr>
    </w:p>
    <w:p>
      <w:pPr>
        <w:ind w:left="1080" w:right="580" w:hanging="198"/>
        <w:spacing w:after="0" w:line="308" w:lineRule="auto"/>
        <w:tabs>
          <w:tab w:leader="none" w:pos="108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The selected target antigens are molecules that play a key role in tumor progression and migration and that display increased expression, or selective expression, in tumor cells. Moreover, they are expressed in a range of tumors.</w:t>
      </w:r>
    </w:p>
    <w:p>
      <w:pPr>
        <w:spacing w:after="0" w:line="51" w:lineRule="exact"/>
        <w:rPr>
          <w:rFonts w:ascii="Arial" w:cs="Arial" w:eastAsia="Arial" w:hAnsi="Arial"/>
          <w:sz w:val="17"/>
          <w:szCs w:val="17"/>
          <w:b w:val="1"/>
          <w:bCs w:val="1"/>
          <w:color w:val="auto"/>
        </w:rPr>
      </w:pPr>
    </w:p>
    <w:p>
      <w:pPr>
        <w:jc w:val="both"/>
        <w:ind w:left="1080" w:right="180" w:hanging="198"/>
        <w:spacing w:after="0" w:line="264"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immunizing components are “off-the-shelf” formulations of DNA and peptides containing excipients that are well recognized and generally regarded as safe. There is no need to harvest any material from patients’ tumors or cells in order to manufacture our immunotherapy products.</w:t>
      </w:r>
    </w:p>
    <w:p>
      <w:pPr>
        <w:spacing w:after="0" w:line="73" w:lineRule="exact"/>
        <w:rPr>
          <w:sz w:val="20"/>
          <w:szCs w:val="20"/>
          <w:color w:val="auto"/>
        </w:rPr>
      </w:pPr>
    </w:p>
    <w:p>
      <w:pPr>
        <w:ind w:left="700" w:firstLine="222"/>
        <w:spacing w:after="0" w:line="272" w:lineRule="auto"/>
        <w:rPr>
          <w:sz w:val="20"/>
          <w:szCs w:val="20"/>
          <w:color w:val="auto"/>
        </w:rPr>
      </w:pPr>
      <w:r>
        <w:rPr>
          <w:rFonts w:ascii="Arial" w:cs="Arial" w:eastAsia="Arial" w:hAnsi="Arial"/>
          <w:sz w:val="17"/>
          <w:szCs w:val="17"/>
          <w:color w:val="auto"/>
        </w:rPr>
        <w:t>To date, we have evaluated two product candidates in clinical trials: MKC1106-PP and MKC1106-MT. MKC1106-PP consists of three components: a plasmid that encodes pharmacologically active elements from two tumor-associated antigens, known as PRAME and PSMA, and two synthetic peptides, one an analog of a PRAME epitope and the other an analog of a PSMA epitope. In addition to melanoma, PRAME is expressed in carcinomas such as prostate, lung, breast, ovarian, renal, pancreatic and colorectal. PSMA was originally isolated from prostate carcinoma cells and later shown to be expressed in the blood vessels that supply several types of carcinoma, including breast, lung, ovarian, pancreatic, renal and colorectal carcinoma and melanoma. MKC1106-MT consists of a plasmid that encodes portions of two antigens known as Melan-A and tyrosinase, and two synthetic peptides,</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one an analog of a Melan-A epitope and the other an analog of a tyrosinase epitope. Melan-A and tyrosinase are antigens commonly expressed by melanoma tumor cells.</w:t>
      </w:r>
    </w:p>
    <w:p>
      <w:pPr>
        <w:spacing w:after="0" w:line="62" w:lineRule="exact"/>
        <w:rPr>
          <w:sz w:val="20"/>
          <w:szCs w:val="20"/>
          <w:color w:val="auto"/>
        </w:rPr>
      </w:pPr>
    </w:p>
    <w:p>
      <w:pPr>
        <w:ind w:left="700" w:right="140" w:firstLine="225"/>
        <w:spacing w:after="0" w:line="255" w:lineRule="auto"/>
        <w:rPr>
          <w:sz w:val="20"/>
          <w:szCs w:val="20"/>
          <w:color w:val="auto"/>
        </w:rPr>
      </w:pPr>
      <w:r>
        <w:rPr>
          <w:rFonts w:ascii="Arial" w:cs="Arial" w:eastAsia="Arial" w:hAnsi="Arial"/>
          <w:sz w:val="18"/>
          <w:szCs w:val="18"/>
          <w:color w:val="auto"/>
        </w:rPr>
        <w:t>In one study, MKC1106-PP was used to treat 26 advanced cancer patients with diverse tumor types, metastatic disease and/or progressive, refractory disease. Patients were evaluated after two therapeutic cycles of six weeks each and again after four therapeutic cycles, as applicable. Patients demonstrating a clinical response or no evidence of disease progression remained in the clinical trial and received up to six cycles of treatment over nine months. In all patients, the treatment was well tolerated with few and mild adverse events. In this study, an immune response was found in approximately 58% of patients. Overall, ten patients had stable disease. Patients attaining an immune response against both antigens, persisting throughout the first two cycles of therapy, were more likely to show clinical benefit.</w:t>
      </w:r>
    </w:p>
    <w:p>
      <w:pPr>
        <w:spacing w:after="0" w:line="81" w:lineRule="exact"/>
        <w:rPr>
          <w:sz w:val="20"/>
          <w:szCs w:val="20"/>
          <w:color w:val="auto"/>
        </w:rPr>
      </w:pPr>
    </w:p>
    <w:p>
      <w:pPr>
        <w:ind w:left="700" w:right="60" w:firstLine="225"/>
        <w:spacing w:after="0" w:line="271" w:lineRule="auto"/>
        <w:rPr>
          <w:sz w:val="20"/>
          <w:szCs w:val="20"/>
          <w:color w:val="auto"/>
        </w:rPr>
      </w:pPr>
      <w:r>
        <w:rPr>
          <w:rFonts w:ascii="Arial" w:cs="Arial" w:eastAsia="Arial" w:hAnsi="Arial"/>
          <w:sz w:val="17"/>
          <w:szCs w:val="17"/>
          <w:color w:val="auto"/>
        </w:rPr>
        <w:t>In a separate study, 18 patients with advanced melanoma were treated with MKC1106-MT. Patients were evaluated after each therapeutic cycle of six weeks and those who demonstrated a clinical response or no evidence of disease progression remained in the clinical trial and received up to eight cycles of treatment over one year. Treatment with MKC1106-MT was well tolerated by all patients. In this study, the immune response rate was greater than 40%, defined as the percentage of patients who showed elevated numbers of antigen-specific Tcells in the blood upon immunization. There was also preliminary evidence of clinical benefit. Fourteen patients had visceral metastases; in the remaining four, metastases were confined to the lymphatic system. All four patients with metastatic disease confined to the lymph system achieved a durable objective response, as measured by tumor imaging. A subset analysis of these patients identified the presence of melanoma-specific Tcells at baseline.</w:t>
      </w:r>
    </w:p>
    <w:p>
      <w:pPr>
        <w:spacing w:after="0" w:line="71" w:lineRule="exact"/>
        <w:rPr>
          <w:sz w:val="20"/>
          <w:szCs w:val="20"/>
          <w:color w:val="auto"/>
        </w:rPr>
      </w:pPr>
    </w:p>
    <w:p>
      <w:pPr>
        <w:ind w:left="700" w:firstLine="222"/>
        <w:spacing w:after="0" w:line="276" w:lineRule="auto"/>
        <w:rPr>
          <w:sz w:val="20"/>
          <w:szCs w:val="20"/>
          <w:color w:val="auto"/>
        </w:rPr>
      </w:pPr>
      <w:r>
        <w:rPr>
          <w:rFonts w:ascii="Arial" w:cs="Arial" w:eastAsia="Arial" w:hAnsi="Arial"/>
          <w:sz w:val="17"/>
          <w:szCs w:val="17"/>
          <w:color w:val="auto"/>
        </w:rPr>
        <w:t>These latter results have suggested which patients could benefit most from treatment with our immunotherapy regimen. Accordingly, we plan to initiate a Phase 2 study of MKC1106-MT involving up to 44 patients with advanced melanoma that is confined to the skin, subcutaneous tissue or lymph nodes; patients with visceral metastases will be excluded. The primary end-point of this open-label, non-randomized study is objective tumor response. Clinical efficacy will also be assessed using measures of time-to-progression, progression-free survival and overall survival. We expect to initiate this study in the second quarter of 2010.</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Cancer Small Molecule Drug Program</w:t>
      </w:r>
    </w:p>
    <w:p>
      <w:pPr>
        <w:spacing w:after="0" w:line="121" w:lineRule="exact"/>
        <w:rPr>
          <w:sz w:val="20"/>
          <w:szCs w:val="20"/>
          <w:color w:val="auto"/>
        </w:rPr>
      </w:pPr>
    </w:p>
    <w:p>
      <w:pPr>
        <w:ind w:left="700" w:right="80" w:firstLine="225"/>
        <w:spacing w:after="0" w:line="255" w:lineRule="auto"/>
        <w:rPr>
          <w:sz w:val="20"/>
          <w:szCs w:val="20"/>
          <w:color w:val="auto"/>
        </w:rPr>
      </w:pPr>
      <w:r>
        <w:rPr>
          <w:rFonts w:ascii="Arial" w:cs="Arial" w:eastAsia="Arial" w:hAnsi="Arial"/>
          <w:sz w:val="18"/>
          <w:szCs w:val="18"/>
          <w:color w:val="auto"/>
        </w:rPr>
        <w:t>Our drug discovery efforts, though focused primarily on cancer targets, are directed at several biochemical signaling pathways that may play a role in a number of diseases, including inflammatory diseases and cancer. One of these pathways is known as the unfolded protein response, or UPR, a response to stress or changes in cellular conditions during which proteins cease to function correctly. The UPR is intended to restore the normal function of the cell and preserve its viability, by halting protein production while molecular “chaperones” remove the improperly folded proteins. When cellular stress continues for an extended period of time, the role of the UPR changes from restoring normal function to initiating programmed cell death or apoptosis. In this manner, the improperly functioning cell is removed from the body.</w:t>
      </w:r>
    </w:p>
    <w:p>
      <w:pPr>
        <w:spacing w:after="0" w:line="81" w:lineRule="exact"/>
        <w:rPr>
          <w:sz w:val="20"/>
          <w:szCs w:val="20"/>
          <w:color w:val="auto"/>
        </w:rPr>
      </w:pPr>
    </w:p>
    <w:p>
      <w:pPr>
        <w:ind w:left="700" w:right="140" w:firstLine="225"/>
        <w:spacing w:after="0" w:line="257" w:lineRule="auto"/>
        <w:rPr>
          <w:sz w:val="20"/>
          <w:szCs w:val="20"/>
          <w:color w:val="auto"/>
        </w:rPr>
      </w:pPr>
      <w:r>
        <w:rPr>
          <w:rFonts w:ascii="Arial" w:cs="Arial" w:eastAsia="Arial" w:hAnsi="Arial"/>
          <w:sz w:val="18"/>
          <w:szCs w:val="18"/>
          <w:color w:val="auto"/>
        </w:rPr>
        <w:t>However, in myeloma cells and possibly other malignancies, the UPR is not properly regulated. In these cells, an enzyme known as inositol-requiring enzyme-1, or IRE-1α, activates the X-box binding protein-1 , or XBP-1, gene thus enhancing molecular chaperone activity and protein degradation. The result is that tumor cells escape apoptosis, proliferate and invade vital organs in cancer patients, and/or confer resistance to other therapeutic means that induce cellular stress, including chemotherapy, radiotherapy and antiangiogenic drugs.</w:t>
      </w:r>
    </w:p>
    <w:p>
      <w:pPr>
        <w:spacing w:after="0" w:line="80" w:lineRule="exact"/>
        <w:rPr>
          <w:sz w:val="20"/>
          <w:szCs w:val="20"/>
          <w:color w:val="auto"/>
        </w:rPr>
      </w:pPr>
    </w:p>
    <w:p>
      <w:pPr>
        <w:ind w:left="700" w:right="20" w:firstLine="225"/>
        <w:spacing w:after="0" w:line="257" w:lineRule="auto"/>
        <w:rPr>
          <w:sz w:val="20"/>
          <w:szCs w:val="20"/>
          <w:color w:val="auto"/>
        </w:rPr>
      </w:pPr>
      <w:r>
        <w:rPr>
          <w:rFonts w:ascii="Arial" w:cs="Arial" w:eastAsia="Arial" w:hAnsi="Arial"/>
          <w:sz w:val="18"/>
          <w:szCs w:val="18"/>
          <w:color w:val="auto"/>
        </w:rPr>
        <w:t>Multiple myeloma, the second most prevalent blood cancer after non-Hodgkin’s lymphoma, is a key focus of our IRE-1α program. According to the American Cancer Society, in 2009 there were approximately 20,500 new cases diagnosed and about 10,500 deaths from multiple myeloma. This disease results in excessive abnormal cells as a result of transformation of normal B-cells (B-lymphocytes) into malignant plasma cells, which may lead to hypercalcemia, anemia, renal damage, increased susceptibility to bacterial infection, impaired production of immunoglobulin and diffuse osteoporosis.</w:t>
      </w:r>
    </w:p>
    <w:p>
      <w:pPr>
        <w:spacing w:after="0" w:line="80" w:lineRule="exact"/>
        <w:rPr>
          <w:sz w:val="20"/>
          <w:szCs w:val="20"/>
          <w:color w:val="auto"/>
        </w:rPr>
      </w:pPr>
    </w:p>
    <w:p>
      <w:pPr>
        <w:ind w:left="700" w:right="80" w:firstLine="225"/>
        <w:spacing w:after="0" w:line="342" w:lineRule="auto"/>
        <w:rPr>
          <w:sz w:val="20"/>
          <w:szCs w:val="20"/>
          <w:color w:val="auto"/>
        </w:rPr>
      </w:pPr>
      <w:r>
        <w:rPr>
          <w:rFonts w:ascii="Arial" w:cs="Arial" w:eastAsia="Arial" w:hAnsi="Arial"/>
          <w:sz w:val="16"/>
          <w:szCs w:val="16"/>
          <w:color w:val="auto"/>
        </w:rPr>
        <w:t xml:space="preserve">Using our proprietary IRE-1α assay, we have identified a novel compound that selectively antagonizes IRE-1α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consequently down-regulates XBP-1 activity in tumor cells and animal models. We are currently undertaking preclinical studies in order</w:t>
      </w:r>
    </w:p>
    <w:p>
      <w:pPr>
        <w:spacing w:after="0" w:line="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to position the compound for clinical trials in 2011. Our efforts are partially supported by a research award from the Multiple Myeloma Research Foundation.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700" w:right="300" w:firstLine="225"/>
        <w:spacing w:after="0" w:line="277" w:lineRule="auto"/>
        <w:rPr>
          <w:sz w:val="20"/>
          <w:szCs w:val="20"/>
          <w:color w:val="auto"/>
        </w:rPr>
      </w:pPr>
      <w:r>
        <w:rPr>
          <w:rFonts w:ascii="Arial" w:cs="Arial" w:eastAsia="Arial" w:hAnsi="Arial"/>
          <w:sz w:val="18"/>
          <w:szCs w:val="18"/>
          <w:color w:val="auto"/>
        </w:rPr>
        <w:t>Our objective is to develop products primarily in the major therapeutic areas of diabetes and cancer. Our strategy is to achieve this objective by doing the following:</w:t>
      </w:r>
    </w:p>
    <w:p>
      <w:pPr>
        <w:spacing w:after="0" w:line="62" w:lineRule="exact"/>
        <w:rPr>
          <w:sz w:val="20"/>
          <w:szCs w:val="20"/>
          <w:color w:val="auto"/>
        </w:rPr>
      </w:pPr>
    </w:p>
    <w:p>
      <w:pPr>
        <w:ind w:left="1080" w:right="80" w:hanging="198"/>
        <w:spacing w:after="0" w:line="259"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Commercialize AFREZZA with a partner that shares our commitment to improving the lives of patients with diabetes. </w:t>
      </w:r>
      <w:r>
        <w:rPr>
          <w:rFonts w:ascii="Arial" w:cs="Arial" w:eastAsia="Arial" w:hAnsi="Arial"/>
          <w:sz w:val="18"/>
          <w:szCs w:val="18"/>
          <w:color w:val="auto"/>
        </w:rPr>
        <w:t>We are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potential collaboration opportunities with large pharmaceutical companies in the United States, Europe and Japan to provide marketing, sales and financial resources to commercialize, market and sell AFREZZA. We have not licensed or transferred any of our rights to this product or to our platform technology.</w:t>
      </w:r>
    </w:p>
    <w:p>
      <w:pPr>
        <w:spacing w:after="0" w:line="92" w:lineRule="exact"/>
        <w:rPr>
          <w:rFonts w:ascii="Arial" w:cs="Arial" w:eastAsia="Arial" w:hAnsi="Arial"/>
          <w:sz w:val="18"/>
          <w:szCs w:val="18"/>
          <w:b w:val="1"/>
          <w:bCs w:val="1"/>
          <w:color w:val="auto"/>
        </w:rPr>
      </w:pPr>
    </w:p>
    <w:p>
      <w:pPr>
        <w:ind w:left="1080" w:right="80" w:hanging="198"/>
        <w:spacing w:after="0" w:line="286" w:lineRule="auto"/>
        <w:tabs>
          <w:tab w:leader="none" w:pos="108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Expand our proprietary Technosphere formulation technology for the delivery of other peptide hormones. </w:t>
      </w:r>
      <w:r>
        <w:rPr>
          <w:rFonts w:ascii="Arial" w:cs="Arial" w:eastAsia="Arial" w:hAnsi="Arial"/>
          <w:sz w:val="17"/>
          <w:szCs w:val="17"/>
          <w:color w:val="auto"/>
        </w:rPr>
        <w:t>On the basis of some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clinical studies, we believe that additional Technosphere formulations of peptide hormones have the potential to demonstrate clinical advantages over existing therapeutic options in diabetes, endocrine disorders and obesity.</w:t>
      </w:r>
    </w:p>
    <w:p>
      <w:pPr>
        <w:spacing w:after="0" w:line="70" w:lineRule="exact"/>
        <w:rPr>
          <w:rFonts w:ascii="Arial" w:cs="Arial" w:eastAsia="Arial" w:hAnsi="Arial"/>
          <w:sz w:val="17"/>
          <w:szCs w:val="17"/>
          <w:b w:val="1"/>
          <w:bCs w:val="1"/>
          <w:color w:val="auto"/>
        </w:rPr>
      </w:pPr>
    </w:p>
    <w:p>
      <w:pPr>
        <w:ind w:left="1080" w:hanging="198"/>
        <w:spacing w:after="0" w:line="312" w:lineRule="auto"/>
        <w:tabs>
          <w:tab w:leader="none" w:pos="1080" w:val="left"/>
        </w:tabs>
        <w:numPr>
          <w:ilvl w:val="0"/>
          <w:numId w:val="12"/>
        </w:numPr>
        <w:rPr>
          <w:rFonts w:ascii="Arial" w:cs="Arial" w:eastAsia="Arial" w:hAnsi="Arial"/>
          <w:sz w:val="16"/>
          <w:szCs w:val="16"/>
          <w:b w:val="1"/>
          <w:bCs w:val="1"/>
          <w:color w:val="auto"/>
        </w:rPr>
      </w:pPr>
      <w:r>
        <w:rPr>
          <w:rFonts w:ascii="Arial" w:cs="Arial" w:eastAsia="Arial" w:hAnsi="Arial"/>
          <w:sz w:val="16"/>
          <w:szCs w:val="16"/>
          <w:i w:val="1"/>
          <w:iCs w:val="1"/>
          <w:color w:val="auto"/>
        </w:rPr>
        <w:t>Develop novel approaches to treating cancer using our immunotherapy and drug discovery platforms</w:t>
      </w:r>
      <w:r>
        <w:rPr>
          <w:rFonts w:ascii="Arial" w:cs="Arial" w:eastAsia="Arial" w:hAnsi="Arial"/>
          <w:sz w:val="16"/>
          <w:szCs w:val="16"/>
          <w:color w:val="auto"/>
        </w:rPr>
        <w:t>. We are currently conducting</w:t>
      </w:r>
      <w:r>
        <w:rPr>
          <w:rFonts w:ascii="Arial" w:cs="Arial" w:eastAsia="Arial" w:hAnsi="Arial"/>
          <w:sz w:val="16"/>
          <w:szCs w:val="16"/>
          <w:i w:val="1"/>
          <w:iCs w:val="1"/>
          <w:color w:val="auto"/>
        </w:rPr>
        <w:t xml:space="preserve"> </w:t>
      </w:r>
      <w:r>
        <w:rPr>
          <w:rFonts w:ascii="Arial" w:cs="Arial" w:eastAsia="Arial" w:hAnsi="Arial"/>
          <w:sz w:val="16"/>
          <w:szCs w:val="16"/>
          <w:color w:val="auto"/>
        </w:rPr>
        <w:t>a Phase 2 clinical trial of one of our investigational cancer immunotherapy product candidates. Our goal is to evaluate the safety and efficacy of this approach while also continuing to conduct research aimed at identifying novel drug therapies for cancer indications.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700" w:right="100" w:firstLine="225"/>
        <w:spacing w:after="0" w:line="259" w:lineRule="auto"/>
        <w:rPr>
          <w:sz w:val="20"/>
          <w:szCs w:val="20"/>
          <w:color w:val="auto"/>
        </w:rPr>
      </w:pPr>
      <w:r>
        <w:rPr>
          <w:rFonts w:ascii="Arial" w:cs="Arial" w:eastAsia="Arial" w:hAnsi="Arial"/>
          <w:sz w:val="18"/>
          <w:szCs w:val="18"/>
          <w:color w:val="auto"/>
        </w:rPr>
        <w:t>Our efforts to date have primarily been directed at developing products for a number of different markets. We currently have no sales or distribution capabilities and have no experience as a company in marketing or selling pharmaceutical products. However, we have built a small marketing team and are actively engaged in the activities that would normally be undertaken in preparation for commercial launch of a pharmaceutical product.</w:t>
      </w:r>
    </w:p>
    <w:p>
      <w:pPr>
        <w:spacing w:after="0" w:line="79" w:lineRule="exact"/>
        <w:rPr>
          <w:sz w:val="20"/>
          <w:szCs w:val="20"/>
          <w:color w:val="auto"/>
        </w:rPr>
      </w:pPr>
    </w:p>
    <w:p>
      <w:pPr>
        <w:ind w:left="700" w:firstLine="225"/>
        <w:spacing w:after="0" w:line="272" w:lineRule="auto"/>
        <w:rPr>
          <w:sz w:val="20"/>
          <w:szCs w:val="20"/>
          <w:color w:val="auto"/>
        </w:rPr>
      </w:pPr>
      <w:r>
        <w:rPr>
          <w:rFonts w:ascii="Arial" w:cs="Arial" w:eastAsia="Arial" w:hAnsi="Arial"/>
          <w:sz w:val="17"/>
          <w:szCs w:val="17"/>
          <w:color w:val="auto"/>
        </w:rPr>
        <w:t>In order to commercially market any of our products, we need either to develop an internal sales team, continue to expand our marketing infrastructure or collaborate with third parties who have greater sales and marketing capabilities and have access to potentially large markets. Although we believe that establishing our own sales and marketing organizations in North America would have substantial advantages, we recognize that this may not be practical for some of our products and that collaborating with companies with established sales and marketing capabilities in a particular market or markets may be a more effective alternative for some products. To date, we have retained worldwide commercialization rights for all of our products, including AFREZZA. We believe that this will give us flexibility if we enter into collaborations to provide the necessary sales and marketing support.</w:t>
      </w:r>
    </w:p>
    <w:p>
      <w:pPr>
        <w:spacing w:after="0" w:line="70" w:lineRule="exact"/>
        <w:rPr>
          <w:sz w:val="20"/>
          <w:szCs w:val="20"/>
          <w:color w:val="auto"/>
        </w:rPr>
      </w:pPr>
    </w:p>
    <w:p>
      <w:pPr>
        <w:jc w:val="both"/>
        <w:ind w:left="700" w:right="160" w:firstLine="222"/>
        <w:spacing w:after="0" w:line="264" w:lineRule="auto"/>
        <w:rPr>
          <w:sz w:val="20"/>
          <w:szCs w:val="20"/>
          <w:color w:val="auto"/>
        </w:rPr>
      </w:pPr>
      <w:r>
        <w:rPr>
          <w:rFonts w:ascii="Arial" w:cs="Arial" w:eastAsia="Arial" w:hAnsi="Arial"/>
          <w:sz w:val="18"/>
          <w:szCs w:val="18"/>
          <w:color w:val="auto"/>
        </w:rPr>
        <w:t>We are evaluating potential collaboration opportunities to assist us in the commercialization of AFREZZA in the United States and other major markets, and we may also create parallel in-house sales and marketing operations in certain key markets, particularly in the United States.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700" w:right="20" w:firstLine="222"/>
        <w:spacing w:after="0" w:line="297" w:lineRule="auto"/>
        <w:rPr>
          <w:sz w:val="20"/>
          <w:szCs w:val="20"/>
          <w:color w:val="auto"/>
        </w:rPr>
      </w:pPr>
      <w:r>
        <w:rPr>
          <w:rFonts w:ascii="Arial" w:cs="Arial" w:eastAsia="Arial" w:hAnsi="Arial"/>
          <w:sz w:val="16"/>
          <w:szCs w:val="16"/>
          <w:color w:val="auto"/>
        </w:rPr>
        <w:t>We formulate and fill the AFREZZA inhalation powder into plastic cartridges and blister package the cartridges in our Danbury facility. We believe that our Danbury facility has enough capacity to satisfy the initial commercial demand for AFREZZA, although the facility includes expansion space that will allow production capacity to be increased based on anticipated needs during the initial years of commercialization. The quality management systems of our facility were certified to be in conformance with the ISO 13485 and ISO 9001 standards. In addition, our facility underwent a successful pre-approval inspection by the FDA during the fall of 2009.</w:t>
      </w:r>
    </w:p>
    <w:p>
      <w:pPr>
        <w:spacing w:after="0" w:line="50" w:lineRule="exact"/>
        <w:rPr>
          <w:sz w:val="20"/>
          <w:szCs w:val="20"/>
          <w:color w:val="auto"/>
        </w:rPr>
      </w:pPr>
    </w:p>
    <w:p>
      <w:pPr>
        <w:ind w:left="700" w:right="200" w:firstLine="222"/>
        <w:spacing w:after="0" w:line="264" w:lineRule="auto"/>
        <w:rPr>
          <w:sz w:val="20"/>
          <w:szCs w:val="20"/>
          <w:color w:val="auto"/>
        </w:rPr>
      </w:pPr>
      <w:r>
        <w:rPr>
          <w:rFonts w:ascii="Arial" w:cs="Arial" w:eastAsia="Arial" w:hAnsi="Arial"/>
          <w:sz w:val="18"/>
          <w:szCs w:val="18"/>
          <w:color w:val="auto"/>
        </w:rPr>
        <w:t>We currently have two sources of insulin. In November 2007, we entered into a long-term supply agreement with N. V. Organon, or Organon, (now owned by Merck &amp; Co., Inc.) pursuant to which Organon will manufacture and supply specified quantities of recombinant human insulin to us. The initial term of this supply agreement will end on</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7" w:lineRule="auto"/>
        <w:rPr>
          <w:sz w:val="20"/>
          <w:szCs w:val="20"/>
          <w:color w:val="auto"/>
        </w:rPr>
      </w:pPr>
      <w:r>
        <w:rPr>
          <w:rFonts w:ascii="Arial" w:cs="Arial" w:eastAsia="Arial" w:hAnsi="Arial"/>
          <w:sz w:val="16"/>
          <w:szCs w:val="16"/>
          <w:color w:val="auto"/>
        </w:rPr>
        <w:t>December 31, 2012 and will be automatically extended for consecutive two-year periods unless (i) we fail to provide a forecast of our insulin requirements for the two-year extension period to Organon at least 24 months before any automatic extension or (ii) either party provides 23-months’ advance written notice to the other party of its desire to terminate the agreement. We and Organon each have normal and customary termination rights, including (a) for material breach of the agreement by the other party, (b) due to the liquidation or bankruptcy of the other party or (c) upon 90-days advance written notice if the parties are unable to agree after mediation on the consequences of any changes to the product specifications required by any controlling regulatory authority. We may terminate the supply agreement upon 30-days advance written notice to Organon if certain regulatory authorities fail to approve or withdraw approval of AFREZZA. If we terminate the supply agreement following failure to obtain or maintain regulatory approval of AFREZZA or either party terminates the agreement following the parties’ inability to agree after any regulatory authority-mandated changes to product specifications that relate specifically to the use of insulin in AFREZZA, we will be required to pay Organon a specified termination fee if Organon is unable to sell certain quantities of insulin to other parties. We must rely on our insulin supplier to maintain compliance with relevant regulatory requirements including current Good Manufacturing Practices, or cGMP.</w:t>
      </w:r>
    </w:p>
    <w:p>
      <w:pPr>
        <w:spacing w:after="0" w:line="61" w:lineRule="exact"/>
        <w:rPr>
          <w:sz w:val="20"/>
          <w:szCs w:val="20"/>
          <w:color w:val="auto"/>
        </w:rPr>
      </w:pPr>
    </w:p>
    <w:p>
      <w:pPr>
        <w:ind w:left="700" w:firstLine="225"/>
        <w:spacing w:after="0" w:line="259" w:lineRule="auto"/>
        <w:rPr>
          <w:sz w:val="20"/>
          <w:szCs w:val="20"/>
          <w:color w:val="auto"/>
        </w:rPr>
      </w:pPr>
      <w:r>
        <w:rPr>
          <w:rFonts w:ascii="Arial" w:cs="Arial" w:eastAsia="Arial" w:hAnsi="Arial"/>
          <w:sz w:val="18"/>
          <w:szCs w:val="18"/>
          <w:color w:val="auto"/>
        </w:rPr>
        <w:t>In June 2009, we acquired a quantity of bulk insulin from Pfizer Manufacturing Frankfurt GmbH, a subsidiary of Pfizer Inc., or Pfizer, as well as Pfizer’s rights under a license to manufacture insulin for pulmonary delivery. In addition, we agreed to maintain and store the remainder of Pfizer’s bulk insulin inventory and acquired an option to purchase this inventory, in whole or in part, at a specified price, to the extent that Pfizer has not otherwise disposed of or used the retained insulin.</w:t>
      </w:r>
    </w:p>
    <w:p>
      <w:pPr>
        <w:spacing w:after="0" w:line="79" w:lineRule="exact"/>
        <w:rPr>
          <w:sz w:val="20"/>
          <w:szCs w:val="20"/>
          <w:color w:val="auto"/>
        </w:rPr>
      </w:pPr>
    </w:p>
    <w:p>
      <w:pPr>
        <w:ind w:left="700" w:right="80" w:firstLine="222"/>
        <w:spacing w:after="0" w:line="259" w:lineRule="auto"/>
        <w:rPr>
          <w:sz w:val="20"/>
          <w:szCs w:val="20"/>
          <w:color w:val="auto"/>
        </w:rPr>
      </w:pPr>
      <w:r>
        <w:rPr>
          <w:rFonts w:ascii="Arial" w:cs="Arial" w:eastAsia="Arial" w:hAnsi="Arial"/>
          <w:sz w:val="18"/>
          <w:szCs w:val="18"/>
          <w:color w:val="auto"/>
        </w:rPr>
        <w:t>We have a long-term supply agreement with Vaupell, Inc. for the manufacture and supply of our first-generation inhaler and the cartridges that are inserted into it. We are in the process of qualifying a manufacturer to supply us with our next-generation inhaler and the corresponding cartridges. We rely on our manufacturers to comply with relevant regulatory requirements, including compliance with Quality System Regulations, or QSRs.</w:t>
      </w:r>
    </w:p>
    <w:p>
      <w:pPr>
        <w:spacing w:after="0" w:line="79" w:lineRule="exact"/>
        <w:rPr>
          <w:sz w:val="20"/>
          <w:szCs w:val="20"/>
          <w:color w:val="auto"/>
        </w:rPr>
      </w:pPr>
    </w:p>
    <w:p>
      <w:pPr>
        <w:jc w:val="both"/>
        <w:ind w:left="700" w:right="300" w:firstLine="225"/>
        <w:spacing w:after="0" w:line="312" w:lineRule="auto"/>
        <w:rPr>
          <w:sz w:val="20"/>
          <w:szCs w:val="20"/>
          <w:color w:val="auto"/>
        </w:rPr>
      </w:pPr>
      <w:r>
        <w:rPr>
          <w:rFonts w:ascii="Arial" w:cs="Arial" w:eastAsia="Arial" w:hAnsi="Arial"/>
          <w:sz w:val="16"/>
          <w:szCs w:val="16"/>
          <w:color w:val="auto"/>
        </w:rPr>
        <w:t>Currently, we purchase the raw material from which we produce Technosphere particles from a major chemical manufacturer with facilities in Europe and North America. We also have the capability of manufacturing this chemical ourselves in our Danbury facility, which is treated as a back-up facility. Like us, our third-party manufacturers are subject to extensive governmental regulation.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INTELLECTUAL PROPERTY AND PROPRIETARY TECHNOLOGY</w:t>
      </w:r>
    </w:p>
    <w:p>
      <w:pPr>
        <w:spacing w:after="0" w:line="121" w:lineRule="exact"/>
        <w:rPr>
          <w:sz w:val="20"/>
          <w:szCs w:val="20"/>
          <w:color w:val="auto"/>
        </w:rPr>
      </w:pPr>
    </w:p>
    <w:p>
      <w:pPr>
        <w:ind w:left="700" w:right="40" w:firstLine="225"/>
        <w:spacing w:after="0" w:line="273" w:lineRule="auto"/>
        <w:rPr>
          <w:sz w:val="20"/>
          <w:szCs w:val="20"/>
          <w:color w:val="auto"/>
        </w:rPr>
      </w:pPr>
      <w:r>
        <w:rPr>
          <w:rFonts w:ascii="Arial" w:cs="Arial" w:eastAsia="Arial" w:hAnsi="Arial"/>
          <w:sz w:val="17"/>
          <w:szCs w:val="17"/>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 We have also in-licensed certain technology.</w:t>
      </w:r>
    </w:p>
    <w:p>
      <w:pPr>
        <w:spacing w:after="0" w:line="70" w:lineRule="exact"/>
        <w:rPr>
          <w:sz w:val="20"/>
          <w:szCs w:val="20"/>
          <w:color w:val="auto"/>
        </w:rPr>
      </w:pPr>
    </w:p>
    <w:p>
      <w:pPr>
        <w:jc w:val="both"/>
        <w:ind w:left="700" w:right="40" w:firstLine="225"/>
        <w:spacing w:after="0" w:line="288" w:lineRule="auto"/>
        <w:rPr>
          <w:sz w:val="20"/>
          <w:szCs w:val="20"/>
          <w:color w:val="auto"/>
        </w:rPr>
      </w:pPr>
      <w:r>
        <w:rPr>
          <w:rFonts w:ascii="Arial" w:cs="Arial" w:eastAsia="Arial" w:hAnsi="Arial"/>
          <w:sz w:val="16"/>
          <w:szCs w:val="16"/>
          <w:color w:val="auto"/>
        </w:rPr>
        <w:t>Our Technosphere drug delivery platform, including AFREZZA, enjoys patent protection relating to the particles, their manufacture, and their use for pulmonary delivery of drugs. We have additional patent coverage relating to the treatment of diabetes using AFREZZA. We have been granted patent coverage for our inhaler cartridges in the form in which our insulin product will be sold to the consumer.</w:t>
      </w:r>
    </w:p>
    <w:p>
      <w:pPr>
        <w:ind w:left="700" w:right="60"/>
        <w:spacing w:after="0" w:line="292" w:lineRule="auto"/>
        <w:rPr>
          <w:sz w:val="20"/>
          <w:szCs w:val="20"/>
          <w:color w:val="auto"/>
        </w:rPr>
      </w:pPr>
      <w:r>
        <w:rPr>
          <w:rFonts w:ascii="Arial" w:cs="Arial" w:eastAsia="Arial" w:hAnsi="Arial"/>
          <w:sz w:val="16"/>
          <w:szCs w:val="16"/>
          <w:color w:val="auto"/>
        </w:rPr>
        <w:t>We have additional pending patent applications, and expect to file further applications, relating to the drug delivery platform, methods of manufacture, the AFREZZA product and its use, and other Technosphere-based products, inhalers and inhaler cartridges. Overall, we own 55 issued utility patents, 48 issued design patents and over 240 pending applications in the United States and selected jurisdictions around the world related to our Technosphere platform. These include composition and method of treatment patents providing protection for AFREZZA that will remain in force into 2020, and patents on our inhaler and inhaler cartridges that will remain in force into 2023.</w:t>
      </w:r>
    </w:p>
    <w:p>
      <w:pPr>
        <w:spacing w:after="0" w:line="55" w:lineRule="exact"/>
        <w:rPr>
          <w:sz w:val="20"/>
          <w:szCs w:val="20"/>
          <w:color w:val="auto"/>
        </w:rPr>
      </w:pPr>
    </w:p>
    <w:p>
      <w:pPr>
        <w:ind w:left="700" w:right="60" w:firstLine="225"/>
        <w:spacing w:after="0" w:line="257" w:lineRule="auto"/>
        <w:rPr>
          <w:sz w:val="20"/>
          <w:szCs w:val="20"/>
          <w:color w:val="auto"/>
        </w:rPr>
      </w:pPr>
      <w:r>
        <w:rPr>
          <w:rFonts w:ascii="Arial" w:cs="Arial" w:eastAsia="Arial" w:hAnsi="Arial"/>
          <w:sz w:val="18"/>
          <w:szCs w:val="18"/>
          <w:color w:val="auto"/>
        </w:rPr>
        <w:t>In addition, we own or have in-licensed intellectual property relating to several drug targets of interest in the treatment of cancer and other fields. Patents and patent applications in this area are drawn to drug screening methods, methods of treatment, and chemical structures of inhibitors of these targets. Our cancer immunotherapy program is built on proprietary methods for the selection, design and administration of epitopes, as well as the plasmids and peptides that are the active ingredients of our product candidates. Overall we own 21 issued patents</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60"/>
        <w:spacing w:after="0" w:line="277" w:lineRule="auto"/>
        <w:rPr>
          <w:sz w:val="20"/>
          <w:szCs w:val="20"/>
          <w:color w:val="auto"/>
        </w:rPr>
      </w:pPr>
      <w:r>
        <w:rPr>
          <w:rFonts w:ascii="Arial" w:cs="Arial" w:eastAsia="Arial" w:hAnsi="Arial"/>
          <w:sz w:val="18"/>
          <w:szCs w:val="18"/>
          <w:color w:val="auto"/>
        </w:rPr>
        <w:t>and over 200 pending applications in the United States and selected jurisdictions around the world related to our immunotherapy program.</w:t>
      </w:r>
    </w:p>
    <w:p>
      <w:pPr>
        <w:spacing w:after="0" w:line="62" w:lineRule="exact"/>
        <w:rPr>
          <w:sz w:val="20"/>
          <w:szCs w:val="20"/>
          <w:color w:val="auto"/>
        </w:rPr>
      </w:pPr>
    </w:p>
    <w:p>
      <w:pPr>
        <w:ind w:left="700" w:right="40" w:firstLine="222"/>
        <w:spacing w:after="0" w:line="257" w:lineRule="auto"/>
        <w:rPr>
          <w:sz w:val="20"/>
          <w:szCs w:val="20"/>
          <w:color w:val="auto"/>
        </w:rPr>
      </w:pPr>
      <w:r>
        <w:rPr>
          <w:rFonts w:ascii="Arial" w:cs="Arial" w:eastAsia="Arial" w:hAnsi="Arial"/>
          <w:sz w:val="18"/>
          <w:szCs w:val="18"/>
          <w:color w:val="auto"/>
        </w:rPr>
        <w:t>The fields of pulmonary drug delivery and cancer therapies are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80" w:lineRule="exact"/>
        <w:rPr>
          <w:sz w:val="20"/>
          <w:szCs w:val="20"/>
          <w:color w:val="auto"/>
        </w:rPr>
      </w:pPr>
    </w:p>
    <w:p>
      <w:pPr>
        <w:ind w:left="700" w:right="80" w:firstLine="225"/>
        <w:spacing w:after="0" w:line="268" w:lineRule="auto"/>
        <w:rPr>
          <w:sz w:val="20"/>
          <w:szCs w:val="20"/>
          <w:color w:val="auto"/>
        </w:rPr>
      </w:pPr>
      <w:r>
        <w:rPr>
          <w:rFonts w:ascii="Arial" w:cs="Arial" w:eastAsia="Arial" w:hAnsi="Arial"/>
          <w:sz w:val="17"/>
          <w:szCs w:val="17"/>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will be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patent applications in the United States filed before November 29, 2000 are currently maintained in secrecy until the patent issues, although in certain countries, including the United States, for applications filed on or after November 29, 2000,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80" w:lineRule="exact"/>
        <w:rPr>
          <w:sz w:val="20"/>
          <w:szCs w:val="20"/>
          <w:color w:val="auto"/>
        </w:rPr>
      </w:pPr>
    </w:p>
    <w:p>
      <w:pPr>
        <w:ind w:left="700" w:firstLine="215"/>
        <w:spacing w:after="0" w:line="285"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Technosphere-based investigational products and our cancer products under development, we have identified certain third-party patents having claims relating to pulmonary insulin delivery that may trigger an allegation of infringement upon the commercial manufacture and sale of AFREZZA. We have also identified third-party patents disclosing methods and compositions of matter related to cancer vaccines that also may trigger an allegation of infringement upon the commercial manufacture and sale of our cancer immunotherapy. We believe that we are not infringing any valid claims of any patent owned by a third party. However, if a court were to determine that our inhaled insulin product or cancer immunotherapies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or USPTO, to determine priority of invention. We may be required to participate in interference proceedings involving our issued patents and pending applications.</w:t>
      </w:r>
    </w:p>
    <w:p>
      <w:pPr>
        <w:spacing w:after="0" w:line="70" w:lineRule="exact"/>
        <w:rPr>
          <w:sz w:val="20"/>
          <w:szCs w:val="20"/>
          <w:color w:val="auto"/>
        </w:rPr>
      </w:pPr>
    </w:p>
    <w:p>
      <w:pPr>
        <w:ind w:left="700" w:right="100" w:firstLine="222"/>
        <w:spacing w:after="0" w:line="271" w:lineRule="auto"/>
        <w:rPr>
          <w:sz w:val="20"/>
          <w:szCs w:val="20"/>
          <w:color w:val="auto"/>
        </w:rPr>
      </w:pPr>
      <w:r>
        <w:rPr>
          <w:rFonts w:ascii="Arial" w:cs="Arial" w:eastAsia="Arial" w:hAnsi="Arial"/>
          <w:sz w:val="17"/>
          <w:szCs w:val="17"/>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71" w:lineRule="exact"/>
        <w:rPr>
          <w:sz w:val="20"/>
          <w:szCs w:val="20"/>
          <w:color w:val="auto"/>
        </w:rPr>
      </w:pPr>
    </w:p>
    <w:p>
      <w:pPr>
        <w:jc w:val="both"/>
        <w:ind w:left="700" w:right="20" w:firstLine="222"/>
        <w:spacing w:after="0" w:line="264" w:lineRule="auto"/>
        <w:rPr>
          <w:sz w:val="20"/>
          <w:szCs w:val="20"/>
          <w:color w:val="auto"/>
        </w:rPr>
      </w:pPr>
      <w:r>
        <w:rPr>
          <w:rFonts w:ascii="Arial" w:cs="Arial" w:eastAsia="Arial" w:hAnsi="Arial"/>
          <w:sz w:val="18"/>
          <w:szCs w:val="18"/>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700" w:firstLine="222"/>
        <w:spacing w:after="0" w:line="273" w:lineRule="auto"/>
        <w:rPr>
          <w:sz w:val="20"/>
          <w:szCs w:val="20"/>
          <w:color w:val="auto"/>
        </w:rPr>
      </w:pPr>
      <w:r>
        <w:rPr>
          <w:rFonts w:ascii="Arial" w:cs="Arial" w:eastAsia="Arial" w:hAnsi="Arial"/>
          <w:sz w:val="17"/>
          <w:szCs w:val="17"/>
          <w:color w:val="auto"/>
        </w:rPr>
        <w:t>The pharmaceutical and biotechnology industries are highly competitive and characterized by rapidly evolving technology and intense research and development efforts. We expect to compete with companies, including the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product ease of use and price.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Diabetes Treatments</w:t>
      </w:r>
    </w:p>
    <w:p>
      <w:pPr>
        <w:spacing w:after="0" w:line="121" w:lineRule="exact"/>
        <w:rPr>
          <w:sz w:val="20"/>
          <w:szCs w:val="20"/>
          <w:color w:val="auto"/>
        </w:rPr>
      </w:pPr>
    </w:p>
    <w:p>
      <w:pPr>
        <w:ind w:left="700" w:right="80" w:firstLine="222"/>
        <w:spacing w:after="0" w:line="259"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79" w:lineRule="exact"/>
        <w:rPr>
          <w:sz w:val="20"/>
          <w:szCs w:val="20"/>
          <w:color w:val="auto"/>
        </w:rPr>
      </w:pPr>
    </w:p>
    <w:p>
      <w:pPr>
        <w:ind w:left="700" w:right="120" w:firstLine="222"/>
        <w:spacing w:after="0" w:line="277" w:lineRule="auto"/>
        <w:rPr>
          <w:sz w:val="20"/>
          <w:szCs w:val="20"/>
          <w:color w:val="auto"/>
        </w:rPr>
      </w:pPr>
      <w:r>
        <w:rPr>
          <w:rFonts w:ascii="Arial" w:cs="Arial" w:eastAsia="Arial" w:hAnsi="Arial"/>
          <w:sz w:val="18"/>
          <w:szCs w:val="18"/>
          <w:color w:val="auto"/>
        </w:rPr>
        <w:t>We have set forth below more detailed information about certain of our competitors. The following is based on information currently available to us.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Inhaled and Oral Insulin Delivery Systems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Currently, we are not aware of any other inhaled insulin products on the market or in development.</w:t>
      </w:r>
    </w:p>
    <w:p>
      <w:pPr>
        <w:spacing w:after="0" w:line="117" w:lineRule="exact"/>
        <w:rPr>
          <w:sz w:val="20"/>
          <w:szCs w:val="20"/>
          <w:color w:val="auto"/>
        </w:rPr>
      </w:pPr>
    </w:p>
    <w:p>
      <w:pPr>
        <w:ind w:left="700" w:right="60" w:firstLine="225"/>
        <w:spacing w:after="0" w:line="257" w:lineRule="auto"/>
        <w:rPr>
          <w:sz w:val="20"/>
          <w:szCs w:val="20"/>
          <w:color w:val="auto"/>
        </w:rPr>
      </w:pPr>
      <w:r>
        <w:rPr>
          <w:rFonts w:ascii="Arial" w:cs="Arial" w:eastAsia="Arial" w:hAnsi="Arial"/>
          <w:sz w:val="18"/>
          <w:szCs w:val="18"/>
          <w:color w:val="auto"/>
        </w:rPr>
        <w:t>In January 2006, Exubera</w:t>
      </w:r>
      <w:r>
        <w:rPr>
          <w:rFonts w:ascii="Arial" w:cs="Arial" w:eastAsia="Arial" w:hAnsi="Arial"/>
          <w:sz w:val="15"/>
          <w:szCs w:val="15"/>
          <w:color w:val="auto"/>
        </w:rPr>
        <w:t>®</w:t>
      </w:r>
      <w:r>
        <w:rPr>
          <w:rFonts w:ascii="Arial" w:cs="Arial" w:eastAsia="Arial" w:hAnsi="Arial"/>
          <w:sz w:val="18"/>
          <w:szCs w:val="18"/>
          <w:color w:val="auto"/>
        </w:rPr>
        <w:t>, developed by Pfizer, Inc. in collaboration with Nektar Therapeutics, was approved for the treatment of adults with type 1 and type 2 diabetes. Exubera</w:t>
      </w:r>
      <w:r>
        <w:rPr>
          <w:rFonts w:ascii="Arial" w:cs="Arial" w:eastAsia="Arial" w:hAnsi="Arial"/>
          <w:sz w:val="15"/>
          <w:szCs w:val="15"/>
          <w:color w:val="auto"/>
        </w:rPr>
        <w:t>®</w:t>
      </w:r>
      <w:r>
        <w:rPr>
          <w:rFonts w:ascii="Arial" w:cs="Arial" w:eastAsia="Arial" w:hAnsi="Arial"/>
          <w:sz w:val="18"/>
          <w:szCs w:val="18"/>
          <w:color w:val="auto"/>
        </w:rPr>
        <w:t xml:space="preserve"> was slow to gain market acceptance and, in October 2007, Pfizer announced that it was discontinuing the product. In September 2008, we announced a collaboration agreement with Pfizer pursuant to which certain patients with a continuing medical need for inhaled insulin were transitioned to AFREZZA on a compassionate use basis. Pfizer subsequently withdrew the NDA for Exubera from the FDA.</w:t>
      </w:r>
    </w:p>
    <w:p>
      <w:pPr>
        <w:spacing w:after="0" w:line="80" w:lineRule="exact"/>
        <w:rPr>
          <w:sz w:val="20"/>
          <w:szCs w:val="20"/>
          <w:color w:val="auto"/>
        </w:rPr>
      </w:pPr>
    </w:p>
    <w:p>
      <w:pPr>
        <w:ind w:left="700" w:right="60" w:firstLine="225"/>
        <w:spacing w:after="0" w:line="259" w:lineRule="auto"/>
        <w:rPr>
          <w:sz w:val="20"/>
          <w:szCs w:val="20"/>
          <w:color w:val="auto"/>
        </w:rPr>
      </w:pPr>
      <w:r>
        <w:rPr>
          <w:rFonts w:ascii="Arial" w:cs="Arial" w:eastAsia="Arial" w:hAnsi="Arial"/>
          <w:sz w:val="18"/>
          <w:szCs w:val="18"/>
          <w:color w:val="auto"/>
        </w:rPr>
        <w:t>In January 2008, Novo Nordisk A/S announced that it was halting development of its inhaled insulin product, having reached the conclusion that the product did not have adequate commercial potential. Notwithstanding the termination of this program, Novo Nordisk stated that it intended to increase research and development activities targeted at inhalation systems for long-acting formulations of insulin and GLP-1.</w:t>
      </w:r>
    </w:p>
    <w:p>
      <w:pPr>
        <w:spacing w:after="0" w:line="79" w:lineRule="exact"/>
        <w:rPr>
          <w:sz w:val="20"/>
          <w:szCs w:val="20"/>
          <w:color w:val="auto"/>
        </w:rPr>
      </w:pPr>
    </w:p>
    <w:p>
      <w:pPr>
        <w:ind w:left="700" w:firstLine="225"/>
        <w:spacing w:after="0" w:line="264" w:lineRule="auto"/>
        <w:rPr>
          <w:sz w:val="20"/>
          <w:szCs w:val="20"/>
          <w:color w:val="auto"/>
        </w:rPr>
      </w:pPr>
      <w:r>
        <w:rPr>
          <w:rFonts w:ascii="Arial" w:cs="Arial" w:eastAsia="Arial" w:hAnsi="Arial"/>
          <w:sz w:val="18"/>
          <w:szCs w:val="18"/>
          <w:color w:val="auto"/>
        </w:rPr>
        <w:t>In March 2008, Eli Lilly and Company, or Lilly, announced that it too was terminating the development of its AIR</w:t>
      </w:r>
      <w:r>
        <w:rPr>
          <w:rFonts w:ascii="Arial" w:cs="Arial" w:eastAsia="Arial" w:hAnsi="Arial"/>
          <w:sz w:val="15"/>
          <w:szCs w:val="15"/>
          <w:color w:val="auto"/>
        </w:rPr>
        <w:t>®</w:t>
      </w:r>
      <w:r>
        <w:rPr>
          <w:rFonts w:ascii="Arial" w:cs="Arial" w:eastAsia="Arial" w:hAnsi="Arial"/>
          <w:sz w:val="18"/>
          <w:szCs w:val="18"/>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73" w:lineRule="exact"/>
        <w:rPr>
          <w:sz w:val="20"/>
          <w:szCs w:val="20"/>
          <w:color w:val="auto"/>
        </w:rPr>
      </w:pPr>
    </w:p>
    <w:p>
      <w:pPr>
        <w:ind w:left="700" w:right="100" w:firstLine="222"/>
        <w:spacing w:after="0" w:line="272" w:lineRule="auto"/>
        <w:rPr>
          <w:sz w:val="20"/>
          <w:szCs w:val="20"/>
          <w:color w:val="auto"/>
        </w:rPr>
      </w:pPr>
      <w:r>
        <w:rPr>
          <w:rFonts w:ascii="Arial" w:cs="Arial" w:eastAsia="Arial" w:hAnsi="Arial"/>
          <w:sz w:val="17"/>
          <w:szCs w:val="17"/>
          <w:color w:val="auto"/>
        </w:rPr>
        <w:t>There are several companies that are pursuing development of products involving the oral delivery of insulin. Biocon Limited is currently in Phase 2 clinical trials of IN-105, a tablet for the oral delivery of insulin. Emisphere Technologies, Inc., or Emisphere, has also developed an oral formulation of insulin. A Phase 2 clinical trial of the Emisphere investigational product was completed in the fall of 2006. Other companies are evaluating alternative means of delivering insulin orally. Generex Biotechnology Corporation is currently conducting Phase 3 clinical trials in North America of its liquid formulation of insulin that is sprayed onto the buccal mucosa. This product, Oral-lyn, is currently available for sale in certain countries, including Ecuador and India. Biodel Inc. is currently conducting Phase 1 clinical trials of an oral formulation of insulin (VIAtab) designed to be administered</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sublingually. We are not aware that the timelines to commercialization for any of these investigational products have been made available publicly.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Non-insulin Medications</w:t>
      </w:r>
    </w:p>
    <w:p>
      <w:pPr>
        <w:spacing w:after="0" w:line="121" w:lineRule="exact"/>
        <w:rPr>
          <w:sz w:val="20"/>
          <w:szCs w:val="20"/>
          <w:color w:val="auto"/>
        </w:rPr>
      </w:pPr>
    </w:p>
    <w:p>
      <w:pPr>
        <w:ind w:left="700" w:right="120" w:firstLine="222"/>
        <w:spacing w:after="0" w:line="277" w:lineRule="auto"/>
        <w:rPr>
          <w:sz w:val="20"/>
          <w:szCs w:val="20"/>
          <w:color w:val="auto"/>
        </w:rPr>
      </w:pPr>
      <w:r>
        <w:rPr>
          <w:rFonts w:ascii="Arial" w:cs="Arial" w:eastAsia="Arial" w:hAnsi="Arial"/>
          <w:sz w:val="18"/>
          <w:szCs w:val="18"/>
          <w:color w:val="auto"/>
        </w:rPr>
        <w:t>We expect that AFREZZA will compete with currently available non-insulin medications for type 2 diabetes. These products include the following:</w:t>
      </w:r>
    </w:p>
    <w:p>
      <w:pPr>
        <w:spacing w:after="0" w:line="62" w:lineRule="exact"/>
        <w:rPr>
          <w:sz w:val="20"/>
          <w:szCs w:val="20"/>
          <w:color w:val="auto"/>
        </w:rPr>
      </w:pPr>
    </w:p>
    <w:p>
      <w:pPr>
        <w:ind w:left="1080" w:right="100" w:hanging="198"/>
        <w:spacing w:after="0" w:line="277"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Sulfonylureas, also called oral hypoglycemic agents, prompt the pancreas to secrete insulin. This class of drugs is most effective in individuals whose pancreas still have some working pancreas cells.</w:t>
      </w:r>
    </w:p>
    <w:p>
      <w:pPr>
        <w:spacing w:after="0" w:line="75" w:lineRule="exact"/>
        <w:rPr>
          <w:rFonts w:ascii="Arial" w:cs="Arial" w:eastAsia="Arial" w:hAnsi="Arial"/>
          <w:sz w:val="18"/>
          <w:szCs w:val="18"/>
          <w:b w:val="1"/>
          <w:bCs w:val="1"/>
          <w:color w:val="auto"/>
        </w:rPr>
      </w:pPr>
    </w:p>
    <w:p>
      <w:pPr>
        <w:ind w:left="1080" w:right="340" w:hanging="198"/>
        <w:spacing w:after="0" w:line="277"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Meglitinides are taken with meals and reduce the elevation in blood glucose that generally follows eating. If these drugs are not taken with meals, blood glucose will drop dramatically and inappropriately.</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Biguanides lower blood glucose by improving the sensitivity of cells to insulin (</w:t>
      </w:r>
      <w:r>
        <w:rPr>
          <w:rFonts w:ascii="Arial" w:cs="Arial" w:eastAsia="Arial" w:hAnsi="Arial"/>
          <w:sz w:val="18"/>
          <w:szCs w:val="18"/>
          <w:i w:val="1"/>
          <w:iCs w:val="1"/>
          <w:color w:val="auto"/>
        </w:rPr>
        <w:t>i.e.</w:t>
      </w:r>
      <w:r>
        <w:rPr>
          <w:rFonts w:ascii="Arial" w:cs="Arial" w:eastAsia="Arial" w:hAnsi="Arial"/>
          <w:sz w:val="18"/>
          <w:szCs w:val="18"/>
          <w:color w:val="auto"/>
        </w:rPr>
        <w:t>, by diminishing insulin resistance).</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Thiazolidinedione improves the uptake of glucose by cells in the body.</w:t>
      </w:r>
    </w:p>
    <w:p>
      <w:pPr>
        <w:spacing w:after="0" w:line="130" w:lineRule="exact"/>
        <w:rPr>
          <w:rFonts w:ascii="Arial" w:cs="Arial" w:eastAsia="Arial" w:hAnsi="Arial"/>
          <w:sz w:val="18"/>
          <w:szCs w:val="18"/>
          <w:b w:val="1"/>
          <w:bCs w:val="1"/>
          <w:color w:val="auto"/>
        </w:rPr>
      </w:pPr>
    </w:p>
    <w:p>
      <w:pPr>
        <w:ind w:left="1080" w:right="180" w:hanging="198"/>
        <w:spacing w:after="0" w:line="277"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Alpha-glucosidase inhibitors lower the amount of glucose absorbed from the intestines, thereby reducing the rise in blood glucose that occurs after a meal.</w:t>
      </w:r>
    </w:p>
    <w:p>
      <w:pPr>
        <w:spacing w:after="0" w:line="75" w:lineRule="exact"/>
        <w:rPr>
          <w:rFonts w:ascii="Arial" w:cs="Arial" w:eastAsia="Arial" w:hAnsi="Arial"/>
          <w:sz w:val="18"/>
          <w:szCs w:val="18"/>
          <w:b w:val="1"/>
          <w:bCs w:val="1"/>
          <w:color w:val="auto"/>
        </w:rPr>
      </w:pPr>
    </w:p>
    <w:p>
      <w:pPr>
        <w:ind w:left="1080" w:right="460" w:hanging="198"/>
        <w:spacing w:after="0" w:line="277"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Inhibitors of dipeptidyl peptidase IV are a class of drugs that work by blocking the degradation of GLP-1, which is a naturally occurring incretin.</w:t>
      </w:r>
    </w:p>
    <w:p>
      <w:pPr>
        <w:spacing w:after="0" w:line="75" w:lineRule="exact"/>
        <w:rPr>
          <w:rFonts w:ascii="Arial" w:cs="Arial" w:eastAsia="Arial" w:hAnsi="Arial"/>
          <w:sz w:val="18"/>
          <w:szCs w:val="18"/>
          <w:b w:val="1"/>
          <w:bCs w:val="1"/>
          <w:color w:val="auto"/>
        </w:rPr>
      </w:pPr>
    </w:p>
    <w:p>
      <w:pPr>
        <w:ind w:left="1080" w:right="140" w:hanging="198"/>
        <w:spacing w:after="0" w:line="277"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Incretin mimetics work by several mechanisms including stimulating the pancreas to secrete insulin when blood glucose levels are high.</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Injected Insulin</w:t>
      </w:r>
    </w:p>
    <w:p>
      <w:pPr>
        <w:spacing w:after="0" w:line="121" w:lineRule="exact"/>
        <w:rPr>
          <w:sz w:val="20"/>
          <w:szCs w:val="20"/>
          <w:color w:val="auto"/>
        </w:rPr>
      </w:pPr>
    </w:p>
    <w:p>
      <w:pPr>
        <w:jc w:val="both"/>
        <w:ind w:left="700" w:right="500" w:firstLine="225"/>
        <w:spacing w:after="0" w:line="264" w:lineRule="auto"/>
        <w:rPr>
          <w:sz w:val="20"/>
          <w:szCs w:val="20"/>
          <w:color w:val="auto"/>
        </w:rPr>
      </w:pPr>
      <w:r>
        <w:rPr>
          <w:rFonts w:ascii="Arial" w:cs="Arial" w:eastAsia="Arial" w:hAnsi="Arial"/>
          <w:sz w:val="18"/>
          <w:szCs w:val="18"/>
          <w:color w:val="auto"/>
        </w:rPr>
        <w:t>In the subcutaneous insulin market, our competitors have made considerable efforts in promoting rapid acting injectable insulin formulations. Humalog</w:t>
      </w:r>
      <w:r>
        <w:rPr>
          <w:rFonts w:ascii="Arial" w:cs="Arial" w:eastAsia="Arial" w:hAnsi="Arial"/>
          <w:sz w:val="15"/>
          <w:szCs w:val="15"/>
          <w:color w:val="auto"/>
        </w:rPr>
        <w:t>®</w:t>
      </w:r>
      <w:r>
        <w:rPr>
          <w:rFonts w:ascii="Arial" w:cs="Arial" w:eastAsia="Arial" w:hAnsi="Arial"/>
          <w:sz w:val="18"/>
          <w:szCs w:val="18"/>
          <w:color w:val="auto"/>
        </w:rPr>
        <w:t>, which was developed by Lilly, and NovoLog</w:t>
      </w:r>
      <w:r>
        <w:rPr>
          <w:rFonts w:ascii="Arial" w:cs="Arial" w:eastAsia="Arial" w:hAnsi="Arial"/>
          <w:sz w:val="15"/>
          <w:szCs w:val="15"/>
          <w:color w:val="auto"/>
        </w:rPr>
        <w:t>®</w:t>
      </w:r>
      <w:r>
        <w:rPr>
          <w:rFonts w:ascii="Arial" w:cs="Arial" w:eastAsia="Arial" w:hAnsi="Arial"/>
          <w:sz w:val="18"/>
          <w:szCs w:val="18"/>
          <w:color w:val="auto"/>
        </w:rPr>
        <w:t>, which was developed by Novo Nordisk A/S, are the two principal injectable insulin formulations with which we expect AFREZZA to compete.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Cancer Treatments</w:t>
      </w:r>
    </w:p>
    <w:p>
      <w:pPr>
        <w:spacing w:after="0" w:line="121" w:lineRule="exact"/>
        <w:rPr>
          <w:sz w:val="20"/>
          <w:szCs w:val="20"/>
          <w:color w:val="auto"/>
        </w:rPr>
      </w:pPr>
    </w:p>
    <w:p>
      <w:pPr>
        <w:ind w:left="700" w:right="20" w:firstLine="225"/>
        <w:spacing w:after="0" w:line="271" w:lineRule="auto"/>
        <w:rPr>
          <w:sz w:val="20"/>
          <w:szCs w:val="20"/>
          <w:color w:val="auto"/>
        </w:rPr>
      </w:pPr>
      <w:r>
        <w:rPr>
          <w:rFonts w:ascii="Arial" w:cs="Arial" w:eastAsia="Arial" w:hAnsi="Arial"/>
          <w:sz w:val="17"/>
          <w:szCs w:val="17"/>
          <w:color w:val="auto"/>
        </w:rPr>
        <w:t>For many types of cancer, chemotherapy remains a significant component of the treatment regimen. Increasingly, however, drugs and antibodies that specifically target the abnormal mechanisms of proliferation, differentiation and invasion of malignant cells are being used to treat cancer. One such cancer therapy is Rituxan</w:t>
      </w:r>
      <w:r>
        <w:rPr>
          <w:rFonts w:ascii="Arial" w:cs="Arial" w:eastAsia="Arial" w:hAnsi="Arial"/>
          <w:sz w:val="14"/>
          <w:szCs w:val="14"/>
          <w:color w:val="auto"/>
        </w:rPr>
        <w:t>®</w:t>
      </w:r>
      <w:r>
        <w:rPr>
          <w:rFonts w:ascii="Arial" w:cs="Arial" w:eastAsia="Arial" w:hAnsi="Arial"/>
          <w:sz w:val="17"/>
          <w:szCs w:val="17"/>
          <w:color w:val="auto"/>
        </w:rPr>
        <w:t xml:space="preserve"> (rituximab), an antibody marketed in the United States by Biogen IDEC Inc. and Genentech, Inc., or Genentech, a wholly-owned member of the Roche Group, or Roche, and by Roche in the rest of the world. Genentech and Roche have also partnered to market two other successful antibodies: Avastin</w:t>
      </w:r>
      <w:r>
        <w:rPr>
          <w:rFonts w:ascii="Arial" w:cs="Arial" w:eastAsia="Arial" w:hAnsi="Arial"/>
          <w:sz w:val="14"/>
          <w:szCs w:val="14"/>
          <w:color w:val="auto"/>
        </w:rPr>
        <w:t>®</w:t>
      </w:r>
      <w:r>
        <w:rPr>
          <w:rFonts w:ascii="Arial" w:cs="Arial" w:eastAsia="Arial" w:hAnsi="Arial"/>
          <w:sz w:val="17"/>
          <w:szCs w:val="17"/>
          <w:color w:val="auto"/>
        </w:rPr>
        <w:t xml:space="preserve"> (bevacizumab) and Herceptin</w:t>
      </w:r>
      <w:r>
        <w:rPr>
          <w:rFonts w:ascii="Arial" w:cs="Arial" w:eastAsia="Arial" w:hAnsi="Arial"/>
          <w:sz w:val="14"/>
          <w:szCs w:val="14"/>
          <w:color w:val="auto"/>
        </w:rPr>
        <w:t>®</w:t>
      </w:r>
      <w:r>
        <w:rPr>
          <w:rFonts w:ascii="Arial" w:cs="Arial" w:eastAsia="Arial" w:hAnsi="Arial"/>
          <w:sz w:val="17"/>
          <w:szCs w:val="17"/>
          <w:color w:val="auto"/>
        </w:rPr>
        <w:t xml:space="preserve"> (trastuzumab). Erbitux</w:t>
      </w:r>
      <w:r>
        <w:rPr>
          <w:rFonts w:ascii="Arial" w:cs="Arial" w:eastAsia="Arial" w:hAnsi="Arial"/>
          <w:sz w:val="14"/>
          <w:szCs w:val="14"/>
          <w:color w:val="auto"/>
        </w:rPr>
        <w:t>®</w:t>
      </w:r>
      <w:r>
        <w:rPr>
          <w:rFonts w:ascii="Arial" w:cs="Arial" w:eastAsia="Arial" w:hAnsi="Arial"/>
          <w:sz w:val="17"/>
          <w:szCs w:val="17"/>
          <w:color w:val="auto"/>
        </w:rPr>
        <w:t xml:space="preserve"> (cetuximab) is another antibody approved for use in metastatic colon cancer and squamous cell carcinoma of the head and neck. This antibody is marketed domestically by ImClone Systems Inc., a wholly-owned subsidiary of Lilly, and Bristol-Myers Squibb Company and elsewhere by Merck KGaA.</w:t>
      </w:r>
    </w:p>
    <w:p>
      <w:pPr>
        <w:spacing w:after="0" w:line="71" w:lineRule="exact"/>
        <w:rPr>
          <w:sz w:val="20"/>
          <w:szCs w:val="20"/>
          <w:color w:val="auto"/>
        </w:rPr>
      </w:pPr>
    </w:p>
    <w:p>
      <w:pPr>
        <w:ind w:left="700" w:right="80" w:firstLine="222"/>
        <w:spacing w:after="0" w:line="273" w:lineRule="auto"/>
        <w:rPr>
          <w:sz w:val="20"/>
          <w:szCs w:val="20"/>
          <w:color w:val="auto"/>
        </w:rPr>
      </w:pPr>
      <w:r>
        <w:rPr>
          <w:rFonts w:ascii="Arial" w:cs="Arial" w:eastAsia="Arial" w:hAnsi="Arial"/>
          <w:sz w:val="17"/>
          <w:szCs w:val="17"/>
          <w:color w:val="auto"/>
        </w:rPr>
        <w:t>The armamentarium of cancer treatments has been strengthened in recent years by several drugs that target specific molecular aberrations in tumor cells. One such drug is Gleevec</w:t>
      </w:r>
      <w:r>
        <w:rPr>
          <w:rFonts w:ascii="Arial" w:cs="Arial" w:eastAsia="Arial" w:hAnsi="Arial"/>
          <w:sz w:val="14"/>
          <w:szCs w:val="14"/>
          <w:color w:val="auto"/>
        </w:rPr>
        <w:t>®</w:t>
      </w:r>
      <w:r>
        <w:rPr>
          <w:rFonts w:ascii="Arial" w:cs="Arial" w:eastAsia="Arial" w:hAnsi="Arial"/>
          <w:sz w:val="17"/>
          <w:szCs w:val="17"/>
          <w:color w:val="auto"/>
        </w:rPr>
        <w:t>, developed and marketed by Novartis AG, which was initially approved for use in chronic myeloid leukemia. The drug has subsequently been approved for use in additional types of cancer. Velcade</w:t>
      </w:r>
      <w:r>
        <w:rPr>
          <w:rFonts w:ascii="Arial" w:cs="Arial" w:eastAsia="Arial" w:hAnsi="Arial"/>
          <w:sz w:val="14"/>
          <w:szCs w:val="14"/>
          <w:color w:val="auto"/>
        </w:rPr>
        <w:t>®</w:t>
      </w:r>
      <w:r>
        <w:rPr>
          <w:rFonts w:ascii="Arial" w:cs="Arial" w:eastAsia="Arial" w:hAnsi="Arial"/>
          <w:sz w:val="17"/>
          <w:szCs w:val="17"/>
          <w:color w:val="auto"/>
        </w:rPr>
        <w:t>, developed by Millenium Pharmaceuticals, Inc., a wholly owned subsidiary of Takeda Pharmaceutical Company Limited, and Ortho Biotech Inc., now Centocor Ortho Biotech Inc., acts by inhibiting protein degradation, thereby inducing apoptosis. It was initially approved for use in multiple myeloma; its label now includes an indication for mantle cell lymphoma.</w:t>
      </w:r>
    </w:p>
    <w:p>
      <w:pPr>
        <w:spacing w:after="0" w:line="70" w:lineRule="exact"/>
        <w:rPr>
          <w:sz w:val="20"/>
          <w:szCs w:val="20"/>
          <w:color w:val="auto"/>
        </w:rPr>
      </w:pPr>
    </w:p>
    <w:p>
      <w:pPr>
        <w:ind w:left="700" w:firstLine="225"/>
        <w:spacing w:after="0" w:line="259" w:lineRule="auto"/>
        <w:rPr>
          <w:sz w:val="20"/>
          <w:szCs w:val="20"/>
          <w:color w:val="auto"/>
        </w:rPr>
      </w:pPr>
      <w:r>
        <w:rPr>
          <w:rFonts w:ascii="Arial" w:cs="Arial" w:eastAsia="Arial" w:hAnsi="Arial"/>
          <w:sz w:val="18"/>
          <w:szCs w:val="18"/>
          <w:color w:val="auto"/>
        </w:rPr>
        <w:t>Our cancer products may face competition from the products described above as well as from other brands. In addition, our cancer immunotherapy products may face direct competition from one or more therapeutic cancer vaccines that may be approved in the coming years. Although there have been a number of notable failures recently among immunotherapy products in development, a few approaches continue to show potential:</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line="257" w:lineRule="auto"/>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Provenge</w:t>
      </w:r>
      <w:r>
        <w:rPr>
          <w:rFonts w:ascii="Arial" w:cs="Arial" w:eastAsia="Arial" w:hAnsi="Arial"/>
          <w:sz w:val="15"/>
          <w:szCs w:val="15"/>
          <w:color w:val="auto"/>
        </w:rPr>
        <w:t>®</w:t>
      </w:r>
      <w:r>
        <w:rPr>
          <w:rFonts w:ascii="Arial" w:cs="Arial" w:eastAsia="Arial" w:hAnsi="Arial"/>
          <w:sz w:val="18"/>
          <w:szCs w:val="18"/>
          <w:color w:val="auto"/>
        </w:rPr>
        <w:t>, developed by Dendreon Corporation, or Dendreon, is a vaccine composed of autologous APC that are loaded with an antigen (prostate acid phosphatase) from prostate tumor cells then re-injected into patients. In May 2007, despite a positive vote from an Advisory Committee, Dendreon received a “Complete Response” letter from the FDA with respect to its application for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the treatment of prostate cancer. Dendreon provided additional survival data in 2009 and is expecting a further decision from the FDA in May 2010.</w:t>
      </w:r>
    </w:p>
    <w:p>
      <w:pPr>
        <w:spacing w:after="0" w:line="93" w:lineRule="exact"/>
        <w:rPr>
          <w:rFonts w:ascii="Arial" w:cs="Arial" w:eastAsia="Arial" w:hAnsi="Arial"/>
          <w:sz w:val="18"/>
          <w:szCs w:val="18"/>
          <w:b w:val="1"/>
          <w:bCs w:val="1"/>
          <w:color w:val="auto"/>
        </w:rPr>
      </w:pPr>
    </w:p>
    <w:p>
      <w:pPr>
        <w:ind w:left="1080" w:hanging="198"/>
        <w:spacing w:after="0" w:line="257" w:lineRule="auto"/>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MAGE-A3 is a tumor-specific antigen that is expressed in a large variety of cancers, including melanoma, non-small cell lung cancer, head and neck cancer, bladder cancer, with no expression in normal cells. GlaxoSmithKline P1c is evaluating a cancer vaccine that combines MAGE-A3, delivered as a purified recombinant protein, with certain immunostimulating compounds that are intended to increase the anti-tumor immune response. This investigational product is being evaluated in Phase 3 clinical trials for the treatment of non-small cell lung cancer and melanoma.</w:t>
      </w:r>
    </w:p>
    <w:p>
      <w:pPr>
        <w:spacing w:after="0" w:line="93" w:lineRule="exact"/>
        <w:rPr>
          <w:rFonts w:ascii="Arial" w:cs="Arial" w:eastAsia="Arial" w:hAnsi="Arial"/>
          <w:sz w:val="18"/>
          <w:szCs w:val="18"/>
          <w:b w:val="1"/>
          <w:bCs w:val="1"/>
          <w:color w:val="auto"/>
        </w:rPr>
      </w:pPr>
    </w:p>
    <w:p>
      <w:pPr>
        <w:ind w:left="1080" w:right="160" w:hanging="198"/>
        <w:spacing w:after="0" w:line="264" w:lineRule="auto"/>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CDX-110 is an immunotherapy being developed by Celldex, Inc. in collaboration with Pfizer. CDX-110 targets a mutated form of epidermal growth factor receptor that is present in multiple cancer types and is currently being evaluated for the treatment of glioblastoma multiforme in a Phase 2/3 clinical trial.</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left="700" w:right="60" w:firstLine="222"/>
        <w:spacing w:after="0" w:line="269" w:lineRule="auto"/>
        <w:rPr>
          <w:sz w:val="20"/>
          <w:szCs w:val="20"/>
          <w:color w:val="auto"/>
        </w:rPr>
      </w:pPr>
      <w:r>
        <w:rPr>
          <w:rFonts w:ascii="Arial" w:cs="Arial" w:eastAsia="Arial" w:hAnsi="Arial"/>
          <w:sz w:val="17"/>
          <w:szCs w:val="17"/>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or FDCA, and other regulations, regulate research and development activities and the development, testing, manufacture, labeling, storage, shipping, approval, recordkeeping, advertising, promotion, sale and distribution of such products. In addition, if our products are marketed abroad, they also are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75" w:lineRule="exact"/>
        <w:rPr>
          <w:sz w:val="20"/>
          <w:szCs w:val="20"/>
          <w:color w:val="auto"/>
        </w:rPr>
      </w:pPr>
    </w:p>
    <w:p>
      <w:pPr>
        <w:ind w:left="700" w:right="300" w:firstLine="222"/>
        <w:spacing w:after="0" w:line="277" w:lineRule="auto"/>
        <w:rPr>
          <w:sz w:val="20"/>
          <w:szCs w:val="20"/>
          <w:color w:val="auto"/>
        </w:rPr>
      </w:pPr>
      <w:r>
        <w:rPr>
          <w:rFonts w:ascii="Arial" w:cs="Arial" w:eastAsia="Arial" w:hAnsi="Arial"/>
          <w:sz w:val="18"/>
          <w:szCs w:val="18"/>
          <w:color w:val="auto"/>
        </w:rPr>
        <w:t>The steps typically required before an unapproved new drug or biologic product for use in humans may be marketed in the United States include:</w:t>
      </w:r>
    </w:p>
    <w:p>
      <w:pPr>
        <w:spacing w:after="0" w:line="62" w:lineRule="exact"/>
        <w:rPr>
          <w:sz w:val="20"/>
          <w:szCs w:val="20"/>
          <w:color w:val="auto"/>
        </w:rPr>
      </w:pPr>
    </w:p>
    <w:p>
      <w:pPr>
        <w:ind w:left="1080" w:right="20" w:hanging="198"/>
        <w:spacing w:after="0" w:line="279" w:lineRule="auto"/>
        <w:tabs>
          <w:tab w:leader="none" w:pos="108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76" w:lineRule="exact"/>
        <w:rPr>
          <w:rFonts w:ascii="Arial" w:cs="Arial" w:eastAsia="Arial" w:hAnsi="Arial"/>
          <w:sz w:val="17"/>
          <w:szCs w:val="17"/>
          <w:b w:val="1"/>
          <w:bCs w:val="1"/>
          <w:color w:val="auto"/>
        </w:rPr>
      </w:pPr>
    </w:p>
    <w:p>
      <w:pPr>
        <w:ind w:left="1080" w:right="200" w:hanging="198"/>
        <w:spacing w:after="0" w:line="264" w:lineRule="auto"/>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86" w:lineRule="exact"/>
        <w:rPr>
          <w:rFonts w:ascii="Arial" w:cs="Arial" w:eastAsia="Arial" w:hAnsi="Arial"/>
          <w:sz w:val="18"/>
          <w:szCs w:val="18"/>
          <w:b w:val="1"/>
          <w:bCs w:val="1"/>
          <w:color w:val="auto"/>
        </w:rPr>
      </w:pPr>
    </w:p>
    <w:p>
      <w:pPr>
        <w:ind w:left="1080" w:right="340" w:hanging="198"/>
        <w:spacing w:after="0" w:line="312" w:lineRule="auto"/>
        <w:tabs>
          <w:tab w:leader="none" w:pos="108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Approval of clinical protocols by independent institutional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2" w:lineRule="exact"/>
        <w:rPr>
          <w:rFonts w:ascii="Arial" w:cs="Arial" w:eastAsia="Arial" w:hAnsi="Arial"/>
          <w:sz w:val="16"/>
          <w:szCs w:val="16"/>
          <w:b w:val="1"/>
          <w:bCs w:val="1"/>
          <w:color w:val="auto"/>
        </w:rPr>
      </w:pPr>
    </w:p>
    <w:p>
      <w:pPr>
        <w:ind w:left="1080" w:right="40" w:hanging="198"/>
        <w:spacing w:after="0" w:line="257" w:lineRule="auto"/>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80" w:right="720"/>
        <w:spacing w:after="0" w:line="277" w:lineRule="auto"/>
        <w:rPr>
          <w:sz w:val="20"/>
          <w:szCs w:val="20"/>
          <w:color w:val="auto"/>
        </w:rPr>
      </w:pPr>
      <w:r>
        <w:rPr>
          <w:rFonts w:ascii="Arial" w:cs="Arial" w:eastAsia="Arial" w:hAnsi="Arial"/>
          <w:sz w:val="18"/>
          <w:szCs w:val="18"/>
          <w:color w:val="auto"/>
        </w:rPr>
        <w:t>of the IND. Human clinical trials are typically conducted in the following four sequential phases that may overlap or be combined:</w:t>
      </w:r>
    </w:p>
    <w:p>
      <w:pPr>
        <w:spacing w:after="0" w:line="62" w:lineRule="exact"/>
        <w:rPr>
          <w:sz w:val="20"/>
          <w:szCs w:val="20"/>
          <w:color w:val="auto"/>
        </w:rPr>
      </w:pPr>
    </w:p>
    <w:p>
      <w:pPr>
        <w:ind w:left="1480" w:right="20" w:hanging="193"/>
        <w:spacing w:after="0" w:line="271" w:lineRule="auto"/>
        <w:tabs>
          <w:tab w:leader="none" w:pos="1480" w:val="left"/>
        </w:tabs>
        <w:numPr>
          <w:ilvl w:val="1"/>
          <w:numId w:val="16"/>
        </w:numPr>
        <w:rPr>
          <w:rFonts w:ascii="Arial" w:cs="Arial" w:eastAsia="Arial" w:hAnsi="Arial"/>
          <w:sz w:val="17"/>
          <w:szCs w:val="17"/>
          <w:b w:val="1"/>
          <w:bCs w:val="1"/>
          <w:color w:val="auto"/>
        </w:rPr>
      </w:pPr>
      <w:r>
        <w:rPr>
          <w:rFonts w:ascii="Arial" w:cs="Arial" w:eastAsia="Arial" w:hAnsi="Arial"/>
          <w:sz w:val="17"/>
          <w:szCs w:val="17"/>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84" w:lineRule="exact"/>
        <w:rPr>
          <w:rFonts w:ascii="Arial" w:cs="Arial" w:eastAsia="Arial" w:hAnsi="Arial"/>
          <w:sz w:val="17"/>
          <w:szCs w:val="17"/>
          <w:b w:val="1"/>
          <w:bCs w:val="1"/>
          <w:color w:val="auto"/>
        </w:rPr>
      </w:pPr>
    </w:p>
    <w:p>
      <w:pPr>
        <w:jc w:val="both"/>
        <w:ind w:left="1480" w:right="120" w:hanging="193"/>
        <w:spacing w:after="0" w:line="342" w:lineRule="auto"/>
        <w:tabs>
          <w:tab w:leader="none" w:pos="1480"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29" w:lineRule="exact"/>
        <w:rPr>
          <w:rFonts w:ascii="Arial" w:cs="Arial" w:eastAsia="Arial" w:hAnsi="Arial"/>
          <w:sz w:val="16"/>
          <w:szCs w:val="16"/>
          <w:b w:val="1"/>
          <w:bCs w:val="1"/>
          <w:color w:val="auto"/>
        </w:rPr>
      </w:pPr>
    </w:p>
    <w:p>
      <w:pPr>
        <w:ind w:left="1480" w:right="140" w:hanging="193"/>
        <w:spacing w:after="0" w:line="302" w:lineRule="auto"/>
        <w:tabs>
          <w:tab w:leader="none" w:pos="1480"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59" w:lineRule="exact"/>
        <w:rPr>
          <w:rFonts w:ascii="Arial" w:cs="Arial" w:eastAsia="Arial" w:hAnsi="Arial"/>
          <w:sz w:val="16"/>
          <w:szCs w:val="16"/>
          <w:b w:val="1"/>
          <w:bCs w:val="1"/>
          <w:color w:val="auto"/>
        </w:rPr>
      </w:pPr>
    </w:p>
    <w:p>
      <w:pPr>
        <w:ind w:left="1480" w:right="200" w:hanging="193"/>
        <w:spacing w:after="0" w:line="259" w:lineRule="auto"/>
        <w:tabs>
          <w:tab w:leader="none" w:pos="148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78" w:lineRule="exact"/>
        <w:rPr>
          <w:rFonts w:ascii="Arial" w:cs="Arial" w:eastAsia="Arial" w:hAnsi="Arial"/>
          <w:sz w:val="18"/>
          <w:szCs w:val="18"/>
          <w:b w:val="1"/>
          <w:bCs w:val="1"/>
          <w:color w:val="auto"/>
        </w:rPr>
      </w:pPr>
    </w:p>
    <w:p>
      <w:pPr>
        <w:ind w:left="1080" w:right="40" w:hanging="198"/>
        <w:spacing w:after="0" w:line="255" w:lineRule="auto"/>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Concurrent with clinical trials and preclinical studies, companies also must develop information about the chemistry and physical characteristics of the drug and finalize a process for manufacturing the product in accordance with drug cGMP requirements.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85" w:lineRule="exact"/>
        <w:rPr>
          <w:rFonts w:ascii="Arial" w:cs="Arial" w:eastAsia="Arial" w:hAnsi="Arial"/>
          <w:sz w:val="18"/>
          <w:szCs w:val="18"/>
          <w:b w:val="1"/>
          <w:bCs w:val="1"/>
          <w:color w:val="auto"/>
        </w:rPr>
      </w:pPr>
    </w:p>
    <w:p>
      <w:pPr>
        <w:ind w:left="1080" w:hanging="198"/>
        <w:spacing w:after="0" w:line="255" w:lineRule="auto"/>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Submission to the FDA of an NDA, or Biologics License Application, or BLA, based on the clinical trials. The results of product development, preclinical studies, and clinical trials are submitted to the FDA in the form of an NDA or BLA for approval of the marketing and commercial shipment of the product. Under the Pediatric Research Equity Act of 2003,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85" w:lineRule="exact"/>
        <w:rPr>
          <w:sz w:val="20"/>
          <w:szCs w:val="20"/>
          <w:color w:val="auto"/>
        </w:rPr>
      </w:pPr>
    </w:p>
    <w:p>
      <w:pPr>
        <w:ind w:left="700" w:right="40" w:firstLine="225"/>
        <w:spacing w:after="0" w:line="269" w:lineRule="auto"/>
        <w:rPr>
          <w:sz w:val="20"/>
          <w:szCs w:val="20"/>
          <w:color w:val="auto"/>
        </w:rPr>
      </w:pPr>
      <w:r>
        <w:rPr>
          <w:rFonts w:ascii="Arial" w:cs="Arial" w:eastAsia="Arial" w:hAnsi="Arial"/>
          <w:sz w:val="17"/>
          <w:szCs w:val="17"/>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w:t>
      </w:r>
      <w:r>
        <w:rPr>
          <w:rFonts w:ascii="Arial" w:cs="Arial" w:eastAsia="Arial" w:hAnsi="Arial"/>
          <w:sz w:val="17"/>
          <w:szCs w:val="17"/>
          <w:i w:val="1"/>
          <w:iCs w:val="1"/>
          <w:color w:val="auto"/>
        </w:rPr>
        <w:t>e.g.</w:t>
      </w:r>
      <w:r>
        <w:rPr>
          <w:rFonts w:ascii="Arial" w:cs="Arial" w:eastAsia="Arial" w:hAnsi="Arial"/>
          <w:sz w:val="17"/>
          <w:szCs w:val="17"/>
          <w:color w:val="auto"/>
        </w:rPr>
        <w:t>,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The determination whether a product is a combination product or two separate products is made by the FDA on a case-by-case basis. The FDA considers AFREZZA to be a drug-device combination product, so the review of our NDA for AFREZZA involves reviews within the Division of Metabolism and Endocrinology Products and the Division of Pulmonary and Allergy Products, both within the Center for Drug Evaluation and Research, as well as review within the Center for Devices and Radiological Health, the Center within the FDA that reviews Medical Devices. The Division of Metabolic and Endocrine Products is the lead group and obtains consulting reviews from the other two FDA groups.</w:t>
      </w:r>
    </w:p>
    <w:p>
      <w:pPr>
        <w:spacing w:after="0" w:line="1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222"/>
        <w:spacing w:after="0" w:line="285" w:lineRule="auto"/>
        <w:rPr>
          <w:sz w:val="20"/>
          <w:szCs w:val="20"/>
          <w:color w:val="auto"/>
        </w:rPr>
      </w:pPr>
      <w:r>
        <w:rPr>
          <w:rFonts w:ascii="Arial" w:cs="Arial" w:eastAsia="Arial" w:hAnsi="Arial"/>
          <w:sz w:val="16"/>
          <w:szCs w:val="16"/>
          <w:color w:val="auto"/>
        </w:rPr>
        <w:t>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a drug-device combination, we currently expect that our inhaler will be approved, if at all, as part of the NDA for AFREZZA.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However, numerous device regulatory requirements still apply to the device part of the drug-device combination. These include:</w:t>
      </w:r>
    </w:p>
    <w:p>
      <w:pPr>
        <w:spacing w:after="0" w:line="114" w:lineRule="exact"/>
        <w:rPr>
          <w:sz w:val="20"/>
          <w:szCs w:val="20"/>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product labeling regulations;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general prohibition against promoting products for unapproved or “off-label” uses;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corrections and removals (</w:t>
      </w:r>
      <w:r>
        <w:rPr>
          <w:rFonts w:ascii="Arial" w:cs="Arial" w:eastAsia="Arial" w:hAnsi="Arial"/>
          <w:sz w:val="18"/>
          <w:szCs w:val="18"/>
          <w:i w:val="1"/>
          <w:iCs w:val="1"/>
          <w:color w:val="auto"/>
        </w:rPr>
        <w:t>e.g</w:t>
      </w:r>
      <w:r>
        <w:rPr>
          <w:rFonts w:ascii="Arial" w:cs="Arial" w:eastAsia="Arial" w:hAnsi="Arial"/>
          <w:sz w:val="18"/>
          <w:szCs w:val="18"/>
          <w:color w:val="auto"/>
        </w:rPr>
        <w:t>., recalls);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establishment registration and device listing;</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130" w:lineRule="exact"/>
        <w:rPr>
          <w:rFonts w:ascii="Arial" w:cs="Arial" w:eastAsia="Arial" w:hAnsi="Arial"/>
          <w:sz w:val="18"/>
          <w:szCs w:val="18"/>
          <w:b w:val="1"/>
          <w:bCs w:val="1"/>
          <w:color w:val="auto"/>
        </w:rPr>
      </w:pPr>
    </w:p>
    <w:p>
      <w:pPr>
        <w:ind w:left="1080" w:right="20" w:hanging="198"/>
        <w:spacing w:after="0" w:line="264"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73" w:lineRule="exact"/>
        <w:rPr>
          <w:sz w:val="20"/>
          <w:szCs w:val="20"/>
          <w:color w:val="auto"/>
        </w:rPr>
      </w:pPr>
    </w:p>
    <w:p>
      <w:pPr>
        <w:ind w:left="700" w:right="800" w:firstLine="225"/>
        <w:spacing w:after="0" w:line="264" w:lineRule="auto"/>
        <w:rPr>
          <w:sz w:val="20"/>
          <w:szCs w:val="20"/>
          <w:color w:val="auto"/>
        </w:rPr>
      </w:pPr>
      <w:r>
        <w:rPr>
          <w:rFonts w:ascii="Arial" w:cs="Arial" w:eastAsia="Arial" w:hAnsi="Arial"/>
          <w:sz w:val="18"/>
          <w:szCs w:val="18"/>
          <w:color w:val="auto"/>
        </w:rPr>
        <w:t>Further, the company we contract with to manufacture our inhaler and cartridges will be subject to the QSR, which requires manufacturers to follow elaborate design, testing, control, documentation and other quality assurance procedures during the manufacturing process of medical devices, among other requirements.</w:t>
      </w:r>
    </w:p>
    <w:p>
      <w:pPr>
        <w:spacing w:after="0" w:line="73" w:lineRule="exact"/>
        <w:rPr>
          <w:sz w:val="20"/>
          <w:szCs w:val="20"/>
          <w:color w:val="auto"/>
        </w:rPr>
      </w:pPr>
    </w:p>
    <w:p>
      <w:pPr>
        <w:ind w:left="700" w:right="120" w:firstLine="225"/>
        <w:spacing w:after="0" w:line="287" w:lineRule="auto"/>
        <w:rPr>
          <w:sz w:val="20"/>
          <w:szCs w:val="20"/>
          <w:color w:val="auto"/>
        </w:rPr>
      </w:pPr>
      <w:r>
        <w:rPr>
          <w:rFonts w:ascii="Arial" w:cs="Arial" w:eastAsia="Arial" w:hAnsi="Arial"/>
          <w:sz w:val="16"/>
          <w:szCs w:val="16"/>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For example, healthcare reform legislation currently being considered in Congress could provide the FDA and other federal agencies with greater authority to consider the comparative effectiveness of products and to control costs of public spending on prescription drugs and biologics. We cannot predict the likelihood, nature or extent of adverse governmental regulation that might arise from future legislative or administrative action, either in the United States or abroad.</w:t>
      </w:r>
    </w:p>
    <w:p>
      <w:pPr>
        <w:spacing w:after="0" w:line="65" w:lineRule="exact"/>
        <w:rPr>
          <w:sz w:val="20"/>
          <w:szCs w:val="20"/>
          <w:color w:val="auto"/>
        </w:rPr>
      </w:pPr>
    </w:p>
    <w:p>
      <w:pPr>
        <w:jc w:val="both"/>
        <w:ind w:left="700" w:right="260" w:firstLine="225"/>
        <w:spacing w:after="0" w:line="259" w:lineRule="auto"/>
        <w:rPr>
          <w:sz w:val="20"/>
          <w:szCs w:val="20"/>
          <w:color w:val="auto"/>
        </w:rPr>
      </w:pPr>
      <w:r>
        <w:rPr>
          <w:rFonts w:ascii="Arial" w:cs="Arial" w:eastAsia="Arial" w:hAnsi="Arial"/>
          <w:sz w:val="18"/>
          <w:szCs w:val="18"/>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 regulations can</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60"/>
        <w:spacing w:after="0" w:line="264" w:lineRule="auto"/>
        <w:rPr>
          <w:sz w:val="20"/>
          <w:szCs w:val="20"/>
          <w:color w:val="auto"/>
        </w:rPr>
      </w:pPr>
      <w:r>
        <w:rPr>
          <w:rFonts w:ascii="Arial" w:cs="Arial" w:eastAsia="Arial" w:hAnsi="Arial"/>
          <w:sz w:val="18"/>
          <w:szCs w:val="18"/>
          <w:color w:val="auto"/>
        </w:rPr>
        <w:t>result in penalties, including the issuance of a warning letter directing us to correct deviations from FDA standards, including corrective advertising to healthcare providers, a requirement that future advertising and promotional materials be pre-cleared by the FDA, and state and federal civil and criminal investigations and prosecutions.</w:t>
      </w:r>
    </w:p>
    <w:p>
      <w:pPr>
        <w:spacing w:after="0" w:line="73"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85" w:lineRule="exact"/>
        <w:rPr>
          <w:sz w:val="20"/>
          <w:szCs w:val="20"/>
          <w:color w:val="auto"/>
        </w:rPr>
      </w:pPr>
    </w:p>
    <w:p>
      <w:pPr>
        <w:ind w:left="700" w:right="40" w:firstLine="225"/>
        <w:spacing w:after="0" w:line="290" w:lineRule="auto"/>
        <w:rPr>
          <w:sz w:val="20"/>
          <w:szCs w:val="20"/>
          <w:color w:val="auto"/>
        </w:rPr>
      </w:pPr>
      <w:r>
        <w:rPr>
          <w:rFonts w:ascii="Arial" w:cs="Arial" w:eastAsia="Arial" w:hAnsi="Arial"/>
          <w:sz w:val="16"/>
          <w:szCs w:val="16"/>
          <w:color w:val="auto"/>
        </w:rPr>
        <w:t>Product development and approval within this regulatory framework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58" w:lineRule="exact"/>
        <w:rPr>
          <w:sz w:val="20"/>
          <w:szCs w:val="20"/>
          <w:color w:val="auto"/>
        </w:rPr>
      </w:pPr>
    </w:p>
    <w:p>
      <w:pPr>
        <w:ind w:left="700" w:right="100" w:firstLine="225"/>
        <w:spacing w:after="0" w:line="271" w:lineRule="auto"/>
        <w:rPr>
          <w:sz w:val="20"/>
          <w:szCs w:val="20"/>
          <w:color w:val="auto"/>
        </w:rPr>
      </w:pPr>
      <w:r>
        <w:rPr>
          <w:rFonts w:ascii="Arial" w:cs="Arial" w:eastAsia="Arial" w:hAnsi="Arial"/>
          <w:sz w:val="17"/>
          <w:szCs w:val="17"/>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However, the chosen regulatory strategy may not secure regulatory approvals or approvals of the chosen product indications. In addition, these approvals, if obtained, may take longer than anticipated.</w:t>
      </w:r>
    </w:p>
    <w:p>
      <w:pPr>
        <w:spacing w:after="0" w:line="71" w:lineRule="exact"/>
        <w:rPr>
          <w:sz w:val="20"/>
          <w:szCs w:val="20"/>
          <w:color w:val="auto"/>
        </w:rPr>
      </w:pPr>
    </w:p>
    <w:p>
      <w:pPr>
        <w:ind w:left="700" w:right="140" w:firstLine="225"/>
        <w:spacing w:after="0" w:line="302" w:lineRule="auto"/>
        <w:rPr>
          <w:sz w:val="20"/>
          <w:szCs w:val="20"/>
          <w:color w:val="auto"/>
        </w:rPr>
      </w:pPr>
      <w:r>
        <w:rPr>
          <w:rFonts w:ascii="Arial" w:cs="Arial" w:eastAsia="Arial" w:hAnsi="Arial"/>
          <w:sz w:val="16"/>
          <w:szCs w:val="16"/>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 We may incur significant costs to comply with those laws and regulations now or in the future.</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Patent Restoration and Marketing Exclusivity</w:t>
      </w:r>
    </w:p>
    <w:p>
      <w:pPr>
        <w:spacing w:after="0" w:line="121" w:lineRule="exact"/>
        <w:rPr>
          <w:sz w:val="20"/>
          <w:szCs w:val="20"/>
          <w:color w:val="auto"/>
        </w:rPr>
      </w:pPr>
    </w:p>
    <w:p>
      <w:pPr>
        <w:ind w:left="700" w:right="40" w:firstLine="222"/>
        <w:spacing w:after="0" w:line="271" w:lineRule="auto"/>
        <w:rPr>
          <w:sz w:val="20"/>
          <w:szCs w:val="20"/>
          <w:color w:val="auto"/>
        </w:rPr>
      </w:pPr>
      <w:r>
        <w:rPr>
          <w:rFonts w:ascii="Arial" w:cs="Arial" w:eastAsia="Arial" w:hAnsi="Arial"/>
          <w:sz w:val="17"/>
          <w:szCs w:val="17"/>
          <w:color w:val="auto"/>
        </w:rPr>
        <w:t>The Drug Price Competition and Patent Term Restoration Act of 1984, known as the Hatch-Waxman Amendments to the Federal Food, Drug, and Cosmetic Act, permits the FDA to approve abbreviated new drug applications, or ANDAs, for generic versions of innovator drugs and also provides certain patent restoration and market exclusivity protections to innovator drug manufacturers. The ANDA process permits competitor companies to obtain marketing approval for a new drug with the same active ingredient for the same uses, dosage form and strength as an innovator drug but does not require the conduct and submission of preclinical or clinical studies demonstrating safety and efficacy for that product. Instead of providing completely new safety and efficacy data, the ANDA applicant only needs to submit manufacturing information and clinical data demonstrating that the copy is bioequivalent to the innovator’s product in order to gain marketing approval from the FDA.</w:t>
      </w:r>
    </w:p>
    <w:p>
      <w:pPr>
        <w:spacing w:after="0" w:line="71" w:lineRule="exact"/>
        <w:rPr>
          <w:sz w:val="20"/>
          <w:szCs w:val="20"/>
          <w:color w:val="auto"/>
        </w:rPr>
      </w:pPr>
    </w:p>
    <w:p>
      <w:pPr>
        <w:ind w:left="700" w:right="200" w:firstLine="215"/>
        <w:spacing w:after="0" w:line="302" w:lineRule="auto"/>
        <w:rPr>
          <w:sz w:val="20"/>
          <w:szCs w:val="20"/>
          <w:color w:val="auto"/>
        </w:rPr>
      </w:pPr>
      <w:r>
        <w:rPr>
          <w:rFonts w:ascii="Arial" w:cs="Arial" w:eastAsia="Arial" w:hAnsi="Arial"/>
          <w:sz w:val="16"/>
          <w:szCs w:val="16"/>
          <w:color w:val="auto"/>
        </w:rPr>
        <w:t>Another type of marketing application allowed by the Hatch-Waxman Amendments, a Section 505(b)(2) application, may be permitted where a company does not own or have a right to reference all the data required for approval. Section 505(b)(2) applications are often submitted for drug products that contain the same active ingredient as those in first approved drug products and where additional studies are required for approval, such as for changes in routes of administration or dosage forms.</w:t>
      </w:r>
    </w:p>
    <w:p>
      <w:pPr>
        <w:spacing w:after="0" w:line="1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225"/>
        <w:spacing w:after="0" w:line="277" w:lineRule="auto"/>
        <w:rPr>
          <w:sz w:val="20"/>
          <w:szCs w:val="20"/>
          <w:color w:val="auto"/>
        </w:rPr>
      </w:pPr>
      <w:r>
        <w:rPr>
          <w:rFonts w:ascii="Arial" w:cs="Arial" w:eastAsia="Arial" w:hAnsi="Arial"/>
          <w:sz w:val="18"/>
          <w:szCs w:val="18"/>
          <w:color w:val="auto"/>
        </w:rPr>
        <w:t>Once an NDA is approved, the product covered thereby becomes a “listed drug” which can, in turn, be cited by potential competitors in support of approval of an ANDA or a 505(b)(2) application.</w:t>
      </w:r>
    </w:p>
    <w:p>
      <w:pPr>
        <w:spacing w:after="0" w:line="62" w:lineRule="exact"/>
        <w:rPr>
          <w:sz w:val="20"/>
          <w:szCs w:val="20"/>
          <w:color w:val="auto"/>
        </w:rPr>
      </w:pPr>
    </w:p>
    <w:p>
      <w:pPr>
        <w:ind w:left="700" w:right="60" w:firstLine="222"/>
        <w:spacing w:after="0" w:line="279" w:lineRule="auto"/>
        <w:rPr>
          <w:sz w:val="20"/>
          <w:szCs w:val="20"/>
          <w:color w:val="auto"/>
        </w:rPr>
      </w:pPr>
      <w:r>
        <w:rPr>
          <w:rFonts w:ascii="Arial" w:cs="Arial" w:eastAsia="Arial" w:hAnsi="Arial"/>
          <w:sz w:val="17"/>
          <w:szCs w:val="17"/>
          <w:color w:val="auto"/>
        </w:rPr>
        <w:t>The Hatch-Waxman Amendments provide for a period of three years exclusivity following approval of a listed drug that contains previously approved active ingredients but is approved in a new dosage, dosage form, route of administration or combination, or for a new use, the approval of which was required to be supported by new clinical trials conducted by or for the sponsor. During this period of exclusivity, the FDA cannot grant effective approval of an ANDA or a 505(b)(2) application based on that listed drug.</w:t>
      </w:r>
    </w:p>
    <w:p>
      <w:pPr>
        <w:spacing w:after="0" w:line="63" w:lineRule="exact"/>
        <w:rPr>
          <w:sz w:val="20"/>
          <w:szCs w:val="20"/>
          <w:color w:val="auto"/>
        </w:rPr>
      </w:pPr>
    </w:p>
    <w:p>
      <w:pPr>
        <w:ind w:left="700" w:right="240" w:firstLine="222"/>
        <w:spacing w:after="0" w:line="259" w:lineRule="auto"/>
        <w:rPr>
          <w:sz w:val="20"/>
          <w:szCs w:val="20"/>
          <w:color w:val="auto"/>
        </w:rPr>
      </w:pPr>
      <w:r>
        <w:rPr>
          <w:rFonts w:ascii="Arial" w:cs="Arial" w:eastAsia="Arial" w:hAnsi="Arial"/>
          <w:sz w:val="18"/>
          <w:szCs w:val="18"/>
          <w:color w:val="auto"/>
        </w:rPr>
        <w:t>The Hatch-Waxman Amendments also provide a period of five years exclusivity following approval of a drug containing no previously approved active ingredients. During this period of exclusivity, ANDAs or 505(b)(2) applications based upon those drugs cannot be submitted unless the submission accompanies a challenge to a listed patent, in which case the submission may be made four years following the original product approval.</w:t>
      </w:r>
    </w:p>
    <w:p>
      <w:pPr>
        <w:spacing w:after="0" w:line="79" w:lineRule="exact"/>
        <w:rPr>
          <w:sz w:val="20"/>
          <w:szCs w:val="20"/>
          <w:color w:val="auto"/>
        </w:rPr>
      </w:pPr>
    </w:p>
    <w:p>
      <w:pPr>
        <w:ind w:left="700" w:right="40" w:firstLine="215"/>
        <w:spacing w:after="0" w:line="287" w:lineRule="auto"/>
        <w:rPr>
          <w:sz w:val="20"/>
          <w:szCs w:val="20"/>
          <w:color w:val="auto"/>
        </w:rPr>
      </w:pPr>
      <w:r>
        <w:rPr>
          <w:rFonts w:ascii="Arial" w:cs="Arial" w:eastAsia="Arial" w:hAnsi="Arial"/>
          <w:sz w:val="16"/>
          <w:szCs w:val="16"/>
          <w:color w:val="auto"/>
        </w:rPr>
        <w:t>Additionally, in the event that the sponsor of the listed drug has informed the FDA of patents covering its listed drug and FDA lists those patents in the Orange Book, applicants submitting an ANDA or a 505(b)(2) application referencing that drug are required to certify whether they intend to market their generic products prior to expiration of those patents. If an ANDA applicant certifies that it believes one or more listed patents is invalid or not infringed, it is required to provide notice of its filing to the NDA sponsor and the patent holder. If either party then initiates a suit for patent infringement against the ANDA sponsor within 45 days of receipt of the notice, the FDA cannot grant effective approval of the ANDA until either 30 months has passed or there has been a court decision holding that the patent in question is invalid or not infringed. If the ANDA applicant certifies that it does not intend to market its generic product before some or all listed patents on the listed drug expire, then the FDA cannot grant effective approval of the ANDA until those patents expire. The first ANDA applicant submitting substantially complete applications certifying that listed patents for a particular product are invalid or not infringed may qualify for a period of 180 days after a court decision of invalidity or non-infringement or after it begins marketing its product, whichever occurs first. During this 180 day period, subsequently submitted ANDAs cannot be granted effective approval.</w:t>
      </w:r>
    </w:p>
    <w:p>
      <w:pPr>
        <w:spacing w:after="0" w:line="65" w:lineRule="exact"/>
        <w:rPr>
          <w:sz w:val="20"/>
          <w:szCs w:val="20"/>
          <w:color w:val="auto"/>
        </w:rPr>
      </w:pPr>
    </w:p>
    <w:p>
      <w:pPr>
        <w:ind w:left="700" w:right="180" w:firstLine="225"/>
        <w:spacing w:after="0" w:line="291" w:lineRule="auto"/>
        <w:rPr>
          <w:sz w:val="20"/>
          <w:szCs w:val="20"/>
          <w:color w:val="auto"/>
        </w:rPr>
      </w:pPr>
      <w:r>
        <w:rPr>
          <w:rFonts w:ascii="Arial" w:cs="Arial" w:eastAsia="Arial" w:hAnsi="Arial"/>
          <w:sz w:val="16"/>
          <w:szCs w:val="16"/>
          <w:color w:val="auto"/>
        </w:rPr>
        <w:t>Pediatric exclusivity, if granted, provides an additional six months of market exclusivity in the United States for new or currently marketed drugs if certain pediatric studies requested by the FDA are completed by the applicant and the applicant has other existing patent or exclusivity protection for the drug. To obtain this additional six months of exclusivity, it would be necessary for us to first receive a written request from the FDA to conduct pediatric studies and then to conduct the requested studies according to a previously agreed timeframe and submit the report of the study. There can be no assurances that we would receive a written request from the FDA and if so that we would complete the studies in accordance with the requirements for this six-month exclusivity. The current pediatric exclusivity provision is scheduled to end on October 1, 2012, and there can be no assurances that it will be reauthorized.</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700" w:firstLine="215"/>
        <w:spacing w:after="0" w:line="297" w:lineRule="auto"/>
        <w:rPr>
          <w:sz w:val="20"/>
          <w:szCs w:val="20"/>
          <w:color w:val="auto"/>
        </w:rPr>
      </w:pPr>
      <w:r>
        <w:rPr>
          <w:rFonts w:ascii="Arial" w:cs="Arial" w:eastAsia="Arial" w:hAnsi="Arial"/>
          <w:sz w:val="16"/>
          <w:szCs w:val="16"/>
          <w:color w:val="auto"/>
        </w:rPr>
        <w:t>As of December 31, 2009, we had 443 full-time employees. 49 of these employees were engaged in research and development, 157 in manufacturing, 134 in clinical, regulatory affairs and quality assurance and 103 in administration, finance, management, information systems, marketing, corporate development and human resources. 58 of these employees have a Ph.D. degree and/or M.D. degree and are engaged in activities relating to research and development, manufacturing, quality assurance and business development. None of our employees is subject to a collective bargaining agreement. We believe relations with our employees are good.</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SCIENTIFIC ADVISORS</w:t>
      </w:r>
    </w:p>
    <w:p>
      <w:pPr>
        <w:spacing w:after="0" w:line="121" w:lineRule="exact"/>
        <w:rPr>
          <w:sz w:val="20"/>
          <w:szCs w:val="20"/>
          <w:color w:val="auto"/>
        </w:rPr>
      </w:pPr>
    </w:p>
    <w:p>
      <w:pPr>
        <w:jc w:val="both"/>
        <w:ind w:left="700" w:right="1080" w:firstLine="222"/>
        <w:spacing w:after="0" w:line="264" w:lineRule="auto"/>
        <w:rPr>
          <w:sz w:val="20"/>
          <w:szCs w:val="20"/>
          <w:color w:val="auto"/>
        </w:rPr>
      </w:pPr>
      <w:r>
        <w:rPr>
          <w:rFonts w:ascii="Arial" w:cs="Arial" w:eastAsia="Arial" w:hAnsi="Arial"/>
          <w:sz w:val="18"/>
          <w:szCs w:val="18"/>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73" w:lineRule="exact"/>
        <w:rPr>
          <w:sz w:val="20"/>
          <w:szCs w:val="20"/>
          <w:color w:val="auto"/>
        </w:rPr>
      </w:pPr>
    </w:p>
    <w:p>
      <w:pPr>
        <w:ind w:left="1280" w:hanging="398"/>
        <w:spacing w:after="0"/>
        <w:tabs>
          <w:tab w:leader="none" w:pos="12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research and development programs;</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design and implementation of our clinical programs;</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patent and publication strategies;</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market opportunities from a clinical perspective;</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new technologies relevant to our research and development programs; and</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specific scientific and technical issues relevant to our business.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diabetes program is supported by the following scientific advisors (and their primary affiliations):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Primary Affiliation</w:t>
            </w:r>
          </w:p>
        </w:tc>
        <w:tc>
          <w:tcPr>
            <w:tcW w:w="2680" w:type="dxa"/>
            <w:vAlign w:val="bottom"/>
          </w:tcPr>
          <w:p>
            <w:pPr>
              <w:spacing w:after="0"/>
              <w:rPr>
                <w:sz w:val="14"/>
                <w:szCs w:val="14"/>
                <w:color w:val="auto"/>
              </w:rPr>
            </w:pPr>
          </w:p>
        </w:tc>
      </w:tr>
      <w:tr>
        <w:trPr>
          <w:trHeight w:val="195"/>
        </w:trPr>
        <w:tc>
          <w:tcPr>
            <w:tcW w:w="700" w:type="dxa"/>
            <w:vAlign w:val="bottom"/>
          </w:tcPr>
          <w:p>
            <w:pPr>
              <w:spacing w:after="0"/>
              <w:rPr>
                <w:sz w:val="16"/>
                <w:szCs w:val="16"/>
                <w:color w:val="auto"/>
              </w:rPr>
            </w:pPr>
          </w:p>
        </w:tc>
        <w:tc>
          <w:tcPr>
            <w:tcW w:w="3640" w:type="dxa"/>
            <w:vAlign w:val="bottom"/>
            <w:gridSpan w:val="2"/>
          </w:tcPr>
          <w:p>
            <w:pPr>
              <w:spacing w:after="0" w:line="195" w:lineRule="exact"/>
              <w:rPr>
                <w:sz w:val="20"/>
                <w:szCs w:val="20"/>
                <w:color w:val="auto"/>
              </w:rPr>
            </w:pPr>
            <w:r>
              <w:rPr>
                <w:rFonts w:ascii="Arial" w:cs="Arial" w:eastAsia="Arial" w:hAnsi="Arial"/>
                <w:sz w:val="18"/>
                <w:szCs w:val="18"/>
                <w:color w:val="auto"/>
              </w:rPr>
              <w:t>Stephanie Amiel, MD, FRCP</w:t>
            </w:r>
          </w:p>
        </w:tc>
        <w:tc>
          <w:tcPr>
            <w:tcW w:w="4400" w:type="dxa"/>
            <w:vAlign w:val="bottom"/>
            <w:gridSpan w:val="2"/>
          </w:tcPr>
          <w:p>
            <w:pPr>
              <w:ind w:left="1320"/>
              <w:spacing w:after="0" w:line="195" w:lineRule="exact"/>
              <w:rPr>
                <w:sz w:val="20"/>
                <w:szCs w:val="20"/>
                <w:color w:val="auto"/>
              </w:rPr>
            </w:pPr>
            <w:r>
              <w:rPr>
                <w:rFonts w:ascii="Arial" w:cs="Arial" w:eastAsia="Arial" w:hAnsi="Arial"/>
                <w:sz w:val="18"/>
                <w:szCs w:val="18"/>
                <w:color w:val="auto"/>
                <w:w w:val="90"/>
              </w:rPr>
              <w:t>King’s College London School of Medicine</w:t>
            </w:r>
          </w:p>
        </w:tc>
        <w:tc>
          <w:tcPr>
            <w:tcW w:w="2680" w:type="dxa"/>
            <w:vAlign w:val="bottom"/>
          </w:tcPr>
          <w:p>
            <w:pPr>
              <w:spacing w:after="0"/>
              <w:rPr>
                <w:sz w:val="16"/>
                <w:szCs w:val="16"/>
                <w:color w:val="auto"/>
              </w:rPr>
            </w:pP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Richard Bergenstal,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International Diabetes Center, Park Nicollet Institute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Geremia Bolli</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Perugia</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Alan D. Cherrington, PhD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Vanderbilt University Medical Center</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David D’Alessio,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Cincinnati</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Steven Edelman,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Alexander Fleming,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Kinexum Box LLC</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Brian Frier, MD, FECP, BS</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Edinburgh Royal Infirmary</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Irl B. Hirsch,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Washington Medical Center</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Lois Jovanovic,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Sansum Medical Research Institute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Harold E Lebovitz, MD, FACE</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State University of New York, Brooklyn</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Daniel Lorber,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Diabetes Care &amp; Information Center of New York</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Sten Madsbad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Hvidovre University Hospital, Copenhagen</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Chantal Mathieu, MD, PhD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Laboratorium voor Experimentele Geneeskunde en</w:t>
            </w:r>
          </w:p>
        </w:tc>
      </w:tr>
      <w:tr>
        <w:trPr>
          <w:trHeight w:val="216"/>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Endocrinologie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Mark Peyrot,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Loyola College Center</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Daniel Porte,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Philip Raskin, MD, FACE, FACP</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Texas</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Julio Rosenstock,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Dallas Diabetes and Endocrinology Center</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Jesse Roth, MD, FACP</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North Shore-Long Island Jewish Health System</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Richard Rubin, PhD, CDE</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Johns Hopkins University School of Medicine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Robert Sherwin,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Yale University School of Medicine</w:t>
            </w:r>
          </w:p>
        </w:tc>
      </w:tr>
      <w:tr>
        <w:trPr>
          <w:trHeight w:val="230"/>
        </w:trPr>
        <w:tc>
          <w:tcPr>
            <w:tcW w:w="7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Jay Skyler, MD, MACP</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Miami, Diabetes Research Institute</w:t>
            </w:r>
          </w:p>
        </w:tc>
      </w:tr>
      <w:tr>
        <w:trPr>
          <w:trHeight w:val="405"/>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0" w:type="dxa"/>
            <w:vAlign w:val="bottom"/>
          </w:tcPr>
          <w:p>
            <w:pPr>
              <w:ind w:left="1220"/>
              <w:spacing w:after="0"/>
              <w:rPr>
                <w:sz w:val="20"/>
                <w:szCs w:val="20"/>
                <w:color w:val="auto"/>
              </w:rPr>
            </w:pPr>
            <w:r>
              <w:rPr>
                <w:rFonts w:ascii="Arial" w:cs="Arial" w:eastAsia="Arial" w:hAnsi="Arial"/>
                <w:sz w:val="18"/>
                <w:szCs w:val="18"/>
                <w:color w:val="auto"/>
              </w:rPr>
              <w:t>21</w:t>
            </w: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cancer program is supported by the following scientific advisors (and their primary affiliations):</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Primary Affiliation</w:t>
            </w:r>
          </w:p>
        </w:tc>
      </w:tr>
      <w:tr>
        <w:trPr>
          <w:trHeight w:val="195"/>
        </w:trPr>
        <w:tc>
          <w:tcPr>
            <w:tcW w:w="3400" w:type="dxa"/>
            <w:vAlign w:val="bottom"/>
            <w:gridSpan w:val="2"/>
          </w:tcPr>
          <w:p>
            <w:pPr>
              <w:spacing w:after="0" w:line="195" w:lineRule="exact"/>
              <w:rPr>
                <w:sz w:val="20"/>
                <w:szCs w:val="20"/>
                <w:color w:val="auto"/>
              </w:rPr>
            </w:pPr>
            <w:r>
              <w:rPr>
                <w:rFonts w:ascii="Arial" w:cs="Arial" w:eastAsia="Arial" w:hAnsi="Arial"/>
                <w:sz w:val="18"/>
                <w:szCs w:val="18"/>
                <w:color w:val="auto"/>
              </w:rPr>
              <w:t>Kenneth Anderson, M.D.</w:t>
            </w:r>
          </w:p>
        </w:tc>
        <w:tc>
          <w:tcPr>
            <w:tcW w:w="4640" w:type="dxa"/>
            <w:vAlign w:val="bottom"/>
            <w:gridSpan w:val="2"/>
          </w:tcPr>
          <w:p>
            <w:pPr>
              <w:ind w:left="1560"/>
              <w:spacing w:after="0" w:line="195" w:lineRule="exact"/>
              <w:rPr>
                <w:sz w:val="20"/>
                <w:szCs w:val="20"/>
                <w:color w:val="auto"/>
              </w:rPr>
            </w:pPr>
            <w:r>
              <w:rPr>
                <w:rFonts w:ascii="Arial" w:cs="Arial" w:eastAsia="Arial" w:hAnsi="Arial"/>
                <w:sz w:val="18"/>
                <w:szCs w:val="18"/>
                <w:color w:val="auto"/>
              </w:rPr>
              <w:t>Dana Farber Cancer Institute, Boston</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Philippe Bey, Ph.D.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Pharmaceutical consultant</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Jeffrey Bluestone, Ph.D.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University of California, San Francisco</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W. Martin Kast, Ph.D.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University of Southern California</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Antoni Ribas, M.D.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University of California, Los Angeles</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our current executive officers and their ages as of December 31, 2009:</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760" w:type="dxa"/>
            <w:vAlign w:val="bottom"/>
          </w:tcPr>
          <w:p>
            <w:pPr>
              <w:spacing w:after="0"/>
              <w:rPr>
                <w:sz w:val="14"/>
                <w:szCs w:val="14"/>
                <w:color w:val="auto"/>
              </w:rPr>
            </w:pPr>
          </w:p>
        </w:tc>
        <w:tc>
          <w:tcPr>
            <w:tcW w:w="1440" w:type="dxa"/>
            <w:vAlign w:val="bottom"/>
            <w:gridSpan w:val="3"/>
          </w:tcPr>
          <w:p>
            <w:pPr>
              <w:jc w:val="center"/>
              <w:ind w:left="873"/>
              <w:spacing w:after="0"/>
              <w:rPr>
                <w:sz w:val="20"/>
                <w:szCs w:val="20"/>
                <w:color w:val="auto"/>
              </w:rPr>
            </w:pPr>
            <w:r>
              <w:rPr>
                <w:rFonts w:ascii="Arial" w:cs="Arial" w:eastAsia="Arial" w:hAnsi="Arial"/>
                <w:sz w:val="14"/>
                <w:szCs w:val="14"/>
                <w:b w:val="1"/>
                <w:bCs w:val="1"/>
                <w:color w:val="auto"/>
                <w:w w:val="90"/>
              </w:rPr>
              <w:t>Age</w:t>
            </w:r>
          </w:p>
        </w:tc>
        <w:tc>
          <w:tcPr>
            <w:tcW w:w="5020" w:type="dxa"/>
            <w:vAlign w:val="bottom"/>
            <w:gridSpan w:val="3"/>
          </w:tcPr>
          <w:p>
            <w:pPr>
              <w:ind w:left="240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760" w:type="dxa"/>
            <w:vAlign w:val="bottom"/>
            <w:vMerge w:val="restart"/>
          </w:tcPr>
          <w:p>
            <w:pPr>
              <w:ind w:left="140"/>
              <w:spacing w:after="0"/>
              <w:rPr>
                <w:sz w:val="20"/>
                <w:szCs w:val="20"/>
                <w:color w:val="auto"/>
              </w:rPr>
            </w:pPr>
            <w:r>
              <w:rPr>
                <w:rFonts w:ascii="Arial" w:cs="Arial" w:eastAsia="Arial" w:hAnsi="Arial"/>
                <w:sz w:val="18"/>
                <w:szCs w:val="18"/>
                <w:color w:val="auto"/>
              </w:rPr>
              <w:t>E. Mann</w:t>
            </w:r>
          </w:p>
        </w:tc>
        <w:tc>
          <w:tcPr>
            <w:tcW w:w="10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60" w:type="dxa"/>
            <w:vAlign w:val="bottom"/>
            <w:vMerge w:val="restart"/>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line="20" w:lineRule="exact"/>
              <w:rPr>
                <w:sz w:val="1"/>
                <w:szCs w:val="1"/>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w w:val="72"/>
              </w:rPr>
              <w:t>Alfred</w:t>
            </w:r>
          </w:p>
        </w:tc>
        <w:tc>
          <w:tcPr>
            <w:tcW w:w="27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jc w:val="center"/>
              <w:spacing w:after="0" w:line="195" w:lineRule="exact"/>
              <w:rPr>
                <w:sz w:val="20"/>
                <w:szCs w:val="20"/>
                <w:color w:val="auto"/>
              </w:rPr>
            </w:pPr>
            <w:r>
              <w:rPr>
                <w:rFonts w:ascii="Arial" w:cs="Arial" w:eastAsia="Arial" w:hAnsi="Arial"/>
                <w:sz w:val="18"/>
                <w:szCs w:val="18"/>
                <w:color w:val="auto"/>
                <w:w w:val="89"/>
              </w:rPr>
              <w:t>84</w:t>
            </w:r>
          </w:p>
        </w:tc>
        <w:tc>
          <w:tcPr>
            <w:tcW w:w="120" w:type="dxa"/>
            <w:vAlign w:val="bottom"/>
            <w:vMerge w:val="continue"/>
          </w:tcPr>
          <w:p>
            <w:pPr>
              <w:spacing w:after="0"/>
              <w:rPr>
                <w:sz w:val="16"/>
                <w:szCs w:val="16"/>
                <w:color w:val="auto"/>
              </w:rPr>
            </w:pPr>
          </w:p>
        </w:tc>
        <w:tc>
          <w:tcPr>
            <w:tcW w:w="3060" w:type="dxa"/>
            <w:vAlign w:val="bottom"/>
            <w:gridSpan w:val="2"/>
          </w:tcPr>
          <w:p>
            <w:pPr>
              <w:ind w:left="100"/>
              <w:spacing w:after="0" w:line="195" w:lineRule="exact"/>
              <w:rPr>
                <w:sz w:val="20"/>
                <w:szCs w:val="20"/>
                <w:color w:val="auto"/>
              </w:rPr>
            </w:pPr>
            <w:r>
              <w:rPr>
                <w:rFonts w:ascii="Arial" w:cs="Arial" w:eastAsia="Arial" w:hAnsi="Arial"/>
                <w:sz w:val="18"/>
                <w:szCs w:val="18"/>
                <w:color w:val="auto"/>
                <w:w w:val="93"/>
              </w:rPr>
              <w:t>Chairman of the Board of Directors and</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Hakan S. Edstrom</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President, Chief Operating Officer and Director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Matthew J. Pfeffer</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and Chief Financial Officer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Juergen A. Martens, Ph.D.</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w w:val="89"/>
              </w:rPr>
              <w:t>Corporate Vice President, Technical Operations and Chief Technical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Diane M. Palumbo</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Human Resources</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Dr. Peter C. Richardson</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and Chief Scientific Officer</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David Thomson, Ph.D., J.D.</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0"/>
                <w:szCs w:val="20"/>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General Counsel and Secretary</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firstLine="225"/>
        <w:spacing w:after="0" w:line="284" w:lineRule="auto"/>
        <w:rPr>
          <w:sz w:val="20"/>
          <w:szCs w:val="20"/>
          <w:color w:val="auto"/>
        </w:rPr>
      </w:pPr>
      <w:r>
        <w:rPr>
          <w:rFonts w:ascii="Arial" w:cs="Arial" w:eastAsia="Arial" w:hAnsi="Arial"/>
          <w:sz w:val="16"/>
          <w:szCs w:val="16"/>
          <w:i w:val="1"/>
          <w:iCs w:val="1"/>
          <w:color w:val="auto"/>
        </w:rPr>
        <w:t xml:space="preserve">Alfred E. Mann </w:t>
      </w:r>
      <w:r>
        <w:rPr>
          <w:rFonts w:ascii="Arial" w:cs="Arial" w:eastAsia="Arial" w:hAnsi="Arial"/>
          <w:sz w:val="16"/>
          <w:szCs w:val="16"/>
          <w:color w:val="auto"/>
        </w:rPr>
        <w:t>has been one of our directors since April 1999, our Chairman of the Board since December 2001 and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since October 2003. He founded and 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until January 2008, as Co-Chief Executive Officer of Advanced Bionics Corporation, a medical device manufacturer focused on neurostimulation to restore hearing to the deaf and to treat chronic pain and other neural deficits, that was acquired by Boston Scientific Corporation in June 2004. In January 2008, the former stockholders of Advanced Bionics Corporation repurchased certain segments from Boston Scientific Corporation and formed Advanced Bionics LLC for cochlear implants and Infusion Systems LLC for infusion pumps. Mr. Mann was non-executive Chairman of both entities. Advanced Bionics LLC was acquired by Sonova Holdings on December 30, 2009. Infusion Systems LLC was acquired by the Alfred E. Mann Foundation in February 2010. Mr. Mann has also founded and is non-executive Chairman of Second Sight Medical Products, Inc., which is developing a visual prosthesis for the blind; Bioness Inc., which is developing rehabilitation neurostimulation systems; Quallion LLC, which produces batteries for medical products and for the military and aerospace industries; and Stellar Microelectronics Inc., a supplier of electronic assemblies to the medical, military and aerospace industries. Mr. Mann also founded and is the managing member of PerQFlo, LLC, which is developing drug delivery systems. Mr. Mann is the managing member of the Alfred Mann Foundation and is also non-executive Chairman of Alfred Mann Institutes at the University of Southern California, AMI Purdue and AMI Technion, and the Alfred Mann Foundation for Biomedical Engineering, which is establishing additional institutes at other research universities. Mr. Mann is also non-executive Chairman of the Southern California Biomedical Council and a Director of the Nevada Cancer Institute. Mr. Mann holds a bachelor’s and master’s degree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1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225"/>
        <w:spacing w:after="0" w:line="255" w:lineRule="auto"/>
        <w:rPr>
          <w:sz w:val="20"/>
          <w:szCs w:val="20"/>
          <w:color w:val="auto"/>
        </w:rPr>
      </w:pPr>
      <w:r>
        <w:rPr>
          <w:rFonts w:ascii="Arial" w:cs="Arial" w:eastAsia="Arial" w:hAnsi="Arial"/>
          <w:sz w:val="18"/>
          <w:szCs w:val="18"/>
          <w:i w:val="1"/>
          <w:iCs w:val="1"/>
          <w:color w:val="auto"/>
        </w:rPr>
        <w:t xml:space="preserve">Hakan S. Edstrom </w:t>
      </w:r>
      <w:r>
        <w:rPr>
          <w:rFonts w:ascii="Arial" w:cs="Arial" w:eastAsia="Arial" w:hAnsi="Arial"/>
          <w:sz w:val="18"/>
          <w:szCs w:val="18"/>
          <w:color w:val="auto"/>
        </w:rPr>
        <w:t>has been our President and Chief Operating Officer since April 2001 and has served as one of our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2001. Mr. Edstrom was with Bausch &amp; 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Ophthalmics Inc. Mr. Edstrom was educated in Sweden and holds a master’s degree in Business Administration from the Stockholm School of Economics.</w:t>
      </w:r>
    </w:p>
    <w:p>
      <w:pPr>
        <w:spacing w:after="0" w:line="85" w:lineRule="exact"/>
        <w:rPr>
          <w:sz w:val="20"/>
          <w:szCs w:val="20"/>
          <w:color w:val="auto"/>
        </w:rPr>
      </w:pPr>
    </w:p>
    <w:p>
      <w:pPr>
        <w:ind w:left="700" w:right="20" w:firstLine="225"/>
        <w:spacing w:after="0" w:line="270" w:lineRule="auto"/>
        <w:rPr>
          <w:sz w:val="20"/>
          <w:szCs w:val="20"/>
          <w:color w:val="auto"/>
        </w:rPr>
      </w:pPr>
      <w:r>
        <w:rPr>
          <w:rFonts w:ascii="Arial" w:cs="Arial" w:eastAsia="Arial" w:hAnsi="Arial"/>
          <w:sz w:val="17"/>
          <w:szCs w:val="17"/>
          <w:i w:val="1"/>
          <w:iCs w:val="1"/>
          <w:color w:val="auto"/>
        </w:rPr>
        <w:t xml:space="preserve">Matthew J. Pfeffer </w:t>
      </w:r>
      <w:r>
        <w:rPr>
          <w:rFonts w:ascii="Arial" w:cs="Arial" w:eastAsia="Arial" w:hAnsi="Arial"/>
          <w:sz w:val="17"/>
          <w:szCs w:val="17"/>
          <w:color w:val="auto"/>
        </w:rPr>
        <w:t>has been our Corporate Vice President and Chief Financial Officer since April 2008. Previously, Mr. Pfeffer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Financial Officer and Senior Vice President of Finance and Administration of VaxGen, Inc. from March 2006 until April 2008, with responsibility for finance, tax, treasury, human resources, IT, purchasing and facilities functions. Prior to VaxGen, Mr. Pfeffer served as CFO of Cell Genesys, Inc. During his nine year tenure at Cell Genesys, Mr. Pfeffer served as Director of Finance before being named CFO in 1998. Prior to that, Mr. Pfeffer served in a variety of financial management positions at other companies, including roles as Corporate Controller, Manager of Internal Audit and Manager of Financial Reporting. Mr. Pfeffer began his career at Price Waterhouse. Mr. Pfeffer serves on boards and advisory committees of the Biotechnology Industry Organization and the American Institute of Certified Public Accountants. Mr. Pfeffer has a bachelor’s degree in Accounting from the University of California, Berkeley and is a Certified Public Accountant.</w:t>
      </w:r>
    </w:p>
    <w:p>
      <w:pPr>
        <w:spacing w:after="0" w:line="74" w:lineRule="exact"/>
        <w:rPr>
          <w:sz w:val="20"/>
          <w:szCs w:val="20"/>
          <w:color w:val="auto"/>
        </w:rPr>
      </w:pPr>
    </w:p>
    <w:p>
      <w:pPr>
        <w:ind w:left="700" w:right="20" w:firstLine="225"/>
        <w:spacing w:after="0" w:line="272" w:lineRule="auto"/>
        <w:rPr>
          <w:sz w:val="20"/>
          <w:szCs w:val="20"/>
          <w:color w:val="auto"/>
        </w:rPr>
      </w:pPr>
      <w:r>
        <w:rPr>
          <w:rFonts w:ascii="Arial" w:cs="Arial" w:eastAsia="Arial" w:hAnsi="Arial"/>
          <w:sz w:val="17"/>
          <w:szCs w:val="17"/>
          <w:i w:val="1"/>
          <w:iCs w:val="1"/>
          <w:color w:val="auto"/>
        </w:rPr>
        <w:t xml:space="preserve">Juergen A. Martens, Ph.D. </w:t>
      </w:r>
      <w:r>
        <w:rPr>
          <w:rFonts w:ascii="Arial" w:cs="Arial" w:eastAsia="Arial" w:hAnsi="Arial"/>
          <w:sz w:val="17"/>
          <w:szCs w:val="17"/>
          <w:color w:val="auto"/>
        </w:rPr>
        <w:t>has been our Corporate Vice President of Operations and Chief Technology Officer since September 2005.</w:t>
      </w:r>
      <w:r>
        <w:rPr>
          <w:rFonts w:ascii="Arial" w:cs="Arial" w:eastAsia="Arial" w:hAnsi="Arial"/>
          <w:sz w:val="17"/>
          <w:szCs w:val="17"/>
          <w:i w:val="1"/>
          <w:iCs w:val="1"/>
          <w:color w:val="auto"/>
        </w:rPr>
        <w:t xml:space="preserve"> </w:t>
      </w:r>
      <w:r>
        <w:rPr>
          <w:rFonts w:ascii="Arial" w:cs="Arial" w:eastAsia="Arial" w:hAnsi="Arial"/>
          <w:sz w:val="17"/>
          <w:szCs w:val="17"/>
          <w:color w:val="auto"/>
        </w:rPr>
        <w:t>From 2000 to August 2005, he was employed by Nektar Therapeutics, Inc., most recently as Vice President of Pharmaceutical 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bachelor’s degree in chemical engineering from the Technical College Mannheim/Germany, a bachelor’s and master’s degree in Chemistry and a doctorate in Physical Chemistry from the University of Marburg/Germany.</w:t>
      </w:r>
    </w:p>
    <w:p>
      <w:pPr>
        <w:spacing w:after="0" w:line="70" w:lineRule="exact"/>
        <w:rPr>
          <w:sz w:val="20"/>
          <w:szCs w:val="20"/>
          <w:color w:val="auto"/>
        </w:rPr>
      </w:pPr>
    </w:p>
    <w:p>
      <w:pPr>
        <w:ind w:left="700" w:right="120" w:firstLine="225"/>
        <w:spacing w:after="0" w:line="255" w:lineRule="auto"/>
        <w:rPr>
          <w:sz w:val="20"/>
          <w:szCs w:val="20"/>
          <w:color w:val="auto"/>
        </w:rPr>
      </w:pPr>
      <w:r>
        <w:rPr>
          <w:rFonts w:ascii="Arial" w:cs="Arial" w:eastAsia="Arial" w:hAnsi="Arial"/>
          <w:sz w:val="18"/>
          <w:szCs w:val="18"/>
          <w:i w:val="1"/>
          <w:iCs w:val="1"/>
          <w:color w:val="auto"/>
        </w:rPr>
        <w:t xml:space="preserve">Diane M. Palumbo </w:t>
      </w:r>
      <w:r>
        <w:rPr>
          <w:rFonts w:ascii="Arial" w:cs="Arial" w:eastAsia="Arial" w:hAnsi="Arial"/>
          <w:sz w:val="18"/>
          <w:szCs w:val="18"/>
          <w:color w:val="auto"/>
        </w:rPr>
        <w:t>has been our Corporate Vice President of Human Resources since November 2004. From July 2003 to</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2004, she was President of her own human 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New York and a bachelor’s degree, magna cum laude, also from St. John’s University.</w:t>
      </w:r>
    </w:p>
    <w:p>
      <w:pPr>
        <w:spacing w:after="0" w:line="85" w:lineRule="exact"/>
        <w:rPr>
          <w:sz w:val="20"/>
          <w:szCs w:val="20"/>
          <w:color w:val="auto"/>
        </w:rPr>
      </w:pPr>
    </w:p>
    <w:p>
      <w:pPr>
        <w:ind w:left="700" w:right="40" w:firstLine="225"/>
        <w:spacing w:after="0" w:line="272" w:lineRule="auto"/>
        <w:rPr>
          <w:sz w:val="20"/>
          <w:szCs w:val="20"/>
          <w:color w:val="auto"/>
        </w:rPr>
      </w:pPr>
      <w:r>
        <w:rPr>
          <w:rFonts w:ascii="Arial" w:cs="Arial" w:eastAsia="Arial" w:hAnsi="Arial"/>
          <w:sz w:val="17"/>
          <w:szCs w:val="17"/>
          <w:i w:val="1"/>
          <w:iCs w:val="1"/>
          <w:color w:val="auto"/>
        </w:rPr>
        <w:t xml:space="preserve">Dr. Peter C. Richardson </w:t>
      </w:r>
      <w:r>
        <w:rPr>
          <w:rFonts w:ascii="Arial" w:cs="Arial" w:eastAsia="Arial" w:hAnsi="Arial"/>
          <w:sz w:val="17"/>
          <w:szCs w:val="17"/>
          <w:color w:val="auto"/>
        </w:rPr>
        <w:t>has been our Corporate Vice President and Chief Scientific Officer since October 2005. From 1991 to</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2005, he was employed by Novartis Pharmaceuticals Corporation, which is the U.S. affiliate of Novartis AG, a world leader in healthcare, most recently as Senior Vice President, Global Head of Development Alliances. From 2003 until 2005, he was Senior Vice President and Head of Development of Novartis Pharmaceuticals KK Japan. He earlier practiced as an endocrinologist. Dr. Richardson holds a B.Med.Sci (Hons.) and a BM.BS (Hons.) from University of Nottingham Medical School; a MRCP (UK) from the Royal College of Physicians, UK; a Certificate in Pharmaceutical Medicine from Universities of Freibourg, Strasbourg and Basle; and a Diploma in Pharmaceutical Medicine from the Royal College of Physicians Faculty of Pharmaceutical Medicine.</w:t>
      </w:r>
    </w:p>
    <w:p>
      <w:pPr>
        <w:spacing w:after="0" w:line="70" w:lineRule="exact"/>
        <w:rPr>
          <w:sz w:val="20"/>
          <w:szCs w:val="20"/>
          <w:color w:val="auto"/>
        </w:rPr>
      </w:pPr>
    </w:p>
    <w:p>
      <w:pPr>
        <w:jc w:val="both"/>
        <w:ind w:left="700" w:right="280" w:firstLine="225"/>
        <w:spacing w:after="0" w:line="302" w:lineRule="auto"/>
        <w:rPr>
          <w:sz w:val="20"/>
          <w:szCs w:val="20"/>
          <w:color w:val="auto"/>
        </w:rPr>
      </w:pPr>
      <w:r>
        <w:rPr>
          <w:rFonts w:ascii="Arial" w:cs="Arial" w:eastAsia="Arial" w:hAnsi="Arial"/>
          <w:sz w:val="16"/>
          <w:szCs w:val="16"/>
          <w:i w:val="1"/>
          <w:iCs w:val="1"/>
          <w:color w:val="auto"/>
        </w:rPr>
        <w:t xml:space="preserve">David Thomson, Ph.D., J.D. </w:t>
      </w:r>
      <w:r>
        <w:rPr>
          <w:rFonts w:ascii="Arial" w:cs="Arial" w:eastAsia="Arial" w:hAnsi="Arial"/>
          <w:sz w:val="16"/>
          <w:szCs w:val="16"/>
          <w:color w:val="auto"/>
        </w:rPr>
        <w:t>has been our Corporate Vice President, General Counsel and Corporate Secretary since January 2002.</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us, he practiced corporate/commercial and securities law at the Toronto law firm of Davies Ward Phillips &amp; Vineberg LLP. Earlier in his career, Dr. Thomson was a post-doctoral fellow at the Rockefeller University. Dr. Thomson obtained his bachelor’s degree, master’s degree and Ph.D. degree from Queens University and obtained his J.D. degree from the University of Toronto.</w:t>
      </w:r>
    </w:p>
    <w:p>
      <w:pPr>
        <w:spacing w:after="0" w:line="46" w:lineRule="exact"/>
        <w:rPr>
          <w:sz w:val="20"/>
          <w:szCs w:val="20"/>
          <w:color w:val="auto"/>
        </w:rPr>
      </w:pPr>
    </w:p>
    <w:p>
      <w:pPr>
        <w:ind w:left="700" w:firstLine="225"/>
        <w:spacing w:after="0" w:line="277" w:lineRule="auto"/>
        <w:rPr>
          <w:sz w:val="20"/>
          <w:szCs w:val="20"/>
          <w:color w:val="auto"/>
        </w:rPr>
      </w:pPr>
      <w:r>
        <w:rPr>
          <w:rFonts w:ascii="Arial" w:cs="Arial" w:eastAsia="Arial" w:hAnsi="Arial"/>
          <w:sz w:val="18"/>
          <w:szCs w:val="18"/>
          <w:color w:val="auto"/>
        </w:rPr>
        <w:t>Executive officers serve at the discretion of our Board of Directors. There are no family relationships between any of our directors and executive officers.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700" w:right="40" w:firstLine="225"/>
        <w:spacing w:after="0" w:line="293"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800" w:right="40"/>
        <w:spacing w:after="0" w:line="308" w:lineRule="auto"/>
        <w:rPr>
          <w:sz w:val="20"/>
          <w:szCs w:val="20"/>
          <w:color w:val="auto"/>
        </w:rPr>
      </w:pPr>
      <w:r>
        <w:rPr>
          <w:rFonts w:ascii="Arial" w:cs="Arial" w:eastAsia="Arial" w:hAnsi="Arial"/>
          <w:sz w:val="17"/>
          <w:szCs w:val="17"/>
          <w:b w:val="1"/>
          <w:bCs w:val="1"/>
          <w:i w:val="1"/>
          <w:iCs w:val="1"/>
          <w:color w:val="auto"/>
        </w:rPr>
        <w:t>We depend heavily on the successful development and commercialization of our lead product candidate, AFREZZA, which is not yet approved, and our other product candidates, which are in early clinical or preclinical development.</w:t>
      </w:r>
    </w:p>
    <w:p>
      <w:pPr>
        <w:spacing w:after="0" w:line="38" w:lineRule="exact"/>
        <w:rPr>
          <w:sz w:val="20"/>
          <w:szCs w:val="20"/>
          <w:color w:val="auto"/>
        </w:rPr>
      </w:pPr>
    </w:p>
    <w:p>
      <w:pPr>
        <w:ind w:left="700" w:firstLine="222"/>
        <w:spacing w:after="0" w:line="270" w:lineRule="auto"/>
        <w:rPr>
          <w:sz w:val="20"/>
          <w:szCs w:val="20"/>
          <w:color w:val="auto"/>
        </w:rPr>
      </w:pPr>
      <w:r>
        <w:rPr>
          <w:rFonts w:ascii="Arial" w:cs="Arial" w:eastAsia="Arial" w:hAnsi="Arial"/>
          <w:sz w:val="17"/>
          <w:szCs w:val="17"/>
          <w:color w:val="auto"/>
        </w:rPr>
        <w:t>To date, we have not commercialized any product candidates. In March 2009, we submitted an NDA to the FDA requesting approval of AFREZZA for the treatment of adults with type 1 or type 2 diabetes for the control of hyperglycemia. The FDA accepted our NDA for filing in May 2009, meaning the FDA determined that our submission is sufficiently complete to permit a substantive review. 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 As recommended by the FDA, we will request an End-of-Review meeting with the agency to discuss our approach for resolving the remaining issues. There can be no assurance that we will be able to satisfy all of the FDA’s requirements with currently available data or that the FDA will find our proposed approach acceptable. The FDA could also request that we conduct additional clinical trials to provide sufficient data for approval of the NDA. There can be no assurance that we will obtain approval of the NDA in a timely manner or at all.</w:t>
      </w:r>
    </w:p>
    <w:p>
      <w:pPr>
        <w:spacing w:after="0" w:line="70" w:lineRule="exact"/>
        <w:rPr>
          <w:sz w:val="20"/>
          <w:szCs w:val="20"/>
          <w:color w:val="auto"/>
        </w:rPr>
      </w:pPr>
    </w:p>
    <w:p>
      <w:pPr>
        <w:ind w:left="700" w:right="100" w:firstLine="225"/>
        <w:spacing w:after="0" w:line="308" w:lineRule="auto"/>
        <w:rPr>
          <w:sz w:val="20"/>
          <w:szCs w:val="20"/>
          <w:color w:val="auto"/>
        </w:rPr>
      </w:pPr>
      <w:r>
        <w:rPr>
          <w:rFonts w:ascii="Arial" w:cs="Arial" w:eastAsia="Arial" w:hAnsi="Arial"/>
          <w:sz w:val="17"/>
          <w:szCs w:val="17"/>
          <w:color w:val="auto"/>
        </w:rPr>
        <w:t>Our other product candidates are generally in early clinical or preclinical development. We anticipate that in the near term, our ability to generate revenues will depend solely on the successful development and commercialization of AFREZZA.</w:t>
      </w:r>
    </w:p>
    <w:p>
      <w:pPr>
        <w:spacing w:after="0" w:line="38" w:lineRule="exact"/>
        <w:rPr>
          <w:sz w:val="20"/>
          <w:szCs w:val="20"/>
          <w:color w:val="auto"/>
        </w:rPr>
      </w:pPr>
    </w:p>
    <w:p>
      <w:pPr>
        <w:ind w:left="700" w:right="20" w:firstLine="222"/>
        <w:spacing w:after="0" w:line="255"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AFREZZA, which has not yet received regulatory approval and which may not be approved by the FDA in a timely manner, or at all. 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81" w:lineRule="exact"/>
        <w:rPr>
          <w:sz w:val="20"/>
          <w:szCs w:val="20"/>
          <w:color w:val="auto"/>
        </w:rPr>
      </w:pPr>
    </w:p>
    <w:p>
      <w:pPr>
        <w:ind w:left="700" w:right="20" w:firstLine="222"/>
        <w:spacing w:after="0" w:line="302" w:lineRule="auto"/>
        <w:rPr>
          <w:sz w:val="20"/>
          <w:szCs w:val="20"/>
          <w:color w:val="auto"/>
        </w:rPr>
      </w:pPr>
      <w:r>
        <w:rPr>
          <w:rFonts w:ascii="Arial" w:cs="Arial" w:eastAsia="Arial" w:hAnsi="Arial"/>
          <w:sz w:val="16"/>
          <w:szCs w:val="16"/>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46" w:lineRule="exact"/>
        <w:rPr>
          <w:sz w:val="20"/>
          <w:szCs w:val="20"/>
          <w:color w:val="auto"/>
        </w:rPr>
      </w:pPr>
    </w:p>
    <w:p>
      <w:pPr>
        <w:ind w:left="700" w:right="60" w:firstLine="215"/>
        <w:spacing w:after="0" w:line="290"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AFREZZA,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1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left="700" w:right="20" w:firstLine="222"/>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79" w:lineRule="exact"/>
        <w:rPr>
          <w:sz w:val="20"/>
          <w:szCs w:val="20"/>
          <w:color w:val="auto"/>
        </w:rPr>
      </w:pPr>
    </w:p>
    <w:p>
      <w:pPr>
        <w:ind w:left="700" w:right="40" w:firstLine="222"/>
        <w:spacing w:after="0" w:line="255" w:lineRule="auto"/>
        <w:rPr>
          <w:sz w:val="20"/>
          <w:szCs w:val="20"/>
          <w:color w:val="auto"/>
        </w:rPr>
      </w:pPr>
      <w:r>
        <w:rPr>
          <w:rFonts w:ascii="Arial" w:cs="Arial" w:eastAsia="Arial" w:hAnsi="Arial"/>
          <w:sz w:val="18"/>
          <w:szCs w:val="18"/>
          <w:color w:val="auto"/>
        </w:rPr>
        <w:t>We have never been profitable and, as of December 31, 2009, we had an accumulated deficit of $1.6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accumulated deficit may increase significantly as we continue development and clinical trial efforts.</w:t>
      </w:r>
    </w:p>
    <w:p>
      <w:pPr>
        <w:spacing w:after="0" w:line="85" w:lineRule="exact"/>
        <w:rPr>
          <w:sz w:val="20"/>
          <w:szCs w:val="20"/>
          <w:color w:val="auto"/>
        </w:rPr>
      </w:pPr>
    </w:p>
    <w:p>
      <w:pPr>
        <w:ind w:left="700" w:right="60" w:firstLine="225"/>
        <w:spacing w:after="0" w:line="255"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December 31, 2009, we had an accumulated deficit in stockholders’ equity of $59.2 million. Our ability to achieve and sustain profitability depends upon obtaining regulatory approvals for and successfully commercializing AFREZZA,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left="700" w:firstLine="225"/>
        <w:spacing w:after="0" w:line="259"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AFREZZA as our lead product candidate, we have begun to conduct clinical trials for additional product candidates. Our existing capital resources will not be sufficient to support the expense of fully commercializing AFREZZA or developing any of our product candidates.</w:t>
      </w:r>
    </w:p>
    <w:p>
      <w:pPr>
        <w:spacing w:after="0" w:line="79" w:lineRule="exact"/>
        <w:rPr>
          <w:sz w:val="20"/>
          <w:szCs w:val="20"/>
          <w:color w:val="auto"/>
        </w:rPr>
      </w:pPr>
    </w:p>
    <w:p>
      <w:pPr>
        <w:ind w:left="700" w:right="100" w:firstLine="225"/>
        <w:spacing w:after="0" w:line="270" w:lineRule="auto"/>
        <w:rPr>
          <w:sz w:val="20"/>
          <w:szCs w:val="20"/>
          <w:color w:val="auto"/>
        </w:rPr>
      </w:pPr>
      <w:r>
        <w:rPr>
          <w:rFonts w:ascii="Arial" w:cs="Arial" w:eastAsia="Arial" w:hAnsi="Arial"/>
          <w:sz w:val="17"/>
          <w:szCs w:val="17"/>
          <w:color w:val="auto"/>
        </w:rPr>
        <w:t>Based upon our current expectations, we believe that our existing capital resources, including the loan arrangement with an entity controlled by our principal stockholder, will enable us to continue planned operations into the first quarter of 2011.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the entry into a strategic business collaboration, or the establishment of other funding facilities, in order to continue the development and commercialization of AFREZZA and other product candidates and to support our other ongoing activities. However, it may be difficult for us to raise additional capital through the sale of equity and/or debt securities. As of December 31, 2009, we had an accumulated deficit in stockholders’ equity of $59.2 million which may affect our ability to raise additional capital. The amount of additional funds we need will depend on a number of factors, including:</w:t>
      </w:r>
    </w:p>
    <w:p>
      <w:pPr>
        <w:spacing w:after="0" w:line="74" w:lineRule="exact"/>
        <w:rPr>
          <w:sz w:val="20"/>
          <w:szCs w:val="20"/>
          <w:color w:val="auto"/>
        </w:rPr>
      </w:pPr>
    </w:p>
    <w:p>
      <w:pPr>
        <w:ind w:left="1080" w:right="380" w:hanging="198"/>
        <w:spacing w:after="0" w:line="277" w:lineRule="auto"/>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1080" w:right="60" w:hanging="198"/>
        <w:spacing w:after="0" w:line="277" w:lineRule="auto"/>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AFREZZA;</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1080" w:right="720" w:hanging="198"/>
        <w:spacing w:after="0" w:line="277" w:lineRule="auto"/>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tabs>
          <w:tab w:leader="none" w:pos="108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the costs of discontinuing projects and technologies or decommissioning existing facilities, if we undertake those activities; and</w:t>
      </w:r>
    </w:p>
    <w:p>
      <w:pPr>
        <w:spacing w:after="0" w:line="142" w:lineRule="exact"/>
        <w:rPr>
          <w:rFonts w:ascii="Arial" w:cs="Arial" w:eastAsia="Arial" w:hAnsi="Arial"/>
          <w:sz w:val="17"/>
          <w:szCs w:val="17"/>
          <w:b w:val="1"/>
          <w:bCs w:val="1"/>
          <w:color w:val="auto"/>
        </w:rPr>
      </w:pPr>
    </w:p>
    <w:p>
      <w:pPr>
        <w:ind w:left="1080" w:right="660" w:hanging="198"/>
        <w:spacing w:after="0" w:line="277" w:lineRule="auto"/>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to demonstrate safety and efficacy if our current trials do not deliver results sufficient for FDA approval and commercialization.</w:t>
      </w:r>
    </w:p>
    <w:p>
      <w:pPr>
        <w:spacing w:after="0" w:line="62" w:lineRule="exact"/>
        <w:rPr>
          <w:sz w:val="20"/>
          <w:szCs w:val="20"/>
          <w:color w:val="auto"/>
        </w:rPr>
      </w:pPr>
    </w:p>
    <w:p>
      <w:pPr>
        <w:ind w:left="700" w:firstLine="222"/>
        <w:spacing w:after="0" w:line="270" w:lineRule="auto"/>
        <w:rPr>
          <w:sz w:val="20"/>
          <w:szCs w:val="20"/>
          <w:color w:val="auto"/>
        </w:rPr>
      </w:pPr>
      <w:r>
        <w:rPr>
          <w:rFonts w:ascii="Arial" w:cs="Arial" w:eastAsia="Arial" w:hAnsi="Arial"/>
          <w:sz w:val="17"/>
          <w:szCs w:val="17"/>
          <w:color w:val="auto"/>
        </w:rPr>
        <w:t>We have raised capital in the past primarily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We anticipate that we will seek approval by our stockholders of an amendment to our certificate of incorporation to increase the authorized number of shares of our common stock to facilitate any future capital-raising transactions. Such a proposal would require approval by the holders of a majority of the outstanding shares of our common stock. If we were unable to obtain the requisite approval, our ability to raise additional capital by selling our equity securities would be constrained.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0" w:lineRule="exact"/>
        <w:rPr>
          <w:sz w:val="20"/>
          <w:szCs w:val="20"/>
          <w:color w:val="auto"/>
        </w:rPr>
      </w:pPr>
    </w:p>
    <w:p>
      <w:pPr>
        <w:ind w:left="700" w:right="60" w:firstLine="222"/>
        <w:spacing w:after="0" w:line="255"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5" w:lineRule="exact"/>
        <w:rPr>
          <w:sz w:val="20"/>
          <w:szCs w:val="20"/>
          <w:color w:val="auto"/>
        </w:rPr>
      </w:pPr>
    </w:p>
    <w:p>
      <w:pPr>
        <w:ind w:left="700" w:right="20" w:firstLine="225"/>
        <w:spacing w:after="0" w:line="302" w:lineRule="auto"/>
        <w:rPr>
          <w:sz w:val="20"/>
          <w:szCs w:val="20"/>
          <w:color w:val="auto"/>
        </w:rPr>
      </w:pPr>
      <w:r>
        <w:rPr>
          <w:rFonts w:ascii="Arial" w:cs="Arial" w:eastAsia="Arial" w:hAnsi="Arial"/>
          <w:sz w:val="16"/>
          <w:szCs w:val="16"/>
          <w:color w:val="auto"/>
        </w:rPr>
        <w:t>In the event that sufficient additional funds are not obtained through strategic collaboration opportunities, sales of securities, credit facilities, licensing arrangements and/or asset sales on a timely basis, we may be required to reduce expenses through the delay, reduction or curtailment of our projects, including AFREZZA commercialization, or further reduction of costs for facilities and administration. Moreover, if we do not obtain such additional funds, there will be substantial doubt about our ability to continue as a going concern.</w:t>
      </w:r>
    </w:p>
    <w:p>
      <w:pPr>
        <w:spacing w:after="0" w:line="46" w:lineRule="exact"/>
        <w:rPr>
          <w:sz w:val="20"/>
          <w:szCs w:val="20"/>
          <w:color w:val="auto"/>
        </w:rPr>
      </w:pPr>
    </w:p>
    <w:p>
      <w:pPr>
        <w:ind w:left="800" w:right="100"/>
        <w:spacing w:after="0" w:line="277" w:lineRule="auto"/>
        <w:rPr>
          <w:sz w:val="20"/>
          <w:szCs w:val="20"/>
          <w:color w:val="auto"/>
        </w:rPr>
      </w:pPr>
      <w:r>
        <w:rPr>
          <w:rFonts w:ascii="Arial" w:cs="Arial" w:eastAsia="Arial" w:hAnsi="Arial"/>
          <w:sz w:val="18"/>
          <w:szCs w:val="18"/>
          <w:b w:val="1"/>
          <w:bCs w:val="1"/>
          <w:i w:val="1"/>
          <w:iCs w:val="1"/>
          <w:color w:val="auto"/>
        </w:rPr>
        <w:t>Deteriorating global economic conditions may have an adverse impact on the loan facility with an entity controlled by our principal stockholder, which we currently cannot predict.</w:t>
      </w:r>
    </w:p>
    <w:p>
      <w:pPr>
        <w:spacing w:after="0" w:line="62" w:lineRule="exact"/>
        <w:rPr>
          <w:sz w:val="20"/>
          <w:szCs w:val="20"/>
          <w:color w:val="auto"/>
        </w:rPr>
      </w:pPr>
    </w:p>
    <w:p>
      <w:pPr>
        <w:ind w:left="700" w:right="20" w:firstLine="215"/>
        <w:spacing w:after="0" w:line="255" w:lineRule="auto"/>
        <w:rPr>
          <w:sz w:val="20"/>
          <w:szCs w:val="20"/>
          <w:color w:val="auto"/>
        </w:rPr>
      </w:pPr>
      <w:r>
        <w:rPr>
          <w:rFonts w:ascii="Arial" w:cs="Arial" w:eastAsia="Arial" w:hAnsi="Arial"/>
          <w:sz w:val="18"/>
          <w:szCs w:val="18"/>
          <w:color w:val="auto"/>
        </w:rPr>
        <w:t>As widely reported,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an entity controlled by our principal stockholder. If we are unable to draw on this financial resource, our business and financial condition will be adversely affected.</w:t>
      </w:r>
    </w:p>
    <w:p>
      <w:pPr>
        <w:spacing w:after="0" w:line="85" w:lineRule="exact"/>
        <w:rPr>
          <w:sz w:val="20"/>
          <w:szCs w:val="20"/>
          <w:color w:val="auto"/>
        </w:rPr>
      </w:pPr>
    </w:p>
    <w:p>
      <w:pPr>
        <w:ind w:left="800" w:right="600"/>
        <w:spacing w:after="0" w:line="308" w:lineRule="auto"/>
        <w:rPr>
          <w:sz w:val="20"/>
          <w:szCs w:val="20"/>
          <w:color w:val="auto"/>
        </w:rPr>
      </w:pPr>
      <w:r>
        <w:rPr>
          <w:rFonts w:ascii="Arial" w:cs="Arial" w:eastAsia="Arial" w:hAnsi="Arial"/>
          <w:sz w:val="17"/>
          <w:szCs w:val="17"/>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38"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5" w:lineRule="exact"/>
        <w:rPr>
          <w:sz w:val="20"/>
          <w:szCs w:val="20"/>
          <w:color w:val="auto"/>
        </w:rPr>
      </w:pPr>
    </w:p>
    <w:p>
      <w:pPr>
        <w:ind w:left="1080" w:right="320" w:hanging="198"/>
        <w:spacing w:after="0" w:line="277" w:lineRule="auto"/>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1080" w:right="220" w:hanging="198"/>
        <w:spacing w:after="0" w:line="277" w:lineRule="auto"/>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AFREZZA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85" w:lineRule="exact"/>
        <w:rPr>
          <w:sz w:val="20"/>
          <w:szCs w:val="20"/>
          <w:color w:val="auto"/>
        </w:rPr>
      </w:pPr>
    </w:p>
    <w:p>
      <w:pPr>
        <w:ind w:left="800" w:right="8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left="700" w:right="240" w:firstLine="215"/>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left="700" w:firstLine="225"/>
        <w:spacing w:after="0" w:line="297" w:lineRule="auto"/>
        <w:rPr>
          <w:sz w:val="20"/>
          <w:szCs w:val="20"/>
          <w:color w:val="auto"/>
        </w:rPr>
      </w:pPr>
      <w:r>
        <w:rPr>
          <w:rFonts w:ascii="Arial" w:cs="Arial" w:eastAsia="Arial" w:hAnsi="Arial"/>
          <w:sz w:val="16"/>
          <w:szCs w:val="16"/>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50" w:lineRule="exact"/>
        <w:rPr>
          <w:sz w:val="20"/>
          <w:szCs w:val="20"/>
          <w:color w:val="auto"/>
        </w:rPr>
      </w:pPr>
    </w:p>
    <w:p>
      <w:pPr>
        <w:ind w:left="700" w:right="200" w:firstLine="222"/>
        <w:spacing w:after="0" w:line="302" w:lineRule="auto"/>
        <w:rPr>
          <w:sz w:val="20"/>
          <w:szCs w:val="20"/>
          <w:color w:val="auto"/>
        </w:rPr>
      </w:pPr>
      <w:r>
        <w:rPr>
          <w:rFonts w:ascii="Arial" w:cs="Arial" w:eastAsia="Arial" w:hAnsi="Arial"/>
          <w:sz w:val="16"/>
          <w:szCs w:val="16"/>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46" w:lineRule="exact"/>
        <w:rPr>
          <w:sz w:val="20"/>
          <w:szCs w:val="20"/>
          <w:color w:val="auto"/>
        </w:rPr>
      </w:pPr>
    </w:p>
    <w:p>
      <w:pPr>
        <w:ind w:left="700" w:right="180" w:firstLine="222"/>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If we fail to enter into a strategic collaboration with respect to AFREZZA, we may not be able to execute on our business model.</w:t>
      </w:r>
    </w:p>
    <w:p>
      <w:pPr>
        <w:spacing w:after="0" w:line="140" w:lineRule="exact"/>
        <w:rPr>
          <w:sz w:val="20"/>
          <w:szCs w:val="20"/>
          <w:color w:val="auto"/>
        </w:rPr>
      </w:pPr>
    </w:p>
    <w:p>
      <w:pPr>
        <w:ind w:left="700" w:right="140" w:firstLine="222"/>
        <w:spacing w:after="0" w:line="297"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with any of these companies on a collaboration.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 marketing</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40"/>
        <w:spacing w:after="0" w:line="277" w:lineRule="auto"/>
        <w:rPr>
          <w:sz w:val="20"/>
          <w:szCs w:val="20"/>
          <w:color w:val="auto"/>
        </w:rPr>
      </w:pPr>
      <w:r>
        <w:rPr>
          <w:rFonts w:ascii="Arial" w:cs="Arial" w:eastAsia="Arial" w:hAnsi="Arial"/>
          <w:sz w:val="18"/>
          <w:szCs w:val="18"/>
          <w:color w:val="auto"/>
        </w:rPr>
        <w:t>activities at our own expense. Accordingly, we may have to substantially reduce our development efforts, which would delay or otherwise impede the commercialization of AFREZZA.</w:t>
      </w:r>
    </w:p>
    <w:p>
      <w:pPr>
        <w:spacing w:after="0" w:line="62" w:lineRule="exact"/>
        <w:rPr>
          <w:sz w:val="20"/>
          <w:szCs w:val="20"/>
          <w:color w:val="auto"/>
        </w:rPr>
      </w:pPr>
    </w:p>
    <w:p>
      <w:pPr>
        <w:ind w:left="700" w:right="80" w:firstLine="222"/>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1" w:lineRule="exact"/>
        <w:rPr>
          <w:sz w:val="20"/>
          <w:szCs w:val="20"/>
          <w:color w:val="auto"/>
        </w:rPr>
      </w:pPr>
    </w:p>
    <w:p>
      <w:pPr>
        <w:ind w:left="800"/>
        <w:spacing w:after="0" w:line="375" w:lineRule="auto"/>
        <w:rPr>
          <w:sz w:val="20"/>
          <w:szCs w:val="20"/>
          <w:color w:val="auto"/>
        </w:rPr>
      </w:pPr>
      <w:r>
        <w:rPr>
          <w:rFonts w:ascii="Arial" w:cs="Arial" w:eastAsia="Arial" w:hAnsi="Arial"/>
          <w:sz w:val="15"/>
          <w:szCs w:val="15"/>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1" w:lineRule="exact"/>
        <w:rPr>
          <w:sz w:val="20"/>
          <w:szCs w:val="20"/>
          <w:color w:val="auto"/>
        </w:rPr>
      </w:pPr>
    </w:p>
    <w:p>
      <w:pPr>
        <w:ind w:left="700" w:firstLine="222"/>
        <w:spacing w:after="0" w:line="302" w:lineRule="auto"/>
        <w:rPr>
          <w:sz w:val="20"/>
          <w:szCs w:val="20"/>
          <w:color w:val="auto"/>
        </w:rPr>
      </w:pPr>
      <w:r>
        <w:rPr>
          <w:rFonts w:ascii="Arial" w:cs="Arial" w:eastAsia="Arial" w:hAnsi="Arial"/>
          <w:sz w:val="16"/>
          <w:szCs w:val="16"/>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46" w:lineRule="exact"/>
        <w:rPr>
          <w:sz w:val="20"/>
          <w:szCs w:val="20"/>
          <w:color w:val="auto"/>
        </w:rPr>
      </w:pPr>
    </w:p>
    <w:p>
      <w:pPr>
        <w:jc w:val="both"/>
        <w:ind w:left="700" w:right="60" w:firstLine="225"/>
        <w:spacing w:after="0" w:line="312" w:lineRule="auto"/>
        <w:rPr>
          <w:sz w:val="20"/>
          <w:szCs w:val="20"/>
          <w:color w:val="auto"/>
        </w:rPr>
      </w:pPr>
      <w:r>
        <w:rPr>
          <w:rFonts w:ascii="Arial" w:cs="Arial" w:eastAsia="Arial" w:hAnsi="Arial"/>
          <w:sz w:val="16"/>
          <w:szCs w:val="16"/>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39"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 may not yield successful results, and even if it does, we may still be unable to commercialize our product candidate.</w:t>
      </w:r>
    </w:p>
    <w:p>
      <w:pPr>
        <w:spacing w:after="0" w:line="62" w:lineRule="exact"/>
        <w:rPr>
          <w:sz w:val="20"/>
          <w:szCs w:val="20"/>
          <w:color w:val="auto"/>
        </w:rPr>
      </w:pPr>
    </w:p>
    <w:p>
      <w:pPr>
        <w:jc w:val="both"/>
        <w:ind w:left="700" w:right="220" w:firstLine="225"/>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39" w:lineRule="exact"/>
        <w:rPr>
          <w:sz w:val="20"/>
          <w:szCs w:val="20"/>
          <w:color w:val="auto"/>
        </w:rPr>
      </w:pPr>
    </w:p>
    <w:p>
      <w:pPr>
        <w:ind w:left="1080" w:right="60" w:hanging="198"/>
        <w:spacing w:after="0" w:line="264" w:lineRule="auto"/>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the data collected from clinical trials of our product candidates may not be sufficient to support FDA or other regulatory approval;</w:t>
      </w:r>
    </w:p>
    <w:p>
      <w:pPr>
        <w:spacing w:after="0" w:line="153" w:lineRule="exact"/>
        <w:rPr>
          <w:rFonts w:ascii="Arial" w:cs="Arial" w:eastAsia="Arial" w:hAnsi="Arial"/>
          <w:sz w:val="16"/>
          <w:szCs w:val="16"/>
          <w:b w:val="1"/>
          <w:bCs w:val="1"/>
          <w:color w:val="auto"/>
        </w:rPr>
      </w:pPr>
    </w:p>
    <w:p>
      <w:pPr>
        <w:ind w:left="1080" w:hanging="198"/>
        <w:spacing w:after="0"/>
        <w:tabs>
          <w:tab w:leader="none" w:pos="108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after reviewing test results, we or any potential collaborators may abandon projects that we previously believed were promising; and</w:t>
      </w:r>
    </w:p>
    <w:p>
      <w:pPr>
        <w:spacing w:after="0" w:line="153" w:lineRule="exact"/>
        <w:rPr>
          <w:rFonts w:ascii="Arial" w:cs="Arial" w:eastAsia="Arial" w:hAnsi="Arial"/>
          <w:sz w:val="16"/>
          <w:szCs w:val="16"/>
          <w:b w:val="1"/>
          <w:bCs w:val="1"/>
          <w:color w:val="auto"/>
        </w:rPr>
      </w:pPr>
    </w:p>
    <w:p>
      <w:pPr>
        <w:ind w:left="1080" w:right="520" w:hanging="198"/>
        <w:spacing w:after="0" w:line="277" w:lineRule="auto"/>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firstLine="215"/>
        <w:spacing w:after="0" w:line="286" w:lineRule="auto"/>
        <w:rPr>
          <w:sz w:val="20"/>
          <w:szCs w:val="20"/>
          <w:color w:val="auto"/>
        </w:rPr>
      </w:pPr>
      <w:r>
        <w:rPr>
          <w:rFonts w:ascii="Arial" w:cs="Arial" w:eastAsia="Arial" w:hAnsi="Arial"/>
          <w:sz w:val="17"/>
          <w:szCs w:val="17"/>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57" w:lineRule="exact"/>
        <w:rPr>
          <w:sz w:val="20"/>
          <w:szCs w:val="20"/>
          <w:color w:val="auto"/>
        </w:rPr>
      </w:pPr>
    </w:p>
    <w:p>
      <w:pPr>
        <w:ind w:left="800" w:right="640"/>
        <w:spacing w:after="0" w:line="277" w:lineRule="auto"/>
        <w:rPr>
          <w:sz w:val="20"/>
          <w:szCs w:val="20"/>
          <w:color w:val="auto"/>
        </w:rPr>
      </w:pPr>
      <w:r>
        <w:rPr>
          <w:rFonts w:ascii="Arial" w:cs="Arial" w:eastAsia="Arial" w:hAnsi="Arial"/>
          <w:sz w:val="18"/>
          <w:szCs w:val="18"/>
          <w:b w:val="1"/>
          <w:bCs w:val="1"/>
          <w:i w:val="1"/>
          <w:iCs w:val="1"/>
          <w:color w:val="auto"/>
        </w:rPr>
        <w:t>If we are unable to transition successfully from a development company to a company that commercializes therapeutics, our business would suffer.</w:t>
      </w:r>
    </w:p>
    <w:p>
      <w:pPr>
        <w:spacing w:after="0" w:line="62" w:lineRule="exact"/>
        <w:rPr>
          <w:sz w:val="20"/>
          <w:szCs w:val="20"/>
          <w:color w:val="auto"/>
        </w:rPr>
      </w:pPr>
    </w:p>
    <w:p>
      <w:pPr>
        <w:ind w:left="700" w:right="80" w:firstLine="222"/>
        <w:spacing w:after="0" w:line="259" w:lineRule="auto"/>
        <w:rPr>
          <w:sz w:val="20"/>
          <w:szCs w:val="20"/>
          <w:color w:val="auto"/>
        </w:rPr>
      </w:pPr>
      <w:r>
        <w:rPr>
          <w:rFonts w:ascii="Arial" w:cs="Arial" w:eastAsia="Arial" w:hAnsi="Arial"/>
          <w:sz w:val="18"/>
          <w:szCs w:val="18"/>
          <w:color w:val="auto"/>
        </w:rPr>
        <w:t>We require a well-structured plan to make the transition from the development stage to being a company with commercial operations. We have a number of executive personnel, particularly in clinical development, regulatory and manufacturing production, including personnel with significant Phase 3-to-commercialization experience. In order to implement our commercialization strategy, we will need to:</w:t>
      </w:r>
    </w:p>
    <w:p>
      <w:pPr>
        <w:spacing w:after="0" w:line="79" w:lineRule="exact"/>
        <w:rPr>
          <w:sz w:val="20"/>
          <w:szCs w:val="20"/>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align our management structure to accommodate the increasing complexity of our operations;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w:t>
      </w:r>
    </w:p>
    <w:p>
      <w:pPr>
        <w:spacing w:after="0" w:line="117" w:lineRule="exact"/>
        <w:rPr>
          <w:sz w:val="20"/>
          <w:szCs w:val="20"/>
          <w:color w:val="auto"/>
        </w:rPr>
      </w:pPr>
    </w:p>
    <w:p>
      <w:pPr>
        <w:ind w:left="700" w:right="740" w:firstLine="225"/>
        <w:spacing w:after="0" w:line="277" w:lineRule="auto"/>
        <w:rPr>
          <w:sz w:val="20"/>
          <w:szCs w:val="20"/>
          <w:color w:val="auto"/>
        </w:rPr>
      </w:pPr>
      <w:r>
        <w:rPr>
          <w:rFonts w:ascii="Arial" w:cs="Arial" w:eastAsia="Arial" w:hAnsi="Arial"/>
          <w:sz w:val="18"/>
          <w:szCs w:val="18"/>
          <w:color w:val="auto"/>
        </w:rPr>
        <w:t>If we are unable to accomplish these measures in a timely manner, we would be at considerable risk of failing to develop the capabilities necessary for FDA inspection and commercial operations.</w:t>
      </w:r>
    </w:p>
    <w:p>
      <w:pPr>
        <w:spacing w:after="0" w:line="62" w:lineRule="exact"/>
        <w:rPr>
          <w:sz w:val="20"/>
          <w:szCs w:val="20"/>
          <w:color w:val="auto"/>
        </w:rPr>
      </w:pPr>
    </w:p>
    <w:p>
      <w:pPr>
        <w:ind w:left="800" w:right="10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73" w:lineRule="exact"/>
        <w:rPr>
          <w:sz w:val="20"/>
          <w:szCs w:val="20"/>
          <w:color w:val="auto"/>
        </w:rPr>
      </w:pPr>
    </w:p>
    <w:p>
      <w:pPr>
        <w:ind w:left="700" w:right="320" w:firstLine="225"/>
        <w:spacing w:after="0" w:line="257" w:lineRule="auto"/>
        <w:rPr>
          <w:sz w:val="20"/>
          <w:szCs w:val="20"/>
          <w:color w:val="auto"/>
        </w:rPr>
      </w:pPr>
      <w:r>
        <w:rPr>
          <w:rFonts w:ascii="Arial" w:cs="Arial" w:eastAsia="Arial" w:hAnsi="Arial"/>
          <w:sz w:val="18"/>
          <w:szCs w:val="18"/>
          <w:color w:val="auto"/>
        </w:rPr>
        <w:t>For AFREZZA to be commercially viable, we need access to sufficient, reliable and affordable supplies of insulin, our AFREZZA inhaler, the related cartridges and other materials. We have a long-term agreement with N.V. Organon for the supply of insulin. In June 2009, we purchased from Pfizer,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80" w:lineRule="exact"/>
        <w:rPr>
          <w:sz w:val="20"/>
          <w:szCs w:val="20"/>
          <w:color w:val="auto"/>
        </w:rPr>
      </w:pPr>
    </w:p>
    <w:p>
      <w:pPr>
        <w:ind w:left="700" w:right="300" w:firstLine="222"/>
        <w:spacing w:after="0" w:line="257" w:lineRule="auto"/>
        <w:rPr>
          <w:sz w:val="20"/>
          <w:szCs w:val="20"/>
          <w:color w:val="auto"/>
        </w:rPr>
      </w:pPr>
      <w:r>
        <w:rPr>
          <w:rFonts w:ascii="Arial" w:cs="Arial" w:eastAsia="Arial" w:hAnsi="Arial"/>
          <w:sz w:val="18"/>
          <w:szCs w:val="18"/>
          <w:color w:val="auto"/>
        </w:rPr>
        <w:t>We have obtained FDKP, the precursor raw material for AFREZZA, from two sources, both of which are major chemical manufacturers with facilities in Europe and North America. We have completed a successful validation campaign of FDKP at commercial scale. We can also utilize our in-house chemical manufacturing plant for supplemental capacity. We believe our contract manufacturers have the capacity to supply our current clinical and future commercial requirements. We have obtained our AFREZZA inhaler and cartridges from two large plastic molding companies.</w:t>
      </w:r>
    </w:p>
    <w:p>
      <w:pPr>
        <w:spacing w:after="0" w:line="80" w:lineRule="exact"/>
        <w:rPr>
          <w:sz w:val="20"/>
          <w:szCs w:val="20"/>
          <w:color w:val="auto"/>
        </w:rPr>
      </w:pPr>
    </w:p>
    <w:p>
      <w:pPr>
        <w:jc w:val="both"/>
        <w:ind w:left="700" w:right="120" w:firstLine="222"/>
        <w:spacing w:after="0" w:line="285" w:lineRule="auto"/>
        <w:rPr>
          <w:sz w:val="20"/>
          <w:szCs w:val="20"/>
          <w:color w:val="auto"/>
        </w:rPr>
      </w:pPr>
      <w:r>
        <w:rPr>
          <w:rFonts w:ascii="Arial" w:cs="Arial" w:eastAsia="Arial" w:hAnsi="Arial"/>
          <w:sz w:val="16"/>
          <w:szCs w:val="16"/>
          <w:color w:val="auto"/>
        </w:rPr>
        <w:t>We must rely on our suppliers to comply with relevant regulatory and other legal requirements, including the production of insulin in accordance with the FDA’s cGMP for drug products, and the production of AFREZZA inhaler and related cartridges in accordance with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AFREZZA may be delayed.</w:t>
      </w:r>
    </w:p>
    <w:p>
      <w:pPr>
        <w:spacing w:after="0" w:line="2" w:lineRule="exact"/>
        <w:rPr>
          <w:sz w:val="20"/>
          <w:szCs w:val="20"/>
          <w:color w:val="auto"/>
        </w:rPr>
      </w:pPr>
    </w:p>
    <w:p>
      <w:pPr>
        <w:ind w:left="700" w:right="280"/>
        <w:spacing w:after="0" w:line="261" w:lineRule="auto"/>
        <w:rPr>
          <w:sz w:val="20"/>
          <w:szCs w:val="20"/>
          <w:color w:val="auto"/>
        </w:rPr>
      </w:pPr>
      <w:r>
        <w:rPr>
          <w:rFonts w:ascii="Arial" w:cs="Arial" w:eastAsia="Arial" w:hAnsi="Arial"/>
          <w:sz w:val="18"/>
          <w:szCs w:val="18"/>
          <w:color w:val="auto"/>
        </w:rPr>
        <w:t>Any such events could delay market introduction and subsequent sales of AFREZZA and, if so, our business and results of operations will be harmed and the market price of our common stock may decline.</w:t>
      </w:r>
    </w:p>
    <w:p>
      <w:pPr>
        <w:spacing w:after="0" w:line="76"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73" w:lineRule="exact"/>
        <w:rPr>
          <w:sz w:val="20"/>
          <w:szCs w:val="20"/>
          <w:color w:val="auto"/>
        </w:rPr>
      </w:pPr>
    </w:p>
    <w:p>
      <w:pPr>
        <w:ind w:left="700" w:right="20" w:firstLine="222"/>
        <w:spacing w:after="0" w:line="255" w:lineRule="auto"/>
        <w:rPr>
          <w:sz w:val="20"/>
          <w:szCs w:val="20"/>
          <w:color w:val="auto"/>
        </w:rPr>
      </w:pPr>
      <w:r>
        <w:rPr>
          <w:rFonts w:ascii="Arial" w:cs="Arial" w:eastAsia="Arial" w:hAnsi="Arial"/>
          <w:sz w:val="18"/>
          <w:szCs w:val="18"/>
          <w:color w:val="auto"/>
        </w:rPr>
        <w:t>We use our Danbury facility to formulate AFREZZA, fill plastic cartridges with AFREZZA and blister package the cartridges for our clinical trials. This facility has been fully qualified and undergone regulatory inspection that is expected to result in approval to manufacture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79" w:lineRule="exact"/>
        <w:rPr>
          <w:sz w:val="20"/>
          <w:szCs w:val="20"/>
          <w:color w:val="auto"/>
        </w:rPr>
      </w:pPr>
    </w:p>
    <w:p>
      <w:pPr>
        <w:ind w:left="700" w:right="520" w:firstLine="215"/>
        <w:spacing w:after="0" w:line="259" w:lineRule="auto"/>
        <w:rPr>
          <w:sz w:val="20"/>
          <w:szCs w:val="20"/>
          <w:color w:val="auto"/>
        </w:rPr>
      </w:pPr>
      <w:r>
        <w:rPr>
          <w:rFonts w:ascii="Arial" w:cs="Arial" w:eastAsia="Arial" w:hAnsi="Arial"/>
          <w:sz w:val="18"/>
          <w:szCs w:val="18"/>
          <w:color w:val="auto"/>
        </w:rPr>
        <w:t>Additionally, when we manufacture commercial material on a significantly larger production scale than the production scale for clinical trial materials, we are required by the FDA to establish that the results obtained from the clinical trials may reasonably be extrapolated to such commercial material. We have submitted documentation to the FDA to show correlation to the clinical-scale production materials with no assurance that approval would be obtained.</w:t>
      </w:r>
    </w:p>
    <w:p>
      <w:pPr>
        <w:spacing w:after="0" w:line="79" w:lineRule="exact"/>
        <w:rPr>
          <w:sz w:val="20"/>
          <w:szCs w:val="20"/>
          <w:color w:val="auto"/>
        </w:rPr>
      </w:pPr>
    </w:p>
    <w:p>
      <w:pPr>
        <w:ind w:left="700" w:right="20" w:firstLine="215"/>
        <w:spacing w:after="0" w:line="273"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70" w:lineRule="exact"/>
        <w:rPr>
          <w:sz w:val="20"/>
          <w:szCs w:val="20"/>
          <w:color w:val="auto"/>
        </w:rPr>
      </w:pPr>
    </w:p>
    <w:p>
      <w:pPr>
        <w:ind w:left="800" w:right="220"/>
        <w:spacing w:after="0" w:line="277" w:lineRule="auto"/>
        <w:rPr>
          <w:sz w:val="20"/>
          <w:szCs w:val="20"/>
          <w:color w:val="auto"/>
        </w:rPr>
      </w:pPr>
      <w:r>
        <w:rPr>
          <w:rFonts w:ascii="Arial" w:cs="Arial" w:eastAsia="Arial" w:hAnsi="Arial"/>
          <w:sz w:val="18"/>
          <w:szCs w:val="18"/>
          <w:b w:val="1"/>
          <w:bCs w:val="1"/>
          <w:i w:val="1"/>
          <w:iCs w:val="1"/>
          <w:color w:val="auto"/>
        </w:rPr>
        <w:t>We deal with hazardous materials and must comply with environmental laws and regulations, which can be expensive and restrict how we do business.</w:t>
      </w:r>
    </w:p>
    <w:p>
      <w:pPr>
        <w:spacing w:after="0" w:line="62" w:lineRule="exact"/>
        <w:rPr>
          <w:sz w:val="20"/>
          <w:szCs w:val="20"/>
          <w:color w:val="auto"/>
        </w:rPr>
      </w:pPr>
    </w:p>
    <w:p>
      <w:pPr>
        <w:ind w:left="700" w:right="40" w:firstLine="225"/>
        <w:spacing w:after="0" w:line="284"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w:t>
      </w:r>
    </w:p>
    <w:p>
      <w:pPr>
        <w:spacing w:after="0" w:line="3"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82" w:lineRule="exact"/>
        <w:rPr>
          <w:sz w:val="20"/>
          <w:szCs w:val="20"/>
          <w:color w:val="auto"/>
        </w:rPr>
      </w:pPr>
    </w:p>
    <w:p>
      <w:pPr>
        <w:ind w:left="700" w:right="60" w:firstLine="222"/>
        <w:spacing w:after="0" w:line="273"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w:t>
      </w:r>
    </w:p>
    <w:p>
      <w:pPr>
        <w:spacing w:after="0" w:line="70" w:lineRule="exact"/>
        <w:rPr>
          <w:sz w:val="20"/>
          <w:szCs w:val="20"/>
          <w:color w:val="auto"/>
        </w:rPr>
      </w:pPr>
    </w:p>
    <w:p>
      <w:pPr>
        <w:ind w:left="700" w:right="20" w:firstLine="225"/>
        <w:spacing w:after="0" w:line="257" w:lineRule="auto"/>
        <w:rPr>
          <w:sz w:val="20"/>
          <w:szCs w:val="20"/>
          <w:color w:val="auto"/>
        </w:rPr>
      </w:pPr>
      <w:r>
        <w:rPr>
          <w:rFonts w:ascii="Arial" w:cs="Arial" w:eastAsia="Arial" w:hAnsi="Arial"/>
          <w:sz w:val="18"/>
          <w:szCs w:val="18"/>
          <w:color w:val="auto"/>
        </w:rPr>
        <w:t>During the construction of our expanded manufacturing facility, we completed the final stages of the soil cleanup plan in the third quarter of 2008, at a cost of approximately $2.25 million. We are in discussions with the party responsible for remediation regarding their contribution to past clean-up costs and their obligation to pay for or indemnify us for any future costs and expenses directly related to the final closure of the environmental remediation. If we are unable to collect these future costs and expenses, if any, from the responsible party, our business and results of operations may be harmed.</w:t>
      </w:r>
    </w:p>
    <w:p>
      <w:pPr>
        <w:spacing w:after="0" w:line="80" w:lineRule="exact"/>
        <w:rPr>
          <w:sz w:val="20"/>
          <w:szCs w:val="20"/>
          <w:color w:val="auto"/>
        </w:rPr>
      </w:pPr>
    </w:p>
    <w:p>
      <w:pPr>
        <w:ind w:left="800" w:right="100"/>
        <w:spacing w:after="0" w:line="308" w:lineRule="auto"/>
        <w:rPr>
          <w:sz w:val="20"/>
          <w:szCs w:val="20"/>
          <w:color w:val="auto"/>
        </w:rPr>
      </w:pPr>
      <w:r>
        <w:rPr>
          <w:rFonts w:ascii="Arial" w:cs="Arial" w:eastAsia="Arial" w:hAnsi="Arial"/>
          <w:sz w:val="17"/>
          <w:szCs w:val="17"/>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we plan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 research or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67" w:lineRule="exact"/>
        <w:rPr>
          <w:sz w:val="20"/>
          <w:szCs w:val="20"/>
          <w:color w:val="auto"/>
        </w:rPr>
      </w:pPr>
    </w:p>
    <w:p>
      <w:pPr>
        <w:ind w:left="800" w:right="20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left="700" w:right="320" w:firstLine="215"/>
        <w:spacing w:after="0" w:line="312" w:lineRule="auto"/>
        <w:rPr>
          <w:sz w:val="20"/>
          <w:szCs w:val="20"/>
          <w:color w:val="auto"/>
        </w:rPr>
      </w:pPr>
      <w:r>
        <w:rPr>
          <w:rFonts w:ascii="Arial" w:cs="Arial" w:eastAsia="Arial" w:hAnsi="Arial"/>
          <w:sz w:val="16"/>
          <w:szCs w:val="16"/>
          <w:color w:val="auto"/>
        </w:rPr>
        <w:t>AFREZZA and our other product candidates are new and unproven. Even if any of our product candidates obtains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degree of market acceptance of AFREZZA and our other product candidates will depend on many factors, including the:</w:t>
      </w:r>
    </w:p>
    <w:p>
      <w:pPr>
        <w:spacing w:after="0" w:line="129" w:lineRule="exact"/>
        <w:rPr>
          <w:sz w:val="20"/>
          <w:szCs w:val="20"/>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1080" w:right="120" w:hanging="198"/>
        <w:spacing w:after="0" w:line="277" w:lineRule="auto"/>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other treatment therapeutics and methods;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ind w:left="700" w:right="20" w:firstLine="225"/>
        <w:spacing w:after="0" w:line="297" w:lineRule="auto"/>
        <w:rPr>
          <w:sz w:val="20"/>
          <w:szCs w:val="20"/>
          <w:color w:val="auto"/>
        </w:rPr>
      </w:pPr>
      <w:r>
        <w:rPr>
          <w:rFonts w:ascii="Arial" w:cs="Arial" w:eastAsia="Arial" w:hAnsi="Arial"/>
          <w:sz w:val="16"/>
          <w:szCs w:val="16"/>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50" w:lineRule="exact"/>
        <w:rPr>
          <w:sz w:val="20"/>
          <w:szCs w:val="20"/>
          <w:color w:val="auto"/>
        </w:rPr>
      </w:pPr>
    </w:p>
    <w:p>
      <w:pPr>
        <w:ind w:left="800" w:right="48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consumers for our products, our products might not be used or purchased, which would adversely affect our revenues.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225"/>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0" w:lineRule="exact"/>
        <w:rPr>
          <w:sz w:val="20"/>
          <w:szCs w:val="20"/>
          <w:color w:val="auto"/>
        </w:rPr>
      </w:pPr>
    </w:p>
    <w:p>
      <w:pPr>
        <w:ind w:left="700" w:firstLine="225"/>
        <w:spacing w:after="0" w:line="270"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left="700" w:right="40" w:firstLine="222"/>
        <w:spacing w:after="0" w:line="269" w:lineRule="auto"/>
        <w:rPr>
          <w:sz w:val="20"/>
          <w:szCs w:val="20"/>
          <w:color w:val="auto"/>
        </w:rPr>
      </w:pPr>
      <w:r>
        <w:rPr>
          <w:rFonts w:ascii="Arial" w:cs="Arial" w:eastAsia="Arial" w:hAnsi="Arial"/>
          <w:sz w:val="17"/>
          <w:szCs w:val="17"/>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AFREZZA.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72" w:lineRule="exact"/>
        <w:rPr>
          <w:sz w:val="20"/>
          <w:szCs w:val="20"/>
          <w:color w:val="auto"/>
        </w:rPr>
      </w:pPr>
    </w:p>
    <w:p>
      <w:pPr>
        <w:ind w:left="800" w:right="760"/>
        <w:spacing w:after="0" w:line="277" w:lineRule="auto"/>
        <w:rPr>
          <w:sz w:val="20"/>
          <w:szCs w:val="20"/>
          <w:color w:val="auto"/>
        </w:rPr>
      </w:pPr>
      <w:r>
        <w:rPr>
          <w:rFonts w:ascii="Arial" w:cs="Arial" w:eastAsia="Arial" w:hAnsi="Arial"/>
          <w:sz w:val="18"/>
          <w:szCs w:val="18"/>
          <w:b w:val="1"/>
          <w:bCs w:val="1"/>
          <w:i w:val="1"/>
          <w:iCs w:val="1"/>
          <w:color w:val="auto"/>
        </w:rPr>
        <w:t>If we lose any key employees or scientific advisors, our operations and our ability to execute our business strategy could be materially harmed.</w:t>
      </w:r>
    </w:p>
    <w:p>
      <w:pPr>
        <w:spacing w:after="0" w:line="62"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85" w:lineRule="exact"/>
        <w:rPr>
          <w:sz w:val="20"/>
          <w:szCs w:val="20"/>
          <w:color w:val="auto"/>
        </w:rPr>
      </w:pPr>
    </w:p>
    <w:p>
      <w:pPr>
        <w:ind w:left="700" w:right="100" w:firstLine="222"/>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skills and experience required to develop, gain regulatory approval of and commercialize our product candidates successfully.</w:t>
      </w:r>
    </w:p>
    <w:p>
      <w:pPr>
        <w:spacing w:after="0" w:line="129" w:lineRule="exact"/>
        <w:rPr>
          <w:sz w:val="20"/>
          <w:szCs w:val="20"/>
          <w:color w:val="auto"/>
        </w:rPr>
      </w:pPr>
    </w:p>
    <w:p>
      <w:pPr>
        <w:ind w:left="700" w:firstLine="222"/>
        <w:spacing w:after="0" w:line="293" w:lineRule="auto"/>
        <w:rPr>
          <w:sz w:val="20"/>
          <w:szCs w:val="20"/>
          <w:color w:val="auto"/>
        </w:rPr>
      </w:pPr>
      <w:r>
        <w:rPr>
          <w:rFonts w:ascii="Arial" w:cs="Arial" w:eastAsia="Arial" w:hAnsi="Arial"/>
          <w:sz w:val="16"/>
          <w:szCs w:val="16"/>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57"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left="700" w:right="40" w:firstLine="215"/>
        <w:spacing w:after="0" w:line="302" w:lineRule="auto"/>
        <w:rPr>
          <w:sz w:val="20"/>
          <w:szCs w:val="20"/>
          <w:color w:val="auto"/>
        </w:rPr>
      </w:pPr>
      <w:r>
        <w:rPr>
          <w:rFonts w:ascii="Arial" w:cs="Arial" w:eastAsia="Arial" w:hAnsi="Arial"/>
          <w:sz w:val="16"/>
          <w:szCs w:val="16"/>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17"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85" w:lineRule="exact"/>
        <w:rPr>
          <w:sz w:val="20"/>
          <w:szCs w:val="20"/>
          <w:color w:val="auto"/>
        </w:rPr>
      </w:pPr>
    </w:p>
    <w:p>
      <w:pPr>
        <w:ind w:left="800" w:right="5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and stock price could be adversely affected.</w:t>
      </w:r>
    </w:p>
    <w:p>
      <w:pPr>
        <w:spacing w:after="0" w:line="62" w:lineRule="exact"/>
        <w:rPr>
          <w:sz w:val="20"/>
          <w:szCs w:val="20"/>
          <w:color w:val="auto"/>
        </w:rPr>
      </w:pPr>
    </w:p>
    <w:p>
      <w:pPr>
        <w:ind w:left="700" w:right="200" w:firstLine="225"/>
        <w:spacing w:after="0" w:line="279" w:lineRule="auto"/>
        <w:rPr>
          <w:sz w:val="20"/>
          <w:szCs w:val="20"/>
          <w:color w:val="auto"/>
        </w:rPr>
      </w:pPr>
      <w:r>
        <w:rPr>
          <w:rFonts w:ascii="Arial" w:cs="Arial" w:eastAsia="Arial" w:hAnsi="Arial"/>
          <w:sz w:val="17"/>
          <w:szCs w:val="17"/>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63"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left="800" w:right="360"/>
        <w:spacing w:after="0" w:line="375" w:lineRule="auto"/>
        <w:rPr>
          <w:sz w:val="20"/>
          <w:szCs w:val="20"/>
          <w:color w:val="auto"/>
        </w:rPr>
      </w:pPr>
      <w:r>
        <w:rPr>
          <w:rFonts w:ascii="Arial" w:cs="Arial" w:eastAsia="Arial" w:hAnsi="Arial"/>
          <w:sz w:val="15"/>
          <w:szCs w:val="15"/>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1" w:lineRule="exact"/>
        <w:rPr>
          <w:sz w:val="20"/>
          <w:szCs w:val="20"/>
          <w:color w:val="auto"/>
        </w:rPr>
      </w:pPr>
    </w:p>
    <w:p>
      <w:pPr>
        <w:jc w:val="both"/>
        <w:ind w:left="700" w:firstLine="225"/>
        <w:spacing w:after="0" w:line="259"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79" w:lineRule="exact"/>
        <w:rPr>
          <w:sz w:val="20"/>
          <w:szCs w:val="20"/>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left="700" w:firstLine="225"/>
        <w:spacing w:after="0" w:line="270"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4" w:lineRule="exact"/>
        <w:rPr>
          <w:sz w:val="20"/>
          <w:szCs w:val="20"/>
          <w:color w:val="auto"/>
        </w:rPr>
      </w:pPr>
    </w:p>
    <w:p>
      <w:pPr>
        <w:ind w:left="700" w:right="80" w:firstLine="222"/>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9" w:lineRule="exact"/>
        <w:rPr>
          <w:sz w:val="20"/>
          <w:szCs w:val="20"/>
          <w:color w:val="auto"/>
        </w:rPr>
      </w:pPr>
    </w:p>
    <w:p>
      <w:pPr>
        <w:ind w:left="700" w:right="20" w:firstLine="222"/>
        <w:spacing w:after="0" w:line="272"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70" w:lineRule="exact"/>
        <w:rPr>
          <w:sz w:val="20"/>
          <w:szCs w:val="20"/>
          <w:color w:val="auto"/>
        </w:rPr>
      </w:pPr>
    </w:p>
    <w:p>
      <w:pPr>
        <w:ind w:left="700" w:right="220" w:firstLine="225"/>
        <w:spacing w:after="0" w:line="272" w:lineRule="auto"/>
        <w:rPr>
          <w:sz w:val="20"/>
          <w:szCs w:val="20"/>
          <w:color w:val="auto"/>
        </w:rPr>
      </w:pPr>
      <w:r>
        <w:rPr>
          <w:rFonts w:ascii="Arial" w:cs="Arial" w:eastAsia="Arial" w:hAnsi="Arial"/>
          <w:sz w:val="17"/>
          <w:szCs w:val="17"/>
          <w:color w:val="auto"/>
        </w:rPr>
        <w:t>On March 16, 2009, we submitted an NDA for AFREZZA, which the FDA accepted for review on May 16, 2009. The FDA has advised us that it will regulate AFREZZA as a “combination product” because of the complex nature of the system that includes the combination of a new drug (AFREZZA) and a new medical device (the AFREZZA inhaler used to administer the insulin). The FDA indicated that the review of our drug marketing application for AFREZZA will involve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assurances at this time about what impact FDA review by multiple groups will have on the approvability of our product.</w:t>
      </w:r>
    </w:p>
    <w:p>
      <w:pPr>
        <w:spacing w:after="0" w:line="117" w:lineRule="exact"/>
        <w:rPr>
          <w:sz w:val="20"/>
          <w:szCs w:val="20"/>
          <w:color w:val="auto"/>
        </w:rPr>
      </w:pPr>
    </w:p>
    <w:p>
      <w:pPr>
        <w:ind w:left="700" w:firstLine="225"/>
        <w:spacing w:after="0" w:line="272" w:lineRule="auto"/>
        <w:rPr>
          <w:sz w:val="20"/>
          <w:szCs w:val="20"/>
          <w:color w:val="auto"/>
        </w:rPr>
      </w:pPr>
      <w:r>
        <w:rPr>
          <w:rFonts w:ascii="Arial" w:cs="Arial" w:eastAsia="Arial" w:hAnsi="Arial"/>
          <w:sz w:val="17"/>
          <w:szCs w:val="17"/>
          <w:color w:val="auto"/>
        </w:rPr>
        <w:t>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 As recommended by the FDA, we will request an End-of-Review meeting with the agency to discuss our approach for resolving the remaining issues. There can be no assurance that we will be able to satisfy all of the FDA’s requirements with currently available data or that the FDA will find our proposed approach acceptable. The FDA could also request that we conduct additional clinical trials to provide sufficient data for approval of the NDA. There can be no assurance that we will obtain approval of the NDA in a timely manner or at all.</w:t>
      </w:r>
    </w:p>
    <w:p>
      <w:pPr>
        <w:spacing w:after="0" w:line="70" w:lineRule="exact"/>
        <w:rPr>
          <w:sz w:val="20"/>
          <w:szCs w:val="20"/>
          <w:color w:val="auto"/>
        </w:rPr>
      </w:pPr>
    </w:p>
    <w:p>
      <w:pPr>
        <w:ind w:left="700" w:right="160" w:firstLine="215"/>
        <w:spacing w:after="0" w:line="293"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w:t>
      </w:r>
    </w:p>
    <w:p>
      <w:pPr>
        <w:spacing w:after="0" w:line="57" w:lineRule="exact"/>
        <w:rPr>
          <w:sz w:val="20"/>
          <w:szCs w:val="20"/>
          <w:color w:val="auto"/>
        </w:rPr>
      </w:pPr>
    </w:p>
    <w:p>
      <w:pPr>
        <w:ind w:left="700" w:right="20" w:firstLine="222"/>
        <w:spacing w:after="0" w:line="255" w:lineRule="auto"/>
        <w:rPr>
          <w:sz w:val="20"/>
          <w:szCs w:val="20"/>
          <w:color w:val="auto"/>
        </w:rPr>
      </w:pPr>
      <w:r>
        <w:rPr>
          <w:rFonts w:ascii="Arial" w:cs="Arial" w:eastAsia="Arial" w:hAnsi="Arial"/>
          <w:sz w:val="18"/>
          <w:szCs w:val="18"/>
          <w:color w:val="auto"/>
        </w:rPr>
        <w:t>We are developing AFREZZA as a new treatment for diabetes utilizing unique, proprietary components. As a combination product, any changes to either the AFREZZA inhaler, or AFREZZA, including new suppliers, could possibly result in FDA requirements to repeat certain clinical studies. This means, for example, that switching to an alternate delivery system, such as our next-generation inhaler, could require us to undertake additional clinical trials and other studies, which could significantly delay the development and commercialization of AFREZZA. Our product candidates that are currently in development for the treatment of cancer also face similar obstacles and costs.</w:t>
      </w:r>
    </w:p>
    <w:p>
      <w:pPr>
        <w:spacing w:after="0" w:line="85" w:lineRule="exact"/>
        <w:rPr>
          <w:sz w:val="20"/>
          <w:szCs w:val="20"/>
          <w:color w:val="auto"/>
        </w:rPr>
      </w:pPr>
    </w:p>
    <w:p>
      <w:pPr>
        <w:ind w:left="700" w:right="200" w:firstLine="222"/>
        <w:spacing w:after="0" w:line="259" w:lineRule="auto"/>
        <w:rPr>
          <w:sz w:val="20"/>
          <w:szCs w:val="20"/>
          <w:color w:val="auto"/>
        </w:rPr>
      </w:pPr>
      <w:r>
        <w:rPr>
          <w:rFonts w:ascii="Arial" w:cs="Arial" w:eastAsia="Arial" w:hAnsi="Arial"/>
          <w:sz w:val="18"/>
          <w:szCs w:val="18"/>
          <w:color w:val="auto"/>
        </w:rPr>
        <w:t>We also must obtain final approval from the FDA for the trade name of our product. The FDA had informed us that the name previously proposed for our product may be too similar to other drugs on the market and that we had to propose another trade name for our product. In September 2009, we proposed AFREZZA as a trade name, which the FDA found conditionally acceptable in December 2009.</w:t>
      </w:r>
    </w:p>
    <w:p>
      <w:pPr>
        <w:spacing w:after="0" w:line="79"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left="700" w:right="60" w:firstLine="222"/>
        <w:spacing w:after="0" w:line="270" w:lineRule="auto"/>
        <w:rPr>
          <w:sz w:val="20"/>
          <w:szCs w:val="20"/>
          <w:color w:val="auto"/>
        </w:rPr>
      </w:pPr>
      <w:r>
        <w:rPr>
          <w:rFonts w:ascii="Arial" w:cs="Arial" w:eastAsia="Arial" w:hAnsi="Arial"/>
          <w:sz w:val="17"/>
          <w:szCs w:val="17"/>
          <w:color w:val="auto"/>
        </w:rPr>
        <w:t>We will not be able to commercialize AFREZZA or any other product candidates until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 We are currently reviewing the Complete Review letter issued by the FDA regarding the NDA for AFREZZA and working with the FDA to provide the requested information and data as quickly as possible. As recommended by the FDA, we will request an End-of-Review meeting with the agency to discuss our approach for resolving the remaining issues. There can be no assurance that we will be able to satisfy all of the FDA’s requirements with currently available data or that the FDA will find our proposed approach acceptable. The FDA could also request that we conduct additional clinical trials to provide sufficient data for approval of the NDA. There can be no assurance that we will obtain approval of the NDA in a timely manner or at all.</w:t>
      </w:r>
    </w:p>
    <w:p>
      <w:pPr>
        <w:spacing w:after="0" w:line="70" w:lineRule="exact"/>
        <w:rPr>
          <w:sz w:val="20"/>
          <w:szCs w:val="20"/>
          <w:color w:val="auto"/>
        </w:rPr>
      </w:pPr>
    </w:p>
    <w:p>
      <w:pPr>
        <w:ind w:left="800" w:right="220"/>
        <w:spacing w:after="0" w:line="286" w:lineRule="auto"/>
        <w:rPr>
          <w:sz w:val="20"/>
          <w:szCs w:val="20"/>
          <w:color w:val="auto"/>
        </w:rPr>
      </w:pPr>
      <w:r>
        <w:rPr>
          <w:rFonts w:ascii="Arial" w:cs="Arial" w:eastAsia="Arial" w:hAnsi="Arial"/>
          <w:sz w:val="17"/>
          <w:szCs w:val="17"/>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57"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85"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225"/>
        <w:spacing w:after="0" w:line="290"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Based on currently available clinical studies, we believe that AFREZZA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AFREZZA will be agreed to by the FDA or otherwise included in product labeling or advertising and, as a result, AFREZZA may not have our expected competitive advantages when compared to other insulin products.</w:t>
      </w:r>
    </w:p>
    <w:p>
      <w:pPr>
        <w:spacing w:after="0" w:line="58" w:lineRule="exact"/>
        <w:rPr>
          <w:sz w:val="20"/>
          <w:szCs w:val="20"/>
          <w:color w:val="auto"/>
        </w:rPr>
      </w:pPr>
    </w:p>
    <w:p>
      <w:pPr>
        <w:ind w:left="700" w:right="20" w:firstLine="222"/>
        <w:spacing w:after="0" w:line="279" w:lineRule="auto"/>
        <w:rPr>
          <w:sz w:val="20"/>
          <w:szCs w:val="20"/>
          <w:color w:val="auto"/>
        </w:rPr>
      </w:pPr>
      <w:r>
        <w:rPr>
          <w:rFonts w:ascii="Arial" w:cs="Arial" w:eastAsia="Arial" w:hAnsi="Arial"/>
          <w:sz w:val="17"/>
          <w:szCs w:val="17"/>
          <w:color w:val="auto"/>
        </w:rPr>
        <w:t>The manufacture, marketing and sale of any of our product candidates will be subject to stringent and ongoing government regulation. The FDA may also withdraw product approvals if problems concerning safety or efficacy of a product occurs following approval. We cannot be sure that FDA and United States Congressional initiatives pertaining to ensuring the safety of marketed drugs or other developments pertaining to the pharmaceutical industry will not adversely affect our operations.</w:t>
      </w:r>
    </w:p>
    <w:p>
      <w:pPr>
        <w:spacing w:after="0" w:line="63" w:lineRule="exact"/>
        <w:rPr>
          <w:sz w:val="20"/>
          <w:szCs w:val="20"/>
          <w:color w:val="auto"/>
        </w:rPr>
      </w:pPr>
    </w:p>
    <w:p>
      <w:pPr>
        <w:ind w:left="700" w:right="80" w:firstLine="222"/>
        <w:spacing w:after="0" w:line="268"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7"/>
          <w:szCs w:val="17"/>
          <w:i w:val="1"/>
          <w:iCs w:val="1"/>
          <w:color w:val="auto"/>
        </w:rPr>
        <w:t>e.g.</w:t>
      </w:r>
      <w:r>
        <w:rPr>
          <w:rFonts w:ascii="Arial" w:cs="Arial" w:eastAsia="Arial" w:hAnsi="Arial"/>
          <w:sz w:val="17"/>
          <w:szCs w:val="17"/>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77" w:lineRule="exact"/>
        <w:rPr>
          <w:sz w:val="20"/>
          <w:szCs w:val="20"/>
          <w:color w:val="auto"/>
        </w:rPr>
      </w:pPr>
    </w:p>
    <w:p>
      <w:pPr>
        <w:ind w:left="800" w:right="200"/>
        <w:spacing w:after="0" w:line="308" w:lineRule="auto"/>
        <w:rPr>
          <w:sz w:val="20"/>
          <w:szCs w:val="20"/>
          <w:color w:val="auto"/>
        </w:rPr>
      </w:pPr>
      <w:r>
        <w:rPr>
          <w:rFonts w:ascii="Arial" w:cs="Arial" w:eastAsia="Arial" w:hAnsi="Arial"/>
          <w:sz w:val="17"/>
          <w:szCs w:val="17"/>
          <w:b w:val="1"/>
          <w:bCs w:val="1"/>
          <w:i w:val="1"/>
          <w:iCs w:val="1"/>
          <w:color w:val="auto"/>
        </w:rPr>
        <w:t>Our insulin supplier does not yet supply human recombinant insulin for an FDA-approved product and will be subject to an FDA preapproval inspection before the agency will approve a future marketing application for AFREZZA.</w:t>
      </w:r>
    </w:p>
    <w:p>
      <w:pPr>
        <w:spacing w:after="0" w:line="38" w:lineRule="exact"/>
        <w:rPr>
          <w:sz w:val="20"/>
          <w:szCs w:val="20"/>
          <w:color w:val="auto"/>
        </w:rPr>
      </w:pPr>
    </w:p>
    <w:p>
      <w:pPr>
        <w:ind w:left="700" w:right="40" w:firstLine="225"/>
        <w:spacing w:after="0" w:line="288" w:lineRule="auto"/>
        <w:rPr>
          <w:sz w:val="20"/>
          <w:szCs w:val="20"/>
          <w:color w:val="auto"/>
        </w:rPr>
      </w:pPr>
      <w:r>
        <w:rPr>
          <w:rFonts w:ascii="Arial" w:cs="Arial" w:eastAsia="Arial" w:hAnsi="Arial"/>
          <w:sz w:val="16"/>
          <w:szCs w:val="16"/>
          <w:color w:val="auto"/>
        </w:rPr>
        <w:t>Our insulin supplier for purposes of the AFREZZA NDA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All of our device suppliers must comply with relevant regulatory requirements including QSR. The FDA is currently in the process of conducting a preapproval inspection of our suppliers. There can be no assurance, in the conduct of a preapproval inspection of our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61" w:lineRule="exact"/>
        <w:rPr>
          <w:sz w:val="20"/>
          <w:szCs w:val="20"/>
          <w:color w:val="auto"/>
        </w:rPr>
      </w:pPr>
    </w:p>
    <w:p>
      <w:pPr>
        <w:ind w:left="800" w:right="100"/>
        <w:spacing w:after="0" w:line="308" w:lineRule="auto"/>
        <w:rPr>
          <w:sz w:val="20"/>
          <w:szCs w:val="20"/>
          <w:color w:val="auto"/>
        </w:rPr>
      </w:pPr>
      <w:r>
        <w:rPr>
          <w:rFonts w:ascii="Arial" w:cs="Arial" w:eastAsia="Arial" w:hAnsi="Arial"/>
          <w:sz w:val="17"/>
          <w:szCs w:val="17"/>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firstLine="215"/>
        <w:spacing w:after="0" w:line="293"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approval of AFREZZA.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57" w:lineRule="exact"/>
        <w:rPr>
          <w:sz w:val="20"/>
          <w:szCs w:val="20"/>
          <w:color w:val="auto"/>
        </w:rPr>
      </w:pPr>
    </w:p>
    <w:p>
      <w:pPr>
        <w:ind w:left="700" w:right="220" w:firstLine="222"/>
        <w:spacing w:after="0" w:line="279" w:lineRule="auto"/>
        <w:rPr>
          <w:sz w:val="20"/>
          <w:szCs w:val="20"/>
          <w:color w:val="auto"/>
        </w:rPr>
      </w:pPr>
      <w:r>
        <w:rPr>
          <w:rFonts w:ascii="Arial" w:cs="Arial" w:eastAsia="Arial" w:hAnsi="Arial"/>
          <w:sz w:val="17"/>
          <w:szCs w:val="17"/>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left="700" w:right="40" w:firstLine="225"/>
        <w:spacing w:after="0" w:line="271" w:lineRule="auto"/>
        <w:rPr>
          <w:sz w:val="20"/>
          <w:szCs w:val="20"/>
          <w:color w:val="auto"/>
        </w:rPr>
      </w:pPr>
      <w:r>
        <w:rPr>
          <w:rFonts w:ascii="Arial" w:cs="Arial" w:eastAsia="Arial" w:hAnsi="Arial"/>
          <w:sz w:val="17"/>
          <w:szCs w:val="17"/>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71"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80" w:lineRule="exact"/>
        <w:rPr>
          <w:sz w:val="20"/>
          <w:szCs w:val="20"/>
          <w:color w:val="auto"/>
        </w:rPr>
      </w:pPr>
    </w:p>
    <w:p>
      <w:pPr>
        <w:ind w:left="700" w:right="120" w:firstLine="222"/>
        <w:spacing w:after="0" w:line="272"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70" w:lineRule="exact"/>
        <w:rPr>
          <w:sz w:val="20"/>
          <w:szCs w:val="20"/>
          <w:color w:val="auto"/>
        </w:rPr>
      </w:pPr>
    </w:p>
    <w:p>
      <w:pPr>
        <w:ind w:left="800" w:right="420"/>
        <w:spacing w:after="0" w:line="308" w:lineRule="auto"/>
        <w:rPr>
          <w:sz w:val="20"/>
          <w:szCs w:val="20"/>
          <w:color w:val="auto"/>
        </w:rPr>
      </w:pPr>
      <w:r>
        <w:rPr>
          <w:rFonts w:ascii="Arial" w:cs="Arial" w:eastAsia="Arial" w:hAnsi="Arial"/>
          <w:sz w:val="17"/>
          <w:szCs w:val="17"/>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38"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85" w:lineRule="exact"/>
        <w:rPr>
          <w:sz w:val="20"/>
          <w:szCs w:val="20"/>
          <w:color w:val="auto"/>
        </w:rPr>
      </w:pPr>
    </w:p>
    <w:p>
      <w:pPr>
        <w:ind w:left="700" w:right="20" w:firstLine="225"/>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46" w:lineRule="exact"/>
        <w:rPr>
          <w:sz w:val="20"/>
          <w:szCs w:val="20"/>
          <w:color w:val="auto"/>
        </w:rPr>
      </w:pPr>
    </w:p>
    <w:p>
      <w:pPr>
        <w:ind w:left="800" w:right="22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73" w:lineRule="exact"/>
        <w:rPr>
          <w:sz w:val="20"/>
          <w:szCs w:val="20"/>
          <w:color w:val="auto"/>
        </w:rPr>
      </w:pPr>
    </w:p>
    <w:p>
      <w:pPr>
        <w:ind w:left="700" w:right="120" w:firstLine="225"/>
        <w:spacing w:after="0" w:line="312" w:lineRule="auto"/>
        <w:rPr>
          <w:sz w:val="20"/>
          <w:szCs w:val="20"/>
          <w:color w:val="auto"/>
        </w:rPr>
      </w:pPr>
      <w:r>
        <w:rPr>
          <w:rFonts w:ascii="Arial" w:cs="Arial" w:eastAsia="Arial" w:hAnsi="Arial"/>
          <w:sz w:val="16"/>
          <w:szCs w:val="16"/>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39" w:lineRule="exact"/>
        <w:rPr>
          <w:sz w:val="20"/>
          <w:szCs w:val="20"/>
          <w:color w:val="auto"/>
        </w:rPr>
      </w:pPr>
    </w:p>
    <w:p>
      <w:pPr>
        <w:ind w:left="700" w:right="40" w:firstLine="215"/>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left="700" w:firstLine="225"/>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58" w:lineRule="exact"/>
        <w:rPr>
          <w:sz w:val="20"/>
          <w:szCs w:val="20"/>
          <w:color w:val="auto"/>
        </w:rPr>
      </w:pPr>
    </w:p>
    <w:p>
      <w:pPr>
        <w:ind w:left="700" w:right="20" w:firstLine="225"/>
        <w:spacing w:after="0" w:line="289" w:lineRule="auto"/>
        <w:rPr>
          <w:sz w:val="20"/>
          <w:szCs w:val="20"/>
          <w:color w:val="auto"/>
        </w:rPr>
      </w:pPr>
      <w:r>
        <w:rPr>
          <w:rFonts w:ascii="Arial" w:cs="Arial" w:eastAsia="Arial" w:hAnsi="Arial"/>
          <w:sz w:val="16"/>
          <w:szCs w:val="16"/>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59" w:lineRule="exact"/>
        <w:rPr>
          <w:sz w:val="20"/>
          <w:szCs w:val="20"/>
          <w:color w:val="auto"/>
        </w:rPr>
      </w:pPr>
    </w:p>
    <w:p>
      <w:pPr>
        <w:ind w:left="700" w:right="40" w:firstLine="215"/>
        <w:spacing w:after="0" w:line="255" w:lineRule="auto"/>
        <w:rPr>
          <w:sz w:val="20"/>
          <w:szCs w:val="20"/>
          <w:color w:val="auto"/>
        </w:rPr>
      </w:pPr>
      <w:r>
        <w:rPr>
          <w:rFonts w:ascii="Arial" w:cs="Arial" w:eastAsia="Arial" w:hAnsi="Arial"/>
          <w:sz w:val="18"/>
          <w:szCs w:val="18"/>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We have also identified third-party patents disclosing methods of use and compositions of matter related to cancer vaccines that also may trigger an allegation of infringement upon the commercial manufacture and sale of our cancer therapy. If a court were to determine that our insulin products or cancer therapies were infringing</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91" w:lineRule="auto"/>
        <w:rPr>
          <w:sz w:val="20"/>
          <w:szCs w:val="20"/>
          <w:color w:val="auto"/>
        </w:rPr>
      </w:pPr>
      <w:r>
        <w:rPr>
          <w:rFonts w:ascii="Arial" w:cs="Arial" w:eastAsia="Arial" w:hAnsi="Arial"/>
          <w:sz w:val="16"/>
          <w:szCs w:val="16"/>
          <w:color w:val="auto"/>
        </w:rPr>
        <w:t>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59" w:lineRule="exact"/>
        <w:rPr>
          <w:sz w:val="20"/>
          <w:szCs w:val="20"/>
          <w:color w:val="auto"/>
        </w:rPr>
      </w:pPr>
    </w:p>
    <w:p>
      <w:pPr>
        <w:ind w:left="700" w:right="20" w:firstLine="225"/>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46"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left="700" w:firstLine="222"/>
        <w:spacing w:after="0" w:line="270"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left="700" w:right="100" w:firstLine="222"/>
        <w:spacing w:after="0" w:line="276" w:lineRule="auto"/>
        <w:rPr>
          <w:sz w:val="20"/>
          <w:szCs w:val="20"/>
          <w:color w:val="auto"/>
        </w:rPr>
      </w:pPr>
      <w:r>
        <w:rPr>
          <w:rFonts w:ascii="Arial" w:cs="Arial" w:eastAsia="Arial" w:hAnsi="Arial"/>
          <w:sz w:val="17"/>
          <w:szCs w:val="17"/>
          <w:color w:val="auto"/>
        </w:rPr>
        <w:t>The current turbulence in the U.S. and global financial markets could adversely affect our stock price and our ability to raise additional capital through the sale of equity and/or debt securities.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4" w:lineRule="exact"/>
        <w:rPr>
          <w:sz w:val="20"/>
          <w:szCs w:val="20"/>
          <w:color w:val="auto"/>
        </w:rPr>
      </w:pPr>
    </w:p>
    <w:p>
      <w:pPr>
        <w:ind w:left="1080" w:hanging="198"/>
        <w:spacing w:after="0"/>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b w:val="1"/>
          <w:bCs w:val="1"/>
          <w:color w:val="auto"/>
        </w:rPr>
      </w:pPr>
    </w:p>
    <w:p>
      <w:pPr>
        <w:ind w:left="1080" w:right="20" w:hanging="198"/>
        <w:spacing w:after="0" w:line="277" w:lineRule="auto"/>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sales of large blocks of our common stock, including sales by our executive officers, directors and significant stockholders; and</w:t>
      </w:r>
    </w:p>
    <w:p>
      <w:pPr>
        <w:spacing w:after="0" w:line="142" w:lineRule="exact"/>
        <w:rPr>
          <w:rFonts w:ascii="Arial" w:cs="Arial" w:eastAsia="Arial" w:hAnsi="Arial"/>
          <w:sz w:val="17"/>
          <w:szCs w:val="17"/>
          <w:b w:val="1"/>
          <w:bCs w:val="1"/>
          <w:color w:val="auto"/>
        </w:rPr>
      </w:pPr>
    </w:p>
    <w:p>
      <w:pPr>
        <w:ind w:left="1080" w:right="400" w:hanging="198"/>
        <w:spacing w:after="0" w:line="277" w:lineRule="auto"/>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7" w:lineRule="exact"/>
        <w:rPr>
          <w:sz w:val="20"/>
          <w:szCs w:val="20"/>
          <w:color w:val="auto"/>
        </w:rPr>
      </w:pPr>
    </w:p>
    <w:p>
      <w:pPr>
        <w:ind w:left="800"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left="700" w:right="60" w:firstLine="225"/>
        <w:spacing w:after="0" w:line="272"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left="700" w:right="220" w:firstLine="225"/>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79" w:lineRule="exact"/>
        <w:rPr>
          <w:sz w:val="20"/>
          <w:szCs w:val="20"/>
          <w:color w:val="auto"/>
        </w:rPr>
      </w:pPr>
    </w:p>
    <w:p>
      <w:pPr>
        <w:jc w:val="both"/>
        <w:ind w:left="800" w:right="100"/>
        <w:spacing w:after="0" w:line="312" w:lineRule="auto"/>
        <w:rPr>
          <w:sz w:val="20"/>
          <w:szCs w:val="20"/>
          <w:color w:val="auto"/>
        </w:rPr>
      </w:pPr>
      <w:r>
        <w:rPr>
          <w:rFonts w:ascii="Arial" w:cs="Arial" w:eastAsia="Arial" w:hAnsi="Arial"/>
          <w:sz w:val="16"/>
          <w:szCs w:val="16"/>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39" w:lineRule="exact"/>
        <w:rPr>
          <w:sz w:val="20"/>
          <w:szCs w:val="20"/>
          <w:color w:val="auto"/>
        </w:rPr>
      </w:pPr>
    </w:p>
    <w:p>
      <w:pPr>
        <w:ind w:left="700" w:firstLine="215"/>
        <w:spacing w:after="0" w:line="293" w:lineRule="auto"/>
        <w:rPr>
          <w:sz w:val="20"/>
          <w:szCs w:val="20"/>
          <w:color w:val="auto"/>
        </w:rPr>
      </w:pPr>
      <w:r>
        <w:rPr>
          <w:rFonts w:ascii="Arial" w:cs="Arial" w:eastAsia="Arial" w:hAnsi="Arial"/>
          <w:sz w:val="16"/>
          <w:szCs w:val="16"/>
          <w:color w:val="auto"/>
        </w:rPr>
        <w:t>At February 19, 2010, Mr. Mann beneficially owned approximately 42.3% of our outstanding shares of capital stock. We believe members of Mr. Mann’s family beneficially owned approximately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7" w:lineRule="exact"/>
        <w:rPr>
          <w:sz w:val="20"/>
          <w:szCs w:val="20"/>
          <w:color w:val="auto"/>
        </w:rPr>
      </w:pPr>
    </w:p>
    <w:p>
      <w:pPr>
        <w:ind w:left="700" w:right="120" w:firstLine="225"/>
        <w:spacing w:after="0" w:line="259"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4" w:lineRule="auto"/>
        <w:rPr>
          <w:sz w:val="20"/>
          <w:szCs w:val="20"/>
          <w:color w:val="auto"/>
        </w:rPr>
      </w:pPr>
      <w:r>
        <w:rPr>
          <w:rFonts w:ascii="Arial" w:cs="Arial" w:eastAsia="Arial" w:hAnsi="Arial"/>
          <w:sz w:val="18"/>
          <w:szCs w:val="18"/>
          <w:color w:val="auto"/>
        </w:rPr>
        <w:t>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84" w:lineRule="exact"/>
        <w:rPr>
          <w:sz w:val="20"/>
          <w:szCs w:val="20"/>
          <w:color w:val="auto"/>
        </w:rPr>
      </w:pPr>
    </w:p>
    <w:p>
      <w:pPr>
        <w:ind w:left="800" w:right="2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conversion of our senior convertible notes into common stock could negatively affect our stock price.</w:t>
      </w:r>
    </w:p>
    <w:p>
      <w:pPr>
        <w:spacing w:after="0" w:line="62" w:lineRule="exact"/>
        <w:rPr>
          <w:sz w:val="20"/>
          <w:szCs w:val="20"/>
          <w:color w:val="auto"/>
        </w:rPr>
      </w:pPr>
    </w:p>
    <w:p>
      <w:pPr>
        <w:ind w:left="700" w:firstLine="225"/>
        <w:spacing w:after="0" w:line="271" w:lineRule="auto"/>
        <w:rPr>
          <w:sz w:val="20"/>
          <w:szCs w:val="20"/>
          <w:color w:val="auto"/>
        </w:rPr>
      </w:pPr>
      <w:r>
        <w:rPr>
          <w:rFonts w:ascii="Arial" w:cs="Arial" w:eastAsia="Arial" w:hAnsi="Arial"/>
          <w:sz w:val="17"/>
          <w:szCs w:val="17"/>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1" w:lineRule="exact"/>
        <w:rPr>
          <w:sz w:val="20"/>
          <w:szCs w:val="20"/>
          <w:color w:val="auto"/>
        </w:rPr>
      </w:pPr>
    </w:p>
    <w:p>
      <w:pPr>
        <w:ind w:left="700" w:right="40" w:firstLine="225"/>
        <w:spacing w:after="0" w:line="264"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73" w:lineRule="exact"/>
        <w:rPr>
          <w:sz w:val="20"/>
          <w:szCs w:val="20"/>
          <w:color w:val="auto"/>
        </w:rPr>
      </w:pPr>
    </w:p>
    <w:p>
      <w:pPr>
        <w:jc w:val="both"/>
        <w:ind w:left="800" w:right="580"/>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73" w:lineRule="exact"/>
        <w:rPr>
          <w:sz w:val="20"/>
          <w:szCs w:val="20"/>
          <w:color w:val="auto"/>
        </w:rPr>
      </w:pPr>
    </w:p>
    <w:p>
      <w:pPr>
        <w:ind w:left="700" w:right="20" w:firstLine="222"/>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70" w:lineRule="exact"/>
        <w:rPr>
          <w:sz w:val="20"/>
          <w:szCs w:val="20"/>
          <w:color w:val="auto"/>
        </w:rPr>
      </w:pPr>
    </w:p>
    <w:p>
      <w:pPr>
        <w:ind w:left="800" w:right="34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your investment.</w:t>
      </w:r>
    </w:p>
    <w:p>
      <w:pPr>
        <w:spacing w:after="0" w:line="62" w:lineRule="exact"/>
        <w:rPr>
          <w:sz w:val="20"/>
          <w:szCs w:val="20"/>
          <w:color w:val="auto"/>
        </w:rPr>
      </w:pPr>
    </w:p>
    <w:p>
      <w:pPr>
        <w:ind w:left="700" w:right="40" w:firstLine="222"/>
        <w:spacing w:after="0" w:line="254"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primarily for AFREZZA, filling and packaging. We believe the Danbury facility will have sufficient space to satisfy potential commercial demand for the launch of AFREZZA and, with the expansion completed, the first few years thereafter for AFREZZA and other AFREZZA-related products.</w:t>
      </w:r>
    </w:p>
    <w:p>
      <w:pPr>
        <w:spacing w:after="0" w:line="85" w:lineRule="exact"/>
        <w:rPr>
          <w:sz w:val="20"/>
          <w:szCs w:val="20"/>
          <w:color w:val="auto"/>
        </w:rPr>
      </w:pPr>
    </w:p>
    <w:p>
      <w:pPr>
        <w:ind w:left="700" w:right="40" w:firstLine="222"/>
        <w:spacing w:after="0" w:line="264" w:lineRule="auto"/>
        <w:rPr>
          <w:sz w:val="20"/>
          <w:szCs w:val="20"/>
          <w:color w:val="auto"/>
        </w:rPr>
      </w:pPr>
      <w:r>
        <w:rPr>
          <w:rFonts w:ascii="Arial" w:cs="Arial" w:eastAsia="Arial" w:hAnsi="Arial"/>
          <w:sz w:val="18"/>
          <w:szCs w:val="18"/>
          <w:color w:val="auto"/>
        </w:rPr>
        <w:t>We own and occupy approximately 147,000 square feet of laboratory, office and manufacturing space in Valencia, California. The facility contains our principal executive offices and houses our research and development laboratories for our cancer and other programs. We also use this facility to provide support for the development of our AFREZZA programs.</w:t>
      </w:r>
    </w:p>
    <w:p>
      <w:pPr>
        <w:spacing w:after="0" w:line="73" w:lineRule="exact"/>
        <w:rPr>
          <w:sz w:val="20"/>
          <w:szCs w:val="20"/>
          <w:color w:val="auto"/>
        </w:rPr>
      </w:pPr>
    </w:p>
    <w:p>
      <w:pPr>
        <w:ind w:left="700" w:right="80" w:firstLine="222"/>
        <w:spacing w:after="0" w:line="277" w:lineRule="auto"/>
        <w:rPr>
          <w:sz w:val="20"/>
          <w:szCs w:val="20"/>
          <w:color w:val="auto"/>
        </w:rPr>
      </w:pPr>
      <w:r>
        <w:rPr>
          <w:rFonts w:ascii="Arial" w:cs="Arial" w:eastAsia="Arial" w:hAnsi="Arial"/>
          <w:sz w:val="18"/>
          <w:szCs w:val="18"/>
          <w:color w:val="auto"/>
        </w:rPr>
        <w:t>We lease approximately 59,000 square feet of office space in Paramus, New Jersey pursuant to a lease that ends in May 2010, with an option to extend the lease through May 2012.</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(Removed and Reserved)</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72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r>
        <w:rPr>
          <w:rFonts w:ascii="Arial" w:cs="Arial" w:eastAsia="Arial" w:hAnsi="Arial"/>
          <w:sz w:val="18"/>
          <w:szCs w:val="18"/>
          <w:b w:val="1"/>
          <w:bCs w:val="1"/>
          <w:color w:val="auto"/>
        </w:rPr>
        <w:t xml:space="preserve"> Common Stock Market Price</w:t>
      </w:r>
    </w:p>
    <w:p>
      <w:pPr>
        <w:ind w:left="700" w:right="120" w:firstLine="225"/>
        <w:spacing w:after="0" w:line="264" w:lineRule="auto"/>
        <w:rPr>
          <w:sz w:val="20"/>
          <w:szCs w:val="20"/>
          <w:color w:val="auto"/>
        </w:rPr>
      </w:pPr>
      <w:r>
        <w:rPr>
          <w:rFonts w:ascii="Arial" w:cs="Arial" w:eastAsia="Arial" w:hAnsi="Arial"/>
          <w:sz w:val="18"/>
          <w:szCs w:val="18"/>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Low</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8.62</w:t>
            </w: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$4.25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6.44</w:t>
            </w: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$1.86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5.25</w:t>
            </w: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$2.39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4.30</w:t>
            </w: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$2.61</w:t>
            </w:r>
          </w:p>
        </w:tc>
      </w:tr>
      <w:tr>
        <w:trPr>
          <w:trHeight w:val="432"/>
        </w:trPr>
        <w:tc>
          <w:tcPr>
            <w:tcW w:w="758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4.09</w:t>
            </w: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$2.00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9.25</w:t>
            </w: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$3.35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8"/>
              </w:rPr>
              <w:t>12.30</w:t>
            </w: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$6.62</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9.94</w:t>
            </w: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$5.02</w:t>
            </w:r>
          </w:p>
        </w:tc>
      </w:tr>
    </w:tbl>
    <w:p>
      <w:pPr>
        <w:spacing w:after="0" w:line="79" w:lineRule="exact"/>
        <w:rPr>
          <w:sz w:val="20"/>
          <w:szCs w:val="20"/>
          <w:color w:val="auto"/>
        </w:rPr>
      </w:pPr>
    </w:p>
    <w:p>
      <w:pPr>
        <w:ind w:left="700" w:right="420" w:firstLine="222"/>
        <w:spacing w:after="0" w:line="277" w:lineRule="auto"/>
        <w:rPr>
          <w:sz w:val="20"/>
          <w:szCs w:val="20"/>
          <w:color w:val="auto"/>
        </w:rPr>
      </w:pPr>
      <w:r>
        <w:rPr>
          <w:rFonts w:ascii="Arial" w:cs="Arial" w:eastAsia="Arial" w:hAnsi="Arial"/>
          <w:sz w:val="18"/>
          <w:szCs w:val="18"/>
          <w:color w:val="auto"/>
        </w:rPr>
        <w:t>The closing sales price of our common stock on the Nasdaq Global Market was $10.10 on February 19, 2010 and there were 188 registered holders of record as of that date.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left="700" w:right="200" w:firstLine="225"/>
        <w:spacing w:after="0" w:line="259" w:lineRule="auto"/>
        <w:rPr>
          <w:sz w:val="20"/>
          <w:szCs w:val="20"/>
          <w:color w:val="auto"/>
        </w:rPr>
      </w:pPr>
      <w:r>
        <w:rPr>
          <w:rFonts w:ascii="Arial" w:cs="Arial" w:eastAsia="Arial" w:hAnsi="Arial"/>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of 1933, as amended, or the Securities Act, or the Exchange Act of 1934, as amended, or the Exchange Act, except to the extent we specifically incorporate this section by reference.</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left="700" w:right="60" w:firstLine="222"/>
        <w:spacing w:after="0" w:line="312" w:lineRule="auto"/>
        <w:rPr>
          <w:sz w:val="20"/>
          <w:szCs w:val="20"/>
          <w:color w:val="auto"/>
        </w:rPr>
      </w:pPr>
      <w:r>
        <w:rPr>
          <w:rFonts w:ascii="Arial" w:cs="Arial" w:eastAsia="Arial" w:hAnsi="Arial"/>
          <w:sz w:val="16"/>
          <w:szCs w:val="16"/>
          <w:color w:val="auto"/>
        </w:rPr>
        <w:t>The following graph illustrates a comparison of the cumulative total stockholder return (change in stock price plus reinvested dividends) of our common stock with (i) the Nasdaq Composite Index and (ii) the Nasdaq Biotechnology Index.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170815</wp:posOffset>
            </wp:positionV>
            <wp:extent cx="3498850" cy="2409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9885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00" w:right="240" w:firstLine="215"/>
        <w:spacing w:after="0" w:line="277" w:lineRule="auto"/>
        <w:rPr>
          <w:sz w:val="20"/>
          <w:szCs w:val="20"/>
          <w:color w:val="auto"/>
        </w:rPr>
      </w:pPr>
      <w:r>
        <w:rPr>
          <w:rFonts w:ascii="Arial" w:cs="Arial" w:eastAsia="Arial" w:hAnsi="Arial"/>
          <w:sz w:val="18"/>
          <w:szCs w:val="18"/>
          <w:color w:val="auto"/>
        </w:rPr>
        <w:t>Assumes a $100 investment, on December 31, 2004, in (i) our common stock, (ii) the securities comprising the Nasdaq Composite Index and (iii) the securities comprising the Nasdaq Biotechnology Index.</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700" w:firstLine="222"/>
        <w:spacing w:after="0" w:line="312" w:lineRule="auto"/>
        <w:rPr>
          <w:sz w:val="20"/>
          <w:szCs w:val="20"/>
          <w:color w:val="auto"/>
        </w:rPr>
      </w:pPr>
      <w:r>
        <w:rPr>
          <w:rFonts w:ascii="Arial" w:cs="Arial" w:eastAsia="Arial" w:hAnsi="Arial"/>
          <w:sz w:val="16"/>
          <w:szCs w:val="16"/>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700" w:right="900" w:firstLine="222"/>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notes thereto and with “Management’s Discussion and Analysis of Financial Condition and Results of Operations,” which are included elsewhere in this Annual Report on Form 10-K.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2006</w:t>
            </w:r>
          </w:p>
        </w:tc>
        <w:tc>
          <w:tcPr>
            <w:tcW w:w="5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72"/>
              </w:rPr>
              <w:t>thousands,</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3"/>
            <w:vMerge w:val="continue"/>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except per</w:t>
            </w:r>
          </w:p>
        </w:tc>
        <w:tc>
          <w:tcPr>
            <w:tcW w:w="126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70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191,796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256,844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250,442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156,331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22,775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50,523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55,343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118,122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233,797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307,367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305,785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209,778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70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(118,122)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0"/>
              </w:rPr>
              <w:t>(233,697)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0"/>
              </w:rPr>
              <w:t>(307,357)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(305,765)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(209,778)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Interest expense on note payable to principal</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(5,679)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(114,337)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(230,543)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88"/>
              </w:rPr>
              <w:t>(293,187)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(303,037)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(220,104)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(114,338)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(230,548)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88"/>
              </w:rPr>
              <w:t>(293,190)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(303,039)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(220,104)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Deemed dividends related to beneficial</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conversion feature of convertible preferred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700"/>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(114,338</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(230,548</w:t>
            </w:r>
          </w:p>
        </w:tc>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(293,190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(303,039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(220,104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500" w:type="dxa"/>
            <w:vAlign w:val="bottom"/>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40" w:type="dxa"/>
            <w:vAlign w:val="bottom"/>
            <w:gridSpan w:val="3"/>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(3.66)</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ind w:left="700"/>
              <w:spacing w:after="0"/>
              <w:rPr>
                <w:sz w:val="20"/>
                <w:szCs w:val="20"/>
                <w:color w:val="auto"/>
              </w:rPr>
            </w:pPr>
            <w:r>
              <w:rPr>
                <w:rFonts w:ascii="Arial" w:cs="Arial" w:eastAsia="Arial" w:hAnsi="Arial"/>
                <w:sz w:val="18"/>
                <w:szCs w:val="18"/>
                <w:color w:val="auto"/>
                <w:w w:val="89"/>
              </w:rPr>
              <w:t>Shares used to compute basic and diluted net loss</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39,871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50,970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80,038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101,561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106,534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w w:val="95"/>
              </w:rPr>
              <w:t>As of December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jc w:val="center"/>
              <w:ind w:left="32"/>
              <w:spacing w:after="0" w:line="155" w:lineRule="exact"/>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4"/>
          </w:tcPr>
          <w:p>
            <w:pPr>
              <w:jc w:val="right"/>
              <w:ind w:right="211"/>
              <w:spacing w:after="0" w:line="155"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right"/>
              <w:ind w:right="211"/>
              <w:spacing w:after="0" w:line="155"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marketable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$ 145,634</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$ 436,479</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368,285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46,492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Working capital</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128,507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404,588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311,154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228,371</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539,737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543,443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282,459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247,397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Deferred compensation and other liabilities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111,267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111,761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112,253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112,765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Deficit accumulated during the development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stage</w:t>
            </w:r>
          </w:p>
        </w:tc>
        <w:tc>
          <w:tcPr>
            <w:tcW w:w="116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(557,301)</w:t>
            </w:r>
          </w:p>
        </w:tc>
        <w:tc>
          <w:tcPr>
            <w:tcW w:w="60" w:type="dxa"/>
            <w:vAlign w:val="bottom"/>
            <w:shd w:val="clear" w:color="auto" w:fill="CCEEFF"/>
          </w:tcPr>
          <w:p>
            <w:pPr>
              <w:spacing w:after="0"/>
              <w:rPr>
                <w:sz w:val="20"/>
                <w:szCs w:val="20"/>
                <w:color w:val="auto"/>
              </w:rPr>
            </w:pPr>
          </w:p>
        </w:tc>
        <w:tc>
          <w:tcPr>
            <w:tcW w:w="118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color w:val="auto"/>
              </w:rPr>
              <w:t>(787,849)</w:t>
            </w:r>
          </w:p>
        </w:tc>
        <w:tc>
          <w:tcPr>
            <w:tcW w:w="80" w:type="dxa"/>
            <w:vAlign w:val="bottom"/>
            <w:shd w:val="clear" w:color="auto" w:fill="CCEEFF"/>
          </w:tcPr>
          <w:p>
            <w:pPr>
              <w:spacing w:after="0"/>
              <w:rPr>
                <w:sz w:val="20"/>
                <w:szCs w:val="20"/>
                <w:color w:val="auto"/>
              </w:rPr>
            </w:pPr>
          </w:p>
        </w:tc>
        <w:tc>
          <w:tcPr>
            <w:tcW w:w="118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(1,081,039)</w:t>
            </w:r>
          </w:p>
        </w:tc>
        <w:tc>
          <w:tcPr>
            <w:tcW w:w="18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(1,384,078)</w:t>
            </w:r>
          </w:p>
        </w:tc>
        <w:tc>
          <w:tcPr>
            <w:tcW w:w="22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(1,604,182)</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206,977</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383,487</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364,100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86,734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(59,221)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-5558790</wp:posOffset>
            </wp:positionV>
            <wp:extent cx="17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-1887855</wp:posOffset>
            </wp:positionV>
            <wp:extent cx="17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700" w:right="400" w:firstLine="222"/>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00" w:firstLine="222"/>
        <w:spacing w:after="0" w:line="269" w:lineRule="auto"/>
        <w:rPr>
          <w:sz w:val="20"/>
          <w:szCs w:val="20"/>
          <w:color w:val="auto"/>
        </w:rPr>
      </w:pPr>
      <w:r>
        <w:rPr>
          <w:rFonts w:ascii="Arial" w:cs="Arial" w:eastAsia="Arial" w:hAnsi="Arial"/>
          <w:sz w:val="17"/>
          <w:szCs w:val="17"/>
          <w:color w:val="auto"/>
        </w:rPr>
        <w:t>We are a biopharmaceutical company focused on the discovery, development and commercialization of therapeutic products for diseases such as diabetes and cancer. Our lead product candidate, AFREZZA, is an ultra rapid-acting insulin. In March 2009, we submitted an NDA to the FDA requesting approval of AFREZZA for the treatment of adults with type 1 or type 2 diabetes for the control of hyperglycemia. The FDA accepted our NDA for filing in May 2009. 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 As recommended by the FDA, we will request an End-of-Review meeting with the agency to discuss our approach for resolving the remaining issues. There can be no assurances that we will be able to satisfy all of the FDA’s requirements with currently available data or that the FDA will find our proposed approach acceptable. The FDA could also request that we conduct additional clinical trials to provide sufficient data for approval of the NDA. No assurances can be made that we will obtain approval of the NDA in a timely manner or at all.</w:t>
      </w:r>
    </w:p>
    <w:p>
      <w:pPr>
        <w:spacing w:after="0" w:line="75" w:lineRule="exact"/>
        <w:rPr>
          <w:sz w:val="20"/>
          <w:szCs w:val="20"/>
          <w:color w:val="auto"/>
        </w:rPr>
      </w:pPr>
    </w:p>
    <w:p>
      <w:pPr>
        <w:ind w:left="700" w:firstLine="222"/>
        <w:spacing w:after="0" w:line="257"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December 31, 2009, we have incurred a cumulative net loss of $1.6 billion and accumulated deficit in stockholders’ equity of $59.2 million. To date, we have not generated any product revenues and have funded our operations primarily through the sale of equity securities and convertible debt securities. As discussed below in “Liquidity and Capital Resources,” if we are unable to obtain additional funding in the future, there will be substantial doubt about our ability to continue as a going concern.</w:t>
      </w:r>
    </w:p>
    <w:p>
      <w:pPr>
        <w:spacing w:after="0" w:line="80" w:lineRule="exact"/>
        <w:rPr>
          <w:sz w:val="20"/>
          <w:szCs w:val="20"/>
          <w:color w:val="auto"/>
        </w:rPr>
      </w:pPr>
    </w:p>
    <w:p>
      <w:pPr>
        <w:ind w:left="700" w:firstLine="222"/>
        <w:spacing w:after="0" w:line="286"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57" w:lineRule="exact"/>
        <w:rPr>
          <w:sz w:val="20"/>
          <w:szCs w:val="20"/>
          <w:color w:val="auto"/>
        </w:rPr>
      </w:pPr>
    </w:p>
    <w:p>
      <w:pPr>
        <w:ind w:left="700" w:right="40" w:firstLine="222"/>
        <w:spacing w:after="0" w:line="259"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79" w:lineRule="exact"/>
        <w:rPr>
          <w:sz w:val="20"/>
          <w:szCs w:val="20"/>
          <w:color w:val="auto"/>
        </w:rPr>
      </w:pPr>
    </w:p>
    <w:p>
      <w:pPr>
        <w:ind w:left="1080" w:hanging="198"/>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AFREZZA and new inhalation systems for the treatment of diabetes;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AFREZZA in the United States and other markets;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increase our manufacturing capacity for AFREZZA to meet our currently anticipated commercial production needs;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expand our cancer research, discovery and development programs;</w:t>
      </w:r>
    </w:p>
    <w:p>
      <w:pPr>
        <w:spacing w:after="0" w:line="130" w:lineRule="exact"/>
        <w:rPr>
          <w:rFonts w:ascii="Arial" w:cs="Arial" w:eastAsia="Arial" w:hAnsi="Arial"/>
          <w:sz w:val="18"/>
          <w:szCs w:val="18"/>
          <w:b w:val="1"/>
          <w:bCs w:val="1"/>
          <w:color w:val="auto"/>
        </w:rPr>
      </w:pPr>
    </w:p>
    <w:p>
      <w:pPr>
        <w:ind w:left="1080" w:right="140" w:hanging="198"/>
        <w:spacing w:after="0" w:line="277" w:lineRule="auto"/>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expand our proprietary Technosphere platform technology and develop additional applications for the pulmonary delivery of other drugs; and</w:t>
      </w:r>
    </w:p>
    <w:p>
      <w:pPr>
        <w:spacing w:after="0" w:line="75" w:lineRule="exact"/>
        <w:rPr>
          <w:rFonts w:ascii="Arial" w:cs="Arial" w:eastAsia="Arial" w:hAnsi="Arial"/>
          <w:sz w:val="18"/>
          <w:szCs w:val="18"/>
          <w:b w:val="1"/>
          <w:bCs w:val="1"/>
          <w:color w:val="auto"/>
        </w:rPr>
      </w:pPr>
    </w:p>
    <w:p>
      <w:pPr>
        <w:ind w:left="1080" w:right="20" w:hanging="198"/>
        <w:spacing w:after="0" w:line="277" w:lineRule="auto"/>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ind w:left="700" w:right="180" w:firstLine="225"/>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700" w:right="20" w:firstLine="225"/>
        <w:spacing w:after="0" w:line="271"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year ended December 31, 2009 were purchases of insulin totaling $12.1 million.</w:t>
      </w:r>
    </w:p>
    <w:p>
      <w:pPr>
        <w:spacing w:after="0" w:line="71" w:lineRule="exact"/>
        <w:rPr>
          <w:sz w:val="20"/>
          <w:szCs w:val="20"/>
          <w:color w:val="auto"/>
        </w:rPr>
      </w:pPr>
    </w:p>
    <w:p>
      <w:pPr>
        <w:ind w:left="700" w:right="360" w:firstLine="225"/>
        <w:spacing w:after="0" w:line="312" w:lineRule="auto"/>
        <w:rPr>
          <w:sz w:val="20"/>
          <w:szCs w:val="20"/>
          <w:color w:val="auto"/>
        </w:rPr>
      </w:pPr>
      <w:r>
        <w:rPr>
          <w:rFonts w:ascii="Arial" w:cs="Arial" w:eastAsia="Arial" w:hAnsi="Arial"/>
          <w:sz w:val="16"/>
          <w:szCs w:val="16"/>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39" w:lineRule="exact"/>
        <w:rPr>
          <w:sz w:val="20"/>
          <w:szCs w:val="20"/>
          <w:color w:val="auto"/>
        </w:rPr>
      </w:pPr>
    </w:p>
    <w:p>
      <w:pPr>
        <w:ind w:left="700" w:right="100" w:firstLine="225"/>
        <w:spacing w:after="0" w:line="276" w:lineRule="auto"/>
        <w:rPr>
          <w:sz w:val="20"/>
          <w:szCs w:val="20"/>
          <w:color w:val="auto"/>
        </w:rPr>
      </w:pPr>
      <w:r>
        <w:rPr>
          <w:rFonts w:ascii="Arial" w:cs="Arial" w:eastAsia="Arial" w:hAnsi="Arial"/>
          <w:sz w:val="17"/>
          <w:szCs w:val="17"/>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64" w:lineRule="exact"/>
        <w:rPr>
          <w:sz w:val="20"/>
          <w:szCs w:val="20"/>
          <w:color w:val="auto"/>
        </w:rPr>
      </w:pPr>
    </w:p>
    <w:p>
      <w:pPr>
        <w:ind w:left="700" w:right="200" w:firstLine="215"/>
        <w:spacing w:after="0" w:line="302" w:lineRule="auto"/>
        <w:rPr>
          <w:sz w:val="20"/>
          <w:szCs w:val="20"/>
          <w:color w:val="auto"/>
        </w:rPr>
      </w:pPr>
      <w:r>
        <w:rPr>
          <w:rFonts w:ascii="Arial" w:cs="Arial" w:eastAsia="Arial" w:hAnsi="Arial"/>
          <w:sz w:val="16"/>
          <w:szCs w:val="16"/>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manufacturing process and discussions with the FDA regarding its requirements.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700" w:right="440" w:firstLine="225"/>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700" w:firstLine="222"/>
        <w:spacing w:after="0" w:line="271" w:lineRule="auto"/>
        <w:rPr>
          <w:sz w:val="20"/>
          <w:szCs w:val="20"/>
          <w:color w:val="auto"/>
        </w:rPr>
      </w:pPr>
      <w:r>
        <w:rPr>
          <w:rFonts w:ascii="Arial" w:cs="Arial" w:eastAsia="Arial" w:hAnsi="Arial"/>
          <w:sz w:val="17"/>
          <w:szCs w:val="17"/>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700" w:right="140" w:firstLine="215"/>
        <w:spacing w:after="0" w:line="279" w:lineRule="auto"/>
        <w:rPr>
          <w:sz w:val="20"/>
          <w:szCs w:val="20"/>
          <w:color w:val="auto"/>
        </w:rPr>
      </w:pPr>
      <w:r>
        <w:rPr>
          <w:rFonts w:ascii="Arial" w:cs="Arial" w:eastAsia="Arial" w:hAnsi="Arial"/>
          <w:sz w:val="17"/>
          <w:szCs w:val="17"/>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3" w:lineRule="exact"/>
        <w:rPr>
          <w:sz w:val="20"/>
          <w:szCs w:val="20"/>
          <w:color w:val="auto"/>
        </w:rPr>
      </w:pPr>
    </w:p>
    <w:p>
      <w:pPr>
        <w:ind w:left="5560" w:right="3540" w:hanging="4678"/>
        <w:spacing w:after="0" w:line="496" w:lineRule="auto"/>
        <w:tabs>
          <w:tab w:leader="none" w:pos="1064"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significant changes in our strategic business objectives and utilization of the assets;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tabs>
          <w:tab w:leader="none" w:pos="10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 determination that the carrying value of such assets cannot be recovered through undiscounted cash flows;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loss of legal ownership or title to the assets; or</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impact of significant negative industry or economic trends.</w:t>
      </w:r>
    </w:p>
    <w:p>
      <w:pPr>
        <w:spacing w:after="0" w:line="117"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80" w:lineRule="exact"/>
        <w:rPr>
          <w:sz w:val="20"/>
          <w:szCs w:val="20"/>
          <w:color w:val="auto"/>
        </w:rPr>
      </w:pPr>
    </w:p>
    <w:p>
      <w:pPr>
        <w:jc w:val="both"/>
        <w:ind w:left="700" w:right="460" w:firstLine="222"/>
        <w:spacing w:after="0" w:line="264" w:lineRule="auto"/>
        <w:rPr>
          <w:sz w:val="20"/>
          <w:szCs w:val="20"/>
          <w:color w:val="auto"/>
        </w:rPr>
      </w:pPr>
      <w:r>
        <w:rPr>
          <w:rFonts w:ascii="Arial" w:cs="Arial" w:eastAsia="Arial" w:hAnsi="Arial"/>
          <w:sz w:val="18"/>
          <w:szCs w:val="18"/>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Clinical trial expenses</w:t>
      </w:r>
    </w:p>
    <w:p>
      <w:pPr>
        <w:spacing w:after="0" w:line="121"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6"/>
          <w:szCs w:val="16"/>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700" w:right="20" w:firstLine="222"/>
        <w:spacing w:after="0" w:line="273" w:lineRule="auto"/>
        <w:rPr>
          <w:sz w:val="20"/>
          <w:szCs w:val="20"/>
          <w:color w:val="auto"/>
        </w:rPr>
      </w:pPr>
      <w:r>
        <w:rPr>
          <w:rFonts w:ascii="Arial" w:cs="Arial" w:eastAsia="Arial" w:hAnsi="Arial"/>
          <w:sz w:val="17"/>
          <w:szCs w:val="17"/>
          <w:color w:val="auto"/>
        </w:rPr>
        <w:t xml:space="preserve">We account for stock-based compensation in accordance with Financial Accounting Standards Board (“FASB”) Accounting Standards Codification (“ASC”) 718 (“ASC 718”) </w:t>
      </w:r>
      <w:r>
        <w:rPr>
          <w:rFonts w:ascii="Arial" w:cs="Arial" w:eastAsia="Arial" w:hAnsi="Arial"/>
          <w:sz w:val="17"/>
          <w:szCs w:val="17"/>
          <w:i w:val="1"/>
          <w:iCs w:val="1"/>
          <w:color w:val="auto"/>
        </w:rPr>
        <w:t>Compensation- Stock Compensation</w:t>
      </w:r>
      <w:r>
        <w:rPr>
          <w:rFonts w:ascii="Arial" w:cs="Arial" w:eastAsia="Arial" w:hAnsi="Arial"/>
          <w:sz w:val="17"/>
          <w:szCs w:val="17"/>
          <w:color w:val="auto"/>
        </w:rPr>
        <w:t xml:space="preserve">, previously FASB Statement No. 123R,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Stock-Based Compensation</w:t>
      </w:r>
      <w:r>
        <w:rPr>
          <w:rFonts w:ascii="Arial" w:cs="Arial" w:eastAsia="Arial" w:hAnsi="Arial"/>
          <w:sz w:val="17"/>
          <w:szCs w:val="17"/>
          <w:color w:val="auto"/>
        </w:rPr>
        <w:t>. ASC 718 requires all share-based payments to employees, including grants of stock options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compensatory elements of employee stock purchase plans, to be recognized in the income statement based upon the fair value of the awards at the grant date. We use the Black-Scholes option valuation model to estimate the grant date fair value of employee stock options and the compensatory elements of employee stock purchase plans.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Accounting for income taxes</w:t>
      </w:r>
    </w:p>
    <w:p>
      <w:pPr>
        <w:spacing w:after="0" w:line="121" w:lineRule="exact"/>
        <w:rPr>
          <w:sz w:val="20"/>
          <w:szCs w:val="20"/>
          <w:color w:val="auto"/>
        </w:rPr>
      </w:pPr>
    </w:p>
    <w:p>
      <w:pPr>
        <w:ind w:left="700" w:right="100" w:firstLine="222"/>
        <w:spacing w:after="0" w:line="255" w:lineRule="auto"/>
        <w:rPr>
          <w:sz w:val="20"/>
          <w:szCs w:val="20"/>
          <w:color w:val="auto"/>
        </w:rPr>
      </w:pPr>
      <w:r>
        <w:rPr>
          <w:rFonts w:ascii="Arial" w:cs="Arial" w:eastAsia="Arial" w:hAnsi="Arial"/>
          <w:sz w:val="18"/>
          <w:szCs w:val="18"/>
          <w:color w:val="auto"/>
        </w:rPr>
        <w:t>We must make management judgments when determining our provision for income taxes, our deferred tax assets and liabilities and any valuation allowance recorded against our net deferred tax assets. At December 31, 2009, we have established a valuation allowance of $575.7 million against all of our net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December 31, 2009 and 2008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700" w:right="160" w:firstLine="225"/>
        <w:spacing w:after="0" w:line="264" w:lineRule="auto"/>
        <w:rPr>
          <w:sz w:val="20"/>
          <w:szCs w:val="20"/>
          <w:color w:val="auto"/>
        </w:rPr>
      </w:pPr>
      <w:r>
        <w:rPr>
          <w:rFonts w:ascii="Arial" w:cs="Arial" w:eastAsia="Arial" w:hAnsi="Arial"/>
          <w:sz w:val="18"/>
          <w:szCs w:val="18"/>
          <w:color w:val="auto"/>
        </w:rPr>
        <w:t>During the year ended December 31, 2009 we recognized no revenue, and during the year ended December 31, 2008, we recognized $20,000 in revenue under a license agreement. We do not anticipate sales of any product prior to regulatory approval and commercialization of AFREZZA.</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2009 and 2008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300" w:type="dxa"/>
            <w:vAlign w:val="bottom"/>
            <w:vMerge w:val="restart"/>
          </w:tcPr>
          <w:p>
            <w:pPr>
              <w:spacing w:after="0"/>
              <w:rPr>
                <w:sz w:val="14"/>
                <w:szCs w:val="14"/>
                <w:color w:val="auto"/>
              </w:rPr>
            </w:pPr>
          </w:p>
        </w:tc>
        <w:tc>
          <w:tcPr>
            <w:tcW w:w="108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 C</w:t>
            </w:r>
            <w:r>
              <w:rPr>
                <w:rFonts w:ascii="Arial" w:cs="Arial" w:eastAsia="Arial" w:hAnsi="Arial"/>
                <w:sz w:val="14"/>
                <w:szCs w:val="14"/>
                <w:b w:val="1"/>
                <w:bCs w:val="1"/>
                <w:color w:val="auto"/>
              </w:rPr>
              <w:t>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$ 114,922</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$(70,759)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Manufacturing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82,116</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92,935</w:t>
            </w:r>
          </w:p>
        </w:tc>
        <w:tc>
          <w:tcPr>
            <w:tcW w:w="32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(10,819)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(10,822)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(1,322)</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(1,846)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(2,235)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156,331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$250,442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 (94,111)</w:t>
            </w: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20" w:firstLine="222"/>
        <w:spacing w:after="0" w:line="271" w:lineRule="auto"/>
        <w:rPr>
          <w:sz w:val="20"/>
          <w:szCs w:val="20"/>
          <w:color w:val="auto"/>
        </w:rPr>
      </w:pPr>
      <w:r>
        <w:rPr>
          <w:rFonts w:ascii="Arial" w:cs="Arial" w:eastAsia="Arial" w:hAnsi="Arial"/>
          <w:sz w:val="17"/>
          <w:szCs w:val="17"/>
          <w:color w:val="auto"/>
        </w:rPr>
        <w:t>The decrease in research and development expenses for the year ended December 31, 2009, as compared to the year ended December 31, 2008, was primarily due to decreased costs associated with the clinical development of AFREZZA as we completed our pivotal AFREZZA trials during 2008, including decreased raw material purchases and clinical supplies costs, offset by a loss on disposal of approximately $12.8 million in manufacturing expense related to the abandonment of MedTone specific assets, which would no longer be used as we pursue the commercialization of the next-generation device. The decrease in research expenses reflects reduced salary-related and other research costs as a result of a reduction in force that we implemented in April 2009. We anticipate that our research and development expenses will increase in 2010 as a result of our obligation to purchase an increased amount of insulin as well as increased costs associated with the development of our commercial inhaler.</w:t>
      </w:r>
    </w:p>
    <w:p>
      <w:pPr>
        <w:spacing w:after="0" w:line="71" w:lineRule="exact"/>
        <w:rPr>
          <w:sz w:val="20"/>
          <w:szCs w:val="20"/>
          <w:color w:val="auto"/>
        </w:rPr>
      </w:pPr>
    </w:p>
    <w:p>
      <w:pPr>
        <w:ind w:left="700" w:right="140" w:firstLine="222"/>
        <w:spacing w:after="0" w:line="255" w:lineRule="auto"/>
        <w:rPr>
          <w:sz w:val="20"/>
          <w:szCs w:val="20"/>
          <w:color w:val="auto"/>
        </w:rPr>
      </w:pPr>
      <w:r>
        <w:rPr>
          <w:rFonts w:ascii="Arial" w:cs="Arial" w:eastAsia="Arial" w:hAnsi="Arial"/>
          <w:sz w:val="18"/>
          <w:szCs w:val="18"/>
          <w:color w:val="auto"/>
        </w:rPr>
        <w:t>The research and development tax credit recognized for the years ended December 31, 2009 and 2008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2009 and 2008, research and development expenses were offset by $1.3 million and $1.8 million, respectively, in connection with the program.</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2009 and 2008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$45,343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8,104</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10,443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(2,339)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(1,896)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right="840" w:firstLine="222"/>
        <w:spacing w:after="0" w:line="308" w:lineRule="auto"/>
        <w:rPr>
          <w:sz w:val="20"/>
          <w:szCs w:val="20"/>
          <w:color w:val="auto"/>
        </w:rPr>
      </w:pPr>
      <w:r>
        <w:rPr>
          <w:rFonts w:ascii="Arial" w:cs="Arial" w:eastAsia="Arial" w:hAnsi="Arial"/>
          <w:sz w:val="17"/>
          <w:szCs w:val="17"/>
          <w:color w:val="auto"/>
        </w:rPr>
        <w:t>The decrease in general and administrative expenses for the year ended December 31, 2009, as compared to the year ended December 31, 2008, was primarily due to decreased stock compensation expense and the purchase of</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000"/>
        <w:spacing w:after="0" w:line="264" w:lineRule="auto"/>
        <w:rPr>
          <w:sz w:val="20"/>
          <w:szCs w:val="20"/>
          <w:color w:val="auto"/>
        </w:rPr>
      </w:pPr>
      <w:r>
        <w:rPr>
          <w:rFonts w:ascii="Arial" w:cs="Arial" w:eastAsia="Arial" w:hAnsi="Arial"/>
          <w:sz w:val="18"/>
          <w:szCs w:val="18"/>
          <w:color w:val="auto"/>
        </w:rPr>
        <w:t>patents from Emisphere Technologies, Inc. during the first quarter of 2008, offset by increased professional fees related to the recently completed transaction with Pfizer during the second quarter of 2009 and partnership efforts during the third quarter of 2009. We expect general and administrative expenses to remain effectively the same in 2010.</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left="700" w:right="840" w:firstLine="225"/>
        <w:spacing w:after="0" w:line="297" w:lineRule="auto"/>
        <w:rPr>
          <w:sz w:val="20"/>
          <w:szCs w:val="20"/>
          <w:color w:val="auto"/>
        </w:rPr>
      </w:pPr>
      <w:r>
        <w:rPr>
          <w:rFonts w:ascii="Arial" w:cs="Arial" w:eastAsia="Arial" w:hAnsi="Arial"/>
          <w:sz w:val="16"/>
          <w:szCs w:val="16"/>
          <w:color w:val="auto"/>
        </w:rPr>
        <w:t>Interest income for the year ended December 31, 2009 decreased $5.1 million as compared to the year ended December 31, 2008 primarily due to lower cash and cash equivalent balances as we used cash to fund operating and capital expenditures. Interest expense for the year ended December 31, 2008 was related to the convertible notes issued in December 2006 and amortization of the debt issuance costs, partially offset by capitalized interest related to construction in progress. Interest expense for the year ended December 31, 2009 also included interest related to amounts borrowed under the loan agreement with our principal stockholder in December 2008.</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December 31, 2008 and 2007</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700" w:right="1120" w:firstLine="225"/>
        <w:spacing w:after="0" w:line="277" w:lineRule="auto"/>
        <w:rPr>
          <w:sz w:val="20"/>
          <w:szCs w:val="20"/>
          <w:color w:val="auto"/>
        </w:rPr>
      </w:pPr>
      <w:r>
        <w:rPr>
          <w:rFonts w:ascii="Arial" w:cs="Arial" w:eastAsia="Arial" w:hAnsi="Arial"/>
          <w:sz w:val="18"/>
          <w:szCs w:val="18"/>
          <w:color w:val="auto"/>
        </w:rPr>
        <w:t>During the year ended December 31, 2008 and 2007, we recognized $20,000 and $10,000, respectively, in revenue under a license agreement.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a comparison of the research and development expense categories for the years ended December 31,</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2008 and 2007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$ 114,922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$124,655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(9,733)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Manufacturing</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92,935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86,473</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6,462</w:t>
            </w:r>
          </w:p>
        </w:tc>
        <w:tc>
          <w:tcPr>
            <w:tcW w:w="3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(6,639)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80" w:type="dxa"/>
            <w:vAlign w:val="bottom"/>
            <w:gridSpan w:val="3"/>
          </w:tcPr>
          <w:p>
            <w:pPr>
              <w:jc w:val="right"/>
              <w:ind w:right="260"/>
              <w:spacing w:after="0"/>
              <w:rPr>
                <w:sz w:val="20"/>
                <w:szCs w:val="20"/>
                <w:color w:val="auto"/>
              </w:rPr>
            </w:pPr>
            <w:r>
              <w:rPr>
                <w:rFonts w:ascii="Arial" w:cs="Arial" w:eastAsia="Arial" w:hAnsi="Arial"/>
                <w:sz w:val="18"/>
                <w:szCs w:val="18"/>
                <w:color w:val="auto"/>
              </w:rPr>
              <w:t>(1,846)</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(753)</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(1,093)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$250,442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$256,844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 (6,402)</w:t>
            </w:r>
          </w:p>
        </w:tc>
        <w:tc>
          <w:tcPr>
            <w:tcW w:w="3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1040" w:firstLine="222"/>
        <w:spacing w:after="0" w:line="257" w:lineRule="auto"/>
        <w:rPr>
          <w:sz w:val="20"/>
          <w:szCs w:val="20"/>
          <w:color w:val="auto"/>
        </w:rPr>
      </w:pPr>
      <w:r>
        <w:rPr>
          <w:rFonts w:ascii="Arial" w:cs="Arial" w:eastAsia="Arial" w:hAnsi="Arial"/>
          <w:sz w:val="18"/>
          <w:szCs w:val="18"/>
          <w:color w:val="auto"/>
        </w:rPr>
        <w:t>The decrease in research and development expenses for the year ended December 31, 2008, as compared to the year ended December 31, 2007, was primarily due to decreased costs associated with the clinical development of AFREZZA as we completed our pivotal AFREZZA trials during 2008, offset by increases in manufacturing costs associated with preparations for commercial scale manufacturing of AFREZZA, including the expansion, qualification and validation of our commercial manufacturing processes and facilities.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years ended December 31, 2008 and 2007, research and development expenses were offset by $1.8 million and</w:t>
      </w:r>
    </w:p>
    <w:p>
      <w:pPr>
        <w:spacing w:after="0" w:line="23" w:lineRule="exact"/>
        <w:rPr>
          <w:sz w:val="20"/>
          <w:szCs w:val="20"/>
          <w:color w:val="auto"/>
        </w:rPr>
      </w:pPr>
    </w:p>
    <w:p>
      <w:pPr>
        <w:ind w:left="700" w:right="980"/>
        <w:spacing w:after="0" w:line="261" w:lineRule="auto"/>
        <w:rPr>
          <w:sz w:val="20"/>
          <w:szCs w:val="20"/>
          <w:color w:val="auto"/>
        </w:rPr>
      </w:pPr>
      <w:r>
        <w:rPr>
          <w:rFonts w:ascii="Arial" w:cs="Arial" w:eastAsia="Arial" w:hAnsi="Arial"/>
          <w:sz w:val="18"/>
          <w:szCs w:val="18"/>
          <w:color w:val="auto"/>
        </w:rPr>
        <w:t>$0.8 million, respectively, in connection with the Connecticut program to exchange certain research and development income tax credit carryforwards for cash.</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a comparison of the general and administrative expense categories for the years ended December 31,</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2008 and 2007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Salaries, employee related and other general expenses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$42,627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$50,523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60" w:firstLine="222"/>
        <w:spacing w:after="0" w:line="277" w:lineRule="auto"/>
        <w:rPr>
          <w:sz w:val="20"/>
          <w:szCs w:val="20"/>
          <w:color w:val="auto"/>
        </w:rPr>
      </w:pPr>
      <w:r>
        <w:rPr>
          <w:rFonts w:ascii="Arial" w:cs="Arial" w:eastAsia="Arial" w:hAnsi="Arial"/>
          <w:sz w:val="18"/>
          <w:szCs w:val="18"/>
          <w:color w:val="auto"/>
        </w:rPr>
        <w:t>The increase in general and administrative expenses for the year ended December 31, 2008, as compared to the year ended December 31, 2007, was primarily due to increased salary-related expenses and consulting fees.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left="700" w:right="220" w:firstLine="225"/>
        <w:spacing w:after="0" w:line="297" w:lineRule="auto"/>
        <w:rPr>
          <w:sz w:val="20"/>
          <w:szCs w:val="20"/>
          <w:color w:val="auto"/>
        </w:rPr>
      </w:pPr>
      <w:r>
        <w:rPr>
          <w:rFonts w:ascii="Arial" w:cs="Arial" w:eastAsia="Arial" w:hAnsi="Arial"/>
          <w:sz w:val="16"/>
          <w:szCs w:val="16"/>
          <w:color w:val="auto"/>
        </w:rPr>
        <w:t>Interest income for the year ended December 31, 2008 decreased $12.6 million as compared to the year ended December 31, 2007 primarily due to lower cash balances as we used cash to fund operating and capital expenditures. Interest expense for the year ended December 31, 2007 was related to the convertible notes issued in December 2006 and amortization of the debt issuance costs, partially offset by capitalized interest related to construction in progress. Interest expense for the year ended December 31, 2008 also included interest related to amounts borrowed under the loan agreement with our principal stockholder in December 2008.</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700" w:right="260" w:firstLine="222"/>
        <w:spacing w:after="0" w:line="277" w:lineRule="auto"/>
        <w:rPr>
          <w:sz w:val="20"/>
          <w:szCs w:val="20"/>
          <w:color w:val="auto"/>
        </w:rPr>
      </w:pPr>
      <w:r>
        <w:rPr>
          <w:rFonts w:ascii="Arial" w:cs="Arial" w:eastAsia="Arial" w:hAnsi="Arial"/>
          <w:sz w:val="18"/>
          <w:szCs w:val="18"/>
          <w:color w:val="auto"/>
        </w:rPr>
        <w:t>We have funded our operations primarily through the sale of equity securities and convertible debt securities and borrowings under our related party loan.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October 2007, we entered into a loan arrangement with our principal stockholder allowing us to borrow up to a total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$350.0 million. On February 26, 2009, as a result of our principal stockholder being licensed as a finance lender under the California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Finance Lenders Law, the promissory note underlying the loan arrangement was revised to reflect the lender as The Mann Group LLC,</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 entity controlled by our principal stockholder. Interest will accrue on each outstanding advance at a fixed rate equal to the one-year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arrears. Principal repayment is due on December 31, 2011. At any time after January 1, 2010, the lender can require us to prepay up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$200.0 million in advances that have been outstanding for at least 12 months. If the lender exercises this right, we will have until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earlier of 180 days after the lender provides written notice or December 31, 2011 to prepay such advances. The principal stockholder has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agreed not to exercise his prepayment right if such prepayment would require the use of existing working capital resources to repay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loan. In the event of a default, all unpaid principal and interest either becomes immediately due and payable or may be accelerated at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lender’s option, and the interest rate will increase to the one-year LIBOR rate calculated on the date of the initial advance or in effect 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date of default, whichever is greater, plus 5% per annum. Any borrowings under the loan arrangement will be unsecured. The loan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arrangement contains no financial covenants. There are no warrants associated with the loan arrangement, nor are advances convertible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into our common stock. As of December 31, 2009, the amount borrowed and outstanding under the arrangement was $165.0 million.</w:t>
      </w:r>
    </w:p>
    <w:p>
      <w:pPr>
        <w:spacing w:after="0" w:line="126" w:lineRule="exact"/>
        <w:rPr>
          <w:sz w:val="20"/>
          <w:szCs w:val="20"/>
          <w:color w:val="auto"/>
        </w:rPr>
      </w:pPr>
    </w:p>
    <w:p>
      <w:pPr>
        <w:ind w:left="700" w:right="80" w:firstLine="225"/>
        <w:spacing w:after="0" w:line="302" w:lineRule="auto"/>
        <w:rPr>
          <w:sz w:val="20"/>
          <w:szCs w:val="20"/>
          <w:color w:val="auto"/>
        </w:rPr>
      </w:pPr>
      <w:r>
        <w:rPr>
          <w:rFonts w:ascii="Arial" w:cs="Arial" w:eastAsia="Arial" w:hAnsi="Arial"/>
          <w:sz w:val="16"/>
          <w:szCs w:val="16"/>
          <w:color w:val="auto"/>
        </w:rPr>
        <w:t>During the year ended December 31, 2009, we used $184.1 million of cash for our operations compared to using $271.3 million for our operations in the year ended December 31, 2008. We had a net loss of $220.1 million for the year ended December 31, 2009, of which $38.9 million consisted of non-cash charges such as depreciation and amortization, and stock-based compensation. We expect our negative operating cash flow to continue at least until we obtain regulatory approval and achieve commercialization of AFREZZA.</w:t>
      </w:r>
    </w:p>
    <w:p>
      <w:pPr>
        <w:spacing w:after="0" w:line="46" w:lineRule="exact"/>
        <w:rPr>
          <w:sz w:val="20"/>
          <w:szCs w:val="20"/>
          <w:color w:val="auto"/>
        </w:rPr>
      </w:pPr>
    </w:p>
    <w:p>
      <w:pPr>
        <w:jc w:val="both"/>
        <w:ind w:left="700" w:firstLine="222"/>
        <w:spacing w:after="0" w:line="259" w:lineRule="auto"/>
        <w:rPr>
          <w:sz w:val="20"/>
          <w:szCs w:val="20"/>
          <w:color w:val="auto"/>
        </w:rPr>
      </w:pPr>
      <w:r>
        <w:rPr>
          <w:rFonts w:ascii="Arial" w:cs="Arial" w:eastAsia="Arial" w:hAnsi="Arial"/>
          <w:sz w:val="18"/>
          <w:szCs w:val="18"/>
          <w:color w:val="auto"/>
        </w:rPr>
        <w:t>We used $3.1 million of cash in investing activities during the year ended December 31, 2009, compared to $99.9 million for the years ended December 31, 2008. For the years ended December 31, 2009 and 2008, $18.9 million and $82.5 million, respectively, were used to purchase machinery and equipment to expand our manufacturing operations and our quality systems that support clinical trials for AFREZZA.</w:t>
      </w:r>
    </w:p>
    <w:p>
      <w:pPr>
        <w:spacing w:after="0" w:line="79" w:lineRule="exact"/>
        <w:rPr>
          <w:sz w:val="20"/>
          <w:szCs w:val="20"/>
          <w:color w:val="auto"/>
        </w:rPr>
      </w:pPr>
    </w:p>
    <w:p>
      <w:pPr>
        <w:ind w:left="700" w:right="240" w:firstLine="225"/>
        <w:spacing w:after="0" w:line="286" w:lineRule="auto"/>
        <w:rPr>
          <w:sz w:val="20"/>
          <w:szCs w:val="20"/>
          <w:color w:val="auto"/>
        </w:rPr>
      </w:pPr>
      <w:r>
        <w:rPr>
          <w:rFonts w:ascii="Arial" w:cs="Arial" w:eastAsia="Arial" w:hAnsi="Arial"/>
          <w:sz w:val="17"/>
          <w:szCs w:val="17"/>
          <w:color w:val="auto"/>
        </w:rPr>
        <w:t>Our financing activities generated $189.5 million of cash for the year ended December 31, 2009, compared to $30.6 million for the same period in 2008. For the year ended December 31, 2009, cash from financing activities was primarily from the common stock offering completed in August 2009 and related party borrowings as well as the exercise of stock options.</w:t>
      </w:r>
    </w:p>
    <w:p>
      <w:pPr>
        <w:spacing w:after="0" w:line="57" w:lineRule="exact"/>
        <w:rPr>
          <w:sz w:val="20"/>
          <w:szCs w:val="20"/>
          <w:color w:val="auto"/>
        </w:rPr>
      </w:pPr>
    </w:p>
    <w:p>
      <w:pPr>
        <w:ind w:left="700" w:firstLine="215"/>
        <w:spacing w:after="0" w:line="291" w:lineRule="auto"/>
        <w:rPr>
          <w:sz w:val="20"/>
          <w:szCs w:val="20"/>
          <w:color w:val="auto"/>
        </w:rPr>
      </w:pPr>
      <w:r>
        <w:rPr>
          <w:rFonts w:ascii="Arial" w:cs="Arial" w:eastAsia="Arial" w:hAnsi="Arial"/>
          <w:sz w:val="16"/>
          <w:szCs w:val="16"/>
          <w:color w:val="auto"/>
        </w:rPr>
        <w:t>As of December 31, 2009, we had $32.5 million in cash, cash equivalents and marketable securities (including a $2.0 million certificate of deposit held as collateral for foreign exchange hedging instruments). Although we believe our existing cash resources, including the $185.0 million remaining available under our loan arrangement with an entity controlled by our principal stockholder, will be sufficient to fund our anticipated cash requirements into the first quarter of 2011,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and/or debt securities, the entry into a strategic business collaboration with a pharmaceutical or biotechnology company or the establishment of other</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funding facilities, in order to continue the development and commercialization of AFREZZA and other product candidates and to support our other ongoing activities.</w:t>
      </w:r>
    </w:p>
    <w:p>
      <w:pPr>
        <w:spacing w:after="0" w:line="62" w:lineRule="exact"/>
        <w:rPr>
          <w:sz w:val="20"/>
          <w:szCs w:val="20"/>
          <w:color w:val="auto"/>
        </w:rPr>
      </w:pPr>
    </w:p>
    <w:p>
      <w:pPr>
        <w:ind w:left="700" w:firstLine="222"/>
        <w:spacing w:after="0" w:line="276" w:lineRule="auto"/>
        <w:rPr>
          <w:sz w:val="20"/>
          <w:szCs w:val="20"/>
          <w:color w:val="auto"/>
        </w:rPr>
      </w:pPr>
      <w:r>
        <w:rPr>
          <w:rFonts w:ascii="Arial" w:cs="Arial" w:eastAsia="Arial" w:hAnsi="Arial"/>
          <w:sz w:val="17"/>
          <w:szCs w:val="17"/>
          <w:color w:val="auto"/>
        </w:rPr>
        <w:t>We intend to use our capital resources to continue the development and commercialization of AFREZZA, if approved,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64" w:lineRule="exact"/>
        <w:rPr>
          <w:sz w:val="20"/>
          <w:szCs w:val="20"/>
          <w:color w:val="auto"/>
        </w:rPr>
      </w:pPr>
    </w:p>
    <w:p>
      <w:pPr>
        <w:ind w:left="700" w:right="20" w:firstLine="222"/>
        <w:spacing w:after="0" w:line="286"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57" w:lineRule="exact"/>
        <w:rPr>
          <w:sz w:val="20"/>
          <w:szCs w:val="20"/>
          <w:color w:val="auto"/>
        </w:rPr>
      </w:pPr>
    </w:p>
    <w:p>
      <w:pPr>
        <w:ind w:left="700" w:right="60" w:firstLine="225"/>
        <w:spacing w:after="0" w:line="269"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5" w:lineRule="exact"/>
        <w:rPr>
          <w:sz w:val="20"/>
          <w:szCs w:val="20"/>
          <w:color w:val="auto"/>
        </w:rPr>
      </w:pPr>
    </w:p>
    <w:p>
      <w:pPr>
        <w:ind w:left="700" w:right="20" w:firstLine="225"/>
        <w:spacing w:after="0" w:line="297" w:lineRule="auto"/>
        <w:rPr>
          <w:sz w:val="20"/>
          <w:szCs w:val="20"/>
          <w:color w:val="auto"/>
        </w:rPr>
      </w:pPr>
      <w:r>
        <w:rPr>
          <w:rFonts w:ascii="Arial" w:cs="Arial" w:eastAsia="Arial" w:hAnsi="Arial"/>
          <w:sz w:val="16"/>
          <w:szCs w:val="16"/>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be substantial doubt about our ability to continue as a going concern.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December 31, 2009, we did not have any off-balance sheet arrangements.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700" w:firstLine="225"/>
        <w:spacing w:after="0" w:line="273" w:lineRule="auto"/>
        <w:rPr>
          <w:sz w:val="20"/>
          <w:szCs w:val="20"/>
          <w:color w:val="auto"/>
        </w:rPr>
      </w:pPr>
      <w:r>
        <w:rPr>
          <w:rFonts w:ascii="Arial" w:cs="Arial" w:eastAsia="Arial" w:hAnsi="Arial"/>
          <w:sz w:val="17"/>
          <w:szCs w:val="17"/>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below is estimated based on current information. Future payments relate to operating lease obligations (including facility leases executed in March 2005 and November 2005), the senior convertible notes, and open purchase order and supply commitments consisted of the following at December 31, 2009 (in thousands):</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Payments Due in</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46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Less Than</w:t>
            </w:r>
          </w:p>
        </w:tc>
        <w:tc>
          <w:tcPr>
            <w:tcW w:w="54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1-3 Years</w:t>
            </w:r>
          </w:p>
        </w:tc>
        <w:tc>
          <w:tcPr>
            <w:tcW w:w="540" w:type="dxa"/>
            <w:vAlign w:val="bottom"/>
          </w:tcPr>
          <w:p>
            <w:pPr>
              <w:spacing w:after="0"/>
              <w:rPr>
                <w:sz w:val="10"/>
                <w:szCs w:val="10"/>
                <w:color w:val="auto"/>
              </w:rPr>
            </w:pPr>
          </w:p>
        </w:tc>
        <w:tc>
          <w:tcPr>
            <w:tcW w:w="10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6"/>
              </w:rPr>
              <w:t>3-5 Years</w:t>
            </w:r>
          </w:p>
        </w:tc>
        <w:tc>
          <w:tcPr>
            <w:tcW w:w="1140" w:type="dxa"/>
            <w:vAlign w:val="bottom"/>
            <w:gridSpan w:val="4"/>
          </w:tcPr>
          <w:p>
            <w:pPr>
              <w:ind w:left="180"/>
              <w:spacing w:after="0" w:line="119" w:lineRule="exact"/>
              <w:rPr>
                <w:sz w:val="20"/>
                <w:szCs w:val="20"/>
                <w:color w:val="auto"/>
              </w:rPr>
            </w:pPr>
            <w:r>
              <w:rPr>
                <w:rFonts w:ascii="Arial" w:cs="Arial" w:eastAsia="Arial" w:hAnsi="Arial"/>
                <w:sz w:val="13"/>
                <w:szCs w:val="13"/>
                <w:b w:val="1"/>
                <w:bCs w:val="1"/>
                <w:color w:val="auto"/>
              </w:rPr>
              <w:t>More Than</w:t>
            </w:r>
          </w:p>
        </w:tc>
        <w:tc>
          <w:tcPr>
            <w:tcW w:w="280" w:type="dxa"/>
            <w:vAlign w:val="bottom"/>
          </w:tcPr>
          <w:p>
            <w:pPr>
              <w:spacing w:after="0"/>
              <w:rPr>
                <w:sz w:val="10"/>
                <w:szCs w:val="10"/>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7"/>
              </w:rPr>
              <w:t>One Year</w:t>
            </w:r>
          </w:p>
        </w:tc>
        <w:tc>
          <w:tcPr>
            <w:tcW w:w="5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3"/>
              </w:rPr>
              <w:t>Open purchase order and supply commitments(1)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$ 34,904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Senior Convertible Note Obligations(2)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8,757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119,372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172,976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$ 48,049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271,911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119,374</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57" w:lineRule="exact"/>
        <w:rPr>
          <w:sz w:val="20"/>
          <w:szCs w:val="20"/>
          <w:color w:val="auto"/>
        </w:rPr>
      </w:pPr>
    </w:p>
    <w:p>
      <w:pPr>
        <w:ind w:left="1080" w:right="120" w:hanging="387"/>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our clinical trials, the acquisition of manufacturing equipment, and commitments related to the expansion of our manufacturing plant and the purchase of raw materials under long-term supply agreements.</w:t>
      </w:r>
    </w:p>
    <w:p>
      <w:pPr>
        <w:spacing w:after="0" w:line="39" w:lineRule="exact"/>
        <w:rPr>
          <w:rFonts w:ascii="Arial" w:cs="Arial" w:eastAsia="Arial" w:hAnsi="Arial"/>
          <w:sz w:val="18"/>
          <w:szCs w:val="18"/>
          <w:color w:val="auto"/>
        </w:rPr>
      </w:pPr>
    </w:p>
    <w:p>
      <w:pPr>
        <w:ind w:left="1080" w:right="180" w:hanging="387"/>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senior convertible note obligation amounts include future interest payments at a fixed rate of 3.75% and payment of the notes in full upon maturity in 2013.</w:t>
      </w:r>
    </w:p>
    <w:p>
      <w:pPr>
        <w:spacing w:after="0" w:line="21" w:lineRule="exact"/>
        <w:rPr>
          <w:rFonts w:ascii="Arial" w:cs="Arial" w:eastAsia="Arial" w:hAnsi="Arial"/>
          <w:sz w:val="18"/>
          <w:szCs w:val="18"/>
          <w:color w:val="auto"/>
        </w:rPr>
      </w:pPr>
    </w:p>
    <w:p>
      <w:pPr>
        <w:ind w:left="1080" w:right="40" w:hanging="387"/>
        <w:spacing w:after="0" w:line="26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 for the note payable to the principal stockholder includes future principal and interest payments related to the $165.0 million of borrowings as of December 31, 2009. Interest is paid based on a fixed rate equal to the one-year LIBOR rate on the date of advance plus 3% and the principal payment is due on December 31, 2011.</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a description of our related party transactions see Note 15 — Related Party Transactions in the notes to our financial statements.</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700" w:right="140" w:firstLine="225"/>
        <w:spacing w:after="0" w:line="255" w:lineRule="auto"/>
        <w:rPr>
          <w:sz w:val="20"/>
          <w:szCs w:val="20"/>
          <w:color w:val="auto"/>
        </w:rPr>
      </w:pPr>
      <w:r>
        <w:rPr>
          <w:rFonts w:ascii="Arial" w:cs="Arial" w:eastAsia="Arial" w:hAnsi="Arial"/>
          <w:sz w:val="18"/>
          <w:szCs w:val="18"/>
          <w:color w:val="auto"/>
        </w:rPr>
        <w:t xml:space="preserve">In October of 2009, the FASB ratified the Emerging Issues Task Force (“EITF”) consensus on EITF Issue No. 08-1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with Multiple Deliverables, </w:t>
      </w:r>
      <w:r>
        <w:rPr>
          <w:rFonts w:ascii="Arial" w:cs="Arial" w:eastAsia="Arial" w:hAnsi="Arial"/>
          <w:sz w:val="18"/>
          <w:szCs w:val="18"/>
          <w:color w:val="auto"/>
        </w:rPr>
        <w:t>and issued Accounting Standards Update (“ASU”) 2009-13 which amends the guidance in</w:t>
      </w:r>
      <w:r>
        <w:rPr>
          <w:rFonts w:ascii="Arial" w:cs="Arial" w:eastAsia="Arial" w:hAnsi="Arial"/>
          <w:sz w:val="18"/>
          <w:szCs w:val="18"/>
          <w:i w:val="1"/>
          <w:iCs w:val="1"/>
          <w:color w:val="auto"/>
        </w:rPr>
        <w:t xml:space="preserve"> </w:t>
      </w:r>
      <w:r>
        <w:rPr>
          <w:rFonts w:ascii="Arial" w:cs="Arial" w:eastAsia="Arial" w:hAnsi="Arial"/>
          <w:sz w:val="18"/>
          <w:szCs w:val="18"/>
          <w:color w:val="auto"/>
        </w:rPr>
        <w:t>ASC 605-25 on multiple-element revenue arrangements. This guidance addresses the unit of accounting for arrangements involving multiple deliverables and how arrangement consideration should be allocated to the separate units of accounting, when applicable. The ASU is effective for fiscal year beginning on or after June 15, 2010. Early adoption is permitted. Adoptions of this guidance is expected to have a significant effect on how revenue arrangements entered into subsequent to January 1, 2011 are reflected in the financial statements.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700" w:right="100" w:firstLine="222"/>
        <w:spacing w:after="0" w:line="287"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our credit facility with an entity controlled by our principal stockholder. The interest rate on our credit facility with our principal stockholder is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December 31, 2009 are comprised mainly of a certificate of deposit and a common stock investment. We have entered into a foreign exchange hedging transaction as part of our risk management program. We continue to utilize our $350.0 million credit facility to fund operations. As of December 31, 2009, the amount borrowed and outstanding under the credit facility was $165.0 million. The interest rate is fixed at the time of the draw. If interest rates were to increase from levels at December 31, 2009 we could experience a higher level of interest expense than assumed in our current operating plan.</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required by this Item is included in Items 15(a)(1) and (2) of Part IV of this Annual Report on Form 10-K.</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left="700" w:right="160" w:firstLine="22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0" w:lineRule="exact"/>
        <w:rPr>
          <w:sz w:val="20"/>
          <w:szCs w:val="20"/>
          <w:color w:val="auto"/>
        </w:rPr>
      </w:pPr>
    </w:p>
    <w:p>
      <w:pPr>
        <w:ind w:left="700" w:right="80" w:firstLine="225"/>
        <w:spacing w:after="0" w:line="259" w:lineRule="auto"/>
        <w:rPr>
          <w:sz w:val="20"/>
          <w:szCs w:val="20"/>
          <w:color w:val="auto"/>
        </w:rPr>
      </w:pPr>
      <w:r>
        <w:rPr>
          <w:rFonts w:ascii="Arial" w:cs="Arial" w:eastAsia="Arial" w:hAnsi="Arial"/>
          <w:sz w:val="18"/>
          <w:szCs w:val="18"/>
          <w:color w:val="auto"/>
        </w:rPr>
        <w:t>Our chief executive officer and chief financial officer performed an evaluation under the supervision and with the participation of our management, of our disclosure controls and procedures (as defined in Rule 13a-15(e) and 15d-15(e)of the Exchange Act) as of December 31, 2009. Based on that evaluation, our chief executive officer and chief financial officer concluded that our disclosure controls and procedures were effective at the reasonable assurance level.</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700" w:firstLine="225"/>
        <w:spacing w:after="0" w:line="28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our evaluation under the framework set forth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our management concluded that our internal control over financial reporting was effective as of December 31, 2009. Deloitte</w:t>
      </w:r>
    </w:p>
    <w:p>
      <w:pPr>
        <w:spacing w:after="0" w:line="5" w:lineRule="exact"/>
        <w:rPr>
          <w:sz w:val="20"/>
          <w:szCs w:val="20"/>
          <w:color w:val="auto"/>
        </w:rPr>
      </w:pPr>
    </w:p>
    <w:p>
      <w:pPr>
        <w:ind w:left="700" w:right="100" w:hanging="7"/>
        <w:spacing w:after="0" w:line="323" w:lineRule="auto"/>
        <w:tabs>
          <w:tab w:leader="none" w:pos="8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Touche LLP, the independent registered public accounting firm that audited the financial statements included in this 2009 Form 10-K, has issued an attestation report on our internal control over financial reporting as of December 31, 2009, which is included herein.</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Valencia, California</w:t>
      </w:r>
    </w:p>
    <w:p>
      <w:pPr>
        <w:spacing w:after="0" w:line="103" w:lineRule="exact"/>
        <w:rPr>
          <w:sz w:val="20"/>
          <w:szCs w:val="20"/>
          <w:color w:val="auto"/>
        </w:rPr>
      </w:pPr>
    </w:p>
    <w:p>
      <w:pPr>
        <w:ind w:left="700" w:firstLine="222"/>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MannKind Corporation (the “Company”) as of December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5" w:lineRule="exact"/>
        <w:rPr>
          <w:sz w:val="20"/>
          <w:szCs w:val="20"/>
          <w:color w:val="auto"/>
        </w:rPr>
      </w:pPr>
    </w:p>
    <w:p>
      <w:pPr>
        <w:ind w:left="700" w:firstLine="222"/>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700" w:right="20" w:firstLine="215"/>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ind w:left="700" w:right="120" w:firstLine="225"/>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80" w:lineRule="exact"/>
        <w:rPr>
          <w:sz w:val="20"/>
          <w:szCs w:val="20"/>
          <w:color w:val="auto"/>
        </w:rPr>
      </w:pPr>
    </w:p>
    <w:p>
      <w:pPr>
        <w:ind w:left="700" w:firstLine="225"/>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left="700" w:right="120" w:firstLine="22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financial statements as of and for the year ended December 31, 2009 of the Company and our report dated March 16, 2010 expressed an unqualified opinion on those financial statements.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16, 2010</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left="700" w:right="180" w:firstLine="225"/>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our Proxy Statement within 120 days after the end of our fiscal year pursuant to Regulations 14A for our 2010 Annual Meeting of Stockholders, and the information included in the Proxy Statement is incorporated herein by reference.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left="700" w:right="800" w:firstLine="218"/>
        <w:spacing w:after="0" w:line="277" w:lineRule="auto"/>
        <w:tabs>
          <w:tab w:leader="none" w:pos="117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Part I, Item 1 of this Annual Report on Form 10-K.</w:t>
      </w:r>
    </w:p>
    <w:p>
      <w:pPr>
        <w:spacing w:after="0" w:line="62" w:lineRule="exact"/>
        <w:rPr>
          <w:rFonts w:ascii="Arial" w:cs="Arial" w:eastAsia="Arial" w:hAnsi="Arial"/>
          <w:sz w:val="18"/>
          <w:szCs w:val="18"/>
          <w:color w:val="auto"/>
        </w:rPr>
      </w:pPr>
    </w:p>
    <w:p>
      <w:pPr>
        <w:ind w:left="700" w:right="520" w:firstLine="218"/>
        <w:spacing w:after="0" w:line="286"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Directors — </w:t>
      </w:r>
      <w:r>
        <w:rPr>
          <w:rFonts w:ascii="Arial" w:cs="Arial" w:eastAsia="Arial" w:hAnsi="Arial"/>
          <w:sz w:val="17"/>
          <w:szCs w:val="17"/>
          <w:color w:val="auto"/>
        </w:rPr>
        <w:t>The information required by this Item regarding the identification and business experience of our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governance matters is contained in the section entitled “Proposal 1- Election of Directors” and “Corporate Governance Principles and Board and Committee Matters” in the Proxy Statement, and is incorporated herein by reference.</w:t>
      </w:r>
    </w:p>
    <w:p>
      <w:pPr>
        <w:spacing w:after="0" w:line="57" w:lineRule="exact"/>
        <w:rPr>
          <w:sz w:val="20"/>
          <w:szCs w:val="20"/>
          <w:color w:val="auto"/>
        </w:rPr>
      </w:pPr>
    </w:p>
    <w:p>
      <w:pPr>
        <w:ind w:left="700" w:right="80" w:firstLine="215"/>
        <w:spacing w:after="0" w:line="277" w:lineRule="auto"/>
        <w:rPr>
          <w:sz w:val="20"/>
          <w:szCs w:val="20"/>
          <w:color w:val="auto"/>
        </w:rPr>
      </w:pPr>
      <w:r>
        <w:rPr>
          <w:rFonts w:ascii="Arial" w:cs="Arial" w:eastAsia="Arial" w:hAnsi="Arial"/>
          <w:sz w:val="18"/>
          <w:szCs w:val="18"/>
          <w:color w:val="auto"/>
        </w:rPr>
        <w:t>Additional information required by this Item is incorporated by reference to this section entitled “Section 16(a) Beneficial Ownership Reporting Compliance” in the Proxy Statement.</w:t>
      </w:r>
    </w:p>
    <w:p>
      <w:pPr>
        <w:spacing w:after="0" w:line="62" w:lineRule="exact"/>
        <w:rPr>
          <w:sz w:val="20"/>
          <w:szCs w:val="20"/>
          <w:color w:val="auto"/>
        </w:rPr>
      </w:pPr>
    </w:p>
    <w:p>
      <w:pPr>
        <w:ind w:left="700" w:right="180" w:firstLine="222"/>
        <w:spacing w:after="0" w:line="288" w:lineRule="auto"/>
        <w:rPr>
          <w:sz w:val="20"/>
          <w:szCs w:val="20"/>
          <w:color w:val="auto"/>
        </w:rPr>
      </w:pPr>
      <w:r>
        <w:rPr>
          <w:rFonts w:ascii="Arial" w:cs="Arial" w:eastAsia="Arial" w:hAnsi="Arial"/>
          <w:sz w:val="16"/>
          <w:szCs w:val="16"/>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Arial" w:cs="Arial" w:eastAsia="Arial" w:hAnsi="Arial"/>
          <w:sz w:val="16"/>
          <w:szCs w:val="16"/>
          <w:i w:val="1"/>
          <w:iCs w:val="1"/>
          <w:color w:val="auto"/>
        </w:rPr>
        <w:t>www.mannkindcorp.com</w:t>
      </w:r>
      <w:r>
        <w:rPr>
          <w:rFonts w:ascii="Arial" w:cs="Arial" w:eastAsia="Arial" w:hAnsi="Arial"/>
          <w:sz w:val="16"/>
          <w:szCs w:val="16"/>
          <w:color w:val="auto"/>
        </w:rPr>
        <w:t>) in connection with “Investors” materials. In addition, we intend to promptly disclose on our website</w:t>
      </w:r>
    </w:p>
    <w:p>
      <w:pPr>
        <w:ind w:left="700" w:hanging="7"/>
        <w:spacing w:after="0" w:line="254" w:lineRule="auto"/>
        <w:tabs>
          <w:tab w:leader="none" w:pos="9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under the caption “Executive Compensation” in the Proxy Statement is incorporated herein by reference.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700" w:firstLine="222"/>
        <w:spacing w:after="0" w:line="264" w:lineRule="auto"/>
        <w:rPr>
          <w:sz w:val="20"/>
          <w:szCs w:val="20"/>
          <w:color w:val="auto"/>
        </w:rPr>
      </w:pPr>
      <w:r>
        <w:rPr>
          <w:rFonts w:ascii="Arial" w:cs="Arial" w:eastAsia="Arial" w:hAnsi="Arial"/>
          <w:sz w:val="18"/>
          <w:szCs w:val="18"/>
          <w:color w:val="auto"/>
        </w:rPr>
        <w:t>The information under the captions “Security Ownership of Certain Beneficial Owners and Management” and “Executive Compensation — Securities Authorized for Issuance under Equity Compensation Plans” in the Proxy Statement is incorporated herein by this reference.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21" w:lineRule="exact"/>
        <w:rPr>
          <w:sz w:val="20"/>
          <w:szCs w:val="20"/>
          <w:color w:val="auto"/>
        </w:rPr>
      </w:pPr>
    </w:p>
    <w:p>
      <w:pPr>
        <w:ind w:left="700" w:right="40" w:firstLine="222"/>
        <w:spacing w:after="0" w:line="297" w:lineRule="auto"/>
        <w:rPr>
          <w:sz w:val="20"/>
          <w:szCs w:val="20"/>
          <w:color w:val="auto"/>
        </w:rPr>
      </w:pPr>
      <w:r>
        <w:rPr>
          <w:rFonts w:ascii="Arial" w:cs="Arial" w:eastAsia="Arial" w:hAnsi="Arial"/>
          <w:sz w:val="16"/>
          <w:szCs w:val="16"/>
          <w:color w:val="auto"/>
        </w:rPr>
        <w:t>The information under the caption “Certain Transactions” and “Corporate Governance Principles and Board and Committee Matters” in the Proxy Statement is incorporated herein by reference. 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and “Report of the Compensation Committee of the Board of Directors” in the Proxy Statement is not incorporated by reference.</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left="700" w:right="620" w:firstLine="222"/>
        <w:spacing w:after="0" w:line="277" w:lineRule="auto"/>
        <w:rPr>
          <w:sz w:val="20"/>
          <w:szCs w:val="20"/>
          <w:color w:val="auto"/>
        </w:rPr>
      </w:pPr>
      <w:r>
        <w:rPr>
          <w:rFonts w:ascii="Arial" w:cs="Arial" w:eastAsia="Arial" w:hAnsi="Arial"/>
          <w:sz w:val="18"/>
          <w:szCs w:val="18"/>
          <w:color w:val="auto"/>
        </w:rPr>
        <w:t>The information under the caption “Principal Accounting Fees and Services” in the Proxy Statement is incorporated herein by reference.</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117" w:lineRule="exact"/>
        <w:rPr>
          <w:sz w:val="20"/>
          <w:szCs w:val="20"/>
          <w:color w:val="auto"/>
        </w:rPr>
      </w:pPr>
    </w:p>
    <w:p>
      <w:pPr>
        <w:ind w:left="900" w:firstLine="225"/>
        <w:spacing w:after="0" w:line="264" w:lineRule="auto"/>
        <w:rPr>
          <w:sz w:val="20"/>
          <w:szCs w:val="20"/>
          <w:color w:val="auto"/>
        </w:rPr>
      </w:pPr>
      <w:r>
        <w:rPr>
          <w:rFonts w:ascii="Arial" w:cs="Arial" w:eastAsia="Arial" w:hAnsi="Arial"/>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F-2:</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2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2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Consolidated Statements of Stockholders’ Equity (Deficit)</w:t>
            </w:r>
          </w:p>
        </w:tc>
        <w:tc>
          <w:tcPr>
            <w:tcW w:w="29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29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94" w:lineRule="exact"/>
        <w:rPr>
          <w:sz w:val="20"/>
          <w:szCs w:val="20"/>
          <w:color w:val="auto"/>
        </w:rPr>
      </w:pPr>
    </w:p>
    <w:p>
      <w:pPr>
        <w:ind w:left="900" w:right="220" w:firstLine="215"/>
        <w:spacing w:after="0" w:line="264" w:lineRule="auto"/>
        <w:rPr>
          <w:sz w:val="20"/>
          <w:szCs w:val="20"/>
          <w:color w:val="auto"/>
        </w:rPr>
      </w:pPr>
      <w:r>
        <w:rPr>
          <w:rFonts w:ascii="Arial" w:cs="Arial" w:eastAsia="Arial" w:hAnsi="Arial"/>
          <w:sz w:val="18"/>
          <w:szCs w:val="18"/>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73" w:lineRule="exact"/>
        <w:rPr>
          <w:sz w:val="20"/>
          <w:szCs w:val="20"/>
          <w:color w:val="auto"/>
        </w:rPr>
      </w:pPr>
    </w:p>
    <w:p>
      <w:pPr>
        <w:ind w:left="900" w:right="300" w:firstLine="216"/>
        <w:spacing w:after="0" w:line="342" w:lineRule="auto"/>
        <w:tabs>
          <w:tab w:leader="none" w:pos="1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Exhibits. The exhibits listed under Item 15(b) hereof are filed with, or incorporated by reference into, this Annual Report on Form 10-K. Each management contract or compensatory plan or arrangement is identified separately in Item 15(b) hereof.</w:t>
      </w:r>
    </w:p>
    <w:p>
      <w:pPr>
        <w:spacing w:after="0" w:line="16" w:lineRule="exact"/>
        <w:rPr>
          <w:sz w:val="20"/>
          <w:szCs w:val="20"/>
          <w:color w:val="auto"/>
        </w:rPr>
      </w:pPr>
    </w:p>
    <w:p>
      <w:pPr>
        <w:ind w:left="1380" w:hanging="264"/>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Exhibits. The following exhibits are filed as part of, or incorporated by reference into, this Annual Report on Form 10-K:</w:t>
      </w:r>
    </w:p>
    <w:p>
      <w:pPr>
        <w:spacing w:after="0" w:line="209" w:lineRule="exact"/>
        <w:rPr>
          <w:rFonts w:ascii="Arial" w:cs="Arial" w:eastAsia="Arial" w:hAnsi="Arial"/>
          <w:sz w:val="17"/>
          <w:szCs w:val="17"/>
          <w:color w:val="auto"/>
        </w:rPr>
      </w:pPr>
    </w:p>
    <w:p>
      <w:pPr>
        <w:ind w:left="5560"/>
        <w:spacing w:after="0"/>
        <w:rPr>
          <w:rFonts w:ascii="Arial" w:cs="Arial" w:eastAsia="Arial" w:hAnsi="Arial"/>
          <w:sz w:val="17"/>
          <w:szCs w:val="17"/>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80" w:type="dxa"/>
            <w:vAlign w:val="bottom"/>
            <w:gridSpan w:val="3"/>
          </w:tcPr>
          <w:p>
            <w:pPr>
              <w:ind w:left="3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7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760" w:type="dxa"/>
            <w:vAlign w:val="bottom"/>
          </w:tcPr>
          <w:p>
            <w:pPr>
              <w:spacing w:after="0"/>
              <w:rPr>
                <w:sz w:val="24"/>
                <w:szCs w:val="24"/>
                <w:color w:val="auto"/>
              </w:rPr>
            </w:pPr>
          </w:p>
        </w:tc>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10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760" w:type="dxa"/>
            <w:vAlign w:val="bottom"/>
          </w:tcPr>
          <w:p>
            <w:pPr>
              <w:spacing w:after="0"/>
              <w:rPr>
                <w:sz w:val="13"/>
                <w:szCs w:val="13"/>
                <w:color w:val="auto"/>
              </w:rPr>
            </w:pPr>
          </w:p>
        </w:tc>
        <w:tc>
          <w:tcPr>
            <w:tcW w:w="5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vMerge w:val="continue"/>
          </w:tcPr>
          <w:p>
            <w:pPr>
              <w:spacing w:after="0"/>
              <w:rPr>
                <w:sz w:val="16"/>
                <w:szCs w:val="16"/>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auto"/>
              </w:rPr>
              <w:t>2.1**(14)</w:t>
            </w:r>
          </w:p>
        </w:tc>
        <w:tc>
          <w:tcPr>
            <w:tcW w:w="968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LIP Asset or Business Sale and Purchase Agreement, dated March 6, 2009, by and among Pfizer Manufacturing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Frankfurt GmbH, Pfizer Inc., MannKind Deutschland GmbH and MannKind, as amended on April 3, 2009.</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2.2**(14)</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Insulin Sale and Purchase Agreement, dated March 6, 2009, by and among Pfizer Manufacturing Frankfurt GmbH,</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Pfizer Inc. and MannKind.</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3.2(12)</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3.3(9)</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4.1(10)</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4.2(3)</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4.3(3)</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4.4(1)</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4.5(1)</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w w:val="99"/>
              </w:rPr>
              <w:t>Registration Rights Agreement, dated October 15, 1998 by and among CTL ImmunoTherapies Corp., Medical Research</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Group, LLC, McLean Watson Advisory Inc. and Alfred E. Mann, as amended.</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10.1(15)</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Promissory Note made by MannKind in favor of The Mann Group LLC dated February 26, 2009.</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10.2(12)</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Agreement, dated September 13, 2006, between MannKind and Torcon, Inc.</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10.3(2)</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Securities Purchase Agreement, dated August 2, 2005 by and among MannKind and the purchasers listed on Exhibit 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10.4**(4)</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Supply Agreement, dated December 31, 2004, between MannKind and Vaupell, Inc.</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10.5*(1)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Indemnity Agreement entered into between MannKind and each of its directors and officers.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10.6*(8)</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Description of Officers’ Incentive Program.</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10.7*(5)</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Description of 2006 executive officer salaries.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10.8*(5)</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Description of 2006 non-employee director compensation.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10.9*(11)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Hakan Edstrom.</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10.10*(11)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David Thomson.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10.11*(11)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Peter Richardson.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10.12*(11)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Juergen Martens.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10.13*(11)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Diane Palumbo.</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10.14*(11)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April 21, 2008, between MannKind and Matthew J. Pfeffer.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10.15*(11)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Hakan Edstrom.</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10.16*(11)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David Thomson.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10.17*(11)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Peter Richardson.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10.18*(11)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Juergen Martens.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10.19*(11)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Diane Palumbo.</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10.20*(11)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April 21, 2008, between MannKind and Matthew J. Pfeffer.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10.21*(13)</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Agreement dated December 20, 2007, between MannKind and Richard L. Anderson.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10.22*(7)</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2004 Equity Incentive Plan, as amended.</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10.23*(1)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Stock Option Agreement under the 2004 Equity Incentive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10.24*(6)</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Phantom Stock Award Agreement under the 2004 Equity Incentive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10.25*(8)</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2004 Non-Employee Directors’ Stock Option Plan and form of stock option agreement there under.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10.26*(1)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2004 Employee Stock Purchase Plan and form of offering document there under.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10.27*(1)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Pharmaceutical Discovery Corporation 1991 Stock Option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10.28*(1)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Pharmaceutical Discovery Corporation 1999 Stock Plan and form of stock option plan there under.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10.29*(1)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AlleCure Corp. 2000 Stock Option and Stock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10.30*(1)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CTL Immunotherapies Corp. 2000 Stock Option and Stock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2001 Stock Awards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10.32**(16)</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Supply Agreement, dated November 16, 2007, between MannKind and N.V. Organon.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10.33**(14)</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Insulin Maintenance and Call-Option Agreement, dated June 19, 2009, by and among Pfizer Manufacturing Frankfurt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GmbH, Pfizer Inc. and MannKind.</w:t>
            </w:r>
          </w:p>
        </w:tc>
        <w:tc>
          <w:tcPr>
            <w:tcW w:w="0" w:type="dxa"/>
            <w:vAlign w:val="bottom"/>
          </w:tcPr>
          <w:p>
            <w:pPr>
              <w:spacing w:after="0"/>
              <w:rPr>
                <w:sz w:val="1"/>
                <w:szCs w:val="1"/>
                <w:color w:val="auto"/>
              </w:rPr>
            </w:pPr>
          </w:p>
        </w:tc>
      </w:tr>
      <w:tr>
        <w:trPr>
          <w:trHeight w:val="230"/>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0"/>
                <w:szCs w:val="20"/>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ind w:left="3820"/>
              <w:spacing w:after="0"/>
              <w:rPr>
                <w:sz w:val="20"/>
                <w:szCs w:val="20"/>
                <w:color w:val="auto"/>
              </w:rPr>
            </w:pPr>
            <w:r>
              <w:rPr>
                <w:rFonts w:ascii="Arial" w:cs="Arial" w:eastAsia="Arial" w:hAnsi="Arial"/>
                <w:sz w:val="18"/>
                <w:szCs w:val="18"/>
                <w:color w:val="auto"/>
              </w:rPr>
              <w:t>58</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940" w:type="dxa"/>
            <w:vAlign w:val="bottom"/>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940" w:type="dxa"/>
            <w:vAlign w:val="bottom"/>
          </w:tcPr>
          <w:p>
            <w:pPr>
              <w:spacing w:after="0"/>
              <w:rPr>
                <w:sz w:val="13"/>
                <w:szCs w:val="13"/>
                <w:color w:val="auto"/>
              </w:rPr>
            </w:pPr>
          </w:p>
        </w:tc>
        <w:tc>
          <w:tcPr>
            <w:tcW w:w="5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0" w:type="dxa"/>
            <w:vAlign w:val="bottom"/>
            <w:vMerge w:val="restart"/>
          </w:tcPr>
          <w:p>
            <w:pPr>
              <w:ind w:left="120"/>
              <w:spacing w:after="0"/>
              <w:rPr>
                <w:sz w:val="20"/>
                <w:szCs w:val="20"/>
                <w:color w:val="auto"/>
              </w:rPr>
            </w:pPr>
            <w:r>
              <w:rPr>
                <w:rFonts w:ascii="Arial" w:cs="Arial" w:eastAsia="Arial" w:hAnsi="Arial"/>
                <w:sz w:val="18"/>
                <w:szCs w:val="18"/>
                <w:color w:val="auto"/>
                <w:w w:val="90"/>
              </w:rPr>
              <w:t>and 15d-14(a) of the Securities Exchange Act of</w:t>
            </w:r>
          </w:p>
        </w:tc>
        <w:tc>
          <w:tcPr>
            <w:tcW w:w="0" w:type="dxa"/>
            <w:vAlign w:val="bottom"/>
          </w:tcPr>
          <w:p>
            <w:pPr>
              <w:spacing w:after="0" w:line="20" w:lineRule="exact"/>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360" w:type="dxa"/>
            <w:vAlign w:val="bottom"/>
          </w:tcPr>
          <w:p>
            <w:pPr>
              <w:spacing w:after="0"/>
              <w:rPr>
                <w:sz w:val="16"/>
                <w:szCs w:val="16"/>
                <w:color w:val="auto"/>
              </w:rPr>
            </w:pPr>
          </w:p>
        </w:tc>
        <w:tc>
          <w:tcPr>
            <w:tcW w:w="5460" w:type="dxa"/>
            <w:vAlign w:val="bottom"/>
            <w:gridSpan w:val="2"/>
          </w:tcPr>
          <w:p>
            <w:pPr>
              <w:ind w:left="340"/>
              <w:spacing w:after="0" w:line="195" w:lineRule="exact"/>
              <w:rPr>
                <w:sz w:val="20"/>
                <w:szCs w:val="20"/>
                <w:color w:val="auto"/>
              </w:rPr>
            </w:pPr>
            <w:r>
              <w:rPr>
                <w:rFonts w:ascii="Arial" w:cs="Arial" w:eastAsia="Arial" w:hAnsi="Arial"/>
                <w:sz w:val="18"/>
                <w:szCs w:val="18"/>
                <w:color w:val="auto"/>
                <w:w w:val="90"/>
              </w:rPr>
              <w:t>Certification of the Chief Executive Officer pursuant to Rules 13a-14(a)</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w w:val="92"/>
              </w:rPr>
              <w:t>Certification of the Chief Financial Officer pursuant to Rules 13a-14(a) and 15d-14(a) of the Securities Exchange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bl>
    <w:p>
      <w:pPr>
        <w:jc w:val="both"/>
        <w:ind w:left="1900" w:right="140" w:hanging="1207"/>
        <w:spacing w:after="0" w:line="255" w:lineRule="auto"/>
        <w:tabs>
          <w:tab w:leader="none" w:pos="1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5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76" w:lineRule="exact"/>
        <w:rPr>
          <w:rFonts w:ascii="Arial" w:cs="Arial" w:eastAsia="Arial" w:hAnsi="Arial"/>
          <w:sz w:val="18"/>
          <w:szCs w:val="18"/>
          <w:color w:val="auto"/>
        </w:rPr>
      </w:pPr>
    </w:p>
    <w:p>
      <w:pPr>
        <w:ind w:left="1300" w:right="660" w:hanging="409"/>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-525145</wp:posOffset>
            </wp:positionV>
            <wp:extent cx="11322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 w:lineRule="exact"/>
        <w:rPr>
          <w:sz w:val="20"/>
          <w:szCs w:val="20"/>
          <w:color w:val="auto"/>
        </w:rPr>
      </w:pPr>
    </w:p>
    <w:p>
      <w:pPr>
        <w:ind w:left="1300" w:right="420" w:hanging="409"/>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w:t>
      </w:r>
    </w:p>
    <w:p>
      <w:pPr>
        <w:spacing w:after="0" w:line="21"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August 5, 2005.</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12, 2006.</w:t>
      </w:r>
    </w:p>
    <w:p>
      <w:pPr>
        <w:spacing w:after="0" w:line="76" w:lineRule="exact"/>
        <w:rPr>
          <w:rFonts w:ascii="Arial" w:cs="Arial" w:eastAsia="Arial" w:hAnsi="Arial"/>
          <w:sz w:val="18"/>
          <w:szCs w:val="18"/>
          <w:color w:val="auto"/>
        </w:rPr>
      </w:pPr>
    </w:p>
    <w:p>
      <w:pPr>
        <w:ind w:left="1300" w:right="80" w:hanging="409"/>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February 23, 2005.</w:t>
      </w:r>
    </w:p>
    <w:p>
      <w:pPr>
        <w:spacing w:after="0" w:line="21"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February 22, 2006.</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14, 2005.</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June 9, 2009.</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filed with the SEC on March 16, 2006.</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76" w:lineRule="exact"/>
        <w:rPr>
          <w:rFonts w:ascii="Arial" w:cs="Arial" w:eastAsia="Arial" w:hAnsi="Arial"/>
          <w:sz w:val="18"/>
          <w:szCs w:val="18"/>
          <w:color w:val="auto"/>
        </w:rPr>
      </w:pPr>
    </w:p>
    <w:p>
      <w:pPr>
        <w:ind w:left="1300" w:right="420" w:hanging="409"/>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S-3 (File No. 333-138373) filed with the SEC on November 2, 2006.</w:t>
      </w:r>
    </w:p>
    <w:p>
      <w:pPr>
        <w:spacing w:after="0" w:line="21"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as amended, filed with the SEC on October 16, 2007.</w:t>
      </w:r>
    </w:p>
    <w:p>
      <w:pPr>
        <w:spacing w:after="0" w:line="99" w:lineRule="exact"/>
        <w:rPr>
          <w:rFonts w:ascii="Arial" w:cs="Arial" w:eastAsia="Arial" w:hAnsi="Arial"/>
          <w:sz w:val="16"/>
          <w:szCs w:val="16"/>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December 20, 2007.</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May 4, 2009.</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filed with the SEC on February 27, 2009.</w:t>
      </w:r>
    </w:p>
    <w:p>
      <w:pPr>
        <w:spacing w:after="0" w:line="76" w:lineRule="exact"/>
        <w:rPr>
          <w:rFonts w:ascii="Arial" w:cs="Arial" w:eastAsia="Arial" w:hAnsi="Arial"/>
          <w:sz w:val="18"/>
          <w:szCs w:val="18"/>
          <w:color w:val="auto"/>
        </w:rPr>
      </w:pPr>
    </w:p>
    <w:p>
      <w:pPr>
        <w:ind w:left="1300" w:hanging="40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filed with the SEC on March 14, 2008.</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700" w:right="92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ANNKIND</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Alfred E. Mann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2212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Dated: March 16, 2010</w:t>
      </w: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700" w:right="820" w:firstLine="225"/>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Hakan S. Edstrom, Matthew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71" w:lineRule="exact"/>
        <w:rPr>
          <w:sz w:val="20"/>
          <w:szCs w:val="20"/>
          <w:color w:val="auto"/>
        </w:rPr>
      </w:pPr>
    </w:p>
    <w:p>
      <w:pPr>
        <w:ind w:left="700" w:right="96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2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 w:type="dxa"/>
            <w:vAlign w:val="bottom"/>
          </w:tcPr>
          <w:p>
            <w:pPr>
              <w:spacing w:after="0"/>
              <w:rPr>
                <w:sz w:val="24"/>
                <w:szCs w:val="24"/>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Alfred E. Mann</w:t>
            </w:r>
          </w:p>
        </w:tc>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Chief Executive Officer and Chairman of the</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180" w:type="dxa"/>
            <w:vAlign w:val="bottom"/>
            <w:gridSpan w:val="4"/>
          </w:tcPr>
          <w:p>
            <w:pPr>
              <w:spacing w:after="0" w:line="182" w:lineRule="exact"/>
              <w:rPr>
                <w:sz w:val="20"/>
                <w:szCs w:val="20"/>
                <w:color w:val="auto"/>
              </w:rPr>
            </w:pPr>
            <w:r>
              <w:rPr>
                <w:rFonts w:ascii="Arial" w:cs="Arial" w:eastAsia="Arial" w:hAnsi="Arial"/>
                <w:sz w:val="18"/>
                <w:szCs w:val="18"/>
                <w:color w:val="auto"/>
              </w:rPr>
              <w:t>Alfred E. Mann</w:t>
            </w:r>
          </w:p>
        </w:tc>
        <w:tc>
          <w:tcPr>
            <w:tcW w:w="4540" w:type="dxa"/>
            <w:vAlign w:val="bottom"/>
            <w:gridSpan w:val="3"/>
          </w:tcPr>
          <w:p>
            <w:pPr>
              <w:jc w:val="center"/>
              <w:ind w:right="160"/>
              <w:spacing w:after="0" w:line="182" w:lineRule="exact"/>
              <w:rPr>
                <w:sz w:val="20"/>
                <w:szCs w:val="20"/>
                <w:color w:val="auto"/>
              </w:rPr>
            </w:pPr>
            <w:r>
              <w:rPr>
                <w:rFonts w:ascii="Arial" w:cs="Arial" w:eastAsia="Arial" w:hAnsi="Arial"/>
                <w:sz w:val="18"/>
                <w:szCs w:val="18"/>
                <w:color w:val="auto"/>
                <w:w w:val="92"/>
              </w:rPr>
              <w:t>Board of Directors</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540" w:type="dxa"/>
            <w:vAlign w:val="bottom"/>
            <w:gridSpan w:val="3"/>
          </w:tcPr>
          <w:p>
            <w:pPr>
              <w:jc w:val="center"/>
              <w:ind w:right="160"/>
              <w:spacing w:after="0"/>
              <w:rPr>
                <w:sz w:val="20"/>
                <w:szCs w:val="20"/>
                <w:color w:val="auto"/>
              </w:rPr>
            </w:pPr>
            <w:r>
              <w:rPr>
                <w:rFonts w:ascii="Arial" w:cs="Arial" w:eastAsia="Arial" w:hAnsi="Arial"/>
                <w:sz w:val="18"/>
                <w:szCs w:val="18"/>
                <w:i w:val="1"/>
                <w:iCs w:val="1"/>
                <w:color w:val="auto"/>
                <w:w w:val="94"/>
              </w:rPr>
              <w:t>(Principal Executive Officer)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Hakan S. Edstrom</w:t>
            </w:r>
          </w:p>
        </w:tc>
        <w:tc>
          <w:tcPr>
            <w:tcW w:w="45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President, Chief Operating Officer and</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Arial" w:cs="Arial" w:eastAsia="Arial" w:hAnsi="Arial"/>
                <w:sz w:val="18"/>
                <w:szCs w:val="18"/>
                <w:color w:val="auto"/>
              </w:rPr>
              <w:t>Hakan S. Edstrom</w:t>
            </w:r>
          </w:p>
        </w:tc>
        <w:tc>
          <w:tcPr>
            <w:tcW w:w="45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Matthew J. Pfeffer</w:t>
            </w:r>
          </w:p>
        </w:tc>
        <w:tc>
          <w:tcPr>
            <w:tcW w:w="454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Corporate Vice President and Chief Financial Officer</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Arial" w:cs="Arial" w:eastAsia="Arial" w:hAnsi="Arial"/>
                <w:sz w:val="18"/>
                <w:szCs w:val="18"/>
                <w:color w:val="auto"/>
              </w:rPr>
              <w:t>Matthew J. Pfeffer</w:t>
            </w:r>
          </w:p>
        </w:tc>
        <w:tc>
          <w:tcPr>
            <w:tcW w:w="4540" w:type="dxa"/>
            <w:vAlign w:val="bottom"/>
            <w:gridSpan w:val="3"/>
          </w:tcPr>
          <w:p>
            <w:pPr>
              <w:jc w:val="center"/>
              <w:ind w:right="18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5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3"/>
          </w:tcPr>
          <w:p>
            <w:pPr>
              <w:spacing w:after="0" w:line="195" w:lineRule="exact"/>
              <w:rPr>
                <w:sz w:val="20"/>
                <w:szCs w:val="20"/>
                <w:color w:val="auto"/>
              </w:rPr>
            </w:pPr>
            <w:r>
              <w:rPr>
                <w:rFonts w:ascii="Arial" w:cs="Arial" w:eastAsia="Arial" w:hAnsi="Arial"/>
                <w:sz w:val="18"/>
                <w:szCs w:val="18"/>
                <w:color w:val="auto"/>
              </w:rPr>
              <w:t>A. E. Cohen</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Ronald J. Consiglio</w:t>
            </w:r>
          </w:p>
        </w:tc>
        <w:tc>
          <w:tcPr>
            <w:tcW w:w="45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3180" w:type="dxa"/>
            <w:vAlign w:val="bottom"/>
            <w:gridSpan w:val="4"/>
          </w:tcPr>
          <w:p>
            <w:pPr>
              <w:spacing w:after="0" w:line="195" w:lineRule="exact"/>
              <w:rPr>
                <w:sz w:val="20"/>
                <w:szCs w:val="20"/>
                <w:color w:val="auto"/>
              </w:rPr>
            </w:pPr>
            <w:r>
              <w:rPr>
                <w:rFonts w:ascii="Arial" w:cs="Arial" w:eastAsia="Arial" w:hAnsi="Arial"/>
                <w:sz w:val="18"/>
                <w:szCs w:val="18"/>
                <w:color w:val="auto"/>
              </w:rPr>
              <w:t>Ronald J. Consiglio</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Michael Friedman, M.D.</w:t>
            </w:r>
          </w:p>
        </w:tc>
        <w:tc>
          <w:tcPr>
            <w:tcW w:w="45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3180" w:type="dxa"/>
            <w:vAlign w:val="bottom"/>
            <w:gridSpan w:val="4"/>
          </w:tcPr>
          <w:p>
            <w:pPr>
              <w:spacing w:after="0" w:line="195" w:lineRule="exact"/>
              <w:rPr>
                <w:sz w:val="20"/>
                <w:szCs w:val="20"/>
                <w:color w:val="auto"/>
              </w:rPr>
            </w:pPr>
            <w:r>
              <w:rPr>
                <w:rFonts w:ascii="Arial" w:cs="Arial" w:eastAsia="Arial" w:hAnsi="Arial"/>
                <w:sz w:val="18"/>
                <w:szCs w:val="18"/>
                <w:color w:val="auto"/>
              </w:rPr>
              <w:t>Michael Friedman, M.D.</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Kent Kresa</w:t>
            </w:r>
          </w:p>
        </w:tc>
        <w:tc>
          <w:tcPr>
            <w:tcW w:w="45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3180" w:type="dxa"/>
            <w:vAlign w:val="bottom"/>
            <w:gridSpan w:val="4"/>
          </w:tcPr>
          <w:p>
            <w:pPr>
              <w:spacing w:after="0" w:line="195" w:lineRule="exact"/>
              <w:rPr>
                <w:sz w:val="20"/>
                <w:szCs w:val="20"/>
                <w:color w:val="auto"/>
              </w:rPr>
            </w:pPr>
            <w:r>
              <w:rPr>
                <w:rFonts w:ascii="Arial" w:cs="Arial" w:eastAsia="Arial" w:hAnsi="Arial"/>
                <w:sz w:val="18"/>
                <w:szCs w:val="18"/>
                <w:color w:val="auto"/>
              </w:rPr>
              <w:t>Kent Kresa</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David H. MacCallum</w:t>
            </w:r>
          </w:p>
        </w:tc>
        <w:tc>
          <w:tcPr>
            <w:tcW w:w="45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3180" w:type="dxa"/>
            <w:vAlign w:val="bottom"/>
            <w:gridSpan w:val="4"/>
          </w:tcPr>
          <w:p>
            <w:pPr>
              <w:spacing w:after="0"/>
              <w:rPr>
                <w:sz w:val="20"/>
                <w:szCs w:val="20"/>
                <w:color w:val="auto"/>
              </w:rPr>
            </w:pPr>
            <w:r>
              <w:rPr>
                <w:rFonts w:ascii="Arial" w:cs="Arial" w:eastAsia="Arial" w:hAnsi="Arial"/>
                <w:sz w:val="18"/>
                <w:szCs w:val="18"/>
                <w:color w:val="auto"/>
              </w:rPr>
              <w:t>David H. MacCallum</w:t>
            </w:r>
          </w:p>
        </w:tc>
        <w:tc>
          <w:tcPr>
            <w:tcW w:w="454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vMerge w:val="restart"/>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540" w:type="dxa"/>
            <w:vAlign w:val="bottom"/>
            <w:gridSpan w:val="3"/>
            <w:vMerge w:val="continue"/>
          </w:tcPr>
          <w:p>
            <w:pPr>
              <w:spacing w:after="0"/>
              <w:rPr>
                <w:sz w:val="17"/>
                <w:szCs w:val="17"/>
                <w:color w:val="auto"/>
              </w:rPr>
            </w:pPr>
          </w:p>
        </w:tc>
        <w:tc>
          <w:tcPr>
            <w:tcW w:w="3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3"/>
          </w:tcPr>
          <w:p>
            <w:pPr>
              <w:spacing w:after="0" w:line="195" w:lineRule="exact"/>
              <w:rPr>
                <w:sz w:val="20"/>
                <w:szCs w:val="20"/>
                <w:color w:val="auto"/>
              </w:rPr>
            </w:pPr>
            <w:r>
              <w:rPr>
                <w:rFonts w:ascii="Arial" w:cs="Arial" w:eastAsia="Arial" w:hAnsi="Arial"/>
                <w:sz w:val="18"/>
                <w:szCs w:val="18"/>
                <w:color w:val="auto"/>
              </w:rPr>
              <w:t>Henry L. Nordhoff</w:t>
            </w: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James S. Shannon</w:t>
            </w:r>
          </w:p>
        </w:tc>
        <w:tc>
          <w:tcPr>
            <w:tcW w:w="45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right="940"/>
              <w:spacing w:after="0"/>
              <w:rPr>
                <w:sz w:val="20"/>
                <w:szCs w:val="20"/>
                <w:color w:val="auto"/>
              </w:rPr>
            </w:pPr>
            <w:r>
              <w:rPr>
                <w:rFonts w:ascii="Arial" w:cs="Arial" w:eastAsia="Arial" w:hAnsi="Arial"/>
                <w:sz w:val="18"/>
                <w:szCs w:val="18"/>
                <w:color w:val="auto"/>
                <w:w w:val="91"/>
              </w:rPr>
              <w:t>March 16, 2010</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3180" w:type="dxa"/>
            <w:vAlign w:val="bottom"/>
            <w:gridSpan w:val="4"/>
          </w:tcPr>
          <w:p>
            <w:pPr>
              <w:spacing w:after="0"/>
              <w:rPr>
                <w:sz w:val="20"/>
                <w:szCs w:val="20"/>
                <w:color w:val="auto"/>
              </w:rPr>
            </w:pPr>
            <w:r>
              <w:rPr>
                <w:rFonts w:ascii="Arial" w:cs="Arial" w:eastAsia="Arial" w:hAnsi="Arial"/>
                <w:sz w:val="18"/>
                <w:szCs w:val="18"/>
                <w:color w:val="auto"/>
              </w:rPr>
              <w:t>James S. Shannon, M.D., MRCP(UK)</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INDEX TO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Report of Independent Registered Public Accounting Firm</w:t>
              </w:r>
            </w:hyperlink>
          </w:p>
        </w:tc>
        <w:tc>
          <w:tcPr>
            <w:tcW w:w="320" w:type="dxa"/>
            <w:vAlign w:val="bottom"/>
          </w:tcPr>
          <w:p>
            <w:pPr>
              <w:spacing w:after="0"/>
              <w:rPr>
                <w:sz w:val="17"/>
                <w:szCs w:val="17"/>
                <w:color w:val="auto"/>
              </w:rPr>
            </w:pPr>
          </w:p>
        </w:tc>
        <w:tc>
          <w:tcPr>
            <w:tcW w:w="6180" w:type="dxa"/>
            <w:vAlign w:val="bottom"/>
          </w:tcPr>
          <w:p>
            <w:pPr>
              <w:jc w:val="right"/>
              <w:ind w:right="810"/>
              <w:spacing w:after="0"/>
              <w:rPr>
                <w:sz w:val="20"/>
                <w:szCs w:val="20"/>
                <w:color w:val="auto"/>
              </w:rPr>
            </w:pPr>
            <w:r>
              <w:rPr>
                <w:rFonts w:ascii="Arial" w:cs="Arial" w:eastAsia="Arial" w:hAnsi="Arial"/>
                <w:sz w:val="18"/>
                <w:szCs w:val="18"/>
                <w:color w:val="auto"/>
              </w:rPr>
              <w:t>62</w:t>
            </w:r>
          </w:p>
        </w:tc>
      </w:tr>
      <w:tr>
        <w:trPr>
          <w:trHeight w:val="196"/>
        </w:trPr>
        <w:tc>
          <w:tcPr>
            <w:tcW w:w="70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w:t>
              </w:r>
            </w:hyperlink>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63</w:t>
            </w:r>
          </w:p>
        </w:tc>
      </w:tr>
      <w:tr>
        <w:trPr>
          <w:trHeight w:val="20"/>
        </w:trPr>
        <w:tc>
          <w:tcPr>
            <w:tcW w:w="7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w:t>
              </w:r>
            </w:hyperlink>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64</w:t>
            </w:r>
          </w:p>
        </w:tc>
      </w:tr>
      <w:tr>
        <w:trPr>
          <w:trHeight w:val="20"/>
        </w:trPr>
        <w:tc>
          <w:tcPr>
            <w:tcW w:w="70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Consolidated Statements of Stockholders’ Equity (Deficit)</w:t>
              </w:r>
            </w:hyperlink>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65</w:t>
            </w:r>
          </w:p>
        </w:tc>
      </w:tr>
      <w:tr>
        <w:trPr>
          <w:trHeight w:val="196"/>
        </w:trPr>
        <w:tc>
          <w:tcPr>
            <w:tcW w:w="700" w:type="dxa"/>
            <w:vAlign w:val="bottom"/>
          </w:tcPr>
          <w:p>
            <w:pPr>
              <w:spacing w:after="0"/>
              <w:rPr>
                <w:sz w:val="17"/>
                <w:szCs w:val="17"/>
                <w:color w:val="auto"/>
              </w:rPr>
            </w:pPr>
          </w:p>
        </w:tc>
        <w:tc>
          <w:tcPr>
            <w:tcW w:w="42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w:t>
              </w:r>
            </w:hyperlink>
          </w:p>
        </w:tc>
        <w:tc>
          <w:tcPr>
            <w:tcW w:w="340" w:type="dxa"/>
            <w:vAlign w:val="bottom"/>
            <w:gridSpan w:val="2"/>
          </w:tcPr>
          <w:p>
            <w:pPr>
              <w:spacing w:after="0"/>
              <w:rPr>
                <w:sz w:val="17"/>
                <w:szCs w:val="17"/>
                <w:color w:val="auto"/>
              </w:rPr>
            </w:pPr>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70</w:t>
            </w:r>
          </w:p>
        </w:tc>
      </w:tr>
      <w:tr>
        <w:trPr>
          <w:trHeight w:val="20"/>
        </w:trPr>
        <w:tc>
          <w:tcPr>
            <w:tcW w:w="70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72</w:t>
            </w:r>
          </w:p>
        </w:tc>
      </w:tr>
      <w:tr>
        <w:trPr>
          <w:trHeight w:val="426"/>
        </w:trPr>
        <w:tc>
          <w:tcPr>
            <w:tcW w:w="70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80" w:type="dxa"/>
            <w:vAlign w:val="bottom"/>
          </w:tcPr>
          <w:p>
            <w:pPr>
              <w:jc w:val="right"/>
              <w:ind w:right="5590"/>
              <w:spacing w:after="0"/>
              <w:rPr>
                <w:sz w:val="20"/>
                <w:szCs w:val="20"/>
                <w:color w:val="auto"/>
              </w:rPr>
            </w:pPr>
            <w:r>
              <w:rPr>
                <w:rFonts w:ascii="Arial" w:cs="Arial" w:eastAsia="Arial" w:hAnsi="Arial"/>
                <w:sz w:val="18"/>
                <w:szCs w:val="18"/>
                <w:color w:val="auto"/>
              </w:rPr>
              <w:t>61</w:t>
            </w:r>
          </w:p>
        </w:tc>
      </w:tr>
      <w:tr>
        <w:trPr>
          <w:trHeight w:val="226"/>
        </w:trPr>
        <w:tc>
          <w:tcPr>
            <w:tcW w:w="7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Valencia, California</w:t>
      </w:r>
    </w:p>
    <w:p>
      <w:pPr>
        <w:spacing w:after="0" w:line="103" w:lineRule="exact"/>
        <w:rPr>
          <w:sz w:val="20"/>
          <w:szCs w:val="20"/>
          <w:color w:val="auto"/>
        </w:rPr>
      </w:pPr>
    </w:p>
    <w:p>
      <w:pPr>
        <w:ind w:left="700" w:right="20" w:firstLine="222"/>
        <w:spacing w:after="0" w:line="257" w:lineRule="auto"/>
        <w:rPr>
          <w:sz w:val="20"/>
          <w:szCs w:val="20"/>
          <w:color w:val="auto"/>
        </w:rPr>
      </w:pPr>
      <w:r>
        <w:rPr>
          <w:rFonts w:ascii="Arial" w:cs="Arial" w:eastAsia="Arial" w:hAnsi="Arial"/>
          <w:sz w:val="18"/>
          <w:szCs w:val="18"/>
          <w:color w:val="auto"/>
        </w:rPr>
        <w:t>We have audited the accompanying consolidated balance sheets of MannKind Corporation (a development stage company) (the “Company”) as of December 31, 2008 and 2009 and the related consolidated statements of operations, stockholders’ equity (deficit), and cash flows for each of the three years in the period ended December 31, 2009 and for the period from February 14, 1991 (date of inception) to December 31, 2009. These financial statements are the responsibility of the Company’s management. Our responsibility is to express an opinion on the financial statements based on our audits.</w:t>
      </w:r>
    </w:p>
    <w:p>
      <w:pPr>
        <w:spacing w:after="0" w:line="80" w:lineRule="exact"/>
        <w:rPr>
          <w:sz w:val="20"/>
          <w:szCs w:val="20"/>
          <w:color w:val="auto"/>
        </w:rPr>
      </w:pPr>
    </w:p>
    <w:p>
      <w:pPr>
        <w:ind w:left="700" w:firstLine="222"/>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50" w:lineRule="exact"/>
        <w:rPr>
          <w:sz w:val="20"/>
          <w:szCs w:val="20"/>
          <w:color w:val="auto"/>
        </w:rPr>
      </w:pPr>
    </w:p>
    <w:p>
      <w:pPr>
        <w:ind w:left="700" w:right="80" w:firstLine="225"/>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MannKind Corporation as of December 31, 2008 and 2009, and the results of its operations and its cash flows for each of the three years in the period ended December 31, 2009 and for the period from February 14, 1991 (date of inception) to December 31, 2009, in conformity with accounting principles generally accepted in the United States of America.</w:t>
      </w:r>
    </w:p>
    <w:p>
      <w:pPr>
        <w:spacing w:after="0" w:line="79" w:lineRule="exact"/>
        <w:rPr>
          <w:sz w:val="20"/>
          <w:szCs w:val="20"/>
          <w:color w:val="auto"/>
        </w:rPr>
      </w:pPr>
    </w:p>
    <w:p>
      <w:pPr>
        <w:ind w:left="700" w:right="320" w:firstLine="222"/>
        <w:spacing w:after="0" w:line="302"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and our report dated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16, 2010 expressed an unqualified opinion on the Company’s internal control over financial reporting.</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16, 2010</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72"/>
              </w:rPr>
              <w:t>thousands,</w:t>
            </w: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(In</w:t>
            </w:r>
          </w:p>
        </w:tc>
        <w:tc>
          <w:tcPr>
            <w:tcW w:w="560" w:type="dxa"/>
            <w:vAlign w:val="bottom"/>
            <w:gridSpan w:val="2"/>
            <w:vMerge w:val="continue"/>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center"/>
              <w:ind w:left="613"/>
              <w:spacing w:after="0"/>
              <w:rPr>
                <w:sz w:val="20"/>
                <w:szCs w:val="20"/>
                <w:color w:val="auto"/>
              </w:rPr>
            </w:pPr>
            <w:r>
              <w:rPr>
                <w:rFonts w:ascii="Arial" w:cs="Arial" w:eastAsia="Arial" w:hAnsi="Arial"/>
                <w:sz w:val="14"/>
                <w:szCs w:val="14"/>
                <w:b w:val="1"/>
                <w:bCs w:val="1"/>
                <w:color w:val="auto"/>
                <w:w w:val="93"/>
              </w:rPr>
              <w:t>share data)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16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226,436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282,459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LIABILITIES AND STOCKHOLDERS’ EQUITY (DEFICIT)</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15,630</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112,253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Commitments and contingencies Stockholders’ equity (deficit):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Undesignated preferred stock, $0.01 par value — 10,000,000 shares authorized; no shares issued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 outstanding at December 31, 2008 and 2009</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spacing w:after="0" w:line="201" w:lineRule="exact"/>
              <w:rPr>
                <w:sz w:val="20"/>
                <w:szCs w:val="20"/>
                <w:color w:val="auto"/>
              </w:rPr>
            </w:pPr>
            <w:r>
              <w:rPr>
                <w:rFonts w:ascii="Arial" w:cs="Arial" w:eastAsia="Arial" w:hAnsi="Arial"/>
                <w:sz w:val="18"/>
                <w:szCs w:val="18"/>
                <w:color w:val="auto"/>
                <w:w w:val="96"/>
              </w:rPr>
              <w:t>Common stock, $0.01 par value — 150,000,000 shares authorized at December 31, 2008 and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w w:val="92"/>
              </w:rPr>
              <w:t>2009; 102,008,096 and 113,025,291 shares issued and outstanding at December 31, 2008 and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2009, respectively</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1,469,497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1,544,112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w w:val="91"/>
              </w:rPr>
              <w:t>(1,384,078)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(1,604,182)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86,734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282,459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0"/>
              </w:rPr>
              <w:t>except</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gridSpan w:val="2"/>
            <w:vMerge w:val="continue"/>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per share data)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256,844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250,442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156,331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1,153,813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50,523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55,343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53,447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 costs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307,367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305,785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209,778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1,624,256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(307,357)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(305,765)</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(209,778)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2"/>
              </w:rPr>
              <w:t>(1,621,268)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4"/>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(5,679)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(2,327)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(293,187)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(303,037)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(220,104)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(1,604,156)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(293,190)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(303,039)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(220,104)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(1,604,182)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Deemed dividend related to beneficial conversion feature of</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convertible preferred stock</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(293,190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(303,039</w:t>
            </w:r>
          </w:p>
        </w:tc>
        <w:tc>
          <w:tcPr>
            <w:tcW w:w="500" w:type="dxa"/>
            <w:vAlign w:val="bottom"/>
          </w:tcPr>
          <w:p>
            <w:pPr>
              <w:jc w:val="right"/>
              <w:ind w:right="364"/>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(220,104</w:t>
            </w:r>
          </w:p>
        </w:tc>
        <w:tc>
          <w:tcPr>
            <w:tcW w:w="360" w:type="dxa"/>
            <w:vAlign w:val="bottom"/>
          </w:tcPr>
          <w:p>
            <w:pPr>
              <w:jc w:val="right"/>
              <w:ind w:right="28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(1,627,394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Net loss per share applicable to common stockholders — basic</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(2.98)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to compute basic and diluted net loss per share</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applicable to common stockholders</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101,561</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106,534</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Series C</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Series C</w:t>
            </w:r>
          </w:p>
        </w:tc>
        <w:tc>
          <w:tcPr>
            <w:tcW w:w="60" w:type="dxa"/>
            <w:vAlign w:val="bottom"/>
          </w:tcPr>
          <w:p>
            <w:pPr>
              <w:spacing w:after="0"/>
              <w:rPr>
                <w:sz w:val="10"/>
                <w:szCs w:val="10"/>
                <w:color w:val="auto"/>
              </w:rPr>
            </w:pPr>
          </w:p>
        </w:tc>
        <w:tc>
          <w:tcPr>
            <w:tcW w:w="7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Deficit</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6"/>
              </w:rPr>
              <w:t>Series B</w:t>
            </w:r>
          </w:p>
        </w:tc>
        <w:tc>
          <w:tcPr>
            <w:tcW w:w="100" w:type="dxa"/>
            <w:vAlign w:val="bottom"/>
          </w:tcPr>
          <w:p>
            <w:pPr>
              <w:spacing w:after="0"/>
              <w:rPr>
                <w:sz w:val="10"/>
                <w:szCs w:val="10"/>
                <w:color w:val="auto"/>
              </w:rPr>
            </w:pPr>
          </w:p>
        </w:tc>
        <w:tc>
          <w:tcPr>
            <w:tcW w:w="92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700" w:type="dxa"/>
            <w:vAlign w:val="bottom"/>
            <w:gridSpan w:val="4"/>
          </w:tcPr>
          <w:p>
            <w:pPr>
              <w:jc w:val="right"/>
              <w:ind w:right="40"/>
              <w:spacing w:after="0" w:line="122" w:lineRule="exact"/>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Preferred</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Notes</w:t>
            </w:r>
          </w:p>
        </w:tc>
        <w:tc>
          <w:tcPr>
            <w:tcW w:w="60" w:type="dxa"/>
            <w:vAlign w:val="bottom"/>
          </w:tcPr>
          <w:p>
            <w:pPr>
              <w:spacing w:after="0"/>
              <w:rPr>
                <w:sz w:val="10"/>
                <w:szCs w:val="10"/>
                <w:color w:val="auto"/>
              </w:rPr>
            </w:pPr>
          </w:p>
        </w:tc>
        <w:tc>
          <w:tcPr>
            <w:tcW w:w="5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4"/>
              </w:rPr>
              <w:t>Notes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ind w:left="180"/>
              <w:spacing w:after="0" w:line="122" w:lineRule="exact"/>
              <w:rPr>
                <w:sz w:val="20"/>
                <w:szCs w:val="20"/>
                <w:color w:val="auto"/>
              </w:rPr>
            </w:pPr>
            <w:r>
              <w:rPr>
                <w:rFonts w:ascii="Arial" w:cs="Arial" w:eastAsia="Arial" w:hAnsi="Arial"/>
                <w:sz w:val="11"/>
                <w:szCs w:val="11"/>
                <w:b w:val="1"/>
                <w:bCs w:val="1"/>
                <w:color w:val="auto"/>
              </w:rPr>
              <w:t>Convertible</w:t>
            </w:r>
          </w:p>
        </w:tc>
        <w:tc>
          <w:tcPr>
            <w:tcW w:w="100" w:type="dxa"/>
            <w:vAlign w:val="bottom"/>
          </w:tcPr>
          <w:p>
            <w:pPr>
              <w:spacing w:after="0"/>
              <w:rPr>
                <w:sz w:val="10"/>
                <w:szCs w:val="10"/>
                <w:color w:val="auto"/>
              </w:rPr>
            </w:pPr>
          </w:p>
        </w:tc>
        <w:tc>
          <w:tcPr>
            <w:tcW w:w="920" w:type="dxa"/>
            <w:vAlign w:val="bottom"/>
            <w:gridSpan w:val="4"/>
          </w:tcPr>
          <w:p>
            <w:pPr>
              <w:ind w:left="200"/>
              <w:spacing w:after="0" w:line="122" w:lineRule="exact"/>
              <w:rPr>
                <w:sz w:val="20"/>
                <w:szCs w:val="20"/>
                <w:color w:val="auto"/>
              </w:rPr>
            </w:pPr>
            <w:r>
              <w:rPr>
                <w:rFonts w:ascii="Arial" w:cs="Arial" w:eastAsia="Arial" w:hAnsi="Arial"/>
                <w:sz w:val="11"/>
                <w:szCs w:val="11"/>
                <w:b w:val="1"/>
                <w:bCs w:val="1"/>
                <w:color w:val="auto"/>
              </w:rPr>
              <w:t>Convertible</w:t>
            </w:r>
          </w:p>
        </w:tc>
        <w:tc>
          <w:tcPr>
            <w:tcW w:w="120" w:type="dxa"/>
            <w:vAlign w:val="bottom"/>
          </w:tcPr>
          <w:p>
            <w:pPr>
              <w:spacing w:after="0"/>
              <w:rPr>
                <w:sz w:val="10"/>
                <w:szCs w:val="10"/>
                <w:color w:val="auto"/>
              </w:rPr>
            </w:pPr>
          </w:p>
        </w:tc>
        <w:tc>
          <w:tcPr>
            <w:tcW w:w="58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Preferred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Stock</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10"/>
                <w:szCs w:val="10"/>
                <w:color w:val="auto"/>
              </w:rPr>
            </w:pPr>
          </w:p>
        </w:tc>
        <w:tc>
          <w:tcPr>
            <w:tcW w:w="66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Receivable</w:t>
            </w:r>
          </w:p>
        </w:tc>
        <w:tc>
          <w:tcPr>
            <w:tcW w:w="6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6"/>
              </w:rPr>
              <w:t>Receivable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During the</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100" w:type="dxa"/>
            <w:vAlign w:val="bottom"/>
          </w:tcPr>
          <w:p>
            <w:pPr>
              <w:spacing w:after="0"/>
              <w:rPr>
                <w:sz w:val="11"/>
                <w:szCs w:val="11"/>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79"/>
              </w:rPr>
              <w:t>Stock</w:t>
            </w:r>
          </w:p>
        </w:tc>
        <w:tc>
          <w:tcPr>
            <w:tcW w:w="80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84"/>
              </w:rPr>
              <w:t>Subscriptions</w:t>
            </w:r>
          </w:p>
        </w:tc>
        <w:tc>
          <w:tcPr>
            <w:tcW w:w="8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w w:val="94"/>
              </w:rPr>
              <w:t>Common Stock</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from</w:t>
            </w:r>
          </w:p>
        </w:tc>
        <w:tc>
          <w:tcPr>
            <w:tcW w:w="60" w:type="dxa"/>
            <w:vAlign w:val="bottom"/>
          </w:tcPr>
          <w:p>
            <w:pPr>
              <w:spacing w:after="0"/>
              <w:rPr>
                <w:sz w:val="11"/>
                <w:szCs w:val="1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from</w:t>
            </w:r>
          </w:p>
        </w:tc>
        <w:tc>
          <w:tcPr>
            <w:tcW w:w="6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b w:val="1"/>
                <w:bCs w:val="1"/>
                <w:color w:val="auto"/>
                <w:w w:val="84"/>
              </w:rPr>
              <w:t>Comprehensive</w:t>
            </w:r>
          </w:p>
        </w:tc>
        <w:tc>
          <w:tcPr>
            <w:tcW w:w="120" w:type="dxa"/>
            <w:vAlign w:val="bottom"/>
          </w:tcPr>
          <w:p>
            <w:pPr>
              <w:spacing w:after="0"/>
              <w:rPr>
                <w:sz w:val="11"/>
                <w:szCs w:val="11"/>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6"/>
              </w:rPr>
              <w:t>Development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42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6"/>
              </w:rPr>
              <w:t>Issuable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6"/>
              </w:rPr>
              <w:t>Receivable</w:t>
            </w:r>
          </w:p>
        </w:tc>
        <w:tc>
          <w:tcPr>
            <w:tcW w:w="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7"/>
              </w:rPr>
              <w:t>Shares</w:t>
            </w:r>
          </w:p>
        </w:tc>
        <w:tc>
          <w:tcPr>
            <w:tcW w:w="48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46"/>
              <w:spacing w:after="0" w:line="115" w:lineRule="exact"/>
              <w:rPr>
                <w:sz w:val="20"/>
                <w:szCs w:val="20"/>
                <w:color w:val="auto"/>
              </w:rPr>
            </w:pPr>
            <w:r>
              <w:rPr>
                <w:rFonts w:ascii="Arial" w:cs="Arial" w:eastAsia="Arial" w:hAnsi="Arial"/>
                <w:sz w:val="11"/>
                <w:szCs w:val="11"/>
                <w:b w:val="1"/>
                <w:bCs w:val="1"/>
                <w:color w:val="auto"/>
                <w:w w:val="98"/>
              </w:rPr>
              <w:t>Capital</w:t>
            </w:r>
          </w:p>
        </w:tc>
        <w:tc>
          <w:tcPr>
            <w:tcW w:w="800" w:type="dxa"/>
            <w:vAlign w:val="bottom"/>
            <w:gridSpan w:val="4"/>
          </w:tcPr>
          <w:p>
            <w:pPr>
              <w:jc w:val="center"/>
              <w:spacing w:after="0" w:line="115" w:lineRule="exact"/>
              <w:rPr>
                <w:sz w:val="20"/>
                <w:szCs w:val="20"/>
                <w:color w:val="auto"/>
              </w:rPr>
            </w:pPr>
            <w:r>
              <w:rPr>
                <w:rFonts w:ascii="Arial" w:cs="Arial" w:eastAsia="Arial" w:hAnsi="Arial"/>
                <w:sz w:val="11"/>
                <w:szCs w:val="11"/>
                <w:b w:val="1"/>
                <w:bCs w:val="1"/>
                <w:color w:val="auto"/>
                <w:w w:val="86"/>
              </w:rPr>
              <w:t>Stockholders</w:t>
            </w:r>
          </w:p>
        </w:tc>
        <w:tc>
          <w:tcPr>
            <w:tcW w:w="60" w:type="dxa"/>
            <w:vAlign w:val="bottom"/>
          </w:tcPr>
          <w:p>
            <w:pPr>
              <w:spacing w:after="0"/>
              <w:rPr>
                <w:sz w:val="10"/>
                <w:szCs w:val="10"/>
                <w:color w:val="auto"/>
              </w:rPr>
            </w:pPr>
          </w:p>
        </w:tc>
        <w:tc>
          <w:tcPr>
            <w:tcW w:w="56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6"/>
              </w:rPr>
              <w:t>Officers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46"/>
              <w:spacing w:after="0" w:line="115" w:lineRule="exact"/>
              <w:rPr>
                <w:sz w:val="20"/>
                <w:szCs w:val="20"/>
                <w:color w:val="auto"/>
              </w:rPr>
            </w:pPr>
            <w:r>
              <w:rPr>
                <w:rFonts w:ascii="Arial" w:cs="Arial" w:eastAsia="Arial" w:hAnsi="Arial"/>
                <w:sz w:val="11"/>
                <w:szCs w:val="11"/>
                <w:b w:val="1"/>
                <w:bCs w:val="1"/>
                <w:color w:val="auto"/>
              </w:rPr>
              <w:t>Income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79"/>
              </w:rPr>
              <w:t>Stage</w:t>
            </w:r>
          </w:p>
        </w:tc>
        <w:tc>
          <w:tcPr>
            <w:tcW w:w="60" w:type="dxa"/>
            <w:vAlign w:val="bottom"/>
          </w:tcPr>
          <w:p>
            <w:pPr>
              <w:spacing w:after="0"/>
              <w:rPr>
                <w:sz w:val="10"/>
                <w:szCs w:val="10"/>
                <w:color w:val="auto"/>
              </w:rPr>
            </w:pPr>
          </w:p>
        </w:tc>
        <w:tc>
          <w:tcPr>
            <w:tcW w:w="440" w:type="dxa"/>
            <w:vAlign w:val="bottom"/>
            <w:gridSpan w:val="2"/>
          </w:tcPr>
          <w:p>
            <w:pPr>
              <w:jc w:val="right"/>
              <w:ind w:right="14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shd w:val="clear" w:color="auto" w:fill="CCEEFF"/>
          </w:tcPr>
          <w:p>
            <w:pPr>
              <w:jc w:val="center"/>
              <w:ind w:right="46"/>
              <w:spacing w:after="0" w:line="105" w:lineRule="exact"/>
              <w:rPr>
                <w:sz w:val="20"/>
                <w:szCs w:val="20"/>
                <w:color w:val="auto"/>
              </w:rPr>
            </w:pPr>
            <w:r>
              <w:rPr>
                <w:rFonts w:ascii="Arial" w:cs="Arial" w:eastAsia="Arial" w:hAnsi="Arial"/>
                <w:sz w:val="11"/>
                <w:szCs w:val="11"/>
                <w:color w:val="auto"/>
                <w:w w:val="89"/>
              </w:rPr>
              <w:t>Issuance of common stock</w:t>
            </w:r>
          </w:p>
        </w:tc>
        <w:tc>
          <w:tcPr>
            <w:tcW w:w="4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for cash</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1"/>
              </w:rPr>
              <w:t>$10</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890</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90"/>
              </w:rPr>
              <w:t>$—</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900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1"/>
                <w:szCs w:val="11"/>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(911)</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(911)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shd w:val="clear" w:color="auto" w:fill="CCEEFF"/>
          </w:tcPr>
          <w:p>
            <w:pPr>
              <w:jc w:val="center"/>
              <w:ind w:right="6"/>
              <w:spacing w:after="0" w:line="112" w:lineRule="exact"/>
              <w:rPr>
                <w:sz w:val="20"/>
                <w:szCs w:val="20"/>
                <w:color w:val="auto"/>
              </w:rPr>
            </w:pPr>
            <w:r>
              <w:rPr>
                <w:rFonts w:ascii="Arial" w:cs="Arial" w:eastAsia="Arial" w:hAnsi="Arial"/>
                <w:sz w:val="11"/>
                <w:szCs w:val="11"/>
                <w:color w:val="auto"/>
                <w:w w:val="94"/>
              </w:rPr>
              <w:t>BALANCE, FEBRUARY 29,</w:t>
            </w:r>
          </w:p>
        </w:tc>
        <w:tc>
          <w:tcPr>
            <w:tcW w:w="4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1992</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(911)</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tcPr>
          <w:p>
            <w:pPr>
              <w:ind w:left="100"/>
              <w:spacing w:after="0" w:line="112" w:lineRule="exact"/>
              <w:rPr>
                <w:sz w:val="20"/>
                <w:szCs w:val="20"/>
                <w:color w:val="auto"/>
              </w:rPr>
            </w:pPr>
            <w:r>
              <w:rPr>
                <w:rFonts w:ascii="Arial" w:cs="Arial" w:eastAsia="Arial" w:hAnsi="Arial"/>
                <w:sz w:val="11"/>
                <w:szCs w:val="11"/>
                <w:color w:val="auto"/>
                <w:w w:val="93"/>
              </w:rPr>
              <w:t>Issuance of common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tcPr>
          <w:p>
            <w:pPr>
              <w:ind w:left="240"/>
              <w:spacing w:after="0"/>
              <w:rPr>
                <w:sz w:val="20"/>
                <w:szCs w:val="20"/>
                <w:color w:val="auto"/>
              </w:rPr>
            </w:pPr>
            <w:r>
              <w:rPr>
                <w:rFonts w:ascii="Arial" w:cs="Arial" w:eastAsia="Arial" w:hAnsi="Arial"/>
                <w:sz w:val="11"/>
                <w:szCs w:val="11"/>
                <w:color w:val="auto"/>
              </w:rPr>
              <w:t>for cash and services</w:t>
            </w:r>
          </w:p>
        </w:tc>
        <w:tc>
          <w:tcPr>
            <w:tcW w:w="4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73</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887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888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Capital contribution</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(1,175)</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(1,175)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40" w:type="dxa"/>
            <w:vAlign w:val="bottom"/>
            <w:shd w:val="clear" w:color="auto" w:fill="CCEEFF"/>
          </w:tcPr>
          <w:p>
            <w:pPr>
              <w:jc w:val="center"/>
              <w:ind w:right="6"/>
              <w:spacing w:after="0" w:line="112" w:lineRule="exact"/>
              <w:rPr>
                <w:sz w:val="20"/>
                <w:szCs w:val="20"/>
                <w:color w:val="auto"/>
              </w:rPr>
            </w:pPr>
            <w:r>
              <w:rPr>
                <w:rFonts w:ascii="Arial" w:cs="Arial" w:eastAsia="Arial" w:hAnsi="Arial"/>
                <w:sz w:val="11"/>
                <w:szCs w:val="11"/>
                <w:color w:val="auto"/>
                <w:w w:val="94"/>
              </w:rPr>
              <w:t>BALANCE, FEBRUARY 28,</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1993</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(2,086)</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tcPr>
          <w:p>
            <w:pPr>
              <w:ind w:left="100"/>
              <w:spacing w:after="0" w:line="112" w:lineRule="exact"/>
              <w:rPr>
                <w:sz w:val="20"/>
                <w:szCs w:val="20"/>
                <w:color w:val="auto"/>
              </w:rPr>
            </w:pPr>
            <w:r>
              <w:rPr>
                <w:rFonts w:ascii="Arial" w:cs="Arial" w:eastAsia="Arial" w:hAnsi="Arial"/>
                <w:sz w:val="11"/>
                <w:szCs w:val="11"/>
                <w:color w:val="auto"/>
                <w:w w:val="93"/>
              </w:rPr>
              <w:t>Issuance of common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tcPr>
          <w:p>
            <w:pPr>
              <w:ind w:left="240"/>
              <w:spacing w:after="0"/>
              <w:rPr>
                <w:sz w:val="20"/>
                <w:szCs w:val="20"/>
                <w:color w:val="auto"/>
              </w:rPr>
            </w:pPr>
            <w:r>
              <w:rPr>
                <w:rFonts w:ascii="Arial" w:cs="Arial" w:eastAsia="Arial" w:hAnsi="Arial"/>
                <w:sz w:val="11"/>
                <w:szCs w:val="11"/>
                <w:color w:val="auto"/>
              </w:rPr>
              <w:t>for cash</w:t>
            </w:r>
          </w:p>
        </w:tc>
        <w:tc>
          <w:tcPr>
            <w:tcW w:w="4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526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3"/>
              </w:rPr>
              <w:t>Issuance of stock for notes</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receivable</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(400)</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1"/>
                <w:szCs w:val="11"/>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(1,156)</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(1,156)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shd w:val="clear" w:color="auto" w:fill="CCEEFF"/>
          </w:tcPr>
          <w:p>
            <w:pPr>
              <w:jc w:val="center"/>
              <w:ind w:right="6"/>
              <w:spacing w:after="0" w:line="112" w:lineRule="exact"/>
              <w:rPr>
                <w:sz w:val="20"/>
                <w:szCs w:val="20"/>
                <w:color w:val="auto"/>
              </w:rPr>
            </w:pPr>
            <w:r>
              <w:rPr>
                <w:rFonts w:ascii="Arial" w:cs="Arial" w:eastAsia="Arial" w:hAnsi="Arial"/>
                <w:sz w:val="11"/>
                <w:szCs w:val="11"/>
                <w:color w:val="auto"/>
                <w:w w:val="94"/>
              </w:rPr>
              <w:t>BALANCE, FEBRUARY 28,</w:t>
            </w:r>
          </w:p>
        </w:tc>
        <w:tc>
          <w:tcPr>
            <w:tcW w:w="4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1994</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(400)</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(3,242)</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(908)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tcPr>
          <w:p>
            <w:pPr>
              <w:ind w:left="100"/>
              <w:spacing w:after="0" w:line="112" w:lineRule="exact"/>
              <w:rPr>
                <w:sz w:val="20"/>
                <w:szCs w:val="20"/>
                <w:color w:val="auto"/>
              </w:rPr>
            </w:pPr>
            <w:r>
              <w:rPr>
                <w:rFonts w:ascii="Arial" w:cs="Arial" w:eastAsia="Arial" w:hAnsi="Arial"/>
                <w:sz w:val="11"/>
                <w:szCs w:val="11"/>
                <w:color w:val="auto"/>
                <w:w w:val="93"/>
              </w:rPr>
              <w:t>Issuance of common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tcPr>
          <w:p>
            <w:pPr>
              <w:ind w:left="240"/>
              <w:spacing w:after="0"/>
              <w:rPr>
                <w:sz w:val="20"/>
                <w:szCs w:val="20"/>
                <w:color w:val="auto"/>
              </w:rPr>
            </w:pPr>
            <w:r>
              <w:rPr>
                <w:rFonts w:ascii="Arial" w:cs="Arial" w:eastAsia="Arial" w:hAnsi="Arial"/>
                <w:sz w:val="11"/>
                <w:szCs w:val="11"/>
                <w:color w:val="auto"/>
              </w:rPr>
              <w:t>for cash and services</w:t>
            </w:r>
          </w:p>
        </w:tc>
        <w:tc>
          <w:tcPr>
            <w:tcW w:w="4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1,805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1,805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Collection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subscription</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(2,004)</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(2,004)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40" w:type="dxa"/>
            <w:vAlign w:val="bottom"/>
            <w:shd w:val="clear" w:color="auto" w:fill="CCEEFF"/>
          </w:tcPr>
          <w:p>
            <w:pPr>
              <w:jc w:val="center"/>
              <w:ind w:right="6"/>
              <w:spacing w:after="0" w:line="112" w:lineRule="exact"/>
              <w:rPr>
                <w:sz w:val="20"/>
                <w:szCs w:val="20"/>
                <w:color w:val="auto"/>
              </w:rPr>
            </w:pPr>
            <w:r>
              <w:rPr>
                <w:rFonts w:ascii="Arial" w:cs="Arial" w:eastAsia="Arial" w:hAnsi="Arial"/>
                <w:sz w:val="11"/>
                <w:szCs w:val="11"/>
                <w:color w:val="auto"/>
                <w:w w:val="92"/>
              </w:rPr>
              <w:t>BALANCE, DECEMBER 31,</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1994</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(5,246)</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(707)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tcPr>
          <w:p>
            <w:pPr>
              <w:ind w:left="100"/>
              <w:spacing w:after="0" w:line="112" w:lineRule="exact"/>
              <w:rPr>
                <w:sz w:val="20"/>
                <w:szCs w:val="20"/>
                <w:color w:val="auto"/>
              </w:rPr>
            </w:pPr>
            <w:r>
              <w:rPr>
                <w:rFonts w:ascii="Arial" w:cs="Arial" w:eastAsia="Arial" w:hAnsi="Arial"/>
                <w:sz w:val="11"/>
                <w:szCs w:val="11"/>
                <w:color w:val="auto"/>
                <w:w w:val="93"/>
              </w:rPr>
              <w:t>Issuance of common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tcPr>
          <w:p>
            <w:pPr>
              <w:ind w:left="240"/>
              <w:spacing w:after="0"/>
              <w:rPr>
                <w:sz w:val="20"/>
                <w:szCs w:val="20"/>
                <w:color w:val="auto"/>
              </w:rPr>
            </w:pPr>
            <w:r>
              <w:rPr>
                <w:rFonts w:ascii="Arial" w:cs="Arial" w:eastAsia="Arial" w:hAnsi="Arial"/>
                <w:sz w:val="11"/>
                <w:szCs w:val="11"/>
                <w:color w:val="auto"/>
              </w:rPr>
              <w:t>for services</w:t>
            </w:r>
          </w:p>
        </w:tc>
        <w:tc>
          <w:tcPr>
            <w:tcW w:w="4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Stock compensation</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384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(2,815)</w:t>
            </w:r>
          </w:p>
        </w:tc>
        <w:tc>
          <w:tcPr>
            <w:tcW w:w="50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(2,815)</w:t>
            </w:r>
          </w:p>
        </w:tc>
        <w:tc>
          <w:tcPr>
            <w:tcW w:w="0" w:type="dxa"/>
            <w:vAlign w:val="bottom"/>
          </w:tcPr>
          <w:p>
            <w:pPr>
              <w:spacing w:after="0"/>
              <w:rPr>
                <w:sz w:val="1"/>
                <w:szCs w:val="1"/>
                <w:color w:val="auto"/>
              </w:rPr>
            </w:pPr>
          </w:p>
        </w:tc>
      </w:tr>
      <w:tr>
        <w:trPr>
          <w:trHeight w:val="240"/>
        </w:trPr>
        <w:tc>
          <w:tcPr>
            <w:tcW w:w="1360" w:type="dxa"/>
            <w:vAlign w:val="bottom"/>
            <w:gridSpan w:val="2"/>
          </w:tcPr>
          <w:p>
            <w:pPr>
              <w:jc w:val="center"/>
              <w:ind w:right="6"/>
              <w:spacing w:after="0"/>
              <w:rPr>
                <w:sz w:val="20"/>
                <w:szCs w:val="20"/>
                <w:color w:val="auto"/>
              </w:rPr>
            </w:pPr>
            <w:r>
              <w:rPr>
                <w:rFonts w:ascii="Arial" w:cs="Arial" w:eastAsia="Arial" w:hAnsi="Arial"/>
                <w:sz w:val="11"/>
                <w:szCs w:val="11"/>
                <w:color w:val="auto"/>
                <w:w w:val="94"/>
              </w:rPr>
              <w:t>BALANCE, DECEMBER 31,</w:t>
            </w: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360" w:type="dxa"/>
            <w:vAlign w:val="bottom"/>
            <w:gridSpan w:val="2"/>
          </w:tcPr>
          <w:p>
            <w:pPr>
              <w:ind w:left="120"/>
              <w:spacing w:after="0"/>
              <w:rPr>
                <w:sz w:val="20"/>
                <w:szCs w:val="20"/>
                <w:color w:val="auto"/>
              </w:rPr>
            </w:pPr>
            <w:r>
              <w:rPr>
                <w:rFonts w:ascii="Arial" w:cs="Arial" w:eastAsia="Arial" w:hAnsi="Arial"/>
                <w:sz w:val="11"/>
                <w:szCs w:val="11"/>
                <w:color w:val="auto"/>
              </w:rPr>
              <w:t>1995</w:t>
            </w:r>
          </w:p>
        </w:tc>
        <w:tc>
          <w:tcPr>
            <w:tcW w:w="4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1,127</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4,942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(8,061)</w:t>
            </w: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(3,108)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3"/>
              </w:rPr>
              <w:t>Issuance of common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for cash and services</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Stock compensation</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(2,570)</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(2,570)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40" w:type="dxa"/>
            <w:vAlign w:val="bottom"/>
            <w:shd w:val="clear" w:color="auto" w:fill="CCEEFF"/>
          </w:tcPr>
          <w:p>
            <w:pPr>
              <w:jc w:val="center"/>
              <w:ind w:right="6"/>
              <w:spacing w:after="0" w:line="112" w:lineRule="exact"/>
              <w:rPr>
                <w:sz w:val="20"/>
                <w:szCs w:val="20"/>
                <w:color w:val="auto"/>
              </w:rPr>
            </w:pPr>
            <w:r>
              <w:rPr>
                <w:rFonts w:ascii="Arial" w:cs="Arial" w:eastAsia="Arial" w:hAnsi="Arial"/>
                <w:sz w:val="11"/>
                <w:szCs w:val="11"/>
                <w:color w:val="auto"/>
                <w:w w:val="92"/>
              </w:rPr>
              <w:t>BALANCE, DECEMBER 31,</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1996</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(10,631)</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(5,481)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tcPr>
          <w:p>
            <w:pPr>
              <w:ind w:left="100"/>
              <w:spacing w:after="0" w:line="112" w:lineRule="exact"/>
              <w:rPr>
                <w:sz w:val="20"/>
                <w:szCs w:val="20"/>
                <w:color w:val="auto"/>
              </w:rPr>
            </w:pPr>
            <w:r>
              <w:rPr>
                <w:rFonts w:ascii="Arial" w:cs="Arial" w:eastAsia="Arial" w:hAnsi="Arial"/>
                <w:sz w:val="11"/>
                <w:szCs w:val="11"/>
                <w:color w:val="auto"/>
                <w:w w:val="93"/>
              </w:rPr>
              <w:t>Issuance of common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tcPr>
          <w:p>
            <w:pPr>
              <w:ind w:left="240"/>
              <w:spacing w:after="0"/>
              <w:rPr>
                <w:sz w:val="20"/>
                <w:szCs w:val="20"/>
                <w:color w:val="auto"/>
              </w:rPr>
            </w:pPr>
            <w:r>
              <w:rPr>
                <w:rFonts w:ascii="Arial" w:cs="Arial" w:eastAsia="Arial" w:hAnsi="Arial"/>
                <w:sz w:val="11"/>
                <w:szCs w:val="11"/>
                <w:color w:val="auto"/>
              </w:rPr>
              <w:t>for cash and services</w:t>
            </w:r>
          </w:p>
        </w:tc>
        <w:tc>
          <w:tcPr>
            <w:tcW w:w="4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548</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196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Stock compensation</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27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135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Conversion of notes</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payable</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(2,280)</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(2,280)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40" w:type="dxa"/>
            <w:vAlign w:val="bottom"/>
            <w:shd w:val="clear" w:color="auto" w:fill="CCEEFF"/>
          </w:tcPr>
          <w:p>
            <w:pPr>
              <w:jc w:val="center"/>
              <w:ind w:right="6"/>
              <w:spacing w:after="0" w:line="112" w:lineRule="exact"/>
              <w:rPr>
                <w:sz w:val="20"/>
                <w:szCs w:val="20"/>
                <w:color w:val="auto"/>
              </w:rPr>
            </w:pPr>
            <w:r>
              <w:rPr>
                <w:rFonts w:ascii="Arial" w:cs="Arial" w:eastAsia="Arial" w:hAnsi="Arial"/>
                <w:sz w:val="11"/>
                <w:szCs w:val="11"/>
                <w:color w:val="auto"/>
                <w:w w:val="92"/>
              </w:rPr>
              <w:t>BALANCE, DECEMBER 31,</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1997</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(12,911)</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(7,368)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tcPr>
          <w:p>
            <w:pPr>
              <w:ind w:left="100"/>
              <w:spacing w:after="0" w:line="112" w:lineRule="exact"/>
              <w:rPr>
                <w:sz w:val="20"/>
                <w:szCs w:val="20"/>
                <w:color w:val="auto"/>
              </w:rPr>
            </w:pPr>
            <w:r>
              <w:rPr>
                <w:rFonts w:ascii="Arial" w:cs="Arial" w:eastAsia="Arial" w:hAnsi="Arial"/>
                <w:sz w:val="11"/>
                <w:szCs w:val="11"/>
                <w:color w:val="auto"/>
                <w:w w:val="93"/>
              </w:rPr>
              <w:t>Issuance of common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tcPr>
          <w:p>
            <w:pPr>
              <w:ind w:left="240"/>
              <w:spacing w:after="0"/>
              <w:rPr>
                <w:sz w:val="20"/>
                <w:szCs w:val="20"/>
                <w:color w:val="auto"/>
              </w:rPr>
            </w:pPr>
            <w:r>
              <w:rPr>
                <w:rFonts w:ascii="Arial" w:cs="Arial" w:eastAsia="Arial" w:hAnsi="Arial"/>
                <w:sz w:val="11"/>
                <w:szCs w:val="11"/>
                <w:color w:val="auto"/>
              </w:rPr>
              <w:t>for cash and services</w:t>
            </w:r>
          </w:p>
        </w:tc>
        <w:tc>
          <w:tcPr>
            <w:tcW w:w="4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2,253</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12,726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Stock compensation</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68</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Conversion of notes</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payable</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1,202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(3,331)</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(3,331)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40" w:type="dxa"/>
            <w:vAlign w:val="bottom"/>
            <w:shd w:val="clear" w:color="auto" w:fill="CCEEFF"/>
          </w:tcPr>
          <w:p>
            <w:pPr>
              <w:jc w:val="center"/>
              <w:ind w:right="6"/>
              <w:spacing w:after="0" w:line="112" w:lineRule="exact"/>
              <w:rPr>
                <w:sz w:val="20"/>
                <w:szCs w:val="20"/>
                <w:color w:val="auto"/>
              </w:rPr>
            </w:pPr>
            <w:r>
              <w:rPr>
                <w:rFonts w:ascii="Arial" w:cs="Arial" w:eastAsia="Arial" w:hAnsi="Arial"/>
                <w:sz w:val="11"/>
                <w:szCs w:val="11"/>
                <w:color w:val="auto"/>
                <w:w w:val="92"/>
              </w:rPr>
              <w:t>BALANCE, DECEMBER 31,</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1998</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(16,242)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3,404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w w:val="93"/>
              </w:rPr>
              <w:t>Issuance of common stock</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162</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532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534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Conversion of notes</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payable</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(5,679)</w:t>
            </w: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(5,679)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40" w:type="dxa"/>
            <w:vAlign w:val="bottom"/>
            <w:shd w:val="clear" w:color="auto" w:fill="CCEEFF"/>
          </w:tcPr>
          <w:p>
            <w:pPr>
              <w:jc w:val="center"/>
              <w:ind w:right="6"/>
              <w:spacing w:after="0" w:line="112" w:lineRule="exact"/>
              <w:rPr>
                <w:sz w:val="20"/>
                <w:szCs w:val="20"/>
                <w:color w:val="auto"/>
              </w:rPr>
            </w:pPr>
            <w:r>
              <w:rPr>
                <w:rFonts w:ascii="Arial" w:cs="Arial" w:eastAsia="Arial" w:hAnsi="Arial"/>
                <w:sz w:val="11"/>
                <w:szCs w:val="11"/>
                <w:color w:val="auto"/>
                <w:w w:val="92"/>
              </w:rPr>
              <w:t>BALANCE, DECEMBER 31,</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1999</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21,129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(21,921)</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(746)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40" w:type="dxa"/>
            <w:vAlign w:val="bottom"/>
          </w:tcPr>
          <w:p>
            <w:pPr>
              <w:ind w:left="100"/>
              <w:spacing w:after="0" w:line="112" w:lineRule="exact"/>
              <w:rPr>
                <w:sz w:val="20"/>
                <w:szCs w:val="20"/>
                <w:color w:val="auto"/>
              </w:rPr>
            </w:pPr>
            <w:r>
              <w:rPr>
                <w:rFonts w:ascii="Arial" w:cs="Arial" w:eastAsia="Arial" w:hAnsi="Arial"/>
                <w:sz w:val="11"/>
                <w:szCs w:val="11"/>
                <w:color w:val="auto"/>
              </w:rPr>
              <w:t>Conversion of notes</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ind w:left="240"/>
              <w:spacing w:after="0"/>
              <w:rPr>
                <w:sz w:val="20"/>
                <w:szCs w:val="20"/>
                <w:color w:val="auto"/>
              </w:rPr>
            </w:pPr>
            <w:r>
              <w:rPr>
                <w:rFonts w:ascii="Arial" w:cs="Arial" w:eastAsia="Arial" w:hAnsi="Arial"/>
                <w:sz w:val="11"/>
                <w:szCs w:val="11"/>
                <w:color w:val="auto"/>
              </w:rPr>
              <w:t>payable</w:t>
            </w:r>
          </w:p>
        </w:tc>
        <w:tc>
          <w:tcPr>
            <w:tcW w:w="4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63</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1,073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1,074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Series C</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6"/>
              </w:rPr>
              <w:t>Series C</w:t>
            </w:r>
          </w:p>
        </w:tc>
        <w:tc>
          <w:tcPr>
            <w:tcW w:w="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Deficit</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6"/>
              </w:rPr>
              <w:t>Series B</w:t>
            </w:r>
          </w:p>
        </w:tc>
        <w:tc>
          <w:tcPr>
            <w:tcW w:w="120" w:type="dxa"/>
            <w:vAlign w:val="bottom"/>
          </w:tcPr>
          <w:p>
            <w:pPr>
              <w:spacing w:after="0"/>
              <w:rPr>
                <w:sz w:val="10"/>
                <w:szCs w:val="10"/>
                <w:color w:val="auto"/>
              </w:rPr>
            </w:pPr>
          </w:p>
        </w:tc>
        <w:tc>
          <w:tcPr>
            <w:tcW w:w="92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700" w:type="dxa"/>
            <w:vAlign w:val="bottom"/>
            <w:gridSpan w:val="3"/>
          </w:tcPr>
          <w:p>
            <w:pPr>
              <w:jc w:val="right"/>
              <w:ind w:right="60"/>
              <w:spacing w:after="0" w:line="122" w:lineRule="exact"/>
              <w:rPr>
                <w:sz w:val="20"/>
                <w:szCs w:val="20"/>
                <w:color w:val="auto"/>
              </w:rPr>
            </w:pPr>
            <w:r>
              <w:rPr>
                <w:rFonts w:ascii="Arial" w:cs="Arial" w:eastAsia="Arial" w:hAnsi="Arial"/>
                <w:sz w:val="11"/>
                <w:szCs w:val="11"/>
                <w:b w:val="1"/>
                <w:bCs w:val="1"/>
                <w:color w:val="auto"/>
              </w:rPr>
              <w:t>Convertible</w:t>
            </w:r>
          </w:p>
        </w:tc>
        <w:tc>
          <w:tcPr>
            <w:tcW w:w="4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Preferred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Notes</w:t>
            </w:r>
          </w:p>
        </w:tc>
        <w:tc>
          <w:tcPr>
            <w:tcW w:w="40" w:type="dxa"/>
            <w:vAlign w:val="bottom"/>
          </w:tcPr>
          <w:p>
            <w:pPr>
              <w:spacing w:after="0"/>
              <w:rPr>
                <w:sz w:val="10"/>
                <w:szCs w:val="10"/>
                <w:color w:val="auto"/>
              </w:rPr>
            </w:pPr>
          </w:p>
        </w:tc>
        <w:tc>
          <w:tcPr>
            <w:tcW w:w="6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4"/>
              </w:rPr>
              <w:t>Notes</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20" w:type="dxa"/>
            <w:vAlign w:val="bottom"/>
          </w:tcPr>
          <w:p>
            <w:pPr>
              <w:spacing w:after="0"/>
              <w:rPr>
                <w:sz w:val="10"/>
                <w:szCs w:val="10"/>
                <w:color w:val="auto"/>
              </w:rPr>
            </w:pPr>
          </w:p>
        </w:tc>
        <w:tc>
          <w:tcPr>
            <w:tcW w:w="920" w:type="dxa"/>
            <w:vAlign w:val="bottom"/>
            <w:gridSpan w:val="4"/>
          </w:tcPr>
          <w:p>
            <w:pPr>
              <w:ind w:left="180"/>
              <w:spacing w:after="0" w:line="122" w:lineRule="exact"/>
              <w:rPr>
                <w:sz w:val="20"/>
                <w:szCs w:val="20"/>
                <w:color w:val="auto"/>
              </w:rPr>
            </w:pPr>
            <w:r>
              <w:rPr>
                <w:rFonts w:ascii="Arial" w:cs="Arial" w:eastAsia="Arial" w:hAnsi="Arial"/>
                <w:sz w:val="11"/>
                <w:szCs w:val="11"/>
                <w:b w:val="1"/>
                <w:bCs w:val="1"/>
                <w:color w:val="auto"/>
              </w:rPr>
              <w:t>Convertible</w:t>
            </w:r>
          </w:p>
        </w:tc>
        <w:tc>
          <w:tcPr>
            <w:tcW w:w="100" w:type="dxa"/>
            <w:vAlign w:val="bottom"/>
          </w:tcPr>
          <w:p>
            <w:pPr>
              <w:spacing w:after="0"/>
              <w:rPr>
                <w:sz w:val="10"/>
                <w:szCs w:val="10"/>
                <w:color w:val="auto"/>
              </w:rPr>
            </w:pPr>
          </w:p>
        </w:tc>
        <w:tc>
          <w:tcPr>
            <w:tcW w:w="6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Preferred</w:t>
            </w:r>
          </w:p>
        </w:tc>
        <w:tc>
          <w:tcPr>
            <w:tcW w:w="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4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Receivable</w:t>
            </w:r>
          </w:p>
        </w:tc>
        <w:tc>
          <w:tcPr>
            <w:tcW w:w="66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Receivable</w:t>
            </w:r>
          </w:p>
        </w:tc>
        <w:tc>
          <w:tcPr>
            <w:tcW w:w="7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During the</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20" w:type="dxa"/>
            <w:vAlign w:val="bottom"/>
          </w:tcPr>
          <w:p>
            <w:pPr>
              <w:spacing w:after="0"/>
              <w:rPr>
                <w:sz w:val="11"/>
                <w:szCs w:val="11"/>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00" w:type="dxa"/>
            <w:vAlign w:val="bottom"/>
          </w:tcPr>
          <w:p>
            <w:pPr>
              <w:spacing w:after="0"/>
              <w:rPr>
                <w:sz w:val="11"/>
                <w:szCs w:val="11"/>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Stock</w:t>
            </w:r>
          </w:p>
        </w:tc>
        <w:tc>
          <w:tcPr>
            <w:tcW w:w="7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Subscriptions</w:t>
            </w:r>
          </w:p>
        </w:tc>
        <w:tc>
          <w:tcPr>
            <w:tcW w:w="8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w w:val="91"/>
              </w:rPr>
              <w:t>Common Stock</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from</w:t>
            </w:r>
          </w:p>
        </w:tc>
        <w:tc>
          <w:tcPr>
            <w:tcW w:w="4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from</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w w:val="84"/>
              </w:rPr>
              <w:t>Comprehensive</w:t>
            </w:r>
          </w:p>
        </w:tc>
        <w:tc>
          <w:tcPr>
            <w:tcW w:w="14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Development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15"/>
        </w:trPr>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76"/>
              </w:rPr>
              <w:t>Shares</w:t>
            </w:r>
          </w:p>
        </w:tc>
        <w:tc>
          <w:tcPr>
            <w:tcW w:w="100" w:type="dxa"/>
            <w:vAlign w:val="bottom"/>
          </w:tcPr>
          <w:p>
            <w:pPr>
              <w:spacing w:after="0"/>
              <w:rPr>
                <w:sz w:val="10"/>
                <w:szCs w:val="10"/>
                <w:color w:val="auto"/>
              </w:rPr>
            </w:pPr>
          </w:p>
        </w:tc>
        <w:tc>
          <w:tcPr>
            <w:tcW w:w="48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0"/>
                <w:szCs w:val="10"/>
                <w:color w:val="auto"/>
              </w:rPr>
            </w:pPr>
          </w:p>
        </w:tc>
        <w:tc>
          <w:tcPr>
            <w:tcW w:w="42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60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86"/>
              </w:rPr>
              <w:t>Issuable</w:t>
            </w:r>
          </w:p>
        </w:tc>
        <w:tc>
          <w:tcPr>
            <w:tcW w:w="40" w:type="dxa"/>
            <w:vAlign w:val="bottom"/>
          </w:tcPr>
          <w:p>
            <w:pPr>
              <w:spacing w:after="0"/>
              <w:rPr>
                <w:sz w:val="10"/>
                <w:szCs w:val="10"/>
                <w:color w:val="auto"/>
              </w:rPr>
            </w:pPr>
          </w:p>
        </w:tc>
        <w:tc>
          <w:tcPr>
            <w:tcW w:w="74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6"/>
              </w:rPr>
              <w:t>Receivable</w:t>
            </w:r>
          </w:p>
        </w:tc>
        <w:tc>
          <w:tcPr>
            <w:tcW w:w="3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1"/>
              </w:rPr>
              <w:t>Shares</w:t>
            </w:r>
          </w:p>
        </w:tc>
        <w:tc>
          <w:tcPr>
            <w:tcW w:w="5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Capital</w:t>
            </w:r>
          </w:p>
        </w:tc>
        <w:tc>
          <w:tcPr>
            <w:tcW w:w="720" w:type="dxa"/>
            <w:vAlign w:val="bottom"/>
            <w:gridSpan w:val="3"/>
          </w:tcPr>
          <w:p>
            <w:pPr>
              <w:jc w:val="center"/>
              <w:ind w:right="40"/>
              <w:spacing w:after="0" w:line="115" w:lineRule="exact"/>
              <w:rPr>
                <w:sz w:val="20"/>
                <w:szCs w:val="20"/>
                <w:color w:val="auto"/>
              </w:rPr>
            </w:pPr>
            <w:r>
              <w:rPr>
                <w:rFonts w:ascii="Arial" w:cs="Arial" w:eastAsia="Arial" w:hAnsi="Arial"/>
                <w:sz w:val="11"/>
                <w:szCs w:val="11"/>
                <w:b w:val="1"/>
                <w:bCs w:val="1"/>
                <w:color w:val="auto"/>
                <w:w w:val="86"/>
              </w:rPr>
              <w:t>Stockholders</w:t>
            </w:r>
          </w:p>
        </w:tc>
        <w:tc>
          <w:tcPr>
            <w:tcW w:w="40" w:type="dxa"/>
            <w:vAlign w:val="bottom"/>
          </w:tcPr>
          <w:p>
            <w:pPr>
              <w:spacing w:after="0"/>
              <w:rPr>
                <w:sz w:val="10"/>
                <w:szCs w:val="10"/>
                <w:color w:val="auto"/>
              </w:rPr>
            </w:pPr>
          </w:p>
        </w:tc>
        <w:tc>
          <w:tcPr>
            <w:tcW w:w="62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91"/>
              </w:rPr>
              <w:t>Officers</w:t>
            </w:r>
          </w:p>
        </w:tc>
        <w:tc>
          <w:tcPr>
            <w:tcW w:w="740" w:type="dxa"/>
            <w:vAlign w:val="bottom"/>
          </w:tcPr>
          <w:p>
            <w:pPr>
              <w:jc w:val="right"/>
              <w:ind w:right="146"/>
              <w:spacing w:after="0" w:line="115" w:lineRule="exact"/>
              <w:rPr>
                <w:sz w:val="20"/>
                <w:szCs w:val="20"/>
                <w:color w:val="auto"/>
              </w:rPr>
            </w:pPr>
            <w:r>
              <w:rPr>
                <w:rFonts w:ascii="Arial" w:cs="Arial" w:eastAsia="Arial" w:hAnsi="Arial"/>
                <w:sz w:val="11"/>
                <w:szCs w:val="11"/>
                <w:b w:val="1"/>
                <w:bCs w:val="1"/>
                <w:color w:val="auto"/>
              </w:rPr>
              <w:t>Income</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86"/>
              </w:rPr>
              <w:t>Stage</w:t>
            </w:r>
          </w:p>
        </w:tc>
        <w:tc>
          <w:tcPr>
            <w:tcW w:w="520" w:type="dxa"/>
            <w:vAlign w:val="bottom"/>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rPr>
              <w:t>Total</w:t>
            </w:r>
          </w:p>
        </w:tc>
      </w:tr>
      <w:tr>
        <w:trPr>
          <w:trHeight w:val="105"/>
        </w:trPr>
        <w:tc>
          <w:tcPr>
            <w:tcW w:w="1240" w:type="dxa"/>
            <w:vAlign w:val="bottom"/>
            <w:shd w:val="clear" w:color="auto" w:fill="CCEEFF"/>
          </w:tcPr>
          <w:p>
            <w:pPr>
              <w:ind w:left="120"/>
              <w:spacing w:after="0" w:line="105" w:lineRule="exact"/>
              <w:rPr>
                <w:sz w:val="20"/>
                <w:szCs w:val="20"/>
                <w:color w:val="auto"/>
              </w:rPr>
            </w:pPr>
            <w:r>
              <w:rPr>
                <w:rFonts w:ascii="Arial" w:cs="Arial" w:eastAsia="Arial" w:hAnsi="Arial"/>
                <w:sz w:val="11"/>
                <w:szCs w:val="11"/>
                <w:color w:val="auto"/>
              </w:rPr>
              <w:t>Issuance of Series B</w:t>
            </w:r>
          </w:p>
        </w:tc>
        <w:tc>
          <w:tcPr>
            <w:tcW w:w="4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preferred stock for</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cash</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60" w:type="dxa"/>
            <w:vAlign w:val="bottom"/>
            <w:shd w:val="clear" w:color="auto" w:fill="CCEEFF"/>
          </w:tcPr>
          <w:p>
            <w:pPr>
              <w:spacing w:after="0"/>
              <w:rPr>
                <w:sz w:val="11"/>
                <w:szCs w:val="11"/>
                <w:color w:val="auto"/>
              </w:rPr>
            </w:pP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Issuance of common</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240" w:type="dxa"/>
            <w:vAlign w:val="bottom"/>
          </w:tcPr>
          <w:p>
            <w:pPr>
              <w:ind w:left="260"/>
              <w:spacing w:after="0" w:line="122" w:lineRule="exact"/>
              <w:rPr>
                <w:sz w:val="20"/>
                <w:szCs w:val="20"/>
                <w:color w:val="auto"/>
              </w:rPr>
            </w:pPr>
            <w:r>
              <w:rPr>
                <w:rFonts w:ascii="Arial" w:cs="Arial" w:eastAsia="Arial" w:hAnsi="Arial"/>
                <w:sz w:val="11"/>
                <w:szCs w:val="11"/>
                <w:color w:val="auto"/>
              </w:rPr>
              <w:t>stock for cash,</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services and notes</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4,690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46</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33,945</w:t>
            </w:r>
          </w:p>
        </w:tc>
        <w:tc>
          <w:tcPr>
            <w:tcW w:w="80" w:type="dxa"/>
            <w:vAlign w:val="bottom"/>
          </w:tcPr>
          <w:p>
            <w:pPr>
              <w:spacing w:after="0"/>
              <w:rPr>
                <w:sz w:val="11"/>
                <w:szCs w:val="1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1"/>
                <w:szCs w:val="11"/>
                <w:color w:val="auto"/>
              </w:rPr>
              <w:t>(2,358)</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31,633</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1"/>
              </w:rPr>
              <w:t>Discount on notes below</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market rate</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60" w:type="dxa"/>
            <w:vAlign w:val="bottom"/>
            <w:shd w:val="clear" w:color="auto" w:fill="CCEEFF"/>
          </w:tcPr>
          <w:p>
            <w:pPr>
              <w:spacing w:after="0"/>
              <w:rPr>
                <w:sz w:val="11"/>
                <w:szCs w:val="11"/>
                <w:color w:val="auto"/>
              </w:rPr>
            </w:pP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Accrued interest on</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notes</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1"/>
                <w:szCs w:val="11"/>
                <w:color w:val="auto"/>
              </w:rPr>
              <w:t>(117)</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(117)</w:t>
            </w: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Purchase of Series A</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redeemable</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w w:val="95"/>
              </w:rPr>
              <w:t>convertible preferred</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(993)</w:t>
            </w: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(993)</w:t>
            </w: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Amount in excess of</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w w:val="91"/>
              </w:rPr>
              <w:t>redemption obligation</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999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999</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4"/>
              </w:rPr>
              <w:t>Accretion to redemption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value on Series A</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redeemable</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w w:val="95"/>
              </w:rPr>
              <w:t>convertible preferred</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(149)</w:t>
            </w: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(149)</w:t>
            </w: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Stock-based</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compensation</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9,609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9,609</w:t>
            </w:r>
          </w:p>
        </w:tc>
        <w:tc>
          <w:tcPr>
            <w:tcW w:w="60" w:type="dxa"/>
            <w:vAlign w:val="bottom"/>
          </w:tcPr>
          <w:p>
            <w:pPr>
              <w:spacing w:after="0"/>
              <w:rPr>
                <w:sz w:val="11"/>
                <w:szCs w:val="11"/>
                <w:color w:val="auto"/>
              </w:rPr>
            </w:pPr>
          </w:p>
        </w:tc>
      </w:tr>
      <w:tr>
        <w:trPr>
          <w:trHeight w:val="122"/>
        </w:trPr>
        <w:tc>
          <w:tcPr>
            <w:tcW w:w="12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(24,661)</w:t>
            </w: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(24,661)</w:t>
            </w:r>
          </w:p>
        </w:tc>
      </w:tr>
      <w:tr>
        <w:trPr>
          <w:trHeight w:val="240"/>
        </w:trPr>
        <w:tc>
          <w:tcPr>
            <w:tcW w:w="1240" w:type="dxa"/>
            <w:vAlign w:val="bottom"/>
          </w:tcPr>
          <w:p>
            <w:pPr>
              <w:spacing w:after="0"/>
              <w:rPr>
                <w:sz w:val="20"/>
                <w:szCs w:val="20"/>
                <w:color w:val="auto"/>
              </w:rPr>
            </w:pPr>
            <w:r>
              <w:rPr>
                <w:rFonts w:ascii="Arial" w:cs="Arial" w:eastAsia="Arial" w:hAnsi="Arial"/>
                <w:sz w:val="11"/>
                <w:szCs w:val="11"/>
                <w:color w:val="auto"/>
              </w:rPr>
              <w:t>BALANCE, DECEMBER</w:t>
            </w: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31"/>
        </w:trPr>
        <w:tc>
          <w:tcPr>
            <w:tcW w:w="1240" w:type="dxa"/>
            <w:vAlign w:val="bottom"/>
          </w:tcPr>
          <w:p>
            <w:pPr>
              <w:ind w:left="200"/>
              <w:spacing w:after="0"/>
              <w:rPr>
                <w:sz w:val="20"/>
                <w:szCs w:val="20"/>
                <w:color w:val="auto"/>
              </w:rPr>
            </w:pPr>
            <w:r>
              <w:rPr>
                <w:rFonts w:ascii="Arial" w:cs="Arial" w:eastAsia="Arial" w:hAnsi="Arial"/>
                <w:sz w:val="11"/>
                <w:szCs w:val="11"/>
                <w:color w:val="auto"/>
              </w:rPr>
              <w:t>31, 2000</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193</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15,000</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9,249</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93</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65,613</w:t>
            </w:r>
          </w:p>
        </w:tc>
        <w:tc>
          <w:tcPr>
            <w:tcW w:w="80" w:type="dxa"/>
            <w:vAlign w:val="bottom"/>
          </w:tcPr>
          <w:p>
            <w:pPr>
              <w:spacing w:after="0"/>
              <w:rPr>
                <w:sz w:val="11"/>
                <w:szCs w:val="1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1"/>
                <w:szCs w:val="11"/>
                <w:color w:val="auto"/>
              </w:rPr>
              <w:t>(2,234)</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1"/>
                <w:szCs w:val="11"/>
                <w:color w:val="auto"/>
              </w:rPr>
              <w:t>(46,582)</w:t>
            </w:r>
          </w:p>
        </w:tc>
        <w:tc>
          <w:tcPr>
            <w:tcW w:w="460" w:type="dxa"/>
            <w:vAlign w:val="bottom"/>
          </w:tcPr>
          <w:p>
            <w:pPr>
              <w:jc w:val="right"/>
              <w:spacing w:after="0"/>
              <w:rPr>
                <w:sz w:val="20"/>
                <w:szCs w:val="20"/>
                <w:color w:val="auto"/>
              </w:rPr>
            </w:pPr>
            <w:r>
              <w:rPr>
                <w:rFonts w:ascii="Arial" w:cs="Arial" w:eastAsia="Arial" w:hAnsi="Arial"/>
                <w:sz w:val="11"/>
                <w:szCs w:val="11"/>
                <w:color w:val="auto"/>
              </w:rPr>
              <w:t>31,890</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Issuance of common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 for cash</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78,000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78,030</w:t>
            </w:r>
          </w:p>
        </w:tc>
        <w:tc>
          <w:tcPr>
            <w:tcW w:w="60" w:type="dxa"/>
            <w:vAlign w:val="bottom"/>
            <w:shd w:val="clear" w:color="auto" w:fill="CCEEFF"/>
          </w:tcPr>
          <w:p>
            <w:pPr>
              <w:spacing w:after="0"/>
              <w:rPr>
                <w:sz w:val="11"/>
                <w:szCs w:val="11"/>
                <w:color w:val="auto"/>
              </w:rPr>
            </w:pP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Cash received for</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240" w:type="dxa"/>
            <w:vAlign w:val="bottom"/>
          </w:tcPr>
          <w:p>
            <w:pPr>
              <w:ind w:left="260"/>
              <w:spacing w:after="0" w:line="122" w:lineRule="exact"/>
              <w:rPr>
                <w:sz w:val="20"/>
                <w:szCs w:val="20"/>
                <w:color w:val="auto"/>
              </w:rPr>
            </w:pPr>
            <w:r>
              <w:rPr>
                <w:rFonts w:ascii="Arial" w:cs="Arial" w:eastAsia="Arial" w:hAnsi="Arial"/>
                <w:sz w:val="11"/>
                <w:szCs w:val="11"/>
                <w:color w:val="auto"/>
                <w:w w:val="97"/>
              </w:rPr>
              <w:t>common stock to be</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issued</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3,900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3,900</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Issuance of common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 for services</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60" w:type="dxa"/>
            <w:vAlign w:val="bottom"/>
            <w:shd w:val="clear" w:color="auto" w:fill="CCEEFF"/>
          </w:tcPr>
          <w:p>
            <w:pPr>
              <w:spacing w:after="0"/>
              <w:rPr>
                <w:sz w:val="11"/>
                <w:szCs w:val="11"/>
                <w:color w:val="auto"/>
              </w:rPr>
            </w:pPr>
          </w:p>
        </w:tc>
      </w:tr>
      <w:tr>
        <w:trPr>
          <w:trHeight w:val="122"/>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w w:val="90"/>
              </w:rPr>
              <w:t>Exercise of stock options</w:t>
            </w:r>
          </w:p>
        </w:tc>
        <w:tc>
          <w:tcPr>
            <w:tcW w:w="4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40" w:type="dxa"/>
            <w:vAlign w:val="bottom"/>
            <w:gridSpan w:val="2"/>
          </w:tcPr>
          <w:p>
            <w:pPr>
              <w:ind w:left="520"/>
              <w:spacing w:after="0" w:line="122" w:lineRule="exact"/>
              <w:rPr>
                <w:sz w:val="20"/>
                <w:szCs w:val="20"/>
                <w:color w:val="auto"/>
              </w:rPr>
            </w:pPr>
            <w:r>
              <w:rPr>
                <w:rFonts w:ascii="Arial" w:cs="Arial" w:eastAsia="Arial" w:hAnsi="Arial"/>
                <w:sz w:val="11"/>
                <w:szCs w:val="11"/>
                <w:color w:val="auto"/>
              </w:rPr>
              <w:t>—</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2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60" w:type="dxa"/>
            <w:vAlign w:val="bottom"/>
          </w:tcPr>
          <w:p>
            <w:pPr>
              <w:spacing w:after="0"/>
              <w:rPr>
                <w:sz w:val="10"/>
                <w:szCs w:val="10"/>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Accrued interest 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notes</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(189)</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(189)</w:t>
            </w: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Payments on notes</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receivable</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4"/>
              </w:rPr>
              <w:t>Accretion to redemption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value on Series A</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redeemable</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w w:val="95"/>
              </w:rPr>
              <w:t>convertible preferred</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(239)</w:t>
            </w: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(239)</w:t>
            </w: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Stock-based</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compensation</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1,565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1,565</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89"/>
              </w:rPr>
              <w:t>Issuance of put option by</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stockholder</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(2,949)</w:t>
            </w: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(2,949)</w:t>
            </w: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Record merger of</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entities</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171,154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171,154</w:t>
            </w:r>
          </w:p>
        </w:tc>
        <w:tc>
          <w:tcPr>
            <w:tcW w:w="60" w:type="dxa"/>
            <w:vAlign w:val="bottom"/>
          </w:tcPr>
          <w:p>
            <w:pPr>
              <w:spacing w:after="0"/>
              <w:rPr>
                <w:sz w:val="11"/>
                <w:szCs w:val="11"/>
                <w:color w:val="auto"/>
              </w:rPr>
            </w:pPr>
          </w:p>
        </w:tc>
      </w:tr>
      <w:tr>
        <w:trPr>
          <w:trHeight w:val="122"/>
        </w:trPr>
        <w:tc>
          <w:tcPr>
            <w:tcW w:w="12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(48,245)</w:t>
            </w: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(48,245)</w:t>
            </w:r>
          </w:p>
        </w:tc>
      </w:tr>
      <w:tr>
        <w:trPr>
          <w:trHeight w:val="240"/>
        </w:trPr>
        <w:tc>
          <w:tcPr>
            <w:tcW w:w="1240" w:type="dxa"/>
            <w:vAlign w:val="bottom"/>
          </w:tcPr>
          <w:p>
            <w:pPr>
              <w:spacing w:after="0"/>
              <w:rPr>
                <w:sz w:val="20"/>
                <w:szCs w:val="20"/>
                <w:color w:val="auto"/>
              </w:rPr>
            </w:pPr>
            <w:r>
              <w:rPr>
                <w:rFonts w:ascii="Arial" w:cs="Arial" w:eastAsia="Arial" w:hAnsi="Arial"/>
                <w:sz w:val="11"/>
                <w:szCs w:val="11"/>
                <w:color w:val="auto"/>
              </w:rPr>
              <w:t>BALANCE, DECEMBER</w:t>
            </w: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31"/>
        </w:trPr>
        <w:tc>
          <w:tcPr>
            <w:tcW w:w="1240" w:type="dxa"/>
            <w:vAlign w:val="bottom"/>
          </w:tcPr>
          <w:p>
            <w:pPr>
              <w:ind w:left="200"/>
              <w:spacing w:after="0"/>
              <w:rPr>
                <w:sz w:val="20"/>
                <w:szCs w:val="20"/>
                <w:color w:val="auto"/>
              </w:rPr>
            </w:pPr>
            <w:r>
              <w:rPr>
                <w:rFonts w:ascii="Arial" w:cs="Arial" w:eastAsia="Arial" w:hAnsi="Arial"/>
                <w:sz w:val="11"/>
                <w:szCs w:val="11"/>
                <w:color w:val="auto"/>
              </w:rPr>
              <w:t>31, 2001</w:t>
            </w: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193</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15,000</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12,305</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123</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317,117</w:t>
            </w:r>
          </w:p>
        </w:tc>
        <w:tc>
          <w:tcPr>
            <w:tcW w:w="80" w:type="dxa"/>
            <w:vAlign w:val="bottom"/>
          </w:tcPr>
          <w:p>
            <w:pPr>
              <w:spacing w:after="0"/>
              <w:rPr>
                <w:sz w:val="11"/>
                <w:szCs w:val="1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1"/>
                <w:szCs w:val="11"/>
                <w:color w:val="auto"/>
              </w:rPr>
              <w:t>(2,395)</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1"/>
                <w:szCs w:val="11"/>
                <w:color w:val="auto"/>
              </w:rPr>
              <w:t>(94,827)</w:t>
            </w:r>
          </w:p>
        </w:tc>
        <w:tc>
          <w:tcPr>
            <w:tcW w:w="460" w:type="dxa"/>
            <w:vAlign w:val="bottom"/>
          </w:tcPr>
          <w:p>
            <w:pPr>
              <w:jc w:val="right"/>
              <w:spacing w:after="0"/>
              <w:rPr>
                <w:sz w:val="20"/>
                <w:szCs w:val="20"/>
                <w:color w:val="auto"/>
              </w:rPr>
            </w:pPr>
            <w:r>
              <w:rPr>
                <w:rFonts w:ascii="Arial" w:cs="Arial" w:eastAsia="Arial" w:hAnsi="Arial"/>
                <w:sz w:val="11"/>
                <w:szCs w:val="11"/>
                <w:color w:val="auto"/>
              </w:rPr>
              <w:t>235,018</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Issuance of common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 for cash</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58,775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58,815</w:t>
            </w:r>
          </w:p>
        </w:tc>
        <w:tc>
          <w:tcPr>
            <w:tcW w:w="60" w:type="dxa"/>
            <w:vAlign w:val="bottom"/>
            <w:shd w:val="clear" w:color="auto" w:fill="CCEEFF"/>
          </w:tcPr>
          <w:p>
            <w:pPr>
              <w:spacing w:after="0"/>
              <w:rPr>
                <w:sz w:val="11"/>
                <w:szCs w:val="11"/>
                <w:color w:val="auto"/>
              </w:rPr>
            </w:pP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Issuance of common</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240" w:type="dxa"/>
            <w:vAlign w:val="bottom"/>
          </w:tcPr>
          <w:p>
            <w:pPr>
              <w:ind w:left="260"/>
              <w:spacing w:after="0" w:line="122" w:lineRule="exact"/>
              <w:rPr>
                <w:sz w:val="20"/>
                <w:szCs w:val="20"/>
                <w:color w:val="auto"/>
              </w:rPr>
            </w:pPr>
            <w:r>
              <w:rPr>
                <w:rFonts w:ascii="Arial" w:cs="Arial" w:eastAsia="Arial" w:hAnsi="Arial"/>
                <w:sz w:val="11"/>
                <w:szCs w:val="11"/>
                <w:color w:val="auto"/>
                <w:w w:val="89"/>
              </w:rPr>
              <w:t>stock for cash already</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received</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234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780" w:type="dxa"/>
            <w:vAlign w:val="bottom"/>
            <w:gridSpan w:val="3"/>
          </w:tcPr>
          <w:p>
            <w:pPr>
              <w:jc w:val="right"/>
              <w:ind w:right="60"/>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3"/>
              </w:rPr>
              <w:t>Issuance of stock award</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 employee</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60" w:type="dxa"/>
            <w:vAlign w:val="bottom"/>
            <w:shd w:val="clear" w:color="auto" w:fill="CCEEFF"/>
          </w:tcPr>
          <w:p>
            <w:pPr>
              <w:spacing w:after="0"/>
              <w:rPr>
                <w:sz w:val="11"/>
                <w:szCs w:val="11"/>
                <w:color w:val="auto"/>
              </w:rPr>
            </w:pP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Cash received for</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240" w:type="dxa"/>
            <w:vAlign w:val="bottom"/>
          </w:tcPr>
          <w:p>
            <w:pPr>
              <w:ind w:left="260"/>
              <w:spacing w:after="0" w:line="122" w:lineRule="exact"/>
              <w:rPr>
                <w:sz w:val="20"/>
                <w:szCs w:val="20"/>
                <w:color w:val="auto"/>
              </w:rPr>
            </w:pPr>
            <w:r>
              <w:rPr>
                <w:rFonts w:ascii="Arial" w:cs="Arial" w:eastAsia="Arial" w:hAnsi="Arial"/>
                <w:sz w:val="11"/>
                <w:szCs w:val="11"/>
                <w:color w:val="auto"/>
              </w:rPr>
              <w:t>common stock</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issuable</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98</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Accrued interest 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notes</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(229)</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(229)</w:t>
            </w: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Payments on notes</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receivable</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1,314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1,314</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Beneficial conversion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feature of Series B</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w w:val="95"/>
              </w:rPr>
              <w:t>convertible preferred</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1,421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1,421</w:t>
            </w:r>
          </w:p>
        </w:tc>
        <w:tc>
          <w:tcPr>
            <w:tcW w:w="60" w:type="dxa"/>
            <w:vAlign w:val="bottom"/>
            <w:shd w:val="clear" w:color="auto" w:fill="CCEEFF"/>
          </w:tcPr>
          <w:p>
            <w:pPr>
              <w:spacing w:after="0"/>
              <w:rPr>
                <w:sz w:val="11"/>
                <w:szCs w:val="11"/>
                <w:color w:val="auto"/>
              </w:rPr>
            </w:pP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w w:val="89"/>
              </w:rPr>
              <w:t>Deemed dividend related</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240" w:type="dxa"/>
            <w:vAlign w:val="bottom"/>
          </w:tcPr>
          <w:p>
            <w:pPr>
              <w:ind w:left="260"/>
              <w:spacing w:after="0" w:line="122" w:lineRule="exact"/>
              <w:rPr>
                <w:sz w:val="20"/>
                <w:szCs w:val="20"/>
                <w:color w:val="auto"/>
              </w:rPr>
            </w:pPr>
            <w:r>
              <w:rPr>
                <w:rFonts w:ascii="Arial" w:cs="Arial" w:eastAsia="Arial" w:hAnsi="Arial"/>
                <w:sz w:val="11"/>
                <w:szCs w:val="11"/>
                <w:color w:val="auto"/>
              </w:rPr>
              <w:t>to beneficial</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1240" w:type="dxa"/>
            <w:vAlign w:val="bottom"/>
          </w:tcPr>
          <w:p>
            <w:pPr>
              <w:ind w:left="260"/>
              <w:spacing w:after="0" w:line="122" w:lineRule="exact"/>
              <w:rPr>
                <w:sz w:val="20"/>
                <w:szCs w:val="20"/>
                <w:color w:val="auto"/>
              </w:rPr>
            </w:pPr>
            <w:r>
              <w:rPr>
                <w:rFonts w:ascii="Arial" w:cs="Arial" w:eastAsia="Arial" w:hAnsi="Arial"/>
                <w:sz w:val="11"/>
                <w:szCs w:val="11"/>
                <w:color w:val="auto"/>
                <w:w w:val="93"/>
              </w:rPr>
              <w:t>conversion feature of</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1240" w:type="dxa"/>
            <w:vAlign w:val="bottom"/>
          </w:tcPr>
          <w:p>
            <w:pPr>
              <w:ind w:left="260"/>
              <w:spacing w:after="0" w:line="122" w:lineRule="exact"/>
              <w:rPr>
                <w:sz w:val="20"/>
                <w:szCs w:val="20"/>
                <w:color w:val="auto"/>
              </w:rPr>
            </w:pPr>
            <w:r>
              <w:rPr>
                <w:rFonts w:ascii="Arial" w:cs="Arial" w:eastAsia="Arial" w:hAnsi="Arial"/>
                <w:sz w:val="11"/>
                <w:szCs w:val="11"/>
                <w:color w:val="auto"/>
                <w:w w:val="98"/>
              </w:rPr>
              <w:t>Series B convertible</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preferred stock</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1"/>
                <w:szCs w:val="11"/>
                <w:color w:val="auto"/>
              </w:rPr>
              <w:t>(1,421)</w:t>
            </w: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(1,421)</w:t>
            </w: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4"/>
              </w:rPr>
              <w:t>Accretion to redemption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value on Series A</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redeemable</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2"/>
        </w:trPr>
        <w:tc>
          <w:tcPr>
            <w:tcW w:w="12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w w:val="95"/>
              </w:rPr>
              <w:t>convertible preferred</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(251)</w:t>
            </w: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(251)</w:t>
            </w:r>
          </w:p>
        </w:tc>
      </w:tr>
      <w:tr>
        <w:trPr>
          <w:trHeight w:val="112"/>
        </w:trPr>
        <w:tc>
          <w:tcPr>
            <w:tcW w:w="1240" w:type="dxa"/>
            <w:vAlign w:val="bottom"/>
          </w:tcPr>
          <w:p>
            <w:pPr>
              <w:ind w:left="120"/>
              <w:spacing w:after="0" w:line="112" w:lineRule="exact"/>
              <w:rPr>
                <w:sz w:val="20"/>
                <w:szCs w:val="20"/>
                <w:color w:val="auto"/>
              </w:rPr>
            </w:pPr>
            <w:r>
              <w:rPr>
                <w:rFonts w:ascii="Arial" w:cs="Arial" w:eastAsia="Arial" w:hAnsi="Arial"/>
                <w:sz w:val="11"/>
                <w:szCs w:val="11"/>
                <w:color w:val="auto"/>
              </w:rPr>
              <w:t>Stock-based</w:t>
            </w: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1"/>
        </w:trPr>
        <w:tc>
          <w:tcPr>
            <w:tcW w:w="1240" w:type="dxa"/>
            <w:vAlign w:val="bottom"/>
          </w:tcPr>
          <w:p>
            <w:pPr>
              <w:ind w:left="260"/>
              <w:spacing w:after="0"/>
              <w:rPr>
                <w:sz w:val="20"/>
                <w:szCs w:val="20"/>
                <w:color w:val="auto"/>
              </w:rPr>
            </w:pPr>
            <w:r>
              <w:rPr>
                <w:rFonts w:ascii="Arial" w:cs="Arial" w:eastAsia="Arial" w:hAnsi="Arial"/>
                <w:sz w:val="11"/>
                <w:szCs w:val="11"/>
                <w:color w:val="auto"/>
              </w:rPr>
              <w:t>compensation</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4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268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268</w:t>
            </w:r>
          </w:p>
        </w:tc>
        <w:tc>
          <w:tcPr>
            <w:tcW w:w="60" w:type="dxa"/>
            <w:vAlign w:val="bottom"/>
          </w:tcPr>
          <w:p>
            <w:pPr>
              <w:spacing w:after="0"/>
              <w:rPr>
                <w:sz w:val="11"/>
                <w:szCs w:val="11"/>
                <w:color w:val="auto"/>
              </w:rPr>
            </w:pPr>
          </w:p>
        </w:tc>
      </w:tr>
      <w:tr>
        <w:trPr>
          <w:trHeight w:val="112"/>
        </w:trPr>
        <w:tc>
          <w:tcPr>
            <w:tcW w:w="124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Put option redemption</w:t>
            </w: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31"/>
        </w:trPr>
        <w:tc>
          <w:tcPr>
            <w:tcW w:w="12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by stockholder</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1,921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1,921</w:t>
            </w:r>
          </w:p>
        </w:tc>
        <w:tc>
          <w:tcPr>
            <w:tcW w:w="60" w:type="dxa"/>
            <w:vAlign w:val="bottom"/>
            <w:shd w:val="clear" w:color="auto" w:fill="CCEEFF"/>
          </w:tcPr>
          <w:p>
            <w:pPr>
              <w:spacing w:after="0"/>
              <w:rPr>
                <w:sz w:val="11"/>
                <w:szCs w:val="11"/>
                <w:color w:val="auto"/>
              </w:rPr>
            </w:pPr>
          </w:p>
        </w:tc>
      </w:tr>
      <w:tr>
        <w:trPr>
          <w:trHeight w:val="122"/>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2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40" w:type="dxa"/>
            <w:vAlign w:val="bottom"/>
            <w:gridSpan w:val="2"/>
          </w:tcPr>
          <w:p>
            <w:pPr>
              <w:ind w:left="520"/>
              <w:spacing w:after="0" w:line="122" w:lineRule="exact"/>
              <w:rPr>
                <w:sz w:val="20"/>
                <w:szCs w:val="20"/>
                <w:color w:val="auto"/>
              </w:rPr>
            </w:pPr>
            <w:r>
              <w:rPr>
                <w:rFonts w:ascii="Arial" w:cs="Arial" w:eastAsia="Arial" w:hAnsi="Arial"/>
                <w:sz w:val="11"/>
                <w:szCs w:val="11"/>
                <w:color w:val="auto"/>
              </w:rPr>
              <w:t>—</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2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(206,265)</w:t>
            </w: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7"/>
              </w:rPr>
              <w:t>(206,265)</w:t>
            </w: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0620"/>
          </w:cols>
          <w:pgMar w:left="240" w:top="419" w:right="1039" w:bottom="1440" w:gutter="0" w:footer="0" w:header="0"/>
        </w:sectPr>
      </w:pPr>
    </w:p>
    <w:p>
      <w:pPr>
        <w:ind w:left="55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Series C</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Series C</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Deficit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Series B</w:t>
            </w:r>
          </w:p>
        </w:tc>
        <w:tc>
          <w:tcPr>
            <w:tcW w:w="11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Series C</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Preferred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4"/>
              </w:rPr>
              <w:t>Notes</w:t>
            </w:r>
          </w:p>
        </w:tc>
        <w:tc>
          <w:tcPr>
            <w:tcW w:w="60" w:type="dxa"/>
            <w:vAlign w:val="bottom"/>
          </w:tcPr>
          <w:p>
            <w:pPr>
              <w:spacing w:after="0"/>
              <w:rPr>
                <w:sz w:val="10"/>
                <w:szCs w:val="10"/>
                <w:color w:val="auto"/>
              </w:rPr>
            </w:pPr>
          </w:p>
        </w:tc>
        <w:tc>
          <w:tcPr>
            <w:tcW w:w="6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4"/>
              </w:rPr>
              <w:t>Notes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1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Preferred</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4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Receivable</w:t>
            </w:r>
          </w:p>
        </w:tc>
        <w:tc>
          <w:tcPr>
            <w:tcW w:w="66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3"/>
              </w:rPr>
              <w:t>Receivable</w:t>
            </w:r>
          </w:p>
        </w:tc>
        <w:tc>
          <w:tcPr>
            <w:tcW w:w="7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During the</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1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Subscriptions</w:t>
            </w:r>
          </w:p>
        </w:tc>
        <w:tc>
          <w:tcPr>
            <w:tcW w:w="960" w:type="dxa"/>
            <w:vAlign w:val="bottom"/>
            <w:gridSpan w:val="5"/>
          </w:tcPr>
          <w:p>
            <w:pPr>
              <w:jc w:val="right"/>
              <w:ind w:right="200"/>
              <w:spacing w:after="0"/>
              <w:rPr>
                <w:sz w:val="20"/>
                <w:szCs w:val="20"/>
                <w:color w:val="auto"/>
              </w:rPr>
            </w:pPr>
            <w:r>
              <w:rPr>
                <w:rFonts w:ascii="Arial" w:cs="Arial" w:eastAsia="Arial" w:hAnsi="Arial"/>
                <w:sz w:val="11"/>
                <w:szCs w:val="11"/>
                <w:b w:val="1"/>
                <w:bCs w:val="1"/>
                <w:color w:val="auto"/>
                <w:w w:val="91"/>
              </w:rPr>
              <w:t>Common Stock</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from</w:t>
            </w:r>
          </w:p>
        </w:tc>
        <w:tc>
          <w:tcPr>
            <w:tcW w:w="60" w:type="dxa"/>
            <w:vAlign w:val="bottom"/>
          </w:tcPr>
          <w:p>
            <w:pPr>
              <w:spacing w:after="0"/>
              <w:rPr>
                <w:sz w:val="11"/>
                <w:szCs w:val="11"/>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from</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w w:val="84"/>
              </w:rPr>
              <w:t>Comprehensive</w:t>
            </w:r>
          </w:p>
        </w:tc>
        <w:tc>
          <w:tcPr>
            <w:tcW w:w="10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Development</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w w:val="87"/>
              </w:rPr>
              <w:t>Shares</w:t>
            </w:r>
          </w:p>
        </w:tc>
        <w:tc>
          <w:tcPr>
            <w:tcW w:w="54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460" w:type="dxa"/>
            <w:vAlign w:val="bottom"/>
            <w:tcBorders>
              <w:top w:val="single" w:sz="8" w:color="auto"/>
            </w:tcBorders>
            <w:gridSpan w:val="2"/>
          </w:tcPr>
          <w:p>
            <w:pPr>
              <w:jc w:val="right"/>
              <w:ind w:right="140"/>
              <w:spacing w:after="0" w:line="115" w:lineRule="exact"/>
              <w:rPr>
                <w:sz w:val="20"/>
                <w:szCs w:val="20"/>
                <w:color w:val="auto"/>
              </w:rPr>
            </w:pPr>
            <w:r>
              <w:rPr>
                <w:rFonts w:ascii="Arial" w:cs="Arial" w:eastAsia="Arial" w:hAnsi="Arial"/>
                <w:sz w:val="11"/>
                <w:szCs w:val="11"/>
                <w:b w:val="1"/>
                <w:bCs w:val="1"/>
                <w:color w:val="auto"/>
                <w:w w:val="81"/>
              </w:rPr>
              <w:t>Shares</w:t>
            </w:r>
          </w:p>
        </w:tc>
        <w:tc>
          <w:tcPr>
            <w:tcW w:w="52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72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6"/>
              </w:rPr>
              <w:t>Issuable</w:t>
            </w:r>
          </w:p>
        </w:tc>
        <w:tc>
          <w:tcPr>
            <w:tcW w:w="78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6"/>
              </w:rPr>
              <w:t>Receivable</w:t>
            </w:r>
          </w:p>
        </w:tc>
        <w:tc>
          <w:tcPr>
            <w:tcW w:w="420" w:type="dxa"/>
            <w:vAlign w:val="bottom"/>
            <w:tcBorders>
              <w:top w:val="single" w:sz="8" w:color="auto"/>
            </w:tcBorders>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w w:val="81"/>
              </w:rPr>
              <w:t>Shares</w:t>
            </w:r>
          </w:p>
        </w:tc>
        <w:tc>
          <w:tcPr>
            <w:tcW w:w="4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0"/>
                <w:szCs w:val="10"/>
                <w:color w:val="auto"/>
              </w:rPr>
            </w:pPr>
          </w:p>
        </w:tc>
        <w:tc>
          <w:tcPr>
            <w:tcW w:w="68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Capital</w:t>
            </w:r>
          </w:p>
        </w:tc>
        <w:tc>
          <w:tcPr>
            <w:tcW w:w="700" w:type="dxa"/>
            <w:vAlign w:val="bottom"/>
            <w:gridSpan w:val="3"/>
          </w:tcPr>
          <w:p>
            <w:pPr>
              <w:jc w:val="center"/>
              <w:ind w:right="20"/>
              <w:spacing w:after="0" w:line="115" w:lineRule="exact"/>
              <w:rPr>
                <w:sz w:val="20"/>
                <w:szCs w:val="20"/>
                <w:color w:val="auto"/>
              </w:rPr>
            </w:pPr>
            <w:r>
              <w:rPr>
                <w:rFonts w:ascii="Arial" w:cs="Arial" w:eastAsia="Arial" w:hAnsi="Arial"/>
                <w:sz w:val="11"/>
                <w:szCs w:val="11"/>
                <w:b w:val="1"/>
                <w:bCs w:val="1"/>
                <w:color w:val="auto"/>
                <w:w w:val="86"/>
              </w:rPr>
              <w:t>Stockholders</w:t>
            </w:r>
          </w:p>
        </w:tc>
        <w:tc>
          <w:tcPr>
            <w:tcW w:w="60" w:type="dxa"/>
            <w:vAlign w:val="bottom"/>
          </w:tcPr>
          <w:p>
            <w:pPr>
              <w:spacing w:after="0"/>
              <w:rPr>
                <w:sz w:val="10"/>
                <w:szCs w:val="10"/>
                <w:color w:val="auto"/>
              </w:rPr>
            </w:pPr>
          </w:p>
        </w:tc>
        <w:tc>
          <w:tcPr>
            <w:tcW w:w="60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91"/>
              </w:rPr>
              <w:t>Officers</w:t>
            </w:r>
          </w:p>
        </w:tc>
        <w:tc>
          <w:tcPr>
            <w:tcW w:w="740" w:type="dxa"/>
            <w:vAlign w:val="bottom"/>
          </w:tcPr>
          <w:p>
            <w:pPr>
              <w:jc w:val="right"/>
              <w:ind w:right="146"/>
              <w:spacing w:after="0" w:line="115" w:lineRule="exact"/>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0"/>
                <w:szCs w:val="10"/>
                <w:color w:val="auto"/>
              </w:rPr>
            </w:pPr>
          </w:p>
        </w:tc>
        <w:tc>
          <w:tcPr>
            <w:tcW w:w="82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79"/>
              </w:rPr>
              <w:t>Stage</w:t>
            </w:r>
          </w:p>
        </w:tc>
        <w:tc>
          <w:tcPr>
            <w:tcW w:w="460" w:type="dxa"/>
            <w:vAlign w:val="bottom"/>
            <w:gridSpan w:val="2"/>
          </w:tcPr>
          <w:p>
            <w:pPr>
              <w:jc w:val="right"/>
              <w:ind w:right="16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 w:type="dxa"/>
            <w:vAlign w:val="bottom"/>
            <w:shd w:val="clear" w:color="auto" w:fill="CCEEFF"/>
          </w:tcPr>
          <w:p>
            <w:pPr>
              <w:spacing w:after="0" w:line="105" w:lineRule="exact"/>
              <w:rPr>
                <w:sz w:val="20"/>
                <w:szCs w:val="20"/>
                <w:color w:val="auto"/>
              </w:rPr>
            </w:pPr>
            <w:r>
              <w:rPr>
                <w:rFonts w:ascii="Arial" w:cs="Arial" w:eastAsia="Arial" w:hAnsi="Arial"/>
                <w:sz w:val="11"/>
                <w:szCs w:val="11"/>
                <w:color w:val="auto"/>
              </w:rPr>
              <w:t>BALANCE,</w:t>
            </w: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2002</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16,464</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378,010</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(1,310)</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(301,092)</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90,773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w w:val="94"/>
              </w:rPr>
              <w:t>Issuance of Series C</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preferred stock</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subscriptions</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50,000</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(50,000)</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Cash collected on</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Series C</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preferred stock</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subscriptions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31,847</w:t>
            </w: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31,847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w w:val="94"/>
              </w:rPr>
              <w:t>Issuance of common</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stock for cash</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3,494</w:t>
            </w: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49,965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Non-cash</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compensation</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4"/>
              </w:rPr>
              <w:t>expense of officer</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resulting from</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stockholder</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contribution</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w w:val="94"/>
              </w:rPr>
              <w:t>Issuance of common</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stock for cash</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already received</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9"/>
              </w:rPr>
              <w:t>Notes receivable by</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stockholder</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9"/>
              </w:rPr>
              <w:t>issued to officers</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(225)</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rPr>
              <w:t>Accrued interest on</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notes</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1"/>
                <w:szCs w:val="11"/>
                <w:color w:val="auto"/>
              </w:rPr>
              <w:t>(102)</w:t>
            </w:r>
          </w:p>
        </w:tc>
        <w:tc>
          <w:tcPr>
            <w:tcW w:w="6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Beneficial</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conversion</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feature of</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Series B</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preferred stock</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rPr>
              <w:t>Deemed dividend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related to</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beneficial</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conversion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feature of</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Series B</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preferred stock</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(1,017)</w:t>
            </w: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(1,017)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Accretion to</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7"/>
              </w:rPr>
              <w:t>redemption value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on Series A</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redeemable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preferred stock</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(253)</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rPr>
              <w:t>Stock-based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compensation</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4,501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4,501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Put shares sold to</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majority</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stockholder</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(65,879)</w:t>
            </w:r>
          </w:p>
        </w:tc>
        <w:tc>
          <w:tcPr>
            <w:tcW w:w="4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7"/>
              </w:rPr>
              <w:t>(65,879)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0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2003</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(18,153)</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19,975</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433,141</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(1,412)</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(228)</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(366,971)</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111,577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w w:val="94"/>
              </w:rPr>
              <w:t>Issuance of Series C</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preferred stock</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for cash</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356</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18,153</w:t>
            </w:r>
          </w:p>
        </w:tc>
        <w:tc>
          <w:tcPr>
            <w:tcW w:w="12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(18,153)</w:t>
            </w:r>
          </w:p>
        </w:tc>
        <w:tc>
          <w:tcPr>
            <w:tcW w:w="640" w:type="dxa"/>
            <w:vAlign w:val="bottom"/>
          </w:tcPr>
          <w:p>
            <w:pPr>
              <w:jc w:val="right"/>
              <w:spacing w:after="0"/>
              <w:rPr>
                <w:sz w:val="20"/>
                <w:szCs w:val="20"/>
                <w:color w:val="auto"/>
              </w:rPr>
            </w:pPr>
            <w:r>
              <w:rPr>
                <w:rFonts w:ascii="Arial" w:cs="Arial" w:eastAsia="Arial" w:hAnsi="Arial"/>
                <w:sz w:val="11"/>
                <w:szCs w:val="11"/>
                <w:color w:val="auto"/>
              </w:rPr>
              <w:t>18,153</w:t>
            </w:r>
          </w:p>
        </w:tc>
        <w:tc>
          <w:tcPr>
            <w:tcW w:w="14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18,153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4"/>
              </w:rPr>
              <w:t>Issuance of Series C</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preferred stock</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for cash already</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received</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31,847</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(31,847)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rPr>
              <w:t>Exercise of stock</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options</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86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1,079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1,079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w w:val="96"/>
              </w:rPr>
              <w:t>Exercise of warrants</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rPr>
              <w:t>Accrued interest on</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notes</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1"/>
                <w:szCs w:val="11"/>
                <w:color w:val="auto"/>
              </w:rPr>
              <w:t>(107)</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7"/>
              </w:rPr>
              <w:t>Repayment of notes</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receivable by</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stockholder</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9"/>
              </w:rPr>
              <w:t>issued to officers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(225)</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w w:val="98"/>
              </w:rPr>
              <w:t>Repayment of stock</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note receivable</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(90)</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color w:val="auto"/>
              </w:rPr>
              <w:t>(1)</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(1,518)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1,519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Conversion of</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Series A</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5"/>
              </w:rPr>
              <w:t>preferred stock to</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common stock</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rPr>
              <w:t>Conversion of</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Series B</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w w:val="95"/>
              </w:rPr>
              <w:t>preferred stock to</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common stock</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(193)</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(15,000)</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811</w:t>
            </w: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14,992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Conversion of</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Series C</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5"/>
              </w:rPr>
              <w:t>preferred stock to</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common stock</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(980)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4,464</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49,955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w w:val="94"/>
              </w:rPr>
              <w:t>Issuance of common</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shares in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exchange for</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warrants</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4"/>
              </w:rPr>
              <w:t>Issuance of common</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shares under</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Employee Stock</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Purchase Plan</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rPr>
              <w:t>Net proceeds from</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initial public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offering</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6,557</w:t>
            </w: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83,110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83,176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Beneficial</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conversion</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feature of</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Series B</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convertible</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preferred stock</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19,822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19,822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ind w:left="100"/>
              <w:spacing w:after="0" w:line="112" w:lineRule="exact"/>
              <w:rPr>
                <w:sz w:val="20"/>
                <w:szCs w:val="20"/>
                <w:color w:val="auto"/>
              </w:rPr>
            </w:pPr>
            <w:r>
              <w:rPr>
                <w:rFonts w:ascii="Arial" w:cs="Arial" w:eastAsia="Arial" w:hAnsi="Arial"/>
                <w:sz w:val="11"/>
                <w:szCs w:val="11"/>
                <w:color w:val="auto"/>
              </w:rPr>
              <w:t>Deemed dividends</w:t>
            </w:r>
          </w:p>
        </w:tc>
        <w:tc>
          <w:tcPr>
            <w:tcW w:w="460" w:type="dxa"/>
            <w:vAlign w:val="bottom"/>
            <w:gridSpan w:val="2"/>
          </w:tcPr>
          <w:p>
            <w:pPr>
              <w:jc w:val="right"/>
              <w:ind w:right="100"/>
              <w:spacing w:after="0" w:line="11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line="112" w:lineRule="exact"/>
              <w:rPr>
                <w:sz w:val="20"/>
                <w:szCs w:val="20"/>
                <w:color w:val="auto"/>
              </w:rPr>
            </w:pPr>
            <w:r>
              <w:rPr>
                <w:rFonts w:ascii="Arial" w:cs="Arial" w:eastAsia="Arial" w:hAnsi="Arial"/>
                <w:sz w:val="11"/>
                <w:szCs w:val="11"/>
                <w:color w:val="auto"/>
              </w:rPr>
              <w:t>(19,822)</w:t>
            </w:r>
          </w:p>
        </w:tc>
        <w:tc>
          <w:tcPr>
            <w:tcW w:w="40" w:type="dxa"/>
            <w:vAlign w:val="bottom"/>
          </w:tcPr>
          <w:p>
            <w:pPr>
              <w:spacing w:after="0"/>
              <w:rPr>
                <w:sz w:val="9"/>
                <w:szCs w:val="9"/>
                <w:color w:val="auto"/>
              </w:rPr>
            </w:pPr>
          </w:p>
        </w:tc>
        <w:tc>
          <w:tcPr>
            <w:tcW w:w="66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2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40"/>
              <w:spacing w:after="0" w:line="112" w:lineRule="exact"/>
              <w:rPr>
                <w:sz w:val="20"/>
                <w:szCs w:val="20"/>
                <w:color w:val="auto"/>
              </w:rPr>
            </w:pPr>
            <w:r>
              <w:rPr>
                <w:rFonts w:ascii="Arial" w:cs="Arial" w:eastAsia="Arial" w:hAnsi="Arial"/>
                <w:sz w:val="11"/>
                <w:szCs w:val="11"/>
                <w:color w:val="auto"/>
                <w:w w:val="97"/>
              </w:rPr>
              <w:t>(19,822)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related to</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beneficial</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ind w:left="240"/>
              <w:spacing w:after="0" w:line="122" w:lineRule="exact"/>
              <w:rPr>
                <w:sz w:val="20"/>
                <w:szCs w:val="20"/>
                <w:color w:val="auto"/>
              </w:rPr>
            </w:pPr>
            <w:r>
              <w:rPr>
                <w:rFonts w:ascii="Arial" w:cs="Arial" w:eastAsia="Arial" w:hAnsi="Arial"/>
                <w:sz w:val="11"/>
                <w:szCs w:val="11"/>
                <w:color w:val="auto"/>
              </w:rPr>
              <w:t>conversion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tcPr>
          <w:p>
            <w:pPr>
              <w:ind w:left="240"/>
              <w:spacing w:after="0"/>
              <w:rPr>
                <w:sz w:val="20"/>
                <w:szCs w:val="20"/>
                <w:color w:val="auto"/>
              </w:rPr>
            </w:pPr>
            <w:r>
              <w:rPr>
                <w:rFonts w:ascii="Arial" w:cs="Arial" w:eastAsia="Arial" w:hAnsi="Arial"/>
                <w:sz w:val="11"/>
                <w:szCs w:val="11"/>
                <w:color w:val="auto"/>
              </w:rPr>
              <w:t>feature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419" w:right="1039" w:bottom="0" w:gutter="0" w:footer="0" w:header="0"/>
        </w:sectPr>
      </w:pPr>
    </w:p>
    <w:bookmarkStart w:id="69" w:name="page70"/>
    <w:bookmarkEnd w:id="69"/>
    <w:p>
      <w:pPr>
        <w:spacing w:after="0"/>
        <w:rPr>
          <w:sz w:val="20"/>
          <w:szCs w:val="20"/>
          <w:color w:val="auto"/>
        </w:rPr>
      </w:pPr>
      <w:r>
        <w:rPr>
          <w:rFonts w:ascii="Arial" w:cs="Arial" w:eastAsia="Arial" w:hAnsi="Arial"/>
          <w:sz w:val="11"/>
          <w:szCs w:val="11"/>
          <w:color w:val="auto"/>
        </w:rPr>
        <w:t>Series B and</w:t>
      </w:r>
    </w:p>
    <w:p>
      <w:pPr>
        <w:spacing w:after="0" w:line="236" w:lineRule="auto"/>
        <w:rPr>
          <w:sz w:val="20"/>
          <w:szCs w:val="20"/>
          <w:color w:val="auto"/>
        </w:rPr>
      </w:pPr>
      <w:r>
        <w:rPr>
          <w:rFonts w:ascii="Arial" w:cs="Arial" w:eastAsia="Arial" w:hAnsi="Arial"/>
          <w:sz w:val="11"/>
          <w:szCs w:val="11"/>
          <w:color w:val="auto"/>
        </w:rPr>
        <w:t>Series C</w:t>
      </w:r>
    </w:p>
    <w:p>
      <w:pPr>
        <w:spacing w:after="0" w:line="231" w:lineRule="auto"/>
        <w:rPr>
          <w:sz w:val="20"/>
          <w:szCs w:val="20"/>
          <w:color w:val="auto"/>
        </w:rPr>
      </w:pPr>
      <w:r>
        <w:rPr>
          <w:rFonts w:ascii="Arial" w:cs="Arial" w:eastAsia="Arial" w:hAnsi="Arial"/>
          <w:sz w:val="11"/>
          <w:szCs w:val="11"/>
          <w:color w:val="auto"/>
        </w:rPr>
        <w:t>convertible</w:t>
      </w:r>
    </w:p>
    <w:p>
      <w:pPr>
        <w:spacing w:after="0"/>
        <w:rPr>
          <w:sz w:val="20"/>
          <w:szCs w:val="20"/>
          <w:color w:val="auto"/>
        </w:rPr>
      </w:pPr>
      <w:r>
        <w:rPr>
          <w:rFonts w:ascii="Arial" w:cs="Arial" w:eastAsia="Arial" w:hAnsi="Arial"/>
          <w:sz w:val="11"/>
          <w:szCs w:val="11"/>
          <w:color w:val="auto"/>
        </w:rPr>
        <w:t>preferred stock</w:t>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164465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59"/>
          </w:cols>
          <w:pgMar w:left="1200" w:top="130" w:right="1440" w:bottom="1440" w:gutter="0" w:footer="0" w:header="0"/>
        </w:sectPr>
      </w:pPr>
    </w:p>
    <w:bookmarkStart w:id="70" w:name="page71"/>
    <w:bookmarkEnd w:id="70"/>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Series C</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6"/>
              </w:rPr>
              <w:t>Series C</w:t>
            </w:r>
          </w:p>
        </w:tc>
        <w:tc>
          <w:tcPr>
            <w:tcW w:w="40" w:type="dxa"/>
            <w:vAlign w:val="bottom"/>
          </w:tcPr>
          <w:p>
            <w:pPr>
              <w:spacing w:after="0"/>
              <w:rPr>
                <w:sz w:val="10"/>
                <w:szCs w:val="10"/>
                <w:color w:val="auto"/>
              </w:rPr>
            </w:pPr>
          </w:p>
        </w:tc>
        <w:tc>
          <w:tcPr>
            <w:tcW w:w="7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Deficit</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1"/>
              </w:rPr>
              <w:t>Series B</w:t>
            </w:r>
          </w:p>
        </w:tc>
        <w:tc>
          <w:tcPr>
            <w:tcW w:w="80" w:type="dxa"/>
            <w:vAlign w:val="bottom"/>
          </w:tcPr>
          <w:p>
            <w:pPr>
              <w:spacing w:after="0"/>
              <w:rPr>
                <w:sz w:val="10"/>
                <w:szCs w:val="10"/>
                <w:color w:val="auto"/>
              </w:rPr>
            </w:pPr>
          </w:p>
        </w:tc>
        <w:tc>
          <w:tcPr>
            <w:tcW w:w="9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660" w:type="dxa"/>
            <w:vAlign w:val="bottom"/>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40" w:type="dxa"/>
            <w:vAlign w:val="bottom"/>
          </w:tcPr>
          <w:p>
            <w:pPr>
              <w:spacing w:after="0"/>
              <w:rPr>
                <w:sz w:val="10"/>
                <w:szCs w:val="10"/>
                <w:color w:val="auto"/>
              </w:rPr>
            </w:pPr>
          </w:p>
        </w:tc>
        <w:tc>
          <w:tcPr>
            <w:tcW w:w="7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3"/>
              </w:rPr>
              <w:t>Preferred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4"/>
              </w:rPr>
              <w:t>Notes</w:t>
            </w:r>
          </w:p>
        </w:tc>
        <w:tc>
          <w:tcPr>
            <w:tcW w:w="40" w:type="dxa"/>
            <w:vAlign w:val="bottom"/>
          </w:tcPr>
          <w:p>
            <w:pPr>
              <w:spacing w:after="0"/>
              <w:rPr>
                <w:sz w:val="10"/>
                <w:szCs w:val="10"/>
                <w:color w:val="auto"/>
              </w:rPr>
            </w:pP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4"/>
              </w:rPr>
              <w:t>Notes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ind w:left="200"/>
              <w:spacing w:after="0" w:line="122" w:lineRule="exact"/>
              <w:rPr>
                <w:sz w:val="20"/>
                <w:szCs w:val="20"/>
                <w:color w:val="auto"/>
              </w:rPr>
            </w:pPr>
            <w:r>
              <w:rPr>
                <w:rFonts w:ascii="Arial" w:cs="Arial" w:eastAsia="Arial" w:hAnsi="Arial"/>
                <w:sz w:val="11"/>
                <w:szCs w:val="11"/>
                <w:b w:val="1"/>
                <w:bCs w:val="1"/>
                <w:color w:val="auto"/>
              </w:rPr>
              <w:t>Convertible</w:t>
            </w:r>
          </w:p>
        </w:tc>
        <w:tc>
          <w:tcPr>
            <w:tcW w:w="80" w:type="dxa"/>
            <w:vAlign w:val="bottom"/>
          </w:tcPr>
          <w:p>
            <w:pPr>
              <w:spacing w:after="0"/>
              <w:rPr>
                <w:sz w:val="10"/>
                <w:szCs w:val="10"/>
                <w:color w:val="auto"/>
              </w:rPr>
            </w:pPr>
          </w:p>
        </w:tc>
        <w:tc>
          <w:tcPr>
            <w:tcW w:w="980" w:type="dxa"/>
            <w:vAlign w:val="bottom"/>
            <w:gridSpan w:val="4"/>
          </w:tcPr>
          <w:p>
            <w:pPr>
              <w:ind w:left="220"/>
              <w:spacing w:after="0" w:line="122" w:lineRule="exact"/>
              <w:rPr>
                <w:sz w:val="20"/>
                <w:szCs w:val="20"/>
                <w:color w:val="auto"/>
              </w:rPr>
            </w:pPr>
            <w:r>
              <w:rPr>
                <w:rFonts w:ascii="Arial" w:cs="Arial" w:eastAsia="Arial" w:hAnsi="Arial"/>
                <w:sz w:val="11"/>
                <w:szCs w:val="11"/>
                <w:b w:val="1"/>
                <w:bCs w:val="1"/>
                <w:color w:val="auto"/>
              </w:rPr>
              <w:t>Convertible</w:t>
            </w:r>
          </w:p>
        </w:tc>
        <w:tc>
          <w:tcPr>
            <w:tcW w:w="80" w:type="dxa"/>
            <w:vAlign w:val="bottom"/>
          </w:tcPr>
          <w:p>
            <w:pPr>
              <w:spacing w:after="0"/>
              <w:rPr>
                <w:sz w:val="10"/>
                <w:szCs w:val="10"/>
                <w:color w:val="auto"/>
              </w:rPr>
            </w:pPr>
          </w:p>
        </w:tc>
        <w:tc>
          <w:tcPr>
            <w:tcW w:w="5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3"/>
              </w:rPr>
              <w:t>Preferred</w:t>
            </w:r>
          </w:p>
        </w:tc>
        <w:tc>
          <w:tcPr>
            <w:tcW w:w="40" w:type="dxa"/>
            <w:vAlign w:val="bottom"/>
          </w:tcPr>
          <w:p>
            <w:pPr>
              <w:spacing w:after="0"/>
              <w:rPr>
                <w:sz w:val="10"/>
                <w:szCs w:val="10"/>
                <w:color w:val="auto"/>
              </w:rPr>
            </w:pPr>
          </w:p>
        </w:tc>
        <w:tc>
          <w:tcPr>
            <w:tcW w:w="7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Stock</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6"/>
              </w:rPr>
              <w:t>Receivable</w:t>
            </w:r>
          </w:p>
        </w:tc>
        <w:tc>
          <w:tcPr>
            <w:tcW w:w="6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86"/>
              </w:rPr>
              <w:t>Receivable</w:t>
            </w:r>
          </w:p>
        </w:tc>
        <w:tc>
          <w:tcPr>
            <w:tcW w:w="7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During the</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80" w:type="dxa"/>
            <w:vAlign w:val="bottom"/>
          </w:tcPr>
          <w:p>
            <w:pPr>
              <w:spacing w:after="0"/>
              <w:rPr>
                <w:sz w:val="11"/>
                <w:szCs w:val="11"/>
                <w:color w:val="auto"/>
              </w:rPr>
            </w:pPr>
          </w:p>
        </w:tc>
        <w:tc>
          <w:tcPr>
            <w:tcW w:w="9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80" w:type="dxa"/>
            <w:vAlign w:val="bottom"/>
          </w:tcPr>
          <w:p>
            <w:pPr>
              <w:spacing w:after="0"/>
              <w:rPr>
                <w:sz w:val="11"/>
                <w:szCs w:val="11"/>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6"/>
              </w:rPr>
              <w:t>Stock</w:t>
            </w:r>
          </w:p>
        </w:tc>
        <w:tc>
          <w:tcPr>
            <w:tcW w:w="7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7"/>
              </w:rPr>
              <w:t>Subscriptions</w:t>
            </w:r>
          </w:p>
        </w:tc>
        <w:tc>
          <w:tcPr>
            <w:tcW w:w="104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w w:val="99"/>
              </w:rPr>
              <w:t>Common Stock</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from</w:t>
            </w:r>
          </w:p>
        </w:tc>
        <w:tc>
          <w:tcPr>
            <w:tcW w:w="4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from</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w w:val="84"/>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Development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80" w:type="dxa"/>
            <w:vAlign w:val="bottom"/>
            <w:gridSpan w:val="2"/>
          </w:tcPr>
          <w:p>
            <w:pPr>
              <w:jc w:val="center"/>
              <w:ind w:right="40"/>
              <w:spacing w:after="0" w:line="115" w:lineRule="exact"/>
              <w:rPr>
                <w:sz w:val="20"/>
                <w:szCs w:val="20"/>
                <w:color w:val="auto"/>
              </w:rPr>
            </w:pPr>
            <w:r>
              <w:rPr>
                <w:rFonts w:ascii="Arial" w:cs="Arial" w:eastAsia="Arial" w:hAnsi="Arial"/>
                <w:sz w:val="11"/>
                <w:szCs w:val="11"/>
                <w:b w:val="1"/>
                <w:bCs w:val="1"/>
                <w:color w:val="auto"/>
                <w:w w:val="86"/>
              </w:rPr>
              <w:t>Issuable</w:t>
            </w:r>
          </w:p>
        </w:tc>
        <w:tc>
          <w:tcPr>
            <w:tcW w:w="40" w:type="dxa"/>
            <w:vAlign w:val="bottom"/>
          </w:tcPr>
          <w:p>
            <w:pPr>
              <w:spacing w:after="0"/>
              <w:rPr>
                <w:sz w:val="10"/>
                <w:szCs w:val="10"/>
                <w:color w:val="auto"/>
              </w:rPr>
            </w:pPr>
          </w:p>
        </w:tc>
        <w:tc>
          <w:tcPr>
            <w:tcW w:w="70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6"/>
              </w:rPr>
              <w:t>Receivable</w:t>
            </w:r>
          </w:p>
        </w:tc>
        <w:tc>
          <w:tcPr>
            <w:tcW w:w="500" w:type="dxa"/>
            <w:vAlign w:val="bottom"/>
            <w:tcBorders>
              <w:top w:val="single" w:sz="8" w:color="auto"/>
            </w:tcBorders>
            <w:gridSpan w:val="2"/>
          </w:tcPr>
          <w:p>
            <w:pPr>
              <w:jc w:val="right"/>
              <w:ind w:right="140"/>
              <w:spacing w:after="0" w:line="115" w:lineRule="exact"/>
              <w:rPr>
                <w:sz w:val="20"/>
                <w:szCs w:val="20"/>
                <w:color w:val="auto"/>
              </w:rPr>
            </w:pPr>
            <w:r>
              <w:rPr>
                <w:rFonts w:ascii="Arial" w:cs="Arial" w:eastAsia="Arial" w:hAnsi="Arial"/>
                <w:sz w:val="11"/>
                <w:szCs w:val="11"/>
                <w:b w:val="1"/>
                <w:bCs w:val="1"/>
                <w:color w:val="auto"/>
                <w:w w:val="92"/>
              </w:rPr>
              <w:t>Shares</w:t>
            </w: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820" w:type="dxa"/>
            <w:vAlign w:val="bottom"/>
            <w:gridSpan w:val="2"/>
          </w:tcPr>
          <w:p>
            <w:pPr>
              <w:jc w:val="right"/>
              <w:ind w:right="280"/>
              <w:spacing w:after="0" w:line="115" w:lineRule="exact"/>
              <w:rPr>
                <w:sz w:val="20"/>
                <w:szCs w:val="20"/>
                <w:color w:val="auto"/>
              </w:rPr>
            </w:pPr>
            <w:r>
              <w:rPr>
                <w:rFonts w:ascii="Arial" w:cs="Arial" w:eastAsia="Arial" w:hAnsi="Arial"/>
                <w:sz w:val="11"/>
                <w:szCs w:val="11"/>
                <w:b w:val="1"/>
                <w:bCs w:val="1"/>
                <w:color w:val="auto"/>
              </w:rPr>
              <w:t>Capital</w:t>
            </w:r>
          </w:p>
        </w:tc>
        <w:tc>
          <w:tcPr>
            <w:tcW w:w="680" w:type="dxa"/>
            <w:vAlign w:val="bottom"/>
            <w:gridSpan w:val="3"/>
          </w:tcPr>
          <w:p>
            <w:pPr>
              <w:jc w:val="right"/>
              <w:ind w:right="40"/>
              <w:spacing w:after="0" w:line="115" w:lineRule="exact"/>
              <w:rPr>
                <w:sz w:val="20"/>
                <w:szCs w:val="20"/>
                <w:color w:val="auto"/>
              </w:rPr>
            </w:pPr>
            <w:r>
              <w:rPr>
                <w:rFonts w:ascii="Arial" w:cs="Arial" w:eastAsia="Arial" w:hAnsi="Arial"/>
                <w:sz w:val="11"/>
                <w:szCs w:val="11"/>
                <w:b w:val="1"/>
                <w:bCs w:val="1"/>
                <w:color w:val="auto"/>
                <w:w w:val="88"/>
              </w:rPr>
              <w:t>Stockholders</w:t>
            </w:r>
          </w:p>
        </w:tc>
        <w:tc>
          <w:tcPr>
            <w:tcW w:w="40" w:type="dxa"/>
            <w:vAlign w:val="bottom"/>
          </w:tcPr>
          <w:p>
            <w:pPr>
              <w:spacing w:after="0"/>
              <w:rPr>
                <w:sz w:val="10"/>
                <w:szCs w:val="10"/>
                <w:color w:val="auto"/>
              </w:rPr>
            </w:pPr>
          </w:p>
        </w:tc>
        <w:tc>
          <w:tcPr>
            <w:tcW w:w="58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91"/>
              </w:rPr>
              <w:t>Officers</w:t>
            </w:r>
          </w:p>
        </w:tc>
        <w:tc>
          <w:tcPr>
            <w:tcW w:w="740" w:type="dxa"/>
            <w:vAlign w:val="bottom"/>
          </w:tcPr>
          <w:p>
            <w:pPr>
              <w:jc w:val="right"/>
              <w:ind w:right="146"/>
              <w:spacing w:after="0" w:line="115" w:lineRule="exact"/>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6"/>
              </w:rPr>
              <w:t>Stage</w:t>
            </w:r>
          </w:p>
        </w:tc>
        <w:tc>
          <w:tcPr>
            <w:tcW w:w="520" w:type="dxa"/>
            <w:vAlign w:val="bottom"/>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05" w:lineRule="exact"/>
              <w:rPr>
                <w:sz w:val="20"/>
                <w:szCs w:val="20"/>
                <w:color w:val="auto"/>
              </w:rPr>
            </w:pPr>
            <w:r>
              <w:rPr>
                <w:rFonts w:ascii="Arial" w:cs="Arial" w:eastAsia="Arial" w:hAnsi="Arial"/>
                <w:sz w:val="11"/>
                <w:szCs w:val="11"/>
                <w:color w:val="auto"/>
              </w:rPr>
              <w:t>Accretion to</w:t>
            </w:r>
          </w:p>
        </w:tc>
        <w:tc>
          <w:tcPr>
            <w:tcW w:w="4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redemption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value on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Series A</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redeemable</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convertible</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preferred</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stock</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(60)</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Stock-based</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w w:val="93"/>
              </w:rPr>
              <w:t>compensation</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6,810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6,810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(75,992)</w:t>
            </w: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(75,992)</w:t>
            </w:r>
          </w:p>
        </w:tc>
        <w:tc>
          <w:tcPr>
            <w:tcW w:w="0" w:type="dxa"/>
            <w:vAlign w:val="bottom"/>
          </w:tcPr>
          <w:p>
            <w:pPr>
              <w:spacing w:after="0"/>
              <w:rPr>
                <w:sz w:val="1"/>
                <w:szCs w:val="1"/>
                <w:color w:val="auto"/>
              </w:rPr>
            </w:pPr>
          </w:p>
        </w:tc>
      </w:tr>
      <w:tr>
        <w:trPr>
          <w:trHeight w:val="240"/>
        </w:trPr>
        <w:tc>
          <w:tcPr>
            <w:tcW w:w="920" w:type="dxa"/>
            <w:vAlign w:val="bottom"/>
            <w:gridSpan w:val="2"/>
          </w:tcPr>
          <w:p>
            <w:pPr>
              <w:spacing w:after="0"/>
              <w:rPr>
                <w:sz w:val="20"/>
                <w:szCs w:val="20"/>
                <w:color w:val="auto"/>
              </w:rPr>
            </w:pPr>
            <w:r>
              <w:rPr>
                <w:rFonts w:ascii="Arial" w:cs="Arial" w:eastAsia="Arial" w:hAnsi="Arial"/>
                <w:sz w:val="11"/>
                <w:szCs w:val="11"/>
                <w:color w:val="auto"/>
              </w:rPr>
              <w:t>BALANCE,</w:t>
            </w: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180"/>
              <w:spacing w:after="0" w:line="122" w:lineRule="exact"/>
              <w:rPr>
                <w:sz w:val="20"/>
                <w:szCs w:val="20"/>
                <w:color w:val="auto"/>
              </w:rPr>
            </w:pPr>
            <w:r>
              <w:rPr>
                <w:rFonts w:ascii="Arial" w:cs="Arial" w:eastAsia="Arial" w:hAnsi="Arial"/>
                <w:sz w:val="11"/>
                <w:szCs w:val="11"/>
                <w:color w:val="auto"/>
              </w:rPr>
              <w:t>DECEMBER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920" w:type="dxa"/>
            <w:vAlign w:val="bottom"/>
            <w:gridSpan w:val="2"/>
          </w:tcPr>
          <w:p>
            <w:pPr>
              <w:ind w:left="200"/>
              <w:spacing w:after="0"/>
              <w:rPr>
                <w:sz w:val="20"/>
                <w:szCs w:val="20"/>
                <w:color w:val="auto"/>
              </w:rPr>
            </w:pPr>
            <w:r>
              <w:rPr>
                <w:rFonts w:ascii="Arial" w:cs="Arial" w:eastAsia="Arial" w:hAnsi="Arial"/>
                <w:sz w:val="11"/>
                <w:szCs w:val="11"/>
                <w:color w:val="auto"/>
              </w:rPr>
              <w:t>31, 2004</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32,756</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327</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592,999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1"/>
                <w:szCs w:val="11"/>
                <w:color w:val="auto"/>
              </w:rPr>
              <w:t>(442,963)</w:t>
            </w:r>
          </w:p>
        </w:tc>
        <w:tc>
          <w:tcPr>
            <w:tcW w:w="460" w:type="dxa"/>
            <w:vAlign w:val="bottom"/>
          </w:tcPr>
          <w:p>
            <w:pPr>
              <w:jc w:val="right"/>
              <w:spacing w:after="0"/>
              <w:rPr>
                <w:sz w:val="20"/>
                <w:szCs w:val="20"/>
                <w:color w:val="auto"/>
              </w:rPr>
            </w:pPr>
            <w:r>
              <w:rPr>
                <w:rFonts w:ascii="Arial" w:cs="Arial" w:eastAsia="Arial" w:hAnsi="Arial"/>
                <w:sz w:val="11"/>
                <w:szCs w:val="11"/>
                <w:color w:val="auto"/>
              </w:rPr>
              <w:t>150,363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shares in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exchange for</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warrants</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w w:val="99"/>
              </w:rPr>
              <w:t>shares under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Employee</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Stock</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w w:val="89"/>
              </w:rPr>
              <w:t>Purchase Plan</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3"/>
              </w:rPr>
              <w:t>Exercise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options</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w w:val="91"/>
              </w:rPr>
              <w:t>Issuance of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awards to</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rPr>
              <w:t>consultants</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(146)</w:t>
            </w: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1"/>
              </w:rPr>
              <w:t>Issuance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and warrants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for cash</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17,132</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170,063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170,234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Stock-based</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w w:val="93"/>
              </w:rPr>
              <w:t>compensation</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(1,828)</w:t>
            </w: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(1,828)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(114,338)</w:t>
            </w: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w w:val="97"/>
              </w:rPr>
              <w:t>(114,338)</w:t>
            </w:r>
          </w:p>
        </w:tc>
        <w:tc>
          <w:tcPr>
            <w:tcW w:w="0" w:type="dxa"/>
            <w:vAlign w:val="bottom"/>
          </w:tcPr>
          <w:p>
            <w:pPr>
              <w:spacing w:after="0"/>
              <w:rPr>
                <w:sz w:val="1"/>
                <w:szCs w:val="1"/>
                <w:color w:val="auto"/>
              </w:rPr>
            </w:pPr>
          </w:p>
        </w:tc>
      </w:tr>
      <w:tr>
        <w:trPr>
          <w:trHeight w:val="240"/>
        </w:trPr>
        <w:tc>
          <w:tcPr>
            <w:tcW w:w="920" w:type="dxa"/>
            <w:vAlign w:val="bottom"/>
            <w:gridSpan w:val="2"/>
          </w:tcPr>
          <w:p>
            <w:pPr>
              <w:spacing w:after="0"/>
              <w:rPr>
                <w:sz w:val="20"/>
                <w:szCs w:val="20"/>
                <w:color w:val="auto"/>
              </w:rPr>
            </w:pPr>
            <w:r>
              <w:rPr>
                <w:rFonts w:ascii="Arial" w:cs="Arial" w:eastAsia="Arial" w:hAnsi="Arial"/>
                <w:sz w:val="11"/>
                <w:szCs w:val="11"/>
                <w:color w:val="auto"/>
              </w:rPr>
              <w:t>BALANCE,</w:t>
            </w: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180"/>
              <w:spacing w:after="0" w:line="122" w:lineRule="exact"/>
              <w:rPr>
                <w:sz w:val="20"/>
                <w:szCs w:val="20"/>
                <w:color w:val="auto"/>
              </w:rPr>
            </w:pPr>
            <w:r>
              <w:rPr>
                <w:rFonts w:ascii="Arial" w:cs="Arial" w:eastAsia="Arial" w:hAnsi="Arial"/>
                <w:sz w:val="11"/>
                <w:szCs w:val="11"/>
                <w:color w:val="auto"/>
              </w:rPr>
              <w:t>DECEMBER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920" w:type="dxa"/>
            <w:vAlign w:val="bottom"/>
            <w:gridSpan w:val="2"/>
          </w:tcPr>
          <w:p>
            <w:pPr>
              <w:ind w:left="200"/>
              <w:spacing w:after="0"/>
              <w:rPr>
                <w:sz w:val="20"/>
                <w:szCs w:val="20"/>
                <w:color w:val="auto"/>
              </w:rPr>
            </w:pPr>
            <w:r>
              <w:rPr>
                <w:rFonts w:ascii="Arial" w:cs="Arial" w:eastAsia="Arial" w:hAnsi="Arial"/>
                <w:sz w:val="11"/>
                <w:szCs w:val="11"/>
                <w:color w:val="auto"/>
              </w:rPr>
              <w:t>31, 2005</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50,314</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503</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763,775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1"/>
                <w:szCs w:val="11"/>
                <w:color w:val="auto"/>
              </w:rPr>
              <w:t>(557,301)</w:t>
            </w:r>
          </w:p>
        </w:tc>
        <w:tc>
          <w:tcPr>
            <w:tcW w:w="460" w:type="dxa"/>
            <w:vAlign w:val="bottom"/>
          </w:tcPr>
          <w:p>
            <w:pPr>
              <w:jc w:val="right"/>
              <w:spacing w:after="0"/>
              <w:rPr>
                <w:sz w:val="20"/>
                <w:szCs w:val="20"/>
                <w:color w:val="auto"/>
              </w:rPr>
            </w:pPr>
            <w:r>
              <w:rPr>
                <w:rFonts w:ascii="Arial" w:cs="Arial" w:eastAsia="Arial" w:hAnsi="Arial"/>
                <w:sz w:val="11"/>
                <w:szCs w:val="11"/>
                <w:color w:val="auto"/>
              </w:rPr>
              <w:t>206,977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Exercise of</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warrants</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w w:val="99"/>
              </w:rPr>
              <w:t>shares under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Employee</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Stock</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w w:val="89"/>
              </w:rPr>
              <w:t>Purchase Plan</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980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3"/>
              </w:rPr>
              <w:t>Exercise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options</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Cancellation of</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shares for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stock notes</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rPr>
              <w:t>receivable</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(844)</w:t>
            </w: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(8)</w:t>
            </w:r>
          </w:p>
        </w:tc>
        <w:tc>
          <w:tcPr>
            <w:tcW w:w="7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1"/>
              </w:rPr>
              <w:t>Issuance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for cash</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23,000</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384,440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384,670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shares from</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w w:val="95"/>
              </w:rPr>
              <w:t>the release of</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restricted</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rPr>
              <w:t>stock units</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(341)</w:t>
            </w: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(340)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shares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pursuant to</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research</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agreement</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Stock-based</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w w:val="93"/>
              </w:rPr>
              <w:t>compensation</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14,667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14,667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(230,548)</w:t>
            </w: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w w:val="97"/>
              </w:rPr>
              <w:t>(230,548)</w:t>
            </w:r>
          </w:p>
        </w:tc>
        <w:tc>
          <w:tcPr>
            <w:tcW w:w="0" w:type="dxa"/>
            <w:vAlign w:val="bottom"/>
          </w:tcPr>
          <w:p>
            <w:pPr>
              <w:spacing w:after="0"/>
              <w:rPr>
                <w:sz w:val="1"/>
                <w:szCs w:val="1"/>
                <w:color w:val="auto"/>
              </w:rPr>
            </w:pPr>
          </w:p>
        </w:tc>
      </w:tr>
      <w:tr>
        <w:trPr>
          <w:trHeight w:val="240"/>
        </w:trPr>
        <w:tc>
          <w:tcPr>
            <w:tcW w:w="920" w:type="dxa"/>
            <w:vAlign w:val="bottom"/>
            <w:gridSpan w:val="2"/>
          </w:tcPr>
          <w:p>
            <w:pPr>
              <w:spacing w:after="0"/>
              <w:rPr>
                <w:sz w:val="20"/>
                <w:szCs w:val="20"/>
                <w:color w:val="auto"/>
              </w:rPr>
            </w:pPr>
            <w:r>
              <w:rPr>
                <w:rFonts w:ascii="Arial" w:cs="Arial" w:eastAsia="Arial" w:hAnsi="Arial"/>
                <w:sz w:val="11"/>
                <w:szCs w:val="11"/>
                <w:color w:val="auto"/>
              </w:rPr>
              <w:t>BALANCE,</w:t>
            </w: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180"/>
              <w:spacing w:after="0" w:line="122" w:lineRule="exact"/>
              <w:rPr>
                <w:sz w:val="20"/>
                <w:szCs w:val="20"/>
                <w:color w:val="auto"/>
              </w:rPr>
            </w:pPr>
            <w:r>
              <w:rPr>
                <w:rFonts w:ascii="Arial" w:cs="Arial" w:eastAsia="Arial" w:hAnsi="Arial"/>
                <w:sz w:val="11"/>
                <w:szCs w:val="11"/>
                <w:color w:val="auto"/>
              </w:rPr>
              <w:t>DECEMBER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920" w:type="dxa"/>
            <w:vAlign w:val="bottom"/>
            <w:gridSpan w:val="2"/>
          </w:tcPr>
          <w:p>
            <w:pPr>
              <w:ind w:left="200"/>
              <w:spacing w:after="0"/>
              <w:rPr>
                <w:sz w:val="20"/>
                <w:szCs w:val="20"/>
                <w:color w:val="auto"/>
              </w:rPr>
            </w:pPr>
            <w:r>
              <w:rPr>
                <w:rFonts w:ascii="Arial" w:cs="Arial" w:eastAsia="Arial" w:hAnsi="Arial"/>
                <w:sz w:val="11"/>
                <w:szCs w:val="11"/>
                <w:color w:val="auto"/>
              </w:rPr>
              <w:t>31, 2006</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73,360</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734</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1,170,602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1"/>
                <w:szCs w:val="11"/>
                <w:color w:val="auto"/>
              </w:rPr>
              <w:t>(787,849)</w:t>
            </w:r>
          </w:p>
        </w:tc>
        <w:tc>
          <w:tcPr>
            <w:tcW w:w="460" w:type="dxa"/>
            <w:vAlign w:val="bottom"/>
          </w:tcPr>
          <w:p>
            <w:pPr>
              <w:jc w:val="right"/>
              <w:spacing w:after="0"/>
              <w:rPr>
                <w:sz w:val="20"/>
                <w:szCs w:val="20"/>
                <w:color w:val="auto"/>
              </w:rPr>
            </w:pPr>
            <w:r>
              <w:rPr>
                <w:rFonts w:ascii="Arial" w:cs="Arial" w:eastAsia="Arial" w:hAnsi="Arial"/>
                <w:sz w:val="11"/>
                <w:szCs w:val="11"/>
                <w:color w:val="auto"/>
              </w:rPr>
              <w:t>383,487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9"/>
              </w:rPr>
              <w:t>shares under</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Employee</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Stock</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w w:val="89"/>
              </w:rPr>
              <w:t>Purchase Plan</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w w:val="93"/>
              </w:rPr>
              <w:t>Exercise of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rPr>
              <w:t>options</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607</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4,917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4,923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1"/>
              </w:rPr>
              <w:t>Issuance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awards to</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consultants</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w w:val="91"/>
              </w:rPr>
              <w:t>Issuance of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rPr>
              <w:t>for cash</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27,014</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249,480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249,750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shares from</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5"/>
              </w:rPr>
              <w:t>the release of</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restricted</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stock units</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(526)</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(524)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shares</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pursuant to</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research</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ind w:left="240"/>
              <w:spacing w:after="0"/>
              <w:rPr>
                <w:sz w:val="20"/>
                <w:szCs w:val="20"/>
                <w:color w:val="auto"/>
              </w:rPr>
            </w:pPr>
            <w:r>
              <w:rPr>
                <w:rFonts w:ascii="Arial" w:cs="Arial" w:eastAsia="Arial" w:hAnsi="Arial"/>
                <w:sz w:val="11"/>
                <w:szCs w:val="11"/>
                <w:color w:val="auto"/>
              </w:rPr>
              <w:t>agreement</w:t>
            </w:r>
          </w:p>
        </w:tc>
        <w:tc>
          <w:tcPr>
            <w:tcW w:w="4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943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944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Stock-based</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3"/>
              </w:rPr>
              <w:t>compensation</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17,522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17,522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0"/>
                <w:szCs w:val="10"/>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00" w:type="dxa"/>
            <w:vAlign w:val="bottom"/>
            <w:gridSpan w:val="2"/>
          </w:tcPr>
          <w:p>
            <w:pPr>
              <w:ind w:left="5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8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(293,190)</w:t>
            </w: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7"/>
              </w:rPr>
              <w:t>(293,190)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9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31, 2007</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101,381</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1,444,125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(1,081,039)</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364,100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ind w:left="100"/>
              <w:spacing w:after="0" w:line="112" w:lineRule="exact"/>
              <w:rPr>
                <w:sz w:val="20"/>
                <w:szCs w:val="20"/>
                <w:color w:val="auto"/>
              </w:rPr>
            </w:pPr>
            <w:r>
              <w:rPr>
                <w:rFonts w:ascii="Arial" w:cs="Arial" w:eastAsia="Arial" w:hAnsi="Arial"/>
                <w:sz w:val="11"/>
                <w:szCs w:val="11"/>
                <w:color w:val="auto"/>
              </w:rPr>
              <w:t>Issuance of</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common</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w w:val="99"/>
              </w:rPr>
              <w:t>shares under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Employee</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ind w:left="240"/>
              <w:spacing w:after="0" w:line="122" w:lineRule="exact"/>
              <w:rPr>
                <w:sz w:val="20"/>
                <w:szCs w:val="20"/>
                <w:color w:val="auto"/>
              </w:rPr>
            </w:pPr>
            <w:r>
              <w:rPr>
                <w:rFonts w:ascii="Arial" w:cs="Arial" w:eastAsia="Arial" w:hAnsi="Arial"/>
                <w:sz w:val="11"/>
                <w:szCs w:val="11"/>
                <w:color w:val="auto"/>
              </w:rPr>
              <w:t>Stock</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w w:val="89"/>
              </w:rPr>
              <w:t>Purchase Plan</w:t>
            </w:r>
          </w:p>
        </w:tc>
        <w:tc>
          <w:tcPr>
            <w:tcW w:w="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349</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896</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gridSpan w:val="2"/>
          </w:tcPr>
          <w:p>
            <w:pPr>
              <w:ind w:left="3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900</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0620"/>
          </w:cols>
          <w:pgMar w:left="240" w:top="419" w:right="103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Issuance of stock</w:t>
            </w:r>
          </w:p>
        </w:tc>
        <w:tc>
          <w:tcPr>
            <w:tcW w:w="5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30</w:t>
            </w:r>
          </w:p>
        </w:tc>
        <w:tc>
          <w:tcPr>
            <w:tcW w:w="60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(18)</w:t>
            </w:r>
          </w:p>
        </w:tc>
        <w:tc>
          <w:tcPr>
            <w:tcW w:w="6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r>
      <w:tr>
        <w:trPr>
          <w:trHeight w:val="122"/>
        </w:trPr>
        <w:tc>
          <w:tcPr>
            <w:tcW w:w="100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awards to</w:t>
            </w: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31"/>
        </w:trPr>
        <w:tc>
          <w:tcPr>
            <w:tcW w:w="10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consultants</w:t>
            </w: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12"/>
        </w:trPr>
        <w:tc>
          <w:tcPr>
            <w:tcW w:w="1000" w:type="dxa"/>
            <w:vAlign w:val="bottom"/>
          </w:tcPr>
          <w:p>
            <w:pPr>
              <w:ind w:left="120"/>
              <w:spacing w:after="0" w:line="112" w:lineRule="exact"/>
              <w:rPr>
                <w:sz w:val="20"/>
                <w:szCs w:val="20"/>
                <w:color w:val="auto"/>
              </w:rPr>
            </w:pPr>
            <w:r>
              <w:rPr>
                <w:rFonts w:ascii="Arial" w:cs="Arial" w:eastAsia="Arial" w:hAnsi="Arial"/>
                <w:sz w:val="11"/>
                <w:szCs w:val="11"/>
                <w:color w:val="auto"/>
              </w:rPr>
              <w:t>Issuance of</w:t>
            </w: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22"/>
        </w:trPr>
        <w:tc>
          <w:tcPr>
            <w:tcW w:w="1000" w:type="dxa"/>
            <w:vAlign w:val="bottom"/>
          </w:tcPr>
          <w:p>
            <w:pPr>
              <w:ind w:left="260"/>
              <w:spacing w:after="0" w:line="122" w:lineRule="exact"/>
              <w:rPr>
                <w:sz w:val="20"/>
                <w:szCs w:val="20"/>
                <w:color w:val="auto"/>
              </w:rPr>
            </w:pPr>
            <w:r>
              <w:rPr>
                <w:rFonts w:ascii="Arial" w:cs="Arial" w:eastAsia="Arial" w:hAnsi="Arial"/>
                <w:sz w:val="11"/>
                <w:szCs w:val="11"/>
                <w:color w:val="auto"/>
              </w:rPr>
              <w:t>common</w:t>
            </w: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000" w:type="dxa"/>
            <w:vAlign w:val="bottom"/>
          </w:tcPr>
          <w:p>
            <w:pPr>
              <w:ind w:left="260"/>
              <w:spacing w:after="0" w:line="122" w:lineRule="exact"/>
              <w:rPr>
                <w:sz w:val="20"/>
                <w:szCs w:val="20"/>
                <w:color w:val="auto"/>
              </w:rPr>
            </w:pPr>
            <w:r>
              <w:rPr>
                <w:rFonts w:ascii="Arial" w:cs="Arial" w:eastAsia="Arial" w:hAnsi="Arial"/>
                <w:sz w:val="11"/>
                <w:szCs w:val="11"/>
                <w:color w:val="auto"/>
              </w:rPr>
              <w:t>shares from</w:t>
            </w: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000" w:type="dxa"/>
            <w:vAlign w:val="bottom"/>
          </w:tcPr>
          <w:p>
            <w:pPr>
              <w:ind w:left="260"/>
              <w:spacing w:after="0" w:line="122" w:lineRule="exact"/>
              <w:rPr>
                <w:sz w:val="20"/>
                <w:szCs w:val="20"/>
                <w:color w:val="auto"/>
              </w:rPr>
            </w:pPr>
            <w:r>
              <w:rPr>
                <w:rFonts w:ascii="Arial" w:cs="Arial" w:eastAsia="Arial" w:hAnsi="Arial"/>
                <w:sz w:val="11"/>
                <w:szCs w:val="11"/>
                <w:color w:val="auto"/>
              </w:rPr>
              <w:t>the release of</w:t>
            </w: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1000" w:type="dxa"/>
            <w:vAlign w:val="bottom"/>
          </w:tcPr>
          <w:p>
            <w:pPr>
              <w:ind w:left="260"/>
              <w:spacing w:after="0" w:line="122" w:lineRule="exact"/>
              <w:rPr>
                <w:sz w:val="20"/>
                <w:szCs w:val="20"/>
                <w:color w:val="auto"/>
              </w:rPr>
            </w:pPr>
            <w:r>
              <w:rPr>
                <w:rFonts w:ascii="Arial" w:cs="Arial" w:eastAsia="Arial" w:hAnsi="Arial"/>
                <w:sz w:val="11"/>
                <w:szCs w:val="11"/>
                <w:color w:val="auto"/>
              </w:rPr>
              <w:t>restricted</w:t>
            </w: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1"/>
        </w:trPr>
        <w:tc>
          <w:tcPr>
            <w:tcW w:w="1000" w:type="dxa"/>
            <w:vAlign w:val="bottom"/>
          </w:tcPr>
          <w:p>
            <w:pPr>
              <w:ind w:left="260"/>
              <w:spacing w:after="0"/>
              <w:rPr>
                <w:sz w:val="20"/>
                <w:szCs w:val="20"/>
                <w:color w:val="auto"/>
              </w:rPr>
            </w:pPr>
            <w:r>
              <w:rPr>
                <w:rFonts w:ascii="Arial" w:cs="Arial" w:eastAsia="Arial" w:hAnsi="Arial"/>
                <w:sz w:val="11"/>
                <w:szCs w:val="11"/>
                <w:color w:val="auto"/>
              </w:rPr>
              <w:t>stock units</w:t>
            </w:r>
          </w:p>
        </w:tc>
        <w:tc>
          <w:tcPr>
            <w:tcW w:w="540" w:type="dxa"/>
            <w:vAlign w:val="bottom"/>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280"/>
              <w:spacing w:after="0"/>
              <w:rPr>
                <w:sz w:val="20"/>
                <w:szCs w:val="20"/>
                <w:color w:val="auto"/>
              </w:rPr>
            </w:pPr>
            <w:r>
              <w:rPr>
                <w:rFonts w:ascii="Arial" w:cs="Arial" w:eastAsia="Arial" w:hAnsi="Arial"/>
                <w:sz w:val="11"/>
                <w:szCs w:val="11"/>
                <w:color w:val="auto"/>
              </w:rPr>
              <w:t>—</w:t>
            </w:r>
          </w:p>
        </w:tc>
        <w:tc>
          <w:tcPr>
            <w:tcW w:w="520" w:type="dxa"/>
            <w:vAlign w:val="bottom"/>
          </w:tcPr>
          <w:p>
            <w:pPr>
              <w:ind w:left="140"/>
              <w:spacing w:after="0"/>
              <w:rPr>
                <w:sz w:val="20"/>
                <w:szCs w:val="20"/>
                <w:color w:val="auto"/>
              </w:rPr>
            </w:pPr>
            <w:r>
              <w:rPr>
                <w:rFonts w:ascii="Arial" w:cs="Arial" w:eastAsia="Arial" w:hAnsi="Arial"/>
                <w:sz w:val="11"/>
                <w:szCs w:val="11"/>
                <w:color w:val="auto"/>
              </w:rPr>
              <w:t>—</w:t>
            </w:r>
          </w:p>
        </w:tc>
        <w:tc>
          <w:tcPr>
            <w:tcW w:w="660" w:type="dxa"/>
            <w:vAlign w:val="bottom"/>
          </w:tcPr>
          <w:p>
            <w:pPr>
              <w:ind w:left="300"/>
              <w:spacing w:after="0"/>
              <w:rPr>
                <w:sz w:val="20"/>
                <w:szCs w:val="20"/>
                <w:color w:val="auto"/>
              </w:rPr>
            </w:pPr>
            <w:r>
              <w:rPr>
                <w:rFonts w:ascii="Arial" w:cs="Arial" w:eastAsia="Arial" w:hAnsi="Arial"/>
                <w:sz w:val="11"/>
                <w:szCs w:val="11"/>
                <w:color w:val="auto"/>
              </w:rPr>
              <w:t>—</w:t>
            </w: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560" w:type="dxa"/>
            <w:vAlign w:val="bottom"/>
          </w:tcPr>
          <w:p>
            <w:pPr>
              <w:ind w:left="30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46"/>
              <w:spacing w:after="0"/>
              <w:rPr>
                <w:sz w:val="20"/>
                <w:szCs w:val="20"/>
                <w:color w:val="auto"/>
              </w:rPr>
            </w:pPr>
            <w:r>
              <w:rPr>
                <w:rFonts w:ascii="Arial" w:cs="Arial" w:eastAsia="Arial" w:hAnsi="Arial"/>
                <w:sz w:val="11"/>
                <w:szCs w:val="11"/>
                <w:color w:val="auto"/>
              </w:rPr>
              <w:t>248</w:t>
            </w:r>
          </w:p>
        </w:tc>
        <w:tc>
          <w:tcPr>
            <w:tcW w:w="600" w:type="dxa"/>
            <w:vAlign w:val="bottom"/>
          </w:tcPr>
          <w:p>
            <w:pPr>
              <w:jc w:val="right"/>
              <w:ind w:right="226"/>
              <w:spacing w:after="0"/>
              <w:rPr>
                <w:sz w:val="20"/>
                <w:szCs w:val="20"/>
                <w:color w:val="auto"/>
              </w:rPr>
            </w:pPr>
            <w:r>
              <w:rPr>
                <w:rFonts w:ascii="Arial" w:cs="Arial" w:eastAsia="Arial" w:hAnsi="Arial"/>
                <w:sz w:val="11"/>
                <w:szCs w:val="11"/>
                <w:color w:val="auto"/>
              </w:rPr>
              <w:t>2</w:t>
            </w:r>
          </w:p>
        </w:tc>
        <w:tc>
          <w:tcPr>
            <w:tcW w:w="900" w:type="dxa"/>
            <w:vAlign w:val="bottom"/>
          </w:tcPr>
          <w:p>
            <w:pPr>
              <w:jc w:val="right"/>
              <w:ind w:right="226"/>
              <w:spacing w:after="0"/>
              <w:rPr>
                <w:sz w:val="20"/>
                <w:szCs w:val="20"/>
                <w:color w:val="auto"/>
              </w:rPr>
            </w:pPr>
            <w:r>
              <w:rPr>
                <w:rFonts w:ascii="Arial" w:cs="Arial" w:eastAsia="Arial" w:hAnsi="Arial"/>
                <w:sz w:val="11"/>
                <w:szCs w:val="11"/>
                <w:color w:val="auto"/>
              </w:rPr>
              <w:t>(317)</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p>
        </w:tc>
        <w:tc>
          <w:tcPr>
            <w:tcW w:w="700" w:type="dxa"/>
            <w:vAlign w:val="bottom"/>
          </w:tcPr>
          <w:p>
            <w:pPr>
              <w:ind w:left="240"/>
              <w:spacing w:after="0"/>
              <w:rPr>
                <w:sz w:val="20"/>
                <w:szCs w:val="20"/>
                <w:color w:val="auto"/>
              </w:rPr>
            </w:pPr>
            <w:r>
              <w:rPr>
                <w:rFonts w:ascii="Arial" w:cs="Arial" w:eastAsia="Arial" w:hAnsi="Arial"/>
                <w:sz w:val="11"/>
                <w:szCs w:val="11"/>
                <w:color w:val="auto"/>
              </w:rPr>
              <w:t>—</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700" w:type="dxa"/>
            <w:vAlign w:val="bottom"/>
          </w:tcPr>
          <w:p>
            <w:pPr>
              <w:ind w:left="46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(315)</w:t>
            </w:r>
          </w:p>
        </w:tc>
      </w:tr>
      <w:tr>
        <w:trPr>
          <w:trHeight w:val="112"/>
        </w:trPr>
        <w:tc>
          <w:tcPr>
            <w:tcW w:w="10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Stock-based</w:t>
            </w:r>
          </w:p>
        </w:tc>
        <w:tc>
          <w:tcPr>
            <w:tcW w:w="5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r>
      <w:tr>
        <w:trPr>
          <w:trHeight w:val="131"/>
        </w:trPr>
        <w:tc>
          <w:tcPr>
            <w:tcW w:w="10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compensation</w:t>
            </w:r>
          </w:p>
        </w:tc>
        <w:tc>
          <w:tcPr>
            <w:tcW w:w="5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24,811</w:t>
            </w:r>
          </w:p>
        </w:tc>
        <w:tc>
          <w:tcPr>
            <w:tcW w:w="6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24,811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125"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Series C</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6"/>
              </w:rPr>
              <w:t>Series C</w:t>
            </w:r>
          </w:p>
        </w:tc>
        <w:tc>
          <w:tcPr>
            <w:tcW w:w="40" w:type="dxa"/>
            <w:vAlign w:val="bottom"/>
          </w:tcPr>
          <w:p>
            <w:pPr>
              <w:spacing w:after="0"/>
              <w:rPr>
                <w:sz w:val="10"/>
                <w:szCs w:val="10"/>
                <w:color w:val="auto"/>
              </w:rPr>
            </w:pPr>
          </w:p>
        </w:tc>
        <w:tc>
          <w:tcPr>
            <w:tcW w:w="7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Deficit</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1"/>
              </w:rPr>
              <w:t>Series B</w:t>
            </w:r>
          </w:p>
        </w:tc>
        <w:tc>
          <w:tcPr>
            <w:tcW w:w="40" w:type="dxa"/>
            <w:vAlign w:val="bottom"/>
          </w:tcPr>
          <w:p>
            <w:pPr>
              <w:spacing w:after="0"/>
              <w:rPr>
                <w:sz w:val="10"/>
                <w:szCs w:val="10"/>
                <w:color w:val="auto"/>
              </w:rPr>
            </w:pPr>
          </w:p>
        </w:tc>
        <w:tc>
          <w:tcPr>
            <w:tcW w:w="9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620" w:type="dxa"/>
            <w:vAlign w:val="bottom"/>
            <w:gridSpan w:val="3"/>
          </w:tcPr>
          <w:p>
            <w:pPr>
              <w:jc w:val="right"/>
              <w:ind w:right="20"/>
              <w:spacing w:after="0" w:line="122" w:lineRule="exact"/>
              <w:rPr>
                <w:sz w:val="20"/>
                <w:szCs w:val="20"/>
                <w:color w:val="auto"/>
              </w:rPr>
            </w:pPr>
            <w:r>
              <w:rPr>
                <w:rFonts w:ascii="Arial" w:cs="Arial" w:eastAsia="Arial" w:hAnsi="Arial"/>
                <w:sz w:val="11"/>
                <w:szCs w:val="11"/>
                <w:b w:val="1"/>
                <w:bCs w:val="1"/>
                <w:color w:val="auto"/>
                <w:w w:val="95"/>
              </w:rPr>
              <w:t>Convertible</w:t>
            </w:r>
          </w:p>
        </w:tc>
        <w:tc>
          <w:tcPr>
            <w:tcW w:w="4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Preferred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4"/>
              </w:rPr>
              <w:t>Notes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Notes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gridSpan w:val="4"/>
          </w:tcPr>
          <w:p>
            <w:pPr>
              <w:ind w:left="200"/>
              <w:spacing w:after="0" w:line="122" w:lineRule="exact"/>
              <w:rPr>
                <w:sz w:val="20"/>
                <w:szCs w:val="20"/>
                <w:color w:val="auto"/>
              </w:rPr>
            </w:pPr>
            <w:r>
              <w:rPr>
                <w:rFonts w:ascii="Arial" w:cs="Arial" w:eastAsia="Arial" w:hAnsi="Arial"/>
                <w:sz w:val="11"/>
                <w:szCs w:val="11"/>
                <w:b w:val="1"/>
                <w:bCs w:val="1"/>
                <w:color w:val="auto"/>
              </w:rPr>
              <w:t>Convertible</w:t>
            </w:r>
          </w:p>
        </w:tc>
        <w:tc>
          <w:tcPr>
            <w:tcW w:w="40" w:type="dxa"/>
            <w:vAlign w:val="bottom"/>
          </w:tcPr>
          <w:p>
            <w:pPr>
              <w:spacing w:after="0"/>
              <w:rPr>
                <w:sz w:val="10"/>
                <w:szCs w:val="10"/>
                <w:color w:val="auto"/>
              </w:rPr>
            </w:pPr>
          </w:p>
        </w:tc>
        <w:tc>
          <w:tcPr>
            <w:tcW w:w="980" w:type="dxa"/>
            <w:vAlign w:val="bottom"/>
            <w:gridSpan w:val="4"/>
          </w:tcPr>
          <w:p>
            <w:pPr>
              <w:ind w:left="220"/>
              <w:spacing w:after="0" w:line="122" w:lineRule="exact"/>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0"/>
                <w:szCs w:val="10"/>
                <w:color w:val="auto"/>
              </w:rPr>
            </w:pPr>
          </w:p>
        </w:tc>
        <w:tc>
          <w:tcPr>
            <w:tcW w:w="56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9"/>
              </w:rPr>
              <w:t>Preferred</w:t>
            </w:r>
          </w:p>
        </w:tc>
        <w:tc>
          <w:tcPr>
            <w:tcW w:w="40" w:type="dxa"/>
            <w:vAlign w:val="bottom"/>
          </w:tcPr>
          <w:p>
            <w:pPr>
              <w:spacing w:after="0"/>
              <w:rPr>
                <w:sz w:val="10"/>
                <w:szCs w:val="10"/>
                <w:color w:val="auto"/>
              </w:rPr>
            </w:pPr>
          </w:p>
        </w:tc>
        <w:tc>
          <w:tcPr>
            <w:tcW w:w="7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Stock</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40" w:type="dxa"/>
            <w:vAlign w:val="bottom"/>
          </w:tcPr>
          <w:p>
            <w:pPr>
              <w:spacing w:after="0"/>
              <w:rPr>
                <w:sz w:val="10"/>
                <w:szCs w:val="10"/>
                <w:color w:val="auto"/>
              </w:rPr>
            </w:pPr>
          </w:p>
        </w:tc>
        <w:tc>
          <w:tcPr>
            <w:tcW w:w="64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6"/>
              </w:rPr>
              <w:t>Receivable</w:t>
            </w:r>
          </w:p>
        </w:tc>
        <w:tc>
          <w:tcPr>
            <w:tcW w:w="560" w:type="dxa"/>
            <w:vAlign w:val="bottom"/>
            <w:gridSpan w:val="4"/>
          </w:tcPr>
          <w:p>
            <w:pPr>
              <w:jc w:val="center"/>
              <w:ind w:right="20"/>
              <w:spacing w:after="0" w:line="122" w:lineRule="exact"/>
              <w:rPr>
                <w:sz w:val="20"/>
                <w:szCs w:val="20"/>
                <w:color w:val="auto"/>
              </w:rPr>
            </w:pPr>
            <w:r>
              <w:rPr>
                <w:rFonts w:ascii="Arial" w:cs="Arial" w:eastAsia="Arial" w:hAnsi="Arial"/>
                <w:sz w:val="11"/>
                <w:szCs w:val="11"/>
                <w:b w:val="1"/>
                <w:bCs w:val="1"/>
                <w:color w:val="auto"/>
                <w:w w:val="86"/>
              </w:rPr>
              <w:t>Receivable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During the</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40" w:type="dxa"/>
            <w:vAlign w:val="bottom"/>
          </w:tcPr>
          <w:p>
            <w:pPr>
              <w:spacing w:after="0"/>
              <w:rPr>
                <w:sz w:val="11"/>
                <w:szCs w:val="11"/>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6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Stock</w:t>
            </w:r>
          </w:p>
        </w:tc>
        <w:tc>
          <w:tcPr>
            <w:tcW w:w="74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4"/>
              </w:rPr>
              <w:t>Subscriptions</w:t>
            </w:r>
          </w:p>
        </w:tc>
        <w:tc>
          <w:tcPr>
            <w:tcW w:w="9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b w:val="1"/>
                <w:bCs w:val="1"/>
                <w:color w:val="auto"/>
                <w:w w:val="96"/>
              </w:rPr>
              <w:t>Common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from</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from</w:t>
            </w:r>
          </w:p>
        </w:tc>
        <w:tc>
          <w:tcPr>
            <w:tcW w:w="40" w:type="dxa"/>
            <w:vAlign w:val="bottom"/>
          </w:tcPr>
          <w:p>
            <w:pPr>
              <w:spacing w:after="0"/>
              <w:rPr>
                <w:sz w:val="11"/>
                <w:szCs w:val="11"/>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7"/>
              </w:rPr>
              <w:t>Comprehensive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Development</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46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2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6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86"/>
              </w:rPr>
              <w:t>Issuable</w:t>
            </w:r>
          </w:p>
        </w:tc>
        <w:tc>
          <w:tcPr>
            <w:tcW w:w="40" w:type="dxa"/>
            <w:vAlign w:val="bottom"/>
          </w:tcPr>
          <w:p>
            <w:pPr>
              <w:spacing w:after="0"/>
              <w:rPr>
                <w:sz w:val="10"/>
                <w:szCs w:val="10"/>
                <w:color w:val="auto"/>
              </w:rPr>
            </w:pPr>
          </w:p>
        </w:tc>
        <w:tc>
          <w:tcPr>
            <w:tcW w:w="70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6"/>
              </w:rPr>
              <w:t>Receivable</w:t>
            </w:r>
          </w:p>
        </w:tc>
        <w:tc>
          <w:tcPr>
            <w:tcW w:w="40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0"/>
                <w:szCs w:val="10"/>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Capital</w:t>
            </w:r>
          </w:p>
        </w:tc>
        <w:tc>
          <w:tcPr>
            <w:tcW w:w="680" w:type="dxa"/>
            <w:vAlign w:val="bottom"/>
            <w:gridSpan w:val="4"/>
          </w:tcPr>
          <w:p>
            <w:pPr>
              <w:jc w:val="right"/>
              <w:ind w:right="40"/>
              <w:spacing w:after="0" w:line="115" w:lineRule="exact"/>
              <w:rPr>
                <w:sz w:val="20"/>
                <w:szCs w:val="20"/>
                <w:color w:val="auto"/>
              </w:rPr>
            </w:pPr>
            <w:r>
              <w:rPr>
                <w:rFonts w:ascii="Arial" w:cs="Arial" w:eastAsia="Arial" w:hAnsi="Arial"/>
                <w:sz w:val="11"/>
                <w:szCs w:val="11"/>
                <w:b w:val="1"/>
                <w:bCs w:val="1"/>
                <w:color w:val="auto"/>
                <w:w w:val="88"/>
              </w:rPr>
              <w:t>Stockholders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1"/>
              </w:rPr>
              <w:t>Officers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93"/>
              </w:rPr>
              <w:t>Income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79"/>
              </w:rPr>
              <w:t>Stage</w:t>
            </w:r>
          </w:p>
        </w:tc>
        <w:tc>
          <w:tcPr>
            <w:tcW w:w="20" w:type="dxa"/>
            <w:vAlign w:val="bottom"/>
          </w:tcPr>
          <w:p>
            <w:pPr>
              <w:spacing w:after="0"/>
              <w:rPr>
                <w:sz w:val="10"/>
                <w:szCs w:val="10"/>
                <w:color w:val="auto"/>
              </w:rPr>
            </w:pPr>
          </w:p>
        </w:tc>
        <w:tc>
          <w:tcPr>
            <w:tcW w:w="520" w:type="dxa"/>
            <w:vAlign w:val="bottom"/>
            <w:gridSpan w:val="2"/>
          </w:tcPr>
          <w:p>
            <w:pPr>
              <w:jc w:val="right"/>
              <w:ind w:right="16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05" w:lineRule="exact"/>
              <w:rPr>
                <w:sz w:val="20"/>
                <w:szCs w:val="20"/>
                <w:color w:val="auto"/>
              </w:rPr>
            </w:pPr>
            <w:r>
              <w:rPr>
                <w:rFonts w:ascii="Arial" w:cs="Arial" w:eastAsia="Arial" w:hAnsi="Arial"/>
                <w:sz w:val="11"/>
                <w:szCs w:val="11"/>
                <w:color w:val="auto"/>
              </w:rPr>
              <w:t>Comprehensive</w:t>
            </w: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6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0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(303,039)</w:t>
            </w:r>
          </w:p>
        </w:tc>
        <w:tc>
          <w:tcPr>
            <w:tcW w:w="5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(303,039)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Unrealized gain</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(loss) on</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available-for-</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sale securities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180"/>
              <w:spacing w:after="0"/>
              <w:rPr>
                <w:sz w:val="20"/>
                <w:szCs w:val="20"/>
                <w:color w:val="auto"/>
              </w:rPr>
            </w:pPr>
            <w:r>
              <w:rPr>
                <w:rFonts w:ascii="Arial" w:cs="Arial" w:eastAsia="Arial" w:hAnsi="Arial"/>
                <w:sz w:val="11"/>
                <w:szCs w:val="11"/>
                <w:color w:val="auto"/>
                <w:w w:val="90"/>
              </w:rPr>
              <w:t>Comprehensive loss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1"/>
                <w:szCs w:val="11"/>
                <w:color w:val="auto"/>
              </w:rPr>
              <w:t>(302,744)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2008</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102,008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1,469,497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(1,384,078)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86,734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under</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Employee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w w:val="90"/>
              </w:rPr>
              <w:t>Stock Purchase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Plan</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6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323</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1,397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1,400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 stock</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for cash</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8,360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59,640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59,724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from the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release of</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w w:val="94"/>
              </w:rPr>
              <w:t>restricted stock</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units</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6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2,240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(7,023)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1"/>
                <w:szCs w:val="11"/>
                <w:color w:val="auto"/>
              </w:rPr>
              <w:t>(7,001)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options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Stock-based</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compensation</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6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20,219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20,219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Comprehensive</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6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0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(220,104)</w:t>
            </w:r>
          </w:p>
        </w:tc>
        <w:tc>
          <w:tcPr>
            <w:tcW w:w="5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(220,104)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Unrealized gain</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(loss) on</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available-for-</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sale securities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Unrealized gain</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(loss) on</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foreign</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currency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translation</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6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0"/>
              </w:rPr>
              <w:t>Comprehensive loss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(220,680)</w:t>
            </w:r>
          </w:p>
        </w:tc>
        <w:tc>
          <w:tcPr>
            <w:tcW w:w="0" w:type="dxa"/>
            <w:vAlign w:val="bottom"/>
          </w:tcPr>
          <w:p>
            <w:pPr>
              <w:spacing w:after="0"/>
              <w:rPr>
                <w:sz w:val="1"/>
                <w:szCs w:val="1"/>
                <w:color w:val="auto"/>
              </w:rPr>
            </w:pPr>
          </w:p>
        </w:tc>
      </w:tr>
      <w:tr>
        <w:trPr>
          <w:trHeight w:val="119"/>
        </w:trPr>
        <w:tc>
          <w:tcPr>
            <w:tcW w:w="1120" w:type="dxa"/>
            <w:vAlign w:val="bottom"/>
            <w:gridSpan w:val="2"/>
          </w:tcPr>
          <w:p>
            <w:pPr>
              <w:spacing w:after="0" w:line="119" w:lineRule="exact"/>
              <w:rPr>
                <w:sz w:val="20"/>
                <w:szCs w:val="20"/>
                <w:color w:val="auto"/>
              </w:rPr>
            </w:pPr>
            <w:r>
              <w:rPr>
                <w:rFonts w:ascii="Arial" w:cs="Arial" w:eastAsia="Arial" w:hAnsi="Arial"/>
                <w:sz w:val="11"/>
                <w:szCs w:val="11"/>
                <w:color w:val="auto"/>
              </w:rPr>
              <w:t>BALANCE,</w:t>
            </w:r>
          </w:p>
        </w:tc>
        <w:tc>
          <w:tcPr>
            <w:tcW w:w="3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DECEMBER 31,</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20" w:type="dxa"/>
            <w:vAlign w:val="bottom"/>
            <w:gridSpan w:val="2"/>
          </w:tcPr>
          <w:p>
            <w:pPr>
              <w:ind w:left="200"/>
              <w:spacing w:after="0"/>
              <w:rPr>
                <w:sz w:val="20"/>
                <w:szCs w:val="20"/>
                <w:color w:val="auto"/>
              </w:rPr>
            </w:pPr>
            <w:r>
              <w:rPr>
                <w:rFonts w:ascii="Arial" w:cs="Arial" w:eastAsia="Arial" w:hAnsi="Arial"/>
                <w:sz w:val="11"/>
                <w:szCs w:val="11"/>
                <w:color w:val="auto"/>
              </w:rPr>
              <w:t>2009</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1"/>
                <w:szCs w:val="11"/>
                <w:color w:val="auto"/>
              </w:rPr>
            </w:pPr>
          </w:p>
        </w:tc>
        <w:tc>
          <w:tcPr>
            <w:tcW w:w="46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113,025</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   1,130</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1,544,112</w:t>
            </w:r>
          </w:p>
        </w:tc>
        <w:tc>
          <w:tcPr>
            <w:tcW w:w="60" w:type="dxa"/>
            <w:vAlign w:val="bottom"/>
          </w:tcPr>
          <w:p>
            <w:pPr>
              <w:spacing w:after="0"/>
              <w:rPr>
                <w:sz w:val="11"/>
                <w:szCs w:val="11"/>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(281)</w:t>
            </w:r>
          </w:p>
        </w:tc>
        <w:tc>
          <w:tcPr>
            <w:tcW w:w="12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(1,604,182)</w:t>
            </w:r>
          </w:p>
        </w:tc>
        <w:tc>
          <w:tcPr>
            <w:tcW w:w="540" w:type="dxa"/>
            <w:vAlign w:val="bottom"/>
            <w:gridSpan w:val="3"/>
          </w:tcPr>
          <w:p>
            <w:pPr>
              <w:jc w:val="right"/>
              <w:ind w:right="20"/>
              <w:spacing w:after="0"/>
              <w:rPr>
                <w:sz w:val="20"/>
                <w:szCs w:val="20"/>
                <w:color w:val="auto"/>
              </w:rPr>
            </w:pPr>
            <w:r>
              <w:rPr>
                <w:rFonts w:ascii="Arial" w:cs="Arial" w:eastAsia="Arial" w:hAnsi="Arial"/>
                <w:sz w:val="11"/>
                <w:szCs w:val="11"/>
                <w:color w:val="auto"/>
                <w:w w:val="93"/>
              </w:rPr>
              <w:t>$  (59,221)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Inception) to</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00" w:type="dxa"/>
            <w:vAlign w:val="bottom"/>
            <w:gridSpan w:val="5"/>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$(293,190)</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$(303,039)</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$(220,104)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$(1,604,182)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reconcile net loss to net cash used in operating</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8,973</w:t>
            </w:r>
          </w:p>
        </w:tc>
        <w:tc>
          <w:tcPr>
            <w:tcW w:w="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12,287</w:t>
            </w:r>
          </w:p>
        </w:tc>
        <w:tc>
          <w:tcPr>
            <w:tcW w:w="4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18,725</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79,139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17,645</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99,842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780" w:type="dxa"/>
            <w:vAlign w:val="bottom"/>
          </w:tcPr>
          <w:p>
            <w:pPr>
              <w:ind w:left="200"/>
              <w:spacing w:after="0" w:line="201" w:lineRule="exact"/>
              <w:rPr>
                <w:sz w:val="20"/>
                <w:szCs w:val="20"/>
                <w:color w:val="auto"/>
              </w:rPr>
            </w:pPr>
            <w:r>
              <w:rPr>
                <w:rFonts w:ascii="Arial" w:cs="Arial" w:eastAsia="Arial" w:hAnsi="Arial"/>
                <w:sz w:val="18"/>
                <w:szCs w:val="18"/>
                <w:color w:val="auto"/>
              </w:rPr>
              <w:t>Stock expense for shares issued pursuant to research</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Loss on sale, abandonment/disposal or impairment of property</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equipment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23,575</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780" w:type="dxa"/>
            <w:vAlign w:val="bottom"/>
          </w:tcPr>
          <w:p>
            <w:pPr>
              <w:ind w:left="200"/>
              <w:spacing w:after="0" w:line="201" w:lineRule="exact"/>
              <w:rPr>
                <w:sz w:val="20"/>
                <w:szCs w:val="20"/>
                <w:color w:val="auto"/>
              </w:rPr>
            </w:pPr>
            <w:r>
              <w:rPr>
                <w:rFonts w:ascii="Arial" w:cs="Arial" w:eastAsia="Arial" w:hAnsi="Arial"/>
                <w:sz w:val="18"/>
                <w:szCs w:val="18"/>
                <w:color w:val="auto"/>
              </w:rPr>
              <w:t>Accrued interest on investments, net of amortization of</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premiums (discounts)</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(237)</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available-for-sale securities</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w w:val="90"/>
              </w:rPr>
              <w:t>State research and development credit exchange receivable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60" w:type="dxa"/>
            <w:vAlign w:val="bottom"/>
          </w:tcPr>
          <w:p>
            <w:pPr>
              <w:spacing w:after="0"/>
              <w:rPr>
                <w:sz w:val="18"/>
                <w:szCs w:val="18"/>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(669)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3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(2,418)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(584)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(14,620)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(6,885)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6,395</w:t>
            </w:r>
          </w:p>
        </w:tc>
        <w:tc>
          <w:tcPr>
            <w:tcW w:w="4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(12,271)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21,483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80" w:type="dxa"/>
            <w:vAlign w:val="bottom"/>
          </w:tcPr>
          <w:p>
            <w:pPr>
              <w:ind w:left="6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(245,146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(271,288</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(184,083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(1,203,910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(169,801)</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(63,651)</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(2,000)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(792,601)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286,725</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790,565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(78,262)</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(82,453)</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(18,852)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(310,709)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80" w:type="dxa"/>
            <w:vAlign w:val="bottom"/>
          </w:tcPr>
          <w:p>
            <w:pPr>
              <w:ind w:left="60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38,662</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(99,934)</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(312,461)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255,738</w:t>
            </w:r>
          </w:p>
        </w:tc>
        <w:tc>
          <w:tcPr>
            <w:tcW w:w="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4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61,507</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1,202,055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Collection of Series C convertible preferred stock subscriptions</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6"/>
          </w:tcPr>
          <w:p>
            <w:pPr>
              <w:jc w:val="right"/>
              <w:ind w:right="740"/>
              <w:spacing w:after="0" w:line="128"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Payable to stockholder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00"/>
              <w:spacing w:after="0" w:line="201" w:lineRule="exact"/>
              <w:rPr>
                <w:sz w:val="20"/>
                <w:szCs w:val="20"/>
                <w:color w:val="auto"/>
              </w:rPr>
            </w:pPr>
            <w:r>
              <w:rPr>
                <w:rFonts w:ascii="Arial" w:cs="Arial" w:eastAsia="Arial" w:hAnsi="Arial"/>
                <w:sz w:val="18"/>
                <w:szCs w:val="18"/>
                <w:color w:val="auto"/>
                <w:w w:val="94"/>
              </w:rPr>
              <w:t>Payment of employment taxes related to vested restricted stock</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400"/>
              <w:spacing w:after="0"/>
              <w:rPr>
                <w:sz w:val="20"/>
                <w:szCs w:val="20"/>
                <w:color w:val="auto"/>
              </w:rPr>
            </w:pPr>
            <w:r>
              <w:rPr>
                <w:rFonts w:ascii="Arial" w:cs="Arial" w:eastAsia="Arial" w:hAnsi="Arial"/>
                <w:sz w:val="18"/>
                <w:szCs w:val="18"/>
                <w:color w:val="auto"/>
              </w:rPr>
              <w:t>units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(7,001)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255,214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189,506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400"/>
              <w:spacing w:after="0"/>
              <w:rPr>
                <w:sz w:val="20"/>
                <w:szCs w:val="20"/>
                <w:color w:val="auto"/>
              </w:rPr>
            </w:pPr>
            <w:r>
              <w:rPr>
                <w:rFonts w:ascii="Arial" w:cs="Arial" w:eastAsia="Arial" w:hAnsi="Arial"/>
                <w:sz w:val="18"/>
                <w:szCs w:val="18"/>
                <w:color w:val="auto"/>
              </w:rPr>
              <w:t>NET (DECREASE) INCREASE IN CASH AND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0"/>
              <w:spacing w:after="0"/>
              <w:rPr>
                <w:sz w:val="20"/>
                <w:szCs w:val="20"/>
                <w:color w:val="auto"/>
              </w:rPr>
            </w:pPr>
            <w:r>
              <w:rPr>
                <w:rFonts w:ascii="Arial" w:cs="Arial" w:eastAsia="Arial" w:hAnsi="Arial"/>
                <w:sz w:val="18"/>
                <w:szCs w:val="18"/>
                <w:color w:val="auto"/>
              </w:rPr>
              <w:t>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48,730</w:t>
            </w:r>
          </w:p>
        </w:tc>
        <w:tc>
          <w:tcPr>
            <w:tcW w:w="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(340,637)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2,371</w:t>
            </w:r>
          </w:p>
        </w:tc>
        <w:tc>
          <w:tcPr>
            <w:tcW w:w="3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319,555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368,285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368,285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paid in cash</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0"/>
              <w:spacing w:after="0"/>
              <w:rPr>
                <w:sz w:val="20"/>
                <w:szCs w:val="20"/>
                <w:color w:val="auto"/>
              </w:rPr>
            </w:pPr>
            <w:r>
              <w:rPr>
                <w:rFonts w:ascii="Arial" w:cs="Arial" w:eastAsia="Arial" w:hAnsi="Arial"/>
                <w:sz w:val="18"/>
                <w:szCs w:val="18"/>
                <w:color w:val="auto"/>
              </w:rPr>
              <w:t>Accretion on redeemable convertible preferred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Issuance of common stock upon conversion of notes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0"/>
              <w:spacing w:after="0"/>
              <w:rPr>
                <w:sz w:val="20"/>
                <w:szCs w:val="20"/>
                <w:color w:val="auto"/>
              </w:rPr>
            </w:pPr>
            <w:r>
              <w:rPr>
                <w:rFonts w:ascii="Arial" w:cs="Arial" w:eastAsia="Arial" w:hAnsi="Arial"/>
                <w:sz w:val="18"/>
                <w:szCs w:val="18"/>
                <w:color w:val="auto"/>
                <w:w w:val="99"/>
              </w:rPr>
              <w:t>Increase in additional paid-in capital resulting from merger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common stock for notes receivable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0"/>
              <w:spacing w:after="0"/>
              <w:rPr>
                <w:sz w:val="20"/>
                <w:szCs w:val="20"/>
                <w:color w:val="auto"/>
              </w:rPr>
            </w:pPr>
            <w:r>
              <w:rPr>
                <w:rFonts w:ascii="Arial" w:cs="Arial" w:eastAsia="Arial" w:hAnsi="Arial"/>
                <w:sz w:val="18"/>
                <w:szCs w:val="18"/>
                <w:color w:val="auto"/>
              </w:rPr>
              <w:t>Issuance of put option by stockholder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Put option redemption by stockholder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400"/>
              <w:spacing w:after="0" w:line="201" w:lineRule="exact"/>
              <w:rPr>
                <w:sz w:val="20"/>
                <w:szCs w:val="20"/>
                <w:color w:val="auto"/>
              </w:rPr>
            </w:pPr>
            <w:r>
              <w:rPr>
                <w:rFonts w:ascii="Arial" w:cs="Arial" w:eastAsia="Arial" w:hAnsi="Arial"/>
                <w:sz w:val="18"/>
                <w:szCs w:val="18"/>
                <w:color w:val="auto"/>
              </w:rPr>
              <w:t>Issuance of Series C convertible preferred stock</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0"/>
              <w:spacing w:after="0"/>
              <w:rPr>
                <w:sz w:val="20"/>
                <w:szCs w:val="20"/>
                <w:color w:val="auto"/>
              </w:rPr>
            </w:pPr>
            <w:r>
              <w:rPr>
                <w:rFonts w:ascii="Arial" w:cs="Arial" w:eastAsia="Arial" w:hAnsi="Arial"/>
                <w:sz w:val="18"/>
                <w:szCs w:val="18"/>
                <w:color w:val="auto"/>
              </w:rPr>
              <w:t>subscriptions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Issuance of Series A redeemable convertible preferred stock</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400"/>
              <w:spacing w:after="0" w:line="201" w:lineRule="exact"/>
              <w:rPr>
                <w:sz w:val="20"/>
                <w:szCs w:val="20"/>
                <w:color w:val="auto"/>
              </w:rPr>
            </w:pPr>
            <w:r>
              <w:rPr>
                <w:rFonts w:ascii="Arial" w:cs="Arial" w:eastAsia="Arial" w:hAnsi="Arial"/>
                <w:sz w:val="18"/>
                <w:szCs w:val="18"/>
                <w:color w:val="auto"/>
              </w:rPr>
              <w:t>Conversion of Series A redeemable convertible preferred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Non-cash construction in progress and property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400"/>
              <w:spacing w:after="0" w:line="201" w:lineRule="exact"/>
              <w:rPr>
                <w:sz w:val="20"/>
                <w:szCs w:val="20"/>
                <w:color w:val="auto"/>
              </w:rPr>
            </w:pPr>
            <w:r>
              <w:rPr>
                <w:rFonts w:ascii="Arial" w:cs="Arial" w:eastAsia="Arial" w:hAnsi="Arial"/>
                <w:sz w:val="18"/>
                <w:szCs w:val="18"/>
                <w:color w:val="auto"/>
              </w:rPr>
              <w:t>Non-cash transfer from property and equipment to other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700" w:right="20" w:firstLine="225"/>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70"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left="700" w:right="100" w:firstLine="225"/>
        <w:spacing w:after="0" w:line="254"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 MannKind Corporation (the “Company”) is a biopharmaceutical company focused on the discovery,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therapeutic products for diseases such as diabetes and cancer. The Company’s lead product candidate, AFREZZA, is an ultra rapid-acting insulin. In March 2009, the Company submitted a new drug application (“NDA”) to the U.S. Food and Drug Administration (“FDA”) requesting approval of AFREZZA for the treatment of adults with type 1 or type 2 diabetes for the control of hyperglycemia. In March 2010, the FDA provided a complete response letter regarding this NDA, requesting additional information. Currently, AFREZZA remains under regulatory review. AFREZZA consists of the Company’s proprietary Technosphere particles onto which insulin molecules are loaded. These loaded particles are then aerosolized and inhaled deep into the lung using the Company’s AFREZZA inhaler.</w:t>
      </w:r>
    </w:p>
    <w:p>
      <w:pPr>
        <w:spacing w:after="0" w:line="84"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establishing its facilities, recruiting personnel, conducting research and development, business development, business and financial planning, and raising capital. Since its inception through December 31, 2009 the Company has reported accumulated net losses of $1.6 billion, which include a goodwill impairment charge of $151.4 million (see Note 2), and cumulative negative cash flow from operations of $1.2 billion. It is costly to develop therapeutic products and conduct clinical trials for these products. At December 31, 2009 the Company’s capital resources consisted of cash, cash equivalents, and marketable securities of $32.5 million (including a $2.0 million certificate of deposit held as collateral for foreign exchange hedging instruments) and $185.0 million of available borrowings under the loan agreement with an entity controlled by the Company’s principal stockholder (see Note 7). Based upon the Company’s current expectations, management believes the Company’s existing capital resources will enable it to continue planned operations into the first quarter of 2011.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AFREZZA and other product candidates and to support its other ongoing activities.</w:t>
      </w:r>
    </w:p>
    <w:p>
      <w:pPr>
        <w:spacing w:after="0" w:line="64" w:lineRule="exact"/>
        <w:rPr>
          <w:sz w:val="20"/>
          <w:szCs w:val="20"/>
          <w:color w:val="auto"/>
        </w:rPr>
      </w:pPr>
    </w:p>
    <w:p>
      <w:pPr>
        <w:ind w:left="700" w:firstLine="225"/>
        <w:spacing w:after="0" w:line="269" w:lineRule="auto"/>
        <w:rPr>
          <w:sz w:val="20"/>
          <w:szCs w:val="20"/>
          <w:color w:val="auto"/>
        </w:rPr>
      </w:pPr>
      <w:r>
        <w:rPr>
          <w:rFonts w:ascii="Arial" w:cs="Arial" w:eastAsia="Arial" w:hAnsi="Arial"/>
          <w:sz w:val="17"/>
          <w:szCs w:val="17"/>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 $19.7 million and goodwill of $151.4 million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75" w:lineRule="exact"/>
        <w:rPr>
          <w:sz w:val="20"/>
          <w:szCs w:val="20"/>
          <w:color w:val="auto"/>
        </w:rPr>
      </w:pPr>
    </w:p>
    <w:p>
      <w:pPr>
        <w:ind w:left="700" w:right="280" w:firstLine="225"/>
        <w:spacing w:after="0" w:line="264" w:lineRule="auto"/>
        <w:rPr>
          <w:sz w:val="20"/>
          <w:szCs w:val="20"/>
          <w:color w:val="auto"/>
        </w:rPr>
      </w:pPr>
      <w:r>
        <w:rPr>
          <w:rFonts w:ascii="Arial" w:cs="Arial" w:eastAsia="Arial" w:hAnsi="Arial"/>
          <w:sz w:val="18"/>
          <w:szCs w:val="18"/>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spacing w:after="0" w:line="73" w:lineRule="exact"/>
        <w:rPr>
          <w:sz w:val="20"/>
          <w:szCs w:val="20"/>
          <w:color w:val="auto"/>
        </w:rPr>
      </w:pPr>
    </w:p>
    <w:p>
      <w:pPr>
        <w:ind w:left="700" w:right="80" w:firstLine="225"/>
        <w:spacing w:after="0" w:line="255" w:lineRule="auto"/>
        <w:rPr>
          <w:sz w:val="20"/>
          <w:szCs w:val="20"/>
          <w:color w:val="auto"/>
        </w:rPr>
      </w:pP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 In accordance with Accounting Standards Codification (“ASC”) 280-10-50</w:t>
      </w:r>
      <w:r>
        <w:rPr>
          <w:rFonts w:ascii="Arial" w:cs="Arial" w:eastAsia="Arial" w:hAnsi="Arial"/>
          <w:sz w:val="18"/>
          <w:szCs w:val="18"/>
          <w:i w:val="1"/>
          <w:iCs w:val="1"/>
          <w:color w:val="auto"/>
        </w:rPr>
        <w:t xml:space="preserve"> Segment Reporting, Overall, Disclosure</w:t>
      </w:r>
      <w:r>
        <w:rPr>
          <w:rFonts w:ascii="Arial" w:cs="Arial" w:eastAsia="Arial" w:hAnsi="Arial"/>
          <w:sz w:val="18"/>
          <w:szCs w:val="18"/>
          <w:color w:val="auto"/>
        </w:rPr>
        <w:t>, previously Financial Accounting Standards Board (“FASB”) Statement No. 131,</w:t>
      </w:r>
      <w:r>
        <w:rPr>
          <w:rFonts w:ascii="Arial" w:cs="Arial" w:eastAsia="Arial" w:hAnsi="Arial"/>
          <w:sz w:val="18"/>
          <w:szCs w:val="18"/>
          <w:i w:val="1"/>
          <w:iCs w:val="1"/>
          <w:color w:val="auto"/>
        </w:rPr>
        <w:t xml:space="preserve"> Disclosures about Segments of an Enterprise and Related Information</w:t>
      </w:r>
      <w:r>
        <w:rPr>
          <w:rFonts w:ascii="Arial" w:cs="Arial" w:eastAsia="Arial" w:hAnsi="Arial"/>
          <w:sz w:val="18"/>
          <w:szCs w:val="18"/>
          <w:color w:val="auto"/>
        </w:rPr>
        <w:t>, operating segments are identified as components of an enterprise about which separate discrete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information is available for 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left="700" w:firstLine="225"/>
        <w:spacing w:after="0" w:line="264" w:lineRule="auto"/>
        <w:rPr>
          <w:sz w:val="20"/>
          <w:szCs w:val="20"/>
          <w:color w:val="auto"/>
        </w:rPr>
      </w:pPr>
      <w:r>
        <w:rPr>
          <w:rFonts w:ascii="Arial" w:cs="Arial" w:eastAsia="Arial" w:hAnsi="Arial"/>
          <w:sz w:val="18"/>
          <w:szCs w:val="18"/>
          <w:i w:val="1"/>
          <w:iCs w:val="1"/>
          <w:color w:val="auto"/>
        </w:rPr>
        <w:t xml:space="preserve">Financial Statement Estimates </w:t>
      </w:r>
      <w:r>
        <w:rPr>
          <w:rFonts w:ascii="Arial" w:cs="Arial" w:eastAsia="Arial" w:hAnsi="Arial"/>
          <w:sz w:val="18"/>
          <w:szCs w:val="18"/>
          <w:color w:val="auto"/>
        </w:rPr>
        <w:t>— The preparation of financial statements in conformity with accounting principles generally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of America requires management to make estimates and assumptions that affect the amounts reported in the financial statements and accompanying notes. Actual results could differ from those estimates.</w:t>
      </w:r>
    </w:p>
    <w:p>
      <w:pPr>
        <w:spacing w:after="0" w:line="73" w:lineRule="exact"/>
        <w:rPr>
          <w:sz w:val="20"/>
          <w:szCs w:val="20"/>
          <w:color w:val="auto"/>
        </w:rPr>
      </w:pPr>
    </w:p>
    <w:p>
      <w:pPr>
        <w:ind w:left="700" w:right="100" w:firstLine="225"/>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 purchased maturity date of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to be cash equivalents.</w:t>
      </w:r>
    </w:p>
    <w:p>
      <w:pPr>
        <w:spacing w:after="0" w:line="62" w:lineRule="exact"/>
        <w:rPr>
          <w:sz w:val="20"/>
          <w:szCs w:val="20"/>
          <w:color w:val="auto"/>
        </w:rPr>
      </w:pPr>
    </w:p>
    <w:p>
      <w:pPr>
        <w:ind w:left="700" w:right="20" w:firstLine="225"/>
        <w:spacing w:after="0" w:line="279"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concentration of credit risk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cash equivalents and marketable securities. Cash and cash equivalents consist primarily of interest-bearing accounts and are regularly monitored by management and held in high credit quality institutions. Marketable securities consist of a $2.0 million certificate of deposit held as collateral for foreign exchange hedging instruments, and a common stock investment.</w:t>
      </w:r>
    </w:p>
    <w:p>
      <w:pPr>
        <w:spacing w:after="0" w:line="63" w:lineRule="exact"/>
        <w:rPr>
          <w:sz w:val="20"/>
          <w:szCs w:val="20"/>
          <w:color w:val="auto"/>
        </w:rPr>
      </w:pPr>
    </w:p>
    <w:p>
      <w:pPr>
        <w:ind w:left="700" w:right="300" w:firstLine="225"/>
        <w:spacing w:after="0" w:line="291"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 The Company accounts for marketable securities as available for sale, in accordance with ASC 320-10</w:t>
      </w:r>
      <w:r>
        <w:rPr>
          <w:rFonts w:ascii="Arial" w:cs="Arial" w:eastAsia="Arial" w:hAnsi="Arial"/>
          <w:sz w:val="16"/>
          <w:szCs w:val="16"/>
          <w:i w:val="1"/>
          <w:iCs w:val="1"/>
          <w:color w:val="auto"/>
        </w:rPr>
        <w:t xml:space="preserve"> Investments- Debt and Equity Securities, Overall</w:t>
      </w:r>
      <w:r>
        <w:rPr>
          <w:rFonts w:ascii="Arial" w:cs="Arial" w:eastAsia="Arial" w:hAnsi="Arial"/>
          <w:sz w:val="16"/>
          <w:szCs w:val="16"/>
          <w:color w:val="auto"/>
        </w:rPr>
        <w:t>, previously FASB Statement No. 115,</w:t>
      </w:r>
      <w:r>
        <w:rPr>
          <w:rFonts w:ascii="Arial" w:cs="Arial" w:eastAsia="Arial" w:hAnsi="Arial"/>
          <w:sz w:val="16"/>
          <w:szCs w:val="16"/>
          <w:i w:val="1"/>
          <w:iCs w:val="1"/>
          <w:color w:val="auto"/>
        </w:rPr>
        <w:t xml:space="preserve"> Accounting for Certain Debt and Equity Securities. </w:t>
      </w:r>
      <w:r>
        <w:rPr>
          <w:rFonts w:ascii="Arial" w:cs="Arial" w:eastAsia="Arial" w:hAnsi="Arial"/>
          <w:sz w:val="16"/>
          <w:szCs w:val="16"/>
          <w:color w:val="auto"/>
        </w:rPr>
        <w:t>Unrealized holding gains and losses for available-for-sale securities are reported as a separate component of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equity until realized. The Company reviews the portfolio for other than temporary impairment in accordance with ASC 320-10-35 </w:t>
      </w:r>
      <w:r>
        <w:rPr>
          <w:rFonts w:ascii="Arial" w:cs="Arial" w:eastAsia="Arial" w:hAnsi="Arial"/>
          <w:sz w:val="16"/>
          <w:szCs w:val="16"/>
          <w:i w:val="1"/>
          <w:iCs w:val="1"/>
          <w:color w:val="auto"/>
        </w:rPr>
        <w:t>Investment- Debt and Equity Securities Overall Subsequent Measurement</w:t>
      </w:r>
      <w:r>
        <w:rPr>
          <w:rFonts w:ascii="Arial" w:cs="Arial" w:eastAsia="Arial" w:hAnsi="Arial"/>
          <w:sz w:val="16"/>
          <w:szCs w:val="16"/>
          <w:color w:val="auto"/>
        </w:rPr>
        <w:t>, previously Emerging Issues Task Force (“EITF”) Issue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03-01, </w:t>
      </w:r>
      <w:r>
        <w:rPr>
          <w:rFonts w:ascii="Arial" w:cs="Arial" w:eastAsia="Arial" w:hAnsi="Arial"/>
          <w:sz w:val="16"/>
          <w:szCs w:val="16"/>
          <w:i w:val="1"/>
          <w:iCs w:val="1"/>
          <w:color w:val="auto"/>
        </w:rPr>
        <w:t>The Meaning of Other-Than-Temporary Impairment and Its Application to Certain Investments</w:t>
      </w:r>
      <w:r>
        <w:rPr>
          <w:rFonts w:ascii="Arial" w:cs="Arial" w:eastAsia="Arial" w:hAnsi="Arial"/>
          <w:sz w:val="16"/>
          <w:szCs w:val="16"/>
          <w:color w:val="auto"/>
        </w:rPr>
        <w:t xml:space="preserve"> and FASB Staff Position No. 115-1, </w:t>
      </w:r>
      <w:r>
        <w:rPr>
          <w:rFonts w:ascii="Arial" w:cs="Arial" w:eastAsia="Arial" w:hAnsi="Arial"/>
          <w:sz w:val="16"/>
          <w:szCs w:val="16"/>
          <w:i w:val="1"/>
          <w:iCs w:val="1"/>
          <w:color w:val="auto"/>
        </w:rPr>
        <w:t>The Meaning of Other-Than-Temporary Impairment and Its Application to Certain Investments.</w:t>
      </w:r>
    </w:p>
    <w:p>
      <w:pPr>
        <w:spacing w:after="0" w:line="59" w:lineRule="exact"/>
        <w:rPr>
          <w:sz w:val="20"/>
          <w:szCs w:val="20"/>
          <w:color w:val="auto"/>
        </w:rPr>
      </w:pPr>
    </w:p>
    <w:p>
      <w:pPr>
        <w:ind w:left="700" w:right="200" w:firstLine="225"/>
        <w:spacing w:after="0" w:line="276" w:lineRule="auto"/>
        <w:rPr>
          <w:sz w:val="20"/>
          <w:szCs w:val="20"/>
          <w:color w:val="auto"/>
        </w:rPr>
      </w:pPr>
      <w:r>
        <w:rPr>
          <w:rFonts w:ascii="Arial" w:cs="Arial" w:eastAsia="Arial" w:hAnsi="Arial"/>
          <w:sz w:val="17"/>
          <w:szCs w:val="17"/>
          <w:i w:val="1"/>
          <w:iCs w:val="1"/>
          <w:color w:val="auto"/>
        </w:rPr>
        <w:t xml:space="preserve">State Research and Development Credit Exchange Receivable </w:t>
      </w:r>
      <w:r>
        <w:rPr>
          <w:rFonts w:ascii="Arial" w:cs="Arial" w:eastAsia="Arial" w:hAnsi="Arial"/>
          <w:sz w:val="17"/>
          <w:szCs w:val="17"/>
          <w:color w:val="auto"/>
        </w:rPr>
        <w:t>— The State of Connecticut provides certain companies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exchange certain research and 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carrying amounts of financial instruments, which include cash equivalents, marketable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securities and accounts payable, approximate their fair values due to their relatively short maturities. The fair value of the note payable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related party cannot be reasonably estimated as the Company would not be able to obtain a similar credit arrangement in the current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economic environment. The senior convertible notes had a carrying value of $112.3 and $112.8 million and an estimated fair value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$53.9 and $80.3 million as of December 31, 2008 and 2009, respectively, which is calculated based on quoted prices in an active market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in the fair value hierarchy).</w:t>
      </w:r>
    </w:p>
    <w:p>
      <w:pPr>
        <w:spacing w:after="0" w:line="103" w:lineRule="exact"/>
        <w:rPr>
          <w:sz w:val="20"/>
          <w:szCs w:val="20"/>
          <w:color w:val="auto"/>
        </w:rPr>
      </w:pPr>
    </w:p>
    <w:p>
      <w:pPr>
        <w:ind w:left="700" w:firstLine="225"/>
        <w:spacing w:after="0" w:line="287" w:lineRule="auto"/>
        <w:rPr>
          <w:sz w:val="20"/>
          <w:szCs w:val="20"/>
          <w:color w:val="auto"/>
        </w:rPr>
      </w:pPr>
      <w:r>
        <w:rPr>
          <w:rFonts w:ascii="Arial" w:cs="Arial" w:eastAsia="Arial" w:hAnsi="Arial"/>
          <w:sz w:val="16"/>
          <w:szCs w:val="16"/>
          <w:i w:val="1"/>
          <w:iCs w:val="1"/>
          <w:color w:val="auto"/>
        </w:rPr>
        <w:t xml:space="preserve">Goodwill and Identifiable Intangibles </w:t>
      </w:r>
      <w:r>
        <w:rPr>
          <w:rFonts w:ascii="Arial" w:cs="Arial" w:eastAsia="Arial" w:hAnsi="Arial"/>
          <w:sz w:val="16"/>
          <w:szCs w:val="16"/>
          <w:color w:val="auto"/>
        </w:rPr>
        <w:t>— As a result of the merger with AlleCure and CTL on December 12, 2001, as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1, goodwill of $151.4 million was recorded at the entity level in 2001. Upon adoption of FASB Statement No.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Intangible Assets</w:t>
      </w:r>
      <w:r>
        <w:rPr>
          <w:rFonts w:ascii="Arial" w:cs="Arial" w:eastAsia="Arial" w:hAnsi="Arial"/>
          <w:sz w:val="16"/>
          <w:szCs w:val="16"/>
          <w:color w:val="auto"/>
        </w:rPr>
        <w:t>, or ASC 350-10</w:t>
      </w:r>
      <w:r>
        <w:rPr>
          <w:rFonts w:ascii="Arial" w:cs="Arial" w:eastAsia="Arial" w:hAnsi="Arial"/>
          <w:sz w:val="16"/>
          <w:szCs w:val="16"/>
          <w:i w:val="1"/>
          <w:iCs w:val="1"/>
          <w:color w:val="auto"/>
        </w:rPr>
        <w:t xml:space="preserve"> Intangibles- Goodwill and Other Overall, </w:t>
      </w:r>
      <w:r>
        <w:rPr>
          <w:rFonts w:ascii="Arial" w:cs="Arial" w:eastAsia="Arial" w:hAnsi="Arial"/>
          <w:sz w:val="16"/>
          <w:szCs w:val="16"/>
          <w:color w:val="auto"/>
        </w:rPr>
        <w:t>the Company adopted a policy of testing goodwill and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with indefinite lives for impairment at least annually, as of 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 estimated the fair value of the AlleCure and CTL programs using the expected present value of future cash flows which were expected to be negligible. Accordingly, the goodwill balance of $151.4 million was determined to be fully impaired and an impairment loss</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was recorded in 2002. Subsequent to December 31, 2002, the Company had no goodwill or intangibles with indefinite lives included on its balance sheet.</w:t>
      </w:r>
    </w:p>
    <w:p>
      <w:pPr>
        <w:spacing w:after="0" w:line="62" w:lineRule="exact"/>
        <w:rPr>
          <w:sz w:val="20"/>
          <w:szCs w:val="20"/>
          <w:color w:val="auto"/>
        </w:rPr>
      </w:pPr>
    </w:p>
    <w:p>
      <w:pPr>
        <w:ind w:left="700" w:right="240" w:firstLine="225"/>
        <w:spacing w:after="0" w:line="286"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 Property and equipment are recorded at cost and depreciated using the straight-line method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useful lives of the related assets. Leasehold improvements are amortized over the term of the lease or the service lives of the improvements, whichever is shorter. Assets under construction are not depreciated until placed into service.</w:t>
      </w:r>
    </w:p>
    <w:p>
      <w:pPr>
        <w:spacing w:after="0" w:line="57" w:lineRule="exact"/>
        <w:rPr>
          <w:sz w:val="20"/>
          <w:szCs w:val="20"/>
          <w:color w:val="auto"/>
        </w:rPr>
      </w:pPr>
    </w:p>
    <w:p>
      <w:pPr>
        <w:ind w:left="700" w:right="80" w:firstLine="225"/>
        <w:spacing w:after="0" w:line="25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The Company evaluates long-lived assets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circumstances indicate that the carrying value of an asset may not be recoverable in accordance with ASC 360-10-35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 Overall Subsequent Measurement</w:t>
      </w:r>
      <w:r>
        <w:rPr>
          <w:rFonts w:ascii="Arial" w:cs="Arial" w:eastAsia="Arial" w:hAnsi="Arial"/>
          <w:sz w:val="18"/>
          <w:szCs w:val="18"/>
          <w:color w:val="auto"/>
        </w:rPr>
        <w:t>, previously FASB Statement No. 144,</w:t>
      </w:r>
      <w:r>
        <w:rPr>
          <w:rFonts w:ascii="Arial" w:cs="Arial" w:eastAsia="Arial" w:hAnsi="Arial"/>
          <w:sz w:val="18"/>
          <w:szCs w:val="18"/>
          <w:i w:val="1"/>
          <w:iCs w:val="1"/>
          <w:color w:val="auto"/>
        </w:rPr>
        <w:t xml:space="preserve"> Accounting for the Impairment or Disposal of Long Lived-Assets. </w:t>
      </w:r>
      <w:r>
        <w:rPr>
          <w:rFonts w:ascii="Arial" w:cs="Arial" w:eastAsia="Arial" w:hAnsi="Arial"/>
          <w:sz w:val="18"/>
          <w:szCs w:val="18"/>
          <w:color w:val="auto"/>
        </w:rPr>
        <w:t>Assets are considered to be impaired if the carrying value may not be recoverable based upon management’s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events or changes in circumstances:</w:t>
      </w:r>
    </w:p>
    <w:p>
      <w:pPr>
        <w:spacing w:after="0" w:line="80" w:lineRule="exact"/>
        <w:rPr>
          <w:sz w:val="20"/>
          <w:szCs w:val="20"/>
          <w:color w:val="auto"/>
        </w:rPr>
      </w:pPr>
    </w:p>
    <w:p>
      <w:pPr>
        <w:ind w:left="1080" w:hanging="198"/>
        <w:spacing w:after="0"/>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significant changes in the Company’s strategic business objectives and utilization of the assets;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a determination that the carrying value of such assets can not be recovered through undiscounted cash flows;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loss of legal ownership or title to the assets; or</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impact of significant negative industry or economic trends.</w:t>
      </w:r>
    </w:p>
    <w:p>
      <w:pPr>
        <w:spacing w:after="0" w:line="117"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No asset impairment was recognized during the year ended December 31, 2009. During the years ended December 31, 2007 and 2008, asset impairments of approximately $6.6 million and $0.5 million, respectively, were recognized as described in Note 5 — Property and Equipment.</w:t>
      </w:r>
    </w:p>
    <w:p>
      <w:pPr>
        <w:spacing w:after="0" w:line="80" w:lineRule="exact"/>
        <w:rPr>
          <w:sz w:val="20"/>
          <w:szCs w:val="20"/>
          <w:color w:val="auto"/>
        </w:rPr>
      </w:pPr>
    </w:p>
    <w:p>
      <w:pPr>
        <w:ind w:left="700" w:right="120" w:firstLine="225"/>
        <w:spacing w:after="0" w:line="277" w:lineRule="auto"/>
        <w:rPr>
          <w:sz w:val="20"/>
          <w:szCs w:val="20"/>
          <w:color w:val="auto"/>
        </w:rPr>
      </w:pPr>
      <w:r>
        <w:rPr>
          <w:rFonts w:ascii="Arial" w:cs="Arial" w:eastAsia="Arial" w:hAnsi="Arial"/>
          <w:sz w:val="18"/>
          <w:szCs w:val="18"/>
          <w:i w:val="1"/>
          <w:iCs w:val="1"/>
          <w:color w:val="auto"/>
        </w:rPr>
        <w:t xml:space="preserve">Accounts Payable and Accrued Expenses </w:t>
      </w:r>
      <w:r>
        <w:rPr>
          <w:rFonts w:ascii="Arial" w:cs="Arial" w:eastAsia="Arial" w:hAnsi="Arial"/>
          <w:sz w:val="18"/>
          <w:szCs w:val="18"/>
          <w:color w:val="auto"/>
        </w:rPr>
        <w:t>— All liabilities, including accounts payable and accrued expenses, are recorded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definition of liabilities and accrual accounting</w:t>
      </w:r>
      <w:r>
        <w:rPr>
          <w:rFonts w:ascii="Arial" w:cs="Arial" w:eastAsia="Arial" w:hAnsi="Arial"/>
          <w:sz w:val="18"/>
          <w:szCs w:val="18"/>
          <w:i w:val="1"/>
          <w:iCs w:val="1"/>
          <w:color w:val="auto"/>
        </w:rPr>
        <w:t>.</w:t>
      </w:r>
    </w:p>
    <w:p>
      <w:pPr>
        <w:spacing w:after="0" w:line="62" w:lineRule="exact"/>
        <w:rPr>
          <w:sz w:val="20"/>
          <w:szCs w:val="20"/>
          <w:color w:val="auto"/>
        </w:rPr>
      </w:pPr>
    </w:p>
    <w:p>
      <w:pPr>
        <w:ind w:left="700" w:right="140" w:firstLine="225"/>
        <w:spacing w:after="0" w:line="31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—Deferred income tax assets and liabilities are recorded for the expected future tax consequences of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between the financial statement carrying amounts and the income tax basis of assets and liabilities. A valuation allowance is recorded to reduce net deferred income tax assets to amounts that are more likely than not to be realized (see Note 14).</w:t>
      </w:r>
    </w:p>
    <w:p>
      <w:pPr>
        <w:spacing w:after="0" w:line="39" w:lineRule="exact"/>
        <w:rPr>
          <w:sz w:val="20"/>
          <w:szCs w:val="20"/>
          <w:color w:val="auto"/>
        </w:rPr>
      </w:pPr>
    </w:p>
    <w:p>
      <w:pPr>
        <w:ind w:left="700" w:right="20" w:firstLine="225"/>
        <w:spacing w:after="0" w:line="257" w:lineRule="auto"/>
        <w:rPr>
          <w:sz w:val="20"/>
          <w:szCs w:val="20"/>
          <w:color w:val="auto"/>
        </w:rPr>
      </w:pPr>
      <w:r>
        <w:rPr>
          <w:rFonts w:ascii="Arial" w:cs="Arial" w:eastAsia="Arial" w:hAnsi="Arial"/>
          <w:sz w:val="18"/>
          <w:szCs w:val="18"/>
          <w:color w:val="auto"/>
        </w:rPr>
        <w:t xml:space="preserve">Income tax positions are considered for uncertainty in accordance with ASC 740-10-25 </w:t>
      </w:r>
      <w:r>
        <w:rPr>
          <w:rFonts w:ascii="Arial" w:cs="Arial" w:eastAsia="Arial" w:hAnsi="Arial"/>
          <w:sz w:val="18"/>
          <w:szCs w:val="18"/>
          <w:i w:val="1"/>
          <w:iCs w:val="1"/>
          <w:color w:val="auto"/>
        </w:rPr>
        <w:t>Income Taxes Overall Recognition,</w:t>
      </w:r>
      <w:r>
        <w:rPr>
          <w:rFonts w:ascii="Arial" w:cs="Arial" w:eastAsia="Arial" w:hAnsi="Arial"/>
          <w:sz w:val="18"/>
          <w:szCs w:val="18"/>
          <w:color w:val="auto"/>
        </w:rPr>
        <w:t xml:space="preserve"> previously FASB Interpretation No. 48, </w:t>
      </w:r>
      <w:r>
        <w:rPr>
          <w:rFonts w:ascii="Arial" w:cs="Arial" w:eastAsia="Arial" w:hAnsi="Arial"/>
          <w:sz w:val="18"/>
          <w:szCs w:val="18"/>
          <w:i w:val="1"/>
          <w:iCs w:val="1"/>
          <w:color w:val="auto"/>
        </w:rPr>
        <w:t>Accounting for Uncertainty in Income Taxes — an interpretation of FASB Statement No. 109</w:t>
      </w:r>
      <w:r>
        <w:rPr>
          <w:rFonts w:ascii="Arial" w:cs="Arial" w:eastAsia="Arial" w:hAnsi="Arial"/>
          <w:sz w:val="18"/>
          <w:szCs w:val="18"/>
          <w:color w:val="auto"/>
        </w:rPr>
        <w:t xml:space="preserve"> (“FIN 48”).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spacing w:after="0" w:line="80"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Significant management judgment is involved in determining the provision for income taxes, deferred tax assets and liabilities and any valuation allowance recorded against net deferred tax assets. Due to uncertainties related to deferred tax assets as a result of the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jc w:val="both"/>
        <w:ind w:left="700" w:right="580" w:firstLine="225"/>
        <w:spacing w:after="0" w:line="264"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Contingencies are recorded in accordance with ASC 450</w:t>
      </w:r>
      <w:r>
        <w:rPr>
          <w:rFonts w:ascii="Arial" w:cs="Arial" w:eastAsia="Arial" w:hAnsi="Arial"/>
          <w:sz w:val="18"/>
          <w:szCs w:val="18"/>
          <w:i w:val="1"/>
          <w:iCs w:val="1"/>
          <w:color w:val="auto"/>
        </w:rPr>
        <w:t xml:space="preserve"> Contingencies</w:t>
      </w:r>
      <w:r>
        <w:rPr>
          <w:rFonts w:ascii="Arial" w:cs="Arial" w:eastAsia="Arial" w:hAnsi="Arial"/>
          <w:sz w:val="18"/>
          <w:szCs w:val="18"/>
          <w:color w:val="auto"/>
        </w:rPr>
        <w:t>, previously FASB Statement No. 5,</w:t>
      </w:r>
      <w:r>
        <w:rPr>
          <w:rFonts w:ascii="Arial" w:cs="Arial" w:eastAsia="Arial" w:hAnsi="Arial"/>
          <w:sz w:val="18"/>
          <w:szCs w:val="18"/>
          <w:i w:val="1"/>
          <w:iCs w:val="1"/>
          <w:color w:val="auto"/>
        </w:rPr>
        <w:t xml:space="preserve"> Accounting for Contingencies. </w:t>
      </w:r>
      <w:r>
        <w:rPr>
          <w:rFonts w:ascii="Arial" w:cs="Arial" w:eastAsia="Arial" w:hAnsi="Arial"/>
          <w:sz w:val="18"/>
          <w:szCs w:val="18"/>
          <w:color w:val="auto"/>
        </w:rPr>
        <w:t>Accordingly, the Company records a loss contingency for a liability when it is both probable that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has been incurred and the amount of the loss can be reasonably estimated.</w:t>
      </w:r>
    </w:p>
    <w:p>
      <w:pPr>
        <w:spacing w:after="0" w:line="73" w:lineRule="exact"/>
        <w:rPr>
          <w:sz w:val="20"/>
          <w:szCs w:val="20"/>
          <w:color w:val="auto"/>
        </w:rPr>
      </w:pPr>
    </w:p>
    <w:p>
      <w:pPr>
        <w:ind w:left="700" w:firstLine="225"/>
        <w:spacing w:after="0" w:line="29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As of December 31, 2009, the Company had three active stock-based compensation plans,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described more fully in Note 10. The Company accounts for all share-based payments to employees, including grants of stock awards and the compensatory elements of the employee stock purchase plan in accordance with ASC 718 </w:t>
      </w:r>
      <w:r>
        <w:rPr>
          <w:rFonts w:ascii="Arial" w:cs="Arial" w:eastAsia="Arial" w:hAnsi="Arial"/>
          <w:sz w:val="16"/>
          <w:szCs w:val="16"/>
          <w:i w:val="1"/>
          <w:iCs w:val="1"/>
          <w:color w:val="auto"/>
        </w:rPr>
        <w:t>Compensation- Stock Compensation</w:t>
      </w:r>
      <w:r>
        <w:rPr>
          <w:rFonts w:ascii="Arial" w:cs="Arial" w:eastAsia="Arial" w:hAnsi="Arial"/>
          <w:sz w:val="16"/>
          <w:szCs w:val="16"/>
          <w:color w:val="auto"/>
        </w:rPr>
        <w:t xml:space="preserve"> (“ASC 718”)</w:t>
      </w:r>
      <w:r>
        <w:rPr>
          <w:rFonts w:ascii="Arial" w:cs="Arial" w:eastAsia="Arial" w:hAnsi="Arial"/>
          <w:sz w:val="16"/>
          <w:szCs w:val="16"/>
          <w:i w:val="1"/>
          <w:iCs w:val="1"/>
          <w:color w:val="auto"/>
        </w:rPr>
        <w:t>,</w:t>
      </w:r>
      <w:r>
        <w:rPr>
          <w:rFonts w:ascii="Arial" w:cs="Arial" w:eastAsia="Arial" w:hAnsi="Arial"/>
          <w:sz w:val="16"/>
          <w:szCs w:val="16"/>
          <w:color w:val="auto"/>
        </w:rPr>
        <w:t xml:space="preserve"> previously FASB Statement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ASC 718 requires all share-based payments to employees, including grants of stock options and the compensatory elements of employee stock purchase plans, to be recognized in the income statement based upon the fair value of the awards at the grant date. The Company uses the Black-Scholes option valuation model to estimate the grant date fair value of employee stock options and the compensatory elements of employee stock purchase plans.</w:t>
      </w:r>
    </w:p>
    <w:p>
      <w:pPr>
        <w:spacing w:after="0" w:line="59" w:lineRule="exact"/>
        <w:rPr>
          <w:sz w:val="20"/>
          <w:szCs w:val="20"/>
          <w:color w:val="auto"/>
        </w:rPr>
      </w:pPr>
    </w:p>
    <w:p>
      <w:pPr>
        <w:ind w:left="700" w:right="20" w:firstLine="225"/>
        <w:spacing w:after="0" w:line="312"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 The Company has issued warrants to purchase shares of its common stock. Warrants have been accounted for as equity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the provisions of ASC 815-40 </w:t>
      </w:r>
      <w:r>
        <w:rPr>
          <w:rFonts w:ascii="Arial" w:cs="Arial" w:eastAsia="Arial" w:hAnsi="Arial"/>
          <w:sz w:val="16"/>
          <w:szCs w:val="16"/>
          <w:i w:val="1"/>
          <w:iCs w:val="1"/>
          <w:color w:val="auto"/>
        </w:rPr>
        <w:t>Derivatives and Hedging, Contracts in an Entity’s Own Stock</w:t>
      </w:r>
      <w:r>
        <w:rPr>
          <w:rFonts w:ascii="Arial" w:cs="Arial" w:eastAsia="Arial" w:hAnsi="Arial"/>
          <w:sz w:val="16"/>
          <w:szCs w:val="16"/>
          <w:color w:val="auto"/>
        </w:rPr>
        <w:t xml:space="preserve">, previously EITF Issue No. 00-19: </w:t>
      </w:r>
      <w:r>
        <w:rPr>
          <w:rFonts w:ascii="Arial" w:cs="Arial" w:eastAsia="Arial" w:hAnsi="Arial"/>
          <w:sz w:val="16"/>
          <w:szCs w:val="16"/>
          <w:i w:val="1"/>
          <w:iCs w:val="1"/>
          <w:color w:val="auto"/>
        </w:rPr>
        <w:t>Accounting for Derivative Financial Instruments Indexed to, and Potentially Settled in, a Company’s Own Stock.</w:t>
      </w:r>
    </w:p>
    <w:p>
      <w:pPr>
        <w:spacing w:after="0" w:line="39" w:lineRule="exact"/>
        <w:rPr>
          <w:sz w:val="20"/>
          <w:szCs w:val="20"/>
          <w:color w:val="auto"/>
        </w:rPr>
      </w:pPr>
    </w:p>
    <w:p>
      <w:pPr>
        <w:ind w:left="700" w:right="100" w:firstLine="225"/>
        <w:spacing w:after="0" w:line="297"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Other Comprehensive Income (loss) (OCI) is recorded in accordance with ASC 220-10-45</w:t>
      </w:r>
      <w:r>
        <w:rPr>
          <w:rFonts w:ascii="Arial" w:cs="Arial" w:eastAsia="Arial" w:hAnsi="Arial"/>
          <w:sz w:val="16"/>
          <w:szCs w:val="16"/>
          <w:i w:val="1"/>
          <w:iCs w:val="1"/>
          <w:color w:val="auto"/>
        </w:rPr>
        <w:t xml:space="preserve"> Comprehensive Income, Overall, Other Presentation, </w:t>
      </w:r>
      <w:r>
        <w:rPr>
          <w:rFonts w:ascii="Arial" w:cs="Arial" w:eastAsia="Arial" w:hAnsi="Arial"/>
          <w:sz w:val="16"/>
          <w:szCs w:val="16"/>
          <w:color w:val="auto"/>
        </w:rPr>
        <w:t>previously FASB Statement No. 130, “</w:t>
      </w:r>
      <w:r>
        <w:rPr>
          <w:rFonts w:ascii="Arial" w:cs="Arial" w:eastAsia="Arial" w:hAnsi="Arial"/>
          <w:sz w:val="16"/>
          <w:szCs w:val="16"/>
          <w:i w:val="1"/>
          <w:iCs w:val="1"/>
          <w:color w:val="auto"/>
        </w:rPr>
        <w:t xml:space="preserve">Reporting Comprehensive Income”, </w:t>
      </w:r>
      <w:r>
        <w:rPr>
          <w:rFonts w:ascii="Arial" w:cs="Arial" w:eastAsia="Arial" w:hAnsi="Arial"/>
          <w:sz w:val="16"/>
          <w:szCs w:val="16"/>
          <w:color w:val="auto"/>
        </w:rPr>
        <w:t>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that all components of comprehensive income (loss) be reported in the financial statements in the period in which they are recognized. OCI includes certain changes in stockholders’ equity that are excluded from net income. Specifically, the Company includes in OCI unrealized gains and losses on its available-for-sale securities and cumulative translation gains and losses.</w:t>
      </w:r>
    </w:p>
    <w:p>
      <w:pPr>
        <w:spacing w:after="0" w:line="50" w:lineRule="exact"/>
        <w:rPr>
          <w:sz w:val="20"/>
          <w:szCs w:val="20"/>
          <w:color w:val="auto"/>
        </w:rPr>
      </w:pPr>
    </w:p>
    <w:p>
      <w:pPr>
        <w:ind w:left="700" w:firstLine="225"/>
        <w:spacing w:after="0" w:line="293"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 Research and development expenses consist primarily of costs associated with the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trials of the Company’s product candidates, manufacturing supplies and other development materials, including raw material purchases of insulin,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ASC 730-10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Overall</w:t>
      </w:r>
      <w:r>
        <w:rPr>
          <w:rFonts w:ascii="Arial" w:cs="Arial" w:eastAsia="Arial" w:hAnsi="Arial"/>
          <w:sz w:val="16"/>
          <w:szCs w:val="16"/>
          <w:color w:val="auto"/>
        </w:rPr>
        <w:t>, previously FASB Statement No. 2,</w:t>
      </w:r>
      <w:r>
        <w:rPr>
          <w:rFonts w:ascii="Arial" w:cs="Arial" w:eastAsia="Arial" w:hAnsi="Arial"/>
          <w:sz w:val="16"/>
          <w:szCs w:val="16"/>
          <w:i w:val="1"/>
          <w:iCs w:val="1"/>
          <w:color w:val="auto"/>
        </w:rPr>
        <w:t xml:space="preserve"> Accounting for Research and Development Costs.</w:t>
      </w:r>
    </w:p>
    <w:p>
      <w:pPr>
        <w:spacing w:after="0" w:line="57" w:lineRule="exact"/>
        <w:rPr>
          <w:sz w:val="20"/>
          <w:szCs w:val="20"/>
          <w:color w:val="auto"/>
        </w:rPr>
      </w:pPr>
    </w:p>
    <w:p>
      <w:pPr>
        <w:ind w:left="700" w:right="40" w:firstLine="225"/>
        <w:spacing w:after="0" w:line="287"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reflected in research and development expenses in the accompanying</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operations, 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 The date on which certain services commence, the level of services performed on or before a given date and the cost of the services are often judgmental.</w:t>
      </w:r>
    </w:p>
    <w:p>
      <w:pPr>
        <w:spacing w:after="0" w:line="65" w:lineRule="exact"/>
        <w:rPr>
          <w:sz w:val="20"/>
          <w:szCs w:val="20"/>
          <w:color w:val="auto"/>
        </w:rPr>
      </w:pPr>
    </w:p>
    <w:p>
      <w:pPr>
        <w:ind w:left="700" w:right="140" w:firstLine="225"/>
        <w:spacing w:after="0" w:line="29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 Interest costs are expensed as incurred, except to the extent such interest is related to construction in progress,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case interest is capitalized. Interest expense, net, for the years ended December 31, 2007, 2008 and 2009 was $3.4 million,</w:t>
      </w:r>
    </w:p>
    <w:p>
      <w:pPr>
        <w:ind w:left="700" w:right="20"/>
        <w:spacing w:after="0" w:line="261" w:lineRule="auto"/>
        <w:rPr>
          <w:sz w:val="20"/>
          <w:szCs w:val="20"/>
          <w:color w:val="auto"/>
        </w:rPr>
      </w:pPr>
      <w:r>
        <w:rPr>
          <w:rFonts w:ascii="Arial" w:cs="Arial" w:eastAsia="Arial" w:hAnsi="Arial"/>
          <w:sz w:val="18"/>
          <w:szCs w:val="18"/>
          <w:color w:val="auto"/>
        </w:rPr>
        <w:t>$2.3 million and $10.4 million, respectively. Interest costs capitalized for the years ended December 31, 2008 and 2009 were $2.5 million and $0.1 million, respectively.</w:t>
      </w:r>
    </w:p>
    <w:p>
      <w:pPr>
        <w:spacing w:after="0" w:line="1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i w:val="1"/>
          <w:iCs w:val="1"/>
          <w:color w:val="auto"/>
        </w:rPr>
        <w:t xml:space="preserve">Net Loss Per Share of Common Stock </w:t>
      </w:r>
      <w:r>
        <w:rPr>
          <w:rFonts w:ascii="Arial" w:cs="Arial" w:eastAsia="Arial" w:hAnsi="Arial"/>
          <w:sz w:val="18"/>
          <w:szCs w:val="18"/>
          <w:color w:val="auto"/>
        </w:rPr>
        <w:t>— Basic net loss per share excludes dilution for potentially dilutive securities and is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Potentially dilutive securities outstanding are summarized as follows:</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38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2009</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options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6,886,657</w:t>
            </w:r>
          </w:p>
        </w:tc>
        <w:tc>
          <w:tcPr>
            <w:tcW w:w="16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5,591,101</w:t>
            </w:r>
          </w:p>
        </w:tc>
        <w:tc>
          <w:tcPr>
            <w:tcW w:w="16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6,403,498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5,117,523</w:t>
            </w:r>
          </w:p>
        </w:tc>
        <w:tc>
          <w:tcPr>
            <w:tcW w:w="1620" w:type="dxa"/>
            <w:vAlign w:val="bottom"/>
            <w:gridSpan w:val="2"/>
          </w:tcPr>
          <w:p>
            <w:pPr>
              <w:jc w:val="center"/>
              <w:ind w:left="310"/>
              <w:spacing w:after="0"/>
              <w:rPr>
                <w:sz w:val="20"/>
                <w:szCs w:val="20"/>
                <w:color w:val="auto"/>
              </w:rPr>
            </w:pPr>
            <w:r>
              <w:rPr>
                <w:rFonts w:ascii="Arial" w:cs="Arial" w:eastAsia="Arial" w:hAnsi="Arial"/>
                <w:sz w:val="18"/>
                <w:szCs w:val="18"/>
                <w:color w:val="auto"/>
                <w:w w:val="87"/>
              </w:rPr>
              <w:t>5,117,523</w:t>
            </w:r>
          </w:p>
        </w:tc>
        <w:tc>
          <w:tcPr>
            <w:tcW w:w="16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5,117,523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2,882,873</w:t>
            </w:r>
          </w:p>
        </w:tc>
        <w:tc>
          <w:tcPr>
            <w:tcW w:w="16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2,882,873</w:t>
            </w:r>
          </w:p>
        </w:tc>
        <w:tc>
          <w:tcPr>
            <w:tcW w:w="16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2,882,873</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1,359,662</w:t>
            </w:r>
          </w:p>
        </w:tc>
        <w:tc>
          <w:tcPr>
            <w:tcW w:w="162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5,947,408</w:t>
            </w:r>
          </w:p>
        </w:tc>
        <w:tc>
          <w:tcPr>
            <w:tcW w:w="16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3,419,533</w:t>
            </w:r>
          </w:p>
        </w:tc>
      </w:tr>
    </w:tbl>
    <w:p>
      <w:pPr>
        <w:spacing w:after="0" w:line="79" w:lineRule="exact"/>
        <w:rPr>
          <w:sz w:val="20"/>
          <w:szCs w:val="20"/>
          <w:color w:val="auto"/>
        </w:rPr>
      </w:pPr>
    </w:p>
    <w:p>
      <w:pPr>
        <w:ind w:left="700" w:right="20" w:firstLine="225"/>
        <w:spacing w:after="0" w:line="273" w:lineRule="auto"/>
        <w:rPr>
          <w:sz w:val="20"/>
          <w:szCs w:val="20"/>
          <w:color w:val="auto"/>
        </w:rPr>
      </w:pPr>
      <w:r>
        <w:rPr>
          <w:rFonts w:ascii="Arial" w:cs="Arial" w:eastAsia="Arial" w:hAnsi="Arial"/>
          <w:sz w:val="17"/>
          <w:szCs w:val="17"/>
          <w:i w:val="1"/>
          <w:iCs w:val="1"/>
          <w:color w:val="auto"/>
        </w:rPr>
        <w:t xml:space="preserve">Exit or Disposal Activities </w:t>
      </w:r>
      <w:r>
        <w:rPr>
          <w:rFonts w:ascii="Arial" w:cs="Arial" w:eastAsia="Arial" w:hAnsi="Arial"/>
          <w:sz w:val="17"/>
          <w:szCs w:val="17"/>
          <w:color w:val="auto"/>
        </w:rPr>
        <w:t>— The obligations related to exit or disposal obligations, including reductions in force, are accounted for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ASC 420-10-30 </w:t>
      </w:r>
      <w:r>
        <w:rPr>
          <w:rFonts w:ascii="Arial" w:cs="Arial" w:eastAsia="Arial" w:hAnsi="Arial"/>
          <w:sz w:val="17"/>
          <w:szCs w:val="17"/>
          <w:i w:val="1"/>
          <w:iCs w:val="1"/>
          <w:color w:val="auto"/>
        </w:rPr>
        <w:t>Exit or Disposal Cost Obligations, Initial Measurement</w:t>
      </w:r>
      <w:r>
        <w:rPr>
          <w:rFonts w:ascii="Arial" w:cs="Arial" w:eastAsia="Arial" w:hAnsi="Arial"/>
          <w:sz w:val="17"/>
          <w:szCs w:val="17"/>
          <w:color w:val="auto"/>
        </w:rPr>
        <w:t xml:space="preserve"> (“ASC 420-10-30”), previously FASB Statement No.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and EITF Issue No. 94-3, </w:t>
      </w:r>
      <w:r>
        <w:rPr>
          <w:rFonts w:ascii="Arial" w:cs="Arial" w:eastAsia="Arial" w:hAnsi="Arial"/>
          <w:sz w:val="17"/>
          <w:szCs w:val="17"/>
          <w:i w:val="1"/>
          <w:iCs w:val="1"/>
          <w:color w:val="auto"/>
        </w:rPr>
        <w:t>Liability Recognition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Employee Termination Benefits and Costs to Exit and Disposal Activity (Including Certain Costs Incurred in a Restructuring).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ASC 420-10-30, a liability for costs associated with an exit or disposal activity is recognized when the liability is incurred and establishes that fair value is the objective for initial measurements of the liability.</w:t>
      </w:r>
    </w:p>
    <w:p>
      <w:pPr>
        <w:spacing w:after="0" w:line="70" w:lineRule="exact"/>
        <w:rPr>
          <w:sz w:val="20"/>
          <w:szCs w:val="20"/>
          <w:color w:val="auto"/>
        </w:rPr>
      </w:pPr>
    </w:p>
    <w:p>
      <w:pPr>
        <w:ind w:left="700" w:right="80" w:firstLine="225"/>
        <w:spacing w:after="0" w:line="255"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In October of 2009, the FASB ratified the EITF consensus on EITF Issue No. 08-1</w:t>
      </w:r>
      <w:r>
        <w:rPr>
          <w:rFonts w:ascii="Arial" w:cs="Arial" w:eastAsia="Arial" w:hAnsi="Arial"/>
          <w:sz w:val="18"/>
          <w:szCs w:val="18"/>
          <w:i w:val="1"/>
          <w:iCs w:val="1"/>
          <w:color w:val="auto"/>
        </w:rPr>
        <w:t xml:space="preserve"> Revenue Arrangements with Multiple Deliverables, </w:t>
      </w:r>
      <w:r>
        <w:rPr>
          <w:rFonts w:ascii="Arial" w:cs="Arial" w:eastAsia="Arial" w:hAnsi="Arial"/>
          <w:sz w:val="18"/>
          <w:szCs w:val="18"/>
          <w:color w:val="auto"/>
        </w:rPr>
        <w:t>and issued Accounting Standards Update (“ASU”) 2009-13 which amends the guidance in</w:t>
      </w:r>
      <w:r>
        <w:rPr>
          <w:rFonts w:ascii="Arial" w:cs="Arial" w:eastAsia="Arial" w:hAnsi="Arial"/>
          <w:sz w:val="18"/>
          <w:szCs w:val="18"/>
          <w:i w:val="1"/>
          <w:iCs w:val="1"/>
          <w:color w:val="auto"/>
        </w:rPr>
        <w:t xml:space="preserve"> </w:t>
      </w:r>
      <w:r>
        <w:rPr>
          <w:rFonts w:ascii="Arial" w:cs="Arial" w:eastAsia="Arial" w:hAnsi="Arial"/>
          <w:sz w:val="18"/>
          <w:szCs w:val="18"/>
          <w:color w:val="auto"/>
        </w:rPr>
        <w:t>ASC 605-25 on multiple-element revenue arrangements. This guidance addresses the unit of accounting for arrangements involving multiple deliverables and how arrangement consideration should be allocated to the separate units of accounting, when applicable. The ASU is effective for fiscal year beginning on or after June 15, 2010. Early adoption is permitted. Adoptions of this guidance is expected to have a significant effect on how revenue arrangements entered into subsequent to January 1, 2011 are reflected in the financial statements.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3. Investment in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auto"/>
                <w:w w:val="89"/>
              </w:rPr>
              <w:t>2008</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auto"/>
                <w:w w:val="89"/>
              </w:rPr>
              <w:t>2009</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Cost Basis</w:t>
            </w: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2"/>
                <w:szCs w:val="12"/>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9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w:t>
            </w:r>
          </w:p>
        </w:tc>
        <w:tc>
          <w:tcPr>
            <w:tcW w:w="36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Basis</w:t>
            </w:r>
          </w:p>
        </w:tc>
        <w:tc>
          <w:tcPr>
            <w:tcW w:w="3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2580" w:type="dxa"/>
            <w:vAlign w:val="bottom"/>
            <w:vMerge w:val="continue"/>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$18,549</w:t>
            </w:r>
          </w:p>
        </w:tc>
        <w:tc>
          <w:tcPr>
            <w:tcW w:w="360" w:type="dxa"/>
            <w:vAlign w:val="bottom"/>
          </w:tcPr>
          <w:p>
            <w:pPr>
              <w:spacing w:after="0"/>
              <w:rPr>
                <w:sz w:val="19"/>
                <w:szCs w:val="19"/>
                <w:color w:val="auto"/>
              </w:rPr>
            </w:pPr>
          </w:p>
        </w:tc>
        <w:tc>
          <w:tcPr>
            <w:tcW w:w="880" w:type="dxa"/>
            <w:vAlign w:val="bottom"/>
          </w:tcPr>
          <w:p>
            <w:pPr>
              <w:jc w:val="right"/>
              <w:ind w:right="225"/>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9"/>
                <w:szCs w:val="19"/>
                <w:color w:val="auto"/>
              </w:rPr>
            </w:pPr>
          </w:p>
        </w:tc>
        <w:tc>
          <w:tcPr>
            <w:tcW w:w="960" w:type="dxa"/>
            <w:vAlign w:val="bottom"/>
          </w:tcPr>
          <w:p>
            <w:pPr>
              <w:ind w:left="140"/>
              <w:spacing w:after="0"/>
              <w:rPr>
                <w:sz w:val="20"/>
                <w:szCs w:val="20"/>
                <w:color w:val="auto"/>
              </w:rPr>
            </w:pPr>
            <w:r>
              <w:rPr>
                <w:rFonts w:ascii="Arial" w:cs="Arial" w:eastAsia="Arial" w:hAnsi="Arial"/>
                <w:sz w:val="18"/>
                <w:szCs w:val="18"/>
                <w:color w:val="auto"/>
              </w:rPr>
              <w:t>$18,844</w:t>
            </w:r>
          </w:p>
        </w:tc>
        <w:tc>
          <w:tcPr>
            <w:tcW w:w="380" w:type="dxa"/>
            <w:vAlign w:val="bottom"/>
          </w:tcPr>
          <w:p>
            <w:pPr>
              <w:spacing w:after="0"/>
              <w:rPr>
                <w:sz w:val="19"/>
                <w:szCs w:val="19"/>
                <w:color w:val="auto"/>
              </w:rPr>
            </w:pPr>
          </w:p>
        </w:tc>
        <w:tc>
          <w:tcPr>
            <w:tcW w:w="880" w:type="dxa"/>
            <w:vAlign w:val="bottom"/>
          </w:tcPr>
          <w:p>
            <w:pPr>
              <w:jc w:val="right"/>
              <w:ind w:right="162"/>
              <w:spacing w:after="0"/>
              <w:rPr>
                <w:sz w:val="20"/>
                <w:szCs w:val="20"/>
                <w:color w:val="auto"/>
              </w:rPr>
            </w:pPr>
            <w:r>
              <w:rPr>
                <w:rFonts w:ascii="Arial" w:cs="Arial" w:eastAsia="Arial" w:hAnsi="Arial"/>
                <w:sz w:val="18"/>
                <w:szCs w:val="18"/>
                <w:color w:val="auto"/>
              </w:rPr>
              <w:t>$2,761</w:t>
            </w:r>
          </w:p>
        </w:tc>
        <w:tc>
          <w:tcPr>
            <w:tcW w:w="360" w:type="dxa"/>
            <w:vAlign w:val="bottom"/>
          </w:tcPr>
          <w:p>
            <w:pPr>
              <w:spacing w:after="0"/>
              <w:rPr>
                <w:sz w:val="19"/>
                <w:szCs w:val="19"/>
                <w:color w:val="auto"/>
              </w:rPr>
            </w:pPr>
          </w:p>
        </w:tc>
        <w:tc>
          <w:tcPr>
            <w:tcW w:w="920" w:type="dxa"/>
            <w:vAlign w:val="bottom"/>
          </w:tcPr>
          <w:p>
            <w:pPr>
              <w:jc w:val="right"/>
              <w:ind w:right="165"/>
              <w:spacing w:after="0"/>
              <w:rPr>
                <w:sz w:val="20"/>
                <w:szCs w:val="20"/>
                <w:color w:val="auto"/>
              </w:rPr>
            </w:pPr>
            <w:r>
              <w:rPr>
                <w:rFonts w:ascii="Arial" w:cs="Arial" w:eastAsia="Arial" w:hAnsi="Arial"/>
                <w:sz w:val="18"/>
                <w:szCs w:val="18"/>
                <w:color w:val="auto"/>
              </w:rPr>
              <w:t>$(286)</w:t>
            </w:r>
          </w:p>
        </w:tc>
        <w:tc>
          <w:tcPr>
            <w:tcW w:w="380" w:type="dxa"/>
            <w:vAlign w:val="bottom"/>
          </w:tcPr>
          <w:p>
            <w:pPr>
              <w:spacing w:after="0"/>
              <w:rPr>
                <w:sz w:val="19"/>
                <w:szCs w:val="19"/>
                <w:color w:val="auto"/>
              </w:rPr>
            </w:pPr>
          </w:p>
        </w:tc>
        <w:tc>
          <w:tcPr>
            <w:tcW w:w="880" w:type="dxa"/>
            <w:vAlign w:val="bottom"/>
          </w:tcPr>
          <w:p>
            <w:pPr>
              <w:jc w:val="right"/>
              <w:ind w:right="142"/>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00" w:right="60" w:firstLine="222"/>
        <w:spacing w:after="0" w:line="270" w:lineRule="auto"/>
        <w:rPr>
          <w:sz w:val="20"/>
          <w:szCs w:val="20"/>
          <w:color w:val="auto"/>
        </w:rPr>
      </w:pPr>
      <w:r>
        <w:rPr>
          <w:rFonts w:ascii="Arial" w:cs="Arial" w:eastAsia="Arial" w:hAnsi="Arial"/>
          <w:sz w:val="17"/>
          <w:szCs w:val="17"/>
          <w:color w:val="auto"/>
        </w:rPr>
        <w:t>The Company’s available-for-sale securities at December 31, 2008 consist principally of US agency securities, which are stated at fair value based on quoted prices for similar securities in active markets (Level 2 in the fair value hierarchy). The Company’s available-for-sale securities at December 31, 2009 consist principally of a $2.0 million certificate of deposit with a maturity greater than 90 days, held as collateral for foreign exchange hedging instruments, and a common stock investment. The certificate of deposit is stated at fair value based on quoted prices for similar instruments in an active market (Level 2 in the fair value hierarchy) and the common stock investment is stated at fair value based on quoted prices in an active market (Level 1 in the fair value hierarchy). The Company’s policy is to maintain a highly liquid short-term investment portfolio. Proceeds from the sales and maturities of available-for-sale securities amounted to approximately $286.7 million, $46.1 million and $17.8 million for the years ended December 31, 2007, 2008 and 2009, respectively. Gross realized gains and losses for available-for-sale securities were insignificant for the years ended December 31, 2007, 2008 and 2009. Gross realized gains and losses</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for available-for-sale securities are recorded as other income (expense). The cost of securities sold is based on the specific identification method. Unrealized gains and losses for available-for-sale securities were a gain of $295,000 for the year ended December 31, 2008 and a loss of $581,000 for the year ended December 31, 2009. Unrealized gains and losses are included in other comprehensive income (loss).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4. State research and development credit exchange receivable</w:t>
      </w:r>
    </w:p>
    <w:p>
      <w:pPr>
        <w:spacing w:after="0" w:line="121" w:lineRule="exact"/>
        <w:rPr>
          <w:sz w:val="20"/>
          <w:szCs w:val="20"/>
          <w:color w:val="auto"/>
        </w:rPr>
      </w:pPr>
    </w:p>
    <w:p>
      <w:pPr>
        <w:ind w:left="700" w:right="120" w:firstLine="222"/>
        <w:spacing w:after="0" w:line="273" w:lineRule="auto"/>
        <w:rPr>
          <w:sz w:val="20"/>
          <w:szCs w:val="20"/>
          <w:color w:val="auto"/>
        </w:rPr>
      </w:pPr>
      <w:r>
        <w:rPr>
          <w:rFonts w:ascii="Arial" w:cs="Arial" w:eastAsia="Arial" w:hAnsi="Arial"/>
          <w:sz w:val="17"/>
          <w:szCs w:val="17"/>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2007, 2008 and 2009, research and development expenses were offset by $0.8 million, $1.8 million and $1.3 million, respectively, in connection with the program.</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20" w:type="dxa"/>
            <w:vAlign w:val="bottom"/>
            <w:gridSpan w:val="2"/>
          </w:tcPr>
          <w:p>
            <w:pPr>
              <w:jc w:val="center"/>
              <w:ind w:left="1513"/>
              <w:spacing w:after="0"/>
              <w:rPr>
                <w:sz w:val="20"/>
                <w:szCs w:val="20"/>
                <w:color w:val="auto"/>
              </w:rPr>
            </w:pPr>
            <w:r>
              <w:rPr>
                <w:rFonts w:ascii="Arial" w:cs="Arial" w:eastAsia="Arial" w:hAnsi="Arial"/>
                <w:sz w:val="14"/>
                <w:szCs w:val="14"/>
                <w:b w:val="1"/>
                <w:bCs w:val="1"/>
                <w:color w:val="auto"/>
                <w:w w:val="92"/>
              </w:rPr>
              <w:t>Estimated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Useful</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Life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Buildings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39-40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111,346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277,827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(51,391)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(65,741)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226,436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160" w:firstLine="225"/>
        <w:spacing w:after="0" w:line="257" w:lineRule="auto"/>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 Depreciation and amortization expense related to property and equipment for the years ended December 31, 2007, 2008 and 2009, and the cumulative period from February 14, 1991 (date of inception) to December 31, 2009 was $8.5 million, $11.8 million, $18.2 million and $77.6 million, respectively. Capitalized interest during the years ended December 31, 2007, 2008 and 2009 was $1.4 million, $2.5 million and $0.1 million, respectively.</w:t>
      </w:r>
    </w:p>
    <w:p>
      <w:pPr>
        <w:spacing w:after="0" w:line="80" w:lineRule="exact"/>
        <w:rPr>
          <w:sz w:val="20"/>
          <w:szCs w:val="20"/>
          <w:color w:val="auto"/>
        </w:rPr>
      </w:pPr>
    </w:p>
    <w:p>
      <w:pPr>
        <w:ind w:left="700" w:right="140" w:firstLine="225"/>
        <w:spacing w:after="0" w:line="291" w:lineRule="auto"/>
        <w:rPr>
          <w:sz w:val="20"/>
          <w:szCs w:val="20"/>
          <w:color w:val="auto"/>
        </w:rPr>
      </w:pPr>
      <w:r>
        <w:rPr>
          <w:rFonts w:ascii="Arial" w:cs="Arial" w:eastAsia="Arial" w:hAnsi="Arial"/>
          <w:sz w:val="16"/>
          <w:szCs w:val="16"/>
          <w:color w:val="auto"/>
        </w:rPr>
        <w:t>In December 2007, the Company determined that machinery being built for commercial manufacturing use would no longer be used for this purpose and had no other further alternative use other than for research related to AFREZZA. Accordingly, the Company expensed to research and development the $5.0 million carrying value of the machinery previously included in construction in progress. Additionally, in November 2007, the Company initiated a plan to sell certain manufacturing machines. A charge in the amount of $1.6 million is reflected in the research and development expenses in the accompanying statement of operations for the year ended December 31, 2007 to write down the machines being held for sale to their estimated fair value of $1.6 million. In December 2008, the Company determined that software previously purchased would no longer be utilized, resulting in an impairment charge of $459,000.</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700" w:firstLine="225"/>
        <w:spacing w:after="0" w:line="264" w:lineRule="auto"/>
        <w:rPr>
          <w:sz w:val="20"/>
          <w:szCs w:val="20"/>
          <w:color w:val="auto"/>
        </w:rPr>
      </w:pPr>
      <w:r>
        <w:rPr>
          <w:rFonts w:ascii="Arial" w:cs="Arial" w:eastAsia="Arial" w:hAnsi="Arial"/>
          <w:sz w:val="18"/>
          <w:szCs w:val="18"/>
          <w:color w:val="auto"/>
        </w:rPr>
        <w:t>In December of 2009, the Company recognized a loss on disposal of approximately $12.8 million in research and development expense related to the abandonment of first-generation inhaler specific assets which would no longer be used as the Company pursued the commercialization of the next-generation device.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$ 12,452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13,438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8"/>
                <w:szCs w:val="18"/>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37,842</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22,334</w:t>
            </w: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7. Related-party loan arrangement</w:t>
      </w:r>
    </w:p>
    <w:p>
      <w:pPr>
        <w:spacing w:after="0" w:line="121"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Under the arrangement, the Company can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 12 months. If the principal stockholder exercises this right, the Company will have until the earlier of 180 days after the principal stockholder provides written notice or December 31, 2011 to prepay such advances. The principal stockholder has agreed not to exercise his prepayment right if such prepayment would require the use of existing working capital resources to repay the loan. In the event of a default, all unpaid principal and interest either becomes immediately due and payable or may be accelerated at the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amount outstanding under the arrangement was $30.0 million and $165.0 million at December 31, 2008 and 2009, respectively.</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2009, the Company had accrued interest of $1.9 million related to the amount outstanding.</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8. Senior convertible notes</w:t>
      </w:r>
    </w:p>
    <w:p>
      <w:pPr>
        <w:spacing w:after="0" w:line="121" w:lineRule="exact"/>
        <w:rPr>
          <w:sz w:val="20"/>
          <w:szCs w:val="20"/>
          <w:color w:val="auto"/>
        </w:rPr>
      </w:pPr>
    </w:p>
    <w:p>
      <w:pPr>
        <w:ind w:left="700" w:right="60" w:firstLine="225"/>
        <w:spacing w:after="0" w:line="270" w:lineRule="auto"/>
        <w:rPr>
          <w:sz w:val="20"/>
          <w:szCs w:val="20"/>
          <w:color w:val="auto"/>
        </w:rPr>
      </w:pPr>
      <w:r>
        <w:rPr>
          <w:rFonts w:ascii="Arial" w:cs="Arial" w:eastAsia="Arial" w:hAnsi="Arial"/>
          <w:sz w:val="17"/>
          <w:szCs w:val="17"/>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The Company had accrued interest of $192,000 and $192,000 related to the Notes for the years ended December 31, 2008 and 2009, respectively. The Notes are general, unsecured, senior obligations of the Company and effectively rank junior in right of payment to all of the Company’s secured debt, to the extent of the value of the assets securing such debt, and to the debt and all other liabilities of the Company. The maturity date of the Notes is December 15,</w:t>
      </w:r>
    </w:p>
    <w:p>
      <w:pPr>
        <w:spacing w:after="0" w:line="1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700"/>
        <w:spacing w:after="0" w:line="290" w:lineRule="auto"/>
        <w:rPr>
          <w:sz w:val="20"/>
          <w:szCs w:val="20"/>
          <w:color w:val="auto"/>
        </w:rPr>
      </w:pPr>
      <w:r>
        <w:rPr>
          <w:rFonts w:ascii="Arial" w:cs="Arial" w:eastAsia="Arial" w:hAnsi="Arial"/>
          <w:sz w:val="16"/>
          <w:szCs w:val="16"/>
          <w:color w:val="auto"/>
        </w:rPr>
        <w:t>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w:t>
      </w:r>
    </w:p>
    <w:p>
      <w:pPr>
        <w:spacing w:after="0" w:line="58" w:lineRule="exact"/>
        <w:rPr>
          <w:sz w:val="20"/>
          <w:szCs w:val="20"/>
          <w:color w:val="auto"/>
        </w:rPr>
      </w:pPr>
    </w:p>
    <w:p>
      <w:pPr>
        <w:ind w:left="700" w:right="60" w:firstLine="222"/>
        <w:spacing w:after="0" w:line="264" w:lineRule="auto"/>
        <w:rPr>
          <w:sz w:val="20"/>
          <w:szCs w:val="20"/>
          <w:color w:val="auto"/>
        </w:rPr>
      </w:pPr>
      <w:r>
        <w:rPr>
          <w:rFonts w:ascii="Arial" w:cs="Arial" w:eastAsia="Arial" w:hAnsi="Arial"/>
          <w:sz w:val="18"/>
          <w:szCs w:val="18"/>
          <w:color w:val="auto"/>
        </w:rPr>
        <w:t>The Company incurred approximately $3.7 million in debt issuance costs which are recorded as an offset to the debt in the accompanying balance sheet. These costs are being amortized to interest expense using the effective interest method over the term of the Notes.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left="700" w:right="140" w:firstLine="225"/>
        <w:spacing w:after="0" w:line="255" w:lineRule="auto"/>
        <w:rPr>
          <w:sz w:val="20"/>
          <w:szCs w:val="20"/>
          <w:color w:val="auto"/>
        </w:rPr>
      </w:pPr>
      <w:r>
        <w:rPr>
          <w:rFonts w:ascii="Arial" w:cs="Arial" w:eastAsia="Arial" w:hAnsi="Arial"/>
          <w:sz w:val="18"/>
          <w:szCs w:val="18"/>
          <w:i w:val="1"/>
          <w:iCs w:val="1"/>
          <w:color w:val="auto"/>
        </w:rPr>
        <w:t xml:space="preserve">Private Placements </w:t>
      </w:r>
      <w:r>
        <w:rPr>
          <w:rFonts w:ascii="Arial" w:cs="Arial" w:eastAsia="Arial" w:hAnsi="Arial"/>
          <w:sz w:val="18"/>
          <w:szCs w:val="18"/>
          <w:color w:val="auto"/>
        </w:rPr>
        <w:t>— On August 5, 2005, the Company closed a $175.0 million private placement of common stock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concurrent issuance of warrants for the purchase of 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which became exercisable on February 1, 2006 and expire on August 5, 2010. In connection with this private placement, the Company paid $4.5 million in commissions to the placement agents and incurred $300,000 in other offering expenses which resulted in net proceeds of approximately $170.2 million.</w:t>
      </w:r>
    </w:p>
    <w:p>
      <w:pPr>
        <w:spacing w:after="0" w:line="81" w:lineRule="exact"/>
        <w:rPr>
          <w:sz w:val="20"/>
          <w:szCs w:val="20"/>
          <w:color w:val="auto"/>
        </w:rPr>
      </w:pPr>
    </w:p>
    <w:p>
      <w:pPr>
        <w:ind w:left="700" w:firstLine="225"/>
        <w:spacing w:after="0" w:line="312" w:lineRule="auto"/>
        <w:rPr>
          <w:sz w:val="20"/>
          <w:szCs w:val="20"/>
          <w:color w:val="auto"/>
        </w:rPr>
      </w:pPr>
      <w:r>
        <w:rPr>
          <w:rFonts w:ascii="Arial" w:cs="Arial" w:eastAsia="Arial" w:hAnsi="Arial"/>
          <w:sz w:val="16"/>
          <w:szCs w:val="16"/>
          <w:color w:val="auto"/>
        </w:rPr>
        <w:t>On October 2, 2007, the Company sold 15,940,489 shares of the Company’s common stock to its principal stockholder at a price per share of $9.41 and 11,074,197 shares of common stock to other investors at a price per share of $9.03. The sale of common stock resulted in aggregate net proceeds to the Company of approximately $249.8 million after deducting offering expenses.</w:t>
      </w:r>
    </w:p>
    <w:p>
      <w:pPr>
        <w:spacing w:after="0" w:line="39" w:lineRule="exact"/>
        <w:rPr>
          <w:sz w:val="20"/>
          <w:szCs w:val="20"/>
          <w:color w:val="auto"/>
        </w:rPr>
      </w:pPr>
    </w:p>
    <w:p>
      <w:pPr>
        <w:ind w:left="700" w:right="80" w:firstLine="225"/>
        <w:spacing w:after="0" w:line="293" w:lineRule="auto"/>
        <w:rPr>
          <w:sz w:val="20"/>
          <w:szCs w:val="20"/>
          <w:color w:val="auto"/>
        </w:rPr>
      </w:pPr>
      <w:r>
        <w:rPr>
          <w:rFonts w:ascii="Arial" w:cs="Arial" w:eastAsia="Arial" w:hAnsi="Arial"/>
          <w:sz w:val="16"/>
          <w:szCs w:val="16"/>
          <w:i w:val="1"/>
          <w:iCs w:val="1"/>
          <w:color w:val="auto"/>
        </w:rPr>
        <w:t xml:space="preserve">Public Equity Offering </w:t>
      </w:r>
      <w:r>
        <w:rPr>
          <w:rFonts w:ascii="Arial" w:cs="Arial" w:eastAsia="Arial" w:hAnsi="Arial"/>
          <w:sz w:val="16"/>
          <w:szCs w:val="16"/>
          <w:color w:val="auto"/>
        </w:rPr>
        <w:t>— On December 12, 2006, the Company closed the sale of 20,000,000 shares of its common stock at a public</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price of $17.42 per share and on December 19, 2006, closed the sale of an additional 3,000,000 shares of its common stock at a public offering price of $17.42 per share pursuant to an over-allotment option granted to the underwriters of the offering. Approximately 5.8 million shares were sold to certain of the Company’s officers and directors, including 5.75 million shares sold to the principal stockholder. In connection with this offering, the Company paid approximately $15.0 million in underwriting fees and incurred approximately $1.1 million in other offering expenses which resulted in net proceeds of approximately $384.7 million.</w:t>
      </w:r>
    </w:p>
    <w:p>
      <w:pPr>
        <w:spacing w:after="0" w:line="57" w:lineRule="exact"/>
        <w:rPr>
          <w:sz w:val="20"/>
          <w:szCs w:val="20"/>
          <w:color w:val="auto"/>
        </w:rPr>
      </w:pPr>
    </w:p>
    <w:p>
      <w:pPr>
        <w:ind w:left="700" w:right="60" w:firstLine="225"/>
        <w:spacing w:after="0" w:line="257" w:lineRule="auto"/>
        <w:rPr>
          <w:sz w:val="20"/>
          <w:szCs w:val="20"/>
          <w:color w:val="auto"/>
        </w:rPr>
      </w:pPr>
      <w:r>
        <w:rPr>
          <w:rFonts w:ascii="Arial" w:cs="Arial" w:eastAsia="Arial" w:hAnsi="Arial"/>
          <w:sz w:val="18"/>
          <w:szCs w:val="18"/>
          <w:color w:val="auto"/>
        </w:rPr>
        <w:t>On August 5, 2009, the Company closed the sale of 8,360,000 shares of its common stock, including 960,000 shares sold pursuant to the full exercise of an over-allotment option previously granted to the underwriters of the offering, at a public offering price of $7.35 per share. The Company’s principal stockholder purchased 1,000,000 of these shares from the underwriters at a price per share of $8.11. The sale of common stock resulted in aggregate net proceeds to the Company of approximately $59.7 million after deducting offering expenses.</w:t>
      </w:r>
    </w:p>
    <w:p>
      <w:pPr>
        <w:spacing w:after="0" w:line="80" w:lineRule="exact"/>
        <w:rPr>
          <w:sz w:val="20"/>
          <w:szCs w:val="20"/>
          <w:color w:val="auto"/>
        </w:rPr>
      </w:pPr>
    </w:p>
    <w:p>
      <w:pPr>
        <w:ind w:left="700" w:right="220" w:firstLine="225"/>
        <w:spacing w:after="0" w:line="342" w:lineRule="auto"/>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 In May 2007, the Company’s stockholders approved an increase in the Company’s authorized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from 90,000,000 to 150,000,000. As of December 31, 2009, 113,025,291 shares of common stock are issued and outstanding.</w:t>
      </w:r>
    </w:p>
    <w:p>
      <w:pPr>
        <w:spacing w:after="0" w:line="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60" w:type="dxa"/>
            <w:vAlign w:val="bottom"/>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5,591,101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6,403,498</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5,117,523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5,117,523</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2,882,873</w:t>
            </w:r>
          </w:p>
        </w:tc>
        <w:tc>
          <w:tcPr>
            <w:tcW w:w="100" w:type="dxa"/>
            <w:vAlign w:val="bottom"/>
            <w:shd w:val="clear" w:color="auto" w:fill="CCEEFF"/>
          </w:tcPr>
          <w:p>
            <w:pPr>
              <w:spacing w:after="0"/>
              <w:rPr>
                <w:sz w:val="18"/>
                <w:szCs w:val="18"/>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5,947,408</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3,419,533</w:t>
            </w:r>
          </w:p>
        </w:tc>
        <w:tc>
          <w:tcPr>
            <w:tcW w:w="10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19,538,905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17,823,427</w:t>
            </w:r>
          </w:p>
        </w:tc>
        <w:tc>
          <w:tcPr>
            <w:tcW w:w="100" w:type="dxa"/>
            <w:vAlign w:val="bottom"/>
            <w:shd w:val="clear" w:color="auto" w:fill="CCEEFF"/>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140" w:firstLine="225"/>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The Company is authorized to issue 10,000,000 shares of preferred stock. As of December 31, 2009, no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are issued and outstanding.</w:t>
      </w:r>
    </w:p>
    <w:p>
      <w:pPr>
        <w:spacing w:after="0" w:line="62" w:lineRule="exact"/>
        <w:rPr>
          <w:sz w:val="20"/>
          <w:szCs w:val="20"/>
          <w:color w:val="auto"/>
        </w:rPr>
      </w:pPr>
    </w:p>
    <w:p>
      <w:pPr>
        <w:ind w:left="700" w:right="200" w:firstLine="225"/>
        <w:spacing w:after="0" w:line="264"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 In August 2007, the registration rights of the holders of 17,132,000 shares of common stock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to purchase up to 2,882,873 shares of common stock, all of which were issued in the August 2005 private placement, expired. All of the warrants remained outstanding as of December 31, 2009.</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10. Stock award plans</w:t>
      </w:r>
    </w:p>
    <w:p>
      <w:pPr>
        <w:spacing w:after="0" w:line="121" w:lineRule="exact"/>
        <w:rPr>
          <w:sz w:val="20"/>
          <w:szCs w:val="20"/>
          <w:color w:val="auto"/>
        </w:rPr>
      </w:pPr>
    </w:p>
    <w:p>
      <w:pPr>
        <w:ind w:left="700" w:firstLine="215"/>
        <w:spacing w:after="0" w:line="290" w:lineRule="auto"/>
        <w:rPr>
          <w:sz w:val="20"/>
          <w:szCs w:val="20"/>
          <w:color w:val="auto"/>
        </w:rPr>
      </w:pPr>
      <w:r>
        <w:rPr>
          <w:rFonts w:ascii="Arial" w:cs="Arial" w:eastAsia="Arial" w:hAnsi="Arial"/>
          <w:sz w:val="16"/>
          <w:szCs w:val="16"/>
          <w:color w:val="auto"/>
        </w:rPr>
        <w:t>As of December 31, 2009, the Company has three active stock-based compensation plans— the 2004 Equity Incentive Plan (the “Plan”), the 2004 Non-Employee Directors’ Stock Option Plan (the “NED Plan”), and the 2004 Employee Stock Purchase Plan (the “ESPP”). The Plan provides for the granting of stock awards including stock options and restricted stock units, to employees, directors and consultants. The NED Plan provides for the automatic, non-discretionary grant of options to the Company’s non-employee directors. Awards also remain outstanding at December 31, 2009 under the following inactive plans: the CTL Plan and the AlleCure Plan. There are also options outstanding to the Company’s principal stockholder at December 31, 2009 that were not granted under any plan; these options were granted during the year ended December 31, 2002, vested over four years, and have an exercise price of $25.23 per share. The following table summarizes information about the Company’s stock-based award plans as of December 31, 2009:</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Stock Units</w:t>
            </w:r>
          </w:p>
        </w:tc>
        <w:tc>
          <w:tcPr>
            <w:tcW w:w="38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2004</w:t>
            </w: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5,602,292</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left="510"/>
              <w:spacing w:after="0"/>
              <w:rPr>
                <w:sz w:val="20"/>
                <w:szCs w:val="20"/>
                <w:color w:val="auto"/>
              </w:rPr>
            </w:pPr>
            <w:r>
              <w:rPr>
                <w:rFonts w:ascii="Arial" w:cs="Arial" w:eastAsia="Arial" w:hAnsi="Arial"/>
                <w:sz w:val="18"/>
                <w:szCs w:val="18"/>
                <w:color w:val="auto"/>
                <w:w w:val="89"/>
              </w:rPr>
              <w:t>3,419,533</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6,105,566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2004</w:t>
            </w:r>
          </w:p>
        </w:tc>
        <w:tc>
          <w:tcPr>
            <w:tcW w:w="484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537,500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294,500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CTL and AlleCure Plans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Options outside of any plan granted to principal stockholder</w:t>
            </w:r>
          </w:p>
        </w:tc>
        <w:tc>
          <w:tcPr>
            <w:tcW w:w="2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240,971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w:t>
            </w:r>
          </w:p>
        </w:tc>
        <w:tc>
          <w:tcPr>
            <w:tcW w:w="4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6,403,498</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left="510"/>
              <w:spacing w:after="0"/>
              <w:rPr>
                <w:sz w:val="20"/>
                <w:szCs w:val="20"/>
                <w:color w:val="auto"/>
              </w:rPr>
            </w:pPr>
            <w:r>
              <w:rPr>
                <w:rFonts w:ascii="Arial" w:cs="Arial" w:eastAsia="Arial" w:hAnsi="Arial"/>
                <w:sz w:val="18"/>
                <w:szCs w:val="18"/>
                <w:color w:val="auto"/>
                <w:w w:val="89"/>
              </w:rPr>
              <w:t>3,419,533</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6,400,066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firstLine="222"/>
        <w:spacing w:after="0" w:line="253" w:lineRule="auto"/>
        <w:rPr>
          <w:sz w:val="20"/>
          <w:szCs w:val="20"/>
          <w:color w:val="auto"/>
        </w:rPr>
      </w:pPr>
      <w:r>
        <w:rPr>
          <w:rFonts w:ascii="Arial" w:cs="Arial" w:eastAsia="Arial" w:hAnsi="Arial"/>
          <w:sz w:val="18"/>
          <w:szCs w:val="18"/>
          <w:color w:val="auto"/>
        </w:rPr>
        <w:t>The Company’s board of directors determines eligibility, vesting schedules and exercise prices for stock awards granted under the Plan. The NED Plan provides for automatic, non-discretionary grant of options to the Company’s non-employee directors. Options and other stock awards under the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Certain performance-based awards vest upon achieving three pre-determined performance milestones which are expected to occur over periods ranging from 27 months to 42 months from the date of grant. The Plan provides for full acceleration of vesting if an employee is terminated within thirteen months of a change in control, as defined.</w:t>
      </w:r>
    </w:p>
    <w:p>
      <w:pPr>
        <w:spacing w:after="0" w:line="89" w:lineRule="exact"/>
        <w:rPr>
          <w:sz w:val="20"/>
          <w:szCs w:val="20"/>
          <w:color w:val="auto"/>
        </w:rPr>
      </w:pPr>
    </w:p>
    <w:p>
      <w:pPr>
        <w:ind w:left="700" w:right="40" w:firstLine="225"/>
        <w:spacing w:after="0" w:line="257" w:lineRule="auto"/>
        <w:rPr>
          <w:sz w:val="20"/>
          <w:szCs w:val="20"/>
          <w:color w:val="auto"/>
        </w:rPr>
      </w:pPr>
      <w:r>
        <w:rPr>
          <w:rFonts w:ascii="Arial" w:cs="Arial" w:eastAsia="Arial" w:hAnsi="Arial"/>
          <w:sz w:val="18"/>
          <w:szCs w:val="18"/>
          <w:color w:val="auto"/>
        </w:rPr>
        <w:t>On February 6, 2008, the Compensation Committee approved a management proposal designed to encourage employee retention. The proposal involved the issuance of restricted stock units to the majority of employees and executive officers of the Company. A total of 1,678,674 restricted stock units were granted under the Plan. These units fully vested on June 30, 2009. Stock compensation expense associated with these grants was recorded on a straight line basis from February 6, 2008 through June 30, 2009 and was approximately $11.0 million.</w:t>
      </w:r>
    </w:p>
    <w:p>
      <w:pPr>
        <w:spacing w:after="0" w:line="80" w:lineRule="exact"/>
        <w:rPr>
          <w:sz w:val="20"/>
          <w:szCs w:val="20"/>
          <w:color w:val="auto"/>
        </w:rPr>
      </w:pPr>
    </w:p>
    <w:p>
      <w:pPr>
        <w:ind w:left="700" w:firstLine="225"/>
        <w:spacing w:after="0" w:line="277" w:lineRule="auto"/>
        <w:rPr>
          <w:sz w:val="20"/>
          <w:szCs w:val="20"/>
          <w:color w:val="auto"/>
        </w:rPr>
      </w:pPr>
      <w:r>
        <w:rPr>
          <w:rFonts w:ascii="Arial" w:cs="Arial" w:eastAsia="Arial" w:hAnsi="Arial"/>
          <w:sz w:val="18"/>
          <w:szCs w:val="18"/>
          <w:color w:val="auto"/>
        </w:rPr>
        <w:t>On May 22, 2008, the Company’s stockholders approved an amendment to the Plan to increase the number of shares of common stock available for issuance under the plan by 5,000,000 shares.</w:t>
      </w:r>
    </w:p>
    <w:p>
      <w:pPr>
        <w:spacing w:after="0" w:line="62" w:lineRule="exact"/>
        <w:rPr>
          <w:sz w:val="20"/>
          <w:szCs w:val="20"/>
          <w:color w:val="auto"/>
        </w:rPr>
      </w:pPr>
    </w:p>
    <w:p>
      <w:pPr>
        <w:jc w:val="both"/>
        <w:ind w:left="700" w:right="60" w:firstLine="225"/>
        <w:spacing w:after="0" w:line="264" w:lineRule="auto"/>
        <w:rPr>
          <w:sz w:val="20"/>
          <w:szCs w:val="20"/>
          <w:color w:val="auto"/>
        </w:rPr>
      </w:pPr>
      <w:r>
        <w:rPr>
          <w:rFonts w:ascii="Arial" w:cs="Arial" w:eastAsia="Arial" w:hAnsi="Arial"/>
          <w:sz w:val="18"/>
          <w:szCs w:val="18"/>
          <w:color w:val="auto"/>
        </w:rPr>
        <w:t>On July 9, 2008, the Company announced an Offer to Exchange Outstanding Options to Purchase Common Stock (the “Offer”) under which the Company offered eligible employees the opportunity to exchange up to an aggregate of 5,417,840 shares underlying their out-of-the money stock options, on a grant by grant basis, for a reduced number</w:t>
      </w:r>
    </w:p>
    <w:p>
      <w:pPr>
        <w:sectPr>
          <w:pgSz w:w="11900" w:h="16838" w:orient="portrait"/>
          <w:cols w:equalWidth="0" w:num="1">
            <w:col w:w="10620"/>
          </w:cols>
          <w:pgMar w:left="240" w:top="419" w:right="1039" w:bottom="1440" w:gutter="0" w:footer="0" w:header="0"/>
        </w:sectPr>
      </w:pP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700" w:right="160"/>
        <w:spacing w:after="0" w:line="255" w:lineRule="auto"/>
        <w:rPr>
          <w:sz w:val="20"/>
          <w:szCs w:val="20"/>
          <w:color w:val="auto"/>
        </w:rPr>
      </w:pPr>
      <w:r>
        <w:rPr>
          <w:rFonts w:ascii="Arial" w:cs="Arial" w:eastAsia="Arial" w:hAnsi="Arial"/>
          <w:sz w:val="18"/>
          <w:szCs w:val="18"/>
          <w:color w:val="auto"/>
        </w:rPr>
        <w:t>of restricted stock units. The Offer expired on August 6, 2008. Pursuant to the Offer, the Company accepted for exchange options to purchase an aggregate of 4,493,509 shares of the Company’s common stock and issued restricted stock units covering an aggregate of 2,246,781 shares of the Company’s common stock. For the restricted stock units issued pursuant to the offer, both the remaining estimated unamortized stock compensation expense related to the exchanged options of approximately $13.9 million and the estimated incremental stock compensation expense resulting from the exchange of approximately $3.7 million is being amortized over the vesting periods of the restricted stock units.</w:t>
      </w:r>
    </w:p>
    <w:p>
      <w:pPr>
        <w:spacing w:after="0" w:line="85" w:lineRule="exact"/>
        <w:rPr>
          <w:sz w:val="20"/>
          <w:szCs w:val="20"/>
          <w:color w:val="auto"/>
        </w:rPr>
      </w:pPr>
    </w:p>
    <w:p>
      <w:pPr>
        <w:ind w:left="700" w:right="60" w:firstLine="225"/>
        <w:spacing w:after="0" w:line="287" w:lineRule="auto"/>
        <w:rPr>
          <w:sz w:val="20"/>
          <w:szCs w:val="20"/>
          <w:color w:val="auto"/>
        </w:rPr>
      </w:pPr>
      <w:r>
        <w:rPr>
          <w:rFonts w:ascii="Arial" w:cs="Arial" w:eastAsia="Arial" w:hAnsi="Arial"/>
          <w:sz w:val="16"/>
          <w:szCs w:val="16"/>
          <w:color w:val="auto"/>
        </w:rPr>
        <w:t>In March 2004, the Company’s board of directors approved the ESPP, which became effective upon the closing of the Company’s initial public offering. Initially, the aggregate number of shares that could be sold under the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2007, 2008 and 2009 the ESPP share reserve was increased by 700,000, 700,000 and 700,000 shares, respectively. In November 2006, the Company’s board of directors approved a decrease of 2.6 million shares to the reserve in order to make additional shares available for the Company’s December 2006 offerings (see Note 1 — Description of Business and Basis of Presentation— Public Offerings). As of December 31, 2009, 1,354,970 shares were available for issuance under the ESPP. For the years ended December 31, 2007, 2008 and 2009 the Company sold 124,011, 349,317 and 322,518 shares, respectively, of its common stock to employees participating in the ESPP.</w:t>
      </w:r>
    </w:p>
    <w:p>
      <w:pPr>
        <w:spacing w:after="0" w:line="65"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6"/>
          <w:szCs w:val="16"/>
          <w:color w:val="auto"/>
        </w:rPr>
        <w:t>In accordance with ASC 718, share-based payment transactions are recognized as compensation cost based on the fair value of the instrument on the date of grant. The Company accounts for non-employee stock-based compensation expense based on the estimated fair value of the options, determined using the Black-Scholes option valuation model and amortizes such expense on a straight-line basis. In November 2004, pursuant to assignment agreements with two consultants, the Company issued 200 shares of its common stock under the Plan. The Company agreed to issue 99,800 additional shares upon the achievement of certain milestones specified in consulting agreements and for the year ended December 31, 2004, the Company recorded approximately $1.1 million in stock-based compensation expense related to these agreements. In November 2005, 39,800 of the 99,800 shares were issued to the consultants and the Company decreased stock-based compensation expense by approximately $146,000 based on the fair market value of the shares when issued. In September 2007, the next milestone was considered probable and the Company decreased stock compensation expense by approximately $115,000 based on the fair market value of the shares. In October 2007, the second milestone was met and 30,000 shares were issued. In December 2007, the third milestone was considered probable of achievement and the Company recognized stock compensation expense of approximately $238,000. In January 2008, the final milestone was met and 30,000 shares were issued. As of December 31, 2009, there were 313,191 options outstanding to consultants.</w:t>
      </w:r>
    </w:p>
    <w:p>
      <w:pPr>
        <w:spacing w:after="0" w:line="67" w:lineRule="exact"/>
        <w:rPr>
          <w:sz w:val="20"/>
          <w:szCs w:val="20"/>
          <w:color w:val="auto"/>
        </w:rPr>
      </w:pPr>
    </w:p>
    <w:p>
      <w:pPr>
        <w:ind w:left="700" w:right="220" w:firstLine="225"/>
        <w:spacing w:after="0" w:line="277" w:lineRule="auto"/>
        <w:rPr>
          <w:sz w:val="20"/>
          <w:szCs w:val="20"/>
          <w:color w:val="auto"/>
        </w:rPr>
      </w:pPr>
      <w:r>
        <w:rPr>
          <w:rFonts w:ascii="Arial" w:cs="Arial" w:eastAsia="Arial" w:hAnsi="Arial"/>
          <w:sz w:val="18"/>
          <w:szCs w:val="18"/>
          <w:color w:val="auto"/>
        </w:rPr>
        <w:t>During the years ended December 31, 2007, 2008 and 2009 the Company recorded stock-based compensation expense related to its stock award plans and the ESPP of $17.6 million, $24.8 million and $20.2 million respectively.</w:t>
      </w:r>
    </w:p>
    <w:p>
      <w:pPr>
        <w:spacing w:after="0" w:line="62" w:lineRule="exact"/>
        <w:rPr>
          <w:sz w:val="20"/>
          <w:szCs w:val="20"/>
          <w:color w:val="auto"/>
        </w:rPr>
      </w:pPr>
    </w:p>
    <w:p>
      <w:pPr>
        <w:ind w:left="700" w:right="740" w:firstLine="222"/>
        <w:spacing w:after="0" w:line="277" w:lineRule="auto"/>
        <w:rPr>
          <w:sz w:val="20"/>
          <w:szCs w:val="20"/>
          <w:color w:val="auto"/>
        </w:rPr>
      </w:pPr>
      <w:r>
        <w:rPr>
          <w:rFonts w:ascii="Arial" w:cs="Arial" w:eastAsia="Arial" w:hAnsi="Arial"/>
          <w:sz w:val="18"/>
          <w:szCs w:val="18"/>
          <w:color w:val="auto"/>
        </w:rPr>
        <w:t>Total stock-based compensation expense/(benefit) recognized in the accompanying statements of operations is as follows (in thousands):</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$ 17,513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$19,653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Consultant-related</w:t>
            </w:r>
          </w:p>
        </w:tc>
        <w:tc>
          <w:tcPr>
            <w:tcW w:w="27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24,793</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20,219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660" w:firstLine="222"/>
        <w:spacing w:after="0" w:line="277" w:lineRule="auto"/>
        <w:rPr>
          <w:sz w:val="20"/>
          <w:szCs w:val="20"/>
          <w:color w:val="auto"/>
        </w:rPr>
      </w:pPr>
      <w:r>
        <w:rPr>
          <w:rFonts w:ascii="Arial" w:cs="Arial" w:eastAsia="Arial" w:hAnsi="Arial"/>
          <w:sz w:val="18"/>
          <w:szCs w:val="18"/>
          <w:color w:val="auto"/>
        </w:rPr>
        <w:t>Total stock-based compensation expense/(benefit) recognized in the accompanying statements of operations is included in the following categories (in thousands):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$12,115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24,793</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20,219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700" w:right="1060" w:firstLine="225"/>
        <w:spacing w:after="0" w:line="312" w:lineRule="auto"/>
        <w:rPr>
          <w:sz w:val="20"/>
          <w:szCs w:val="20"/>
          <w:color w:val="auto"/>
        </w:rPr>
      </w:pPr>
      <w:r>
        <w:rPr>
          <w:rFonts w:ascii="Arial" w:cs="Arial" w:eastAsia="Arial" w:hAnsi="Arial"/>
          <w:sz w:val="16"/>
          <w:szCs w:val="16"/>
          <w:color w:val="auto"/>
        </w:rPr>
        <w:t>Included in stock compensation expense is approximately $165,100 in expense related to the modification of stock awards for two individuals during the year ended December 31, 2009. Under the terms of the modification of stock awards, these individuals’ options that were granted during their association with the Company will continue to vest over their respective modification periods.</w:t>
      </w:r>
    </w:p>
    <w:p>
      <w:pPr>
        <w:spacing w:after="0" w:line="39" w:lineRule="exact"/>
        <w:rPr>
          <w:sz w:val="20"/>
          <w:szCs w:val="20"/>
          <w:color w:val="auto"/>
        </w:rPr>
      </w:pPr>
    </w:p>
    <w:p>
      <w:pPr>
        <w:ind w:left="700" w:right="980" w:firstLine="222"/>
        <w:spacing w:after="0" w:line="271" w:lineRule="auto"/>
        <w:rPr>
          <w:sz w:val="20"/>
          <w:szCs w:val="20"/>
          <w:color w:val="auto"/>
        </w:rPr>
      </w:pPr>
      <w:r>
        <w:rPr>
          <w:rFonts w:ascii="Arial" w:cs="Arial" w:eastAsia="Arial" w:hAnsi="Arial"/>
          <w:sz w:val="17"/>
          <w:szCs w:val="17"/>
          <w:color w:val="auto"/>
        </w:rPr>
        <w:t>The Company uses the Black-Scholes option valuation model to estimate the grant date fair value of employee stock options. The expected life of the option is estimated using the “simplified” method as provided in SEC Staff Accounting Bulletin No. 107 (SAB No. 107). Under this method, the expected life equals the arithmetic average of the vesting term and the original contractual term of the options. The Company estimates volatility using the historical volatility of its stock.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for the years ended December 31, 2008 and 2009 using the following assumptions:</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336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Year Ended December 31,</w:t>
            </w:r>
          </w:p>
        </w:tc>
        <w:tc>
          <w:tcPr>
            <w:tcW w:w="1960" w:type="dxa"/>
            <w:vAlign w:val="bottom"/>
            <w:tcBorders>
              <w:bottom w:val="single" w:sz="8" w:color="auto"/>
            </w:tcBorders>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340" w:type="dxa"/>
            <w:vAlign w:val="bottom"/>
            <w:tcBorders>
              <w:bottom w:val="single" w:sz="8" w:color="auto"/>
            </w:tcBorders>
          </w:tcPr>
          <w:p>
            <w:pPr>
              <w:jc w:val="right"/>
              <w:ind w:right="1236"/>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274"/>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gridSpan w:val="3"/>
            <w:shd w:val="clear" w:color="auto" w:fill="CCEEFF"/>
          </w:tcPr>
          <w:p>
            <w:pPr>
              <w:jc w:val="right"/>
              <w:ind w:right="1460"/>
              <w:spacing w:after="0"/>
              <w:rPr>
                <w:sz w:val="20"/>
                <w:szCs w:val="20"/>
                <w:color w:val="auto"/>
              </w:rPr>
            </w:pPr>
            <w:r>
              <w:rPr>
                <w:rFonts w:ascii="Arial" w:cs="Arial" w:eastAsia="Arial" w:hAnsi="Arial"/>
                <w:sz w:val="18"/>
                <w:szCs w:val="18"/>
                <w:color w:val="auto"/>
              </w:rPr>
              <w:t>2.64% — 3.69%</w:t>
            </w:r>
          </w:p>
        </w:tc>
        <w:tc>
          <w:tcPr>
            <w:tcW w:w="19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2.16% — 3.07%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Expected lives</w:t>
            </w:r>
          </w:p>
        </w:tc>
        <w:tc>
          <w:tcPr>
            <w:tcW w:w="3360" w:type="dxa"/>
            <w:vAlign w:val="bottom"/>
            <w:gridSpan w:val="3"/>
          </w:tcPr>
          <w:p>
            <w:pPr>
              <w:jc w:val="right"/>
              <w:ind w:right="1620"/>
              <w:spacing w:after="0"/>
              <w:rPr>
                <w:sz w:val="20"/>
                <w:szCs w:val="20"/>
                <w:color w:val="auto"/>
              </w:rPr>
            </w:pPr>
            <w:r>
              <w:rPr>
                <w:rFonts w:ascii="Arial" w:cs="Arial" w:eastAsia="Arial" w:hAnsi="Arial"/>
                <w:sz w:val="18"/>
                <w:szCs w:val="18"/>
                <w:color w:val="auto"/>
              </w:rPr>
              <w:t>5.6 — 6.1 years</w:t>
            </w:r>
          </w:p>
        </w:tc>
        <w:tc>
          <w:tcPr>
            <w:tcW w:w="1960" w:type="dxa"/>
            <w:vAlign w:val="bottom"/>
          </w:tcPr>
          <w:p>
            <w:pPr>
              <w:jc w:val="right"/>
              <w:ind w:right="534"/>
              <w:spacing w:after="0"/>
              <w:rPr>
                <w:sz w:val="20"/>
                <w:szCs w:val="20"/>
                <w:color w:val="auto"/>
              </w:rPr>
            </w:pPr>
            <w:r>
              <w:rPr>
                <w:rFonts w:ascii="Arial" w:cs="Arial" w:eastAsia="Arial" w:hAnsi="Arial"/>
                <w:sz w:val="18"/>
                <w:szCs w:val="18"/>
                <w:color w:val="auto"/>
              </w:rPr>
              <w:t>5.8 — 6.1 years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gridSpan w:val="3"/>
            <w:shd w:val="clear" w:color="auto" w:fill="CCEEFF"/>
          </w:tcPr>
          <w:p>
            <w:pPr>
              <w:jc w:val="right"/>
              <w:ind w:right="1460"/>
              <w:spacing w:after="0"/>
              <w:rPr>
                <w:sz w:val="20"/>
                <w:szCs w:val="20"/>
                <w:color w:val="auto"/>
              </w:rPr>
            </w:pPr>
            <w:r>
              <w:rPr>
                <w:rFonts w:ascii="Arial" w:cs="Arial" w:eastAsia="Arial" w:hAnsi="Arial"/>
                <w:sz w:val="18"/>
                <w:szCs w:val="18"/>
                <w:color w:val="auto"/>
              </w:rPr>
              <w:t>55% — 77%</w:t>
            </w:r>
          </w:p>
        </w:tc>
        <w:tc>
          <w:tcPr>
            <w:tcW w:w="19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78% — 80%</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Dividends</w:t>
            </w:r>
          </w:p>
        </w:tc>
        <w:tc>
          <w:tcPr>
            <w:tcW w:w="3360" w:type="dxa"/>
            <w:vAlign w:val="bottom"/>
            <w:gridSpan w:val="3"/>
          </w:tcPr>
          <w:p>
            <w:pPr>
              <w:jc w:val="right"/>
              <w:ind w:right="16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34"/>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38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3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3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Value ($000)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6,216,698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13.94</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1,639,845</w:t>
            </w:r>
          </w:p>
        </w:tc>
        <w:tc>
          <w:tcPr>
            <w:tcW w:w="240" w:type="dxa"/>
            <w:vAlign w:val="bottom"/>
          </w:tcPr>
          <w:p>
            <w:pPr>
              <w:spacing w:after="0"/>
              <w:rPr>
                <w:sz w:val="18"/>
                <w:szCs w:val="18"/>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10.48</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$5.86</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(606,833)</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8.11</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7"/>
              </w:rPr>
              <w:t>1,252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Forfeit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(252,016)</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14.11</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(111,036)</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12.66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700"/>
              <w:spacing w:after="0"/>
              <w:rPr>
                <w:sz w:val="20"/>
                <w:szCs w:val="20"/>
                <w:color w:val="auto"/>
              </w:rPr>
            </w:pPr>
            <w:r>
              <w:rPr>
                <w:rFonts w:ascii="Arial" w:cs="Arial" w:eastAsia="Arial" w:hAnsi="Arial"/>
                <w:sz w:val="18"/>
                <w:szCs w:val="18"/>
                <w:color w:val="auto"/>
              </w:rPr>
              <w:t>Outstanding at December 31, 2007</w:t>
            </w:r>
          </w:p>
        </w:tc>
        <w:tc>
          <w:tcPr>
            <w:tcW w:w="2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6,886,658</w:t>
            </w:r>
          </w:p>
        </w:tc>
        <w:tc>
          <w:tcPr>
            <w:tcW w:w="240" w:type="dxa"/>
            <w:vAlign w:val="bottom"/>
          </w:tcPr>
          <w:p>
            <w:pPr>
              <w:spacing w:after="0"/>
              <w:rPr>
                <w:sz w:val="19"/>
                <w:szCs w:val="19"/>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13.64</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3,903,370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3.43</w:t>
            </w:r>
          </w:p>
        </w:tc>
        <w:tc>
          <w:tcPr>
            <w:tcW w:w="13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(2,669,230)</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12.56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Expired</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(2,529,697)</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13.86</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5,591,101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6.97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7"/>
              </w:rPr>
              <w:t>1,292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1,156,400</w:t>
            </w:r>
          </w:p>
        </w:tc>
        <w:tc>
          <w:tcPr>
            <w:tcW w:w="240" w:type="dxa"/>
            <w:vAlign w:val="bottom"/>
          </w:tcPr>
          <w:p>
            <w:pPr>
              <w:spacing w:after="0"/>
              <w:rPr>
                <w:sz w:val="18"/>
                <w:szCs w:val="18"/>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7.41</w:t>
            </w: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$5.15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(94,413)</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4.06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Forfeit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(153,383)</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3.67</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(96,207)</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10.43</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700"/>
              <w:spacing w:after="0"/>
              <w:rPr>
                <w:sz w:val="20"/>
                <w:szCs w:val="20"/>
                <w:color w:val="auto"/>
              </w:rPr>
            </w:pPr>
            <w:r>
              <w:rPr>
                <w:rFonts w:ascii="Arial" w:cs="Arial" w:eastAsia="Arial" w:hAnsi="Arial"/>
                <w:sz w:val="18"/>
                <w:szCs w:val="18"/>
                <w:color w:val="auto"/>
              </w:rPr>
              <w:t>Outstanding at December 31, 2009</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6,403,498</w:t>
            </w:r>
          </w:p>
        </w:tc>
        <w:tc>
          <w:tcPr>
            <w:tcW w:w="240" w:type="dxa"/>
            <w:vAlign w:val="bottom"/>
          </w:tcPr>
          <w:p>
            <w:pPr>
              <w:spacing w:after="0"/>
              <w:rPr>
                <w:sz w:val="19"/>
                <w:szCs w:val="19"/>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7.20</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gridSpan w:val="3"/>
          </w:tcPr>
          <w:p>
            <w:pPr>
              <w:jc w:val="right"/>
              <w:ind w:right="230"/>
              <w:spacing w:after="0"/>
              <w:rPr>
                <w:sz w:val="20"/>
                <w:szCs w:val="20"/>
                <w:color w:val="auto"/>
              </w:rPr>
            </w:pPr>
            <w:r>
              <w:rPr>
                <w:rFonts w:ascii="Arial" w:cs="Arial" w:eastAsia="Arial" w:hAnsi="Arial"/>
                <w:sz w:val="18"/>
                <w:szCs w:val="18"/>
                <w:color w:val="auto"/>
              </w:rPr>
              <w:t>$20,422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6,089,899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7.32</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$19,201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Exercisable at December 31, 2009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2,938,321</w:t>
            </w:r>
          </w:p>
        </w:tc>
        <w:tc>
          <w:tcPr>
            <w:tcW w:w="240" w:type="dxa"/>
            <w:vAlign w:val="bottom"/>
          </w:tcPr>
          <w:p>
            <w:pPr>
              <w:spacing w:after="0"/>
              <w:rPr>
                <w:sz w:val="20"/>
                <w:szCs w:val="20"/>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9.86</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30"/>
              <w:spacing w:after="0"/>
              <w:rPr>
                <w:sz w:val="20"/>
                <w:szCs w:val="20"/>
                <w:color w:val="auto"/>
              </w:rPr>
            </w:pPr>
            <w:r>
              <w:rPr>
                <w:rFonts w:ascii="Arial" w:cs="Arial" w:eastAsia="Arial" w:hAnsi="Arial"/>
                <w:sz w:val="18"/>
                <w:szCs w:val="18"/>
                <w:color w:val="auto"/>
                <w:w w:val="97"/>
              </w:rPr>
              <w:t>6,931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20" w:type="dxa"/>
            <w:vAlign w:val="bottom"/>
            <w:gridSpan w:val="2"/>
          </w:tcPr>
          <w:p>
            <w:pPr>
              <w:jc w:val="right"/>
              <w:ind w:right="358"/>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summary of the status of the Company’s nonvested stock options for the year ended December 31, 2009, is presented below:</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3,986,022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1,156,400</w:t>
            </w:r>
          </w:p>
        </w:tc>
        <w:tc>
          <w:tcPr>
            <w:tcW w:w="30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(1,523,862)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(153,383)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3,465,177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80" w:firstLine="225"/>
        <w:spacing w:after="0" w:line="259" w:lineRule="auto"/>
        <w:rPr>
          <w:sz w:val="20"/>
          <w:szCs w:val="20"/>
          <w:color w:val="auto"/>
        </w:rPr>
      </w:pPr>
      <w:r>
        <w:rPr>
          <w:rFonts w:ascii="Arial" w:cs="Arial" w:eastAsia="Arial" w:hAnsi="Arial"/>
          <w:sz w:val="18"/>
          <w:szCs w:val="18"/>
          <w:color w:val="auto"/>
        </w:rPr>
        <w:t>Cash received from the exercise of options during the years ended December 31, 2007 and 2009 was approximately $4.9 million and $383,000, respectively. There were no stock options exercised during the year ended December 31, 2008. The weighted-average remaining contractual terms for options outstanding, vested or expected to vest, and exercisable at December 31, 2009 was 8.9 years, 7.4 years and 5.9 years, respectively.</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summary of restricted stock units activity for the years ended December 31, 2007, 2008 and 2009 is presented below:</w:t>
      </w: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3"/>
          </w:tcPr>
          <w:p>
            <w:pPr>
              <w:jc w:val="center"/>
              <w:ind w:left="91"/>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776,653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876,575</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(91,557)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1,359,662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5,135,000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(328,449)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(218,805)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5,947,408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1,095,900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(3,145,375)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(478,400)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3,419,533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total fair value of restricted stock units vested during the years ended December 31, 2007, 2008 and 2009 was $1.9 million,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$1.2 million and $23.6 million, respectively. The weighted-average remaining contractual terms for restricted stock units outstanding at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December 31, 2009 was 8.8 years. As of December 31, 2009, there were 49,988 restricted stock units outstanding to five consultants.</w:t>
      </w:r>
    </w:p>
    <w:p>
      <w:pPr>
        <w:spacing w:after="0" w:line="126" w:lineRule="exact"/>
        <w:rPr>
          <w:sz w:val="20"/>
          <w:szCs w:val="20"/>
          <w:color w:val="auto"/>
        </w:rPr>
      </w:pPr>
    </w:p>
    <w:p>
      <w:pPr>
        <w:ind w:left="700" w:right="560" w:firstLine="215"/>
        <w:spacing w:after="0" w:line="342" w:lineRule="auto"/>
        <w:rPr>
          <w:sz w:val="20"/>
          <w:szCs w:val="20"/>
          <w:color w:val="auto"/>
        </w:rPr>
      </w:pPr>
      <w:r>
        <w:rPr>
          <w:rFonts w:ascii="Arial" w:cs="Arial" w:eastAsia="Arial" w:hAnsi="Arial"/>
          <w:sz w:val="16"/>
          <w:szCs w:val="16"/>
          <w:color w:val="auto"/>
        </w:rPr>
        <w:t>As of December 31, 2009, there was $12.1 million and $22.4 million of unrecognized compensation cost related to options and restricted stock units, respectively, which is expected to be recognized over the weighted average vesting period of 2.3 years.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11. Warrants</w:t>
      </w:r>
    </w:p>
    <w:p>
      <w:pPr>
        <w:spacing w:after="0" w:line="121" w:lineRule="exact"/>
        <w:rPr>
          <w:sz w:val="20"/>
          <w:szCs w:val="20"/>
          <w:color w:val="auto"/>
        </w:rPr>
      </w:pPr>
    </w:p>
    <w:p>
      <w:pPr>
        <w:jc w:val="both"/>
        <w:ind w:left="700" w:right="280" w:firstLine="225"/>
        <w:spacing w:after="0" w:line="264" w:lineRule="auto"/>
        <w:rPr>
          <w:sz w:val="20"/>
          <w:szCs w:val="20"/>
          <w:color w:val="auto"/>
        </w:rPr>
      </w:pPr>
      <w:r>
        <w:rPr>
          <w:rFonts w:ascii="Arial" w:cs="Arial" w:eastAsia="Arial" w:hAnsi="Arial"/>
          <w:sz w:val="18"/>
          <w:szCs w:val="18"/>
          <w:color w:val="auto"/>
        </w:rPr>
        <w:t>During 1995 and 1996, the Company issued warrants to purchase shares of common stock. The warrants contain provisions for the adjustment of the exercise price and the number of shares issuable upon the exercise of the warrant in the event the Company declares any stock dividends or effects any stock split, reclassification or</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700" w:right="20"/>
        <w:spacing w:after="0" w:line="272" w:lineRule="auto"/>
        <w:rPr>
          <w:sz w:val="20"/>
          <w:szCs w:val="20"/>
          <w:color w:val="auto"/>
        </w:rPr>
      </w:pPr>
      <w:r>
        <w:rPr>
          <w:rFonts w:ascii="Arial" w:cs="Arial" w:eastAsia="Arial" w:hAnsi="Arial"/>
          <w:sz w:val="17"/>
          <w:szCs w:val="17"/>
          <w:color w:val="auto"/>
        </w:rPr>
        <w:t>consolidation of its common stock. The warrants also contain a provision that provides for an adjustment to the exercise price and the number of shares issuable in the event that the Company issues securities for a per share price less than a specified price. As of December 31, 2004, warrants to purchase 131,628 shares of common stock were outstanding. During the second quarter ended June 30, 2005, warrants to purchase 110,888 shares of common stock were exchanged for 24,210 shares of common stock resulting in stock-based compensation expense of $245,000 based on a fair market value of the common stock of $10.12 per share. Warrants to purchase 8,304 shares of common stock expired during 2005. The remaining warrants to purchase 12,459 shares of common stock at a weighted average exercise price of $12.64 per share all expired unexercised on December 1, 2007.</w:t>
      </w:r>
    </w:p>
    <w:p>
      <w:pPr>
        <w:spacing w:after="0" w:line="70" w:lineRule="exact"/>
        <w:rPr>
          <w:sz w:val="20"/>
          <w:szCs w:val="20"/>
          <w:color w:val="auto"/>
        </w:rPr>
      </w:pPr>
    </w:p>
    <w:p>
      <w:pPr>
        <w:ind w:left="700" w:right="80" w:firstLine="225"/>
        <w:spacing w:after="0" w:line="255" w:lineRule="auto"/>
        <w:rPr>
          <w:sz w:val="20"/>
          <w:szCs w:val="20"/>
          <w:color w:val="auto"/>
        </w:rPr>
      </w:pPr>
      <w:r>
        <w:rPr>
          <w:rFonts w:ascii="Arial" w:cs="Arial" w:eastAsia="Arial" w:hAnsi="Arial"/>
          <w:sz w:val="18"/>
          <w:szCs w:val="18"/>
          <w:color w:val="auto"/>
        </w:rPr>
        <w:t>In connection with the sale of common stock in the private placement which closed on August 5, 2005, the Company concurrently issued warrants to purchase up to 3,426,000 shares of common stock at an exercise price of $12.228 per share. See also Note 9 — Common and Preferred Stock — Private Placement. These warrants became exercisable on February 1, 2006 and expire in August 2010. During the year ended December 31, 2006, approximately 543,000 warrants were exercised and net settled for approximately 339,000 shares. As of December 31, 2009, warrants to purchase 2,882,873 shares of common stock remained outstanding. As of December 31, 2009, all warrants were exercisable.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700" w:right="340" w:firstLine="225"/>
        <w:spacing w:after="0" w:line="264"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 Company leases certain facilities and equipment under various operating leases, which expire 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dates through 2013. Future minimum rental payments required under operating leases are as follows at December 31, 2009 (in thousands):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420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2011</w:t>
            </w:r>
          </w:p>
        </w:tc>
        <w:tc>
          <w:tcPr>
            <w:tcW w:w="4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2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After 2012</w:t>
            </w:r>
          </w:p>
        </w:tc>
        <w:tc>
          <w:tcPr>
            <w:tcW w:w="3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440" w:firstLine="225"/>
        <w:spacing w:after="0" w:line="277" w:lineRule="auto"/>
        <w:rPr>
          <w:sz w:val="20"/>
          <w:szCs w:val="20"/>
          <w:color w:val="auto"/>
        </w:rPr>
      </w:pPr>
      <w:r>
        <w:rPr>
          <w:rFonts w:ascii="Arial" w:cs="Arial" w:eastAsia="Arial" w:hAnsi="Arial"/>
          <w:sz w:val="18"/>
          <w:szCs w:val="18"/>
          <w:color w:val="auto"/>
        </w:rPr>
        <w:t>Rent expense under all operating leases for the years ended December 31, 2007, 2008 and 2009 was approximately $1.5 million, $1.7 million and $2.1 million, respectively.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 xml:space="preserve">Capital Leases </w:t>
      </w:r>
      <w:r>
        <w:rPr>
          <w:rFonts w:ascii="Arial" w:cs="Arial" w:eastAsia="Arial" w:hAnsi="Arial"/>
          <w:sz w:val="17"/>
          <w:szCs w:val="17"/>
          <w:color w:val="auto"/>
        </w:rPr>
        <w:t>— The Company’s capital leases were not material for the years ended December 31, 2007, 2008 and 2009.</w:t>
      </w:r>
    </w:p>
    <w:p>
      <w:pPr>
        <w:spacing w:after="0" w:line="129" w:lineRule="exact"/>
        <w:rPr>
          <w:sz w:val="20"/>
          <w:szCs w:val="20"/>
          <w:color w:val="auto"/>
        </w:rPr>
      </w:pPr>
    </w:p>
    <w:p>
      <w:pPr>
        <w:ind w:left="700" w:right="20" w:firstLine="225"/>
        <w:spacing w:after="0" w:line="270" w:lineRule="auto"/>
        <w:rPr>
          <w:sz w:val="20"/>
          <w:szCs w:val="20"/>
          <w:color w:val="auto"/>
        </w:rPr>
      </w:pPr>
      <w:r>
        <w:rPr>
          <w:rFonts w:ascii="Arial" w:cs="Arial" w:eastAsia="Arial" w:hAnsi="Arial"/>
          <w:sz w:val="17"/>
          <w:szCs w:val="17"/>
          <w:i w:val="1"/>
          <w:iCs w:val="1"/>
          <w:color w:val="auto"/>
        </w:rPr>
        <w:t xml:space="preserve">Supply Agreement </w:t>
      </w:r>
      <w:r>
        <w:rPr>
          <w:rFonts w:ascii="Arial" w:cs="Arial" w:eastAsia="Arial" w:hAnsi="Arial"/>
          <w:sz w:val="17"/>
          <w:szCs w:val="17"/>
          <w:color w:val="auto"/>
        </w:rPr>
        <w:t>— In November 2007, the Company entered into a long-term supply agreement with Organon N.V. (“Organon”)</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Organon will manufacture and supply specified quantities of recombinant human insulin. The initial term of this supply agreement will end on December 31, 2012 and can be automatically extended for consecutive two-year terms under specified circumstances. As of December 31, 2009, the Company has annual purchase commitments through the remaining initial term aggregating to approximately $100 million. These purchases are expected to be delivered from 2010 through 2012. If the Company terminates the supply agreement following failure to obtain or maintain regulatory approval of AFREZZA or either party terminates the agreement following the parties’ inability to agree after any regulatory authority mandated changes to product specifications that relate specifically to the use of insulin in AFREZZA, the Company will be required to pay Organon a specified termination fee if Organon is unable to sell certain quantities of insulin to other parties.</w:t>
      </w:r>
    </w:p>
    <w:p>
      <w:pPr>
        <w:spacing w:after="0" w:line="74" w:lineRule="exact"/>
        <w:rPr>
          <w:sz w:val="20"/>
          <w:szCs w:val="20"/>
          <w:color w:val="auto"/>
        </w:rPr>
      </w:pPr>
    </w:p>
    <w:p>
      <w:pPr>
        <w:ind w:left="700" w:right="20" w:firstLine="225"/>
        <w:spacing w:after="0" w:line="289" w:lineRule="auto"/>
        <w:rPr>
          <w:sz w:val="20"/>
          <w:szCs w:val="20"/>
          <w:color w:val="auto"/>
        </w:rPr>
      </w:pPr>
      <w:r>
        <w:rPr>
          <w:rFonts w:ascii="Arial" w:cs="Arial" w:eastAsia="Arial" w:hAnsi="Arial"/>
          <w:sz w:val="16"/>
          <w:szCs w:val="16"/>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jc w:val="both"/>
        <w:ind w:left="700" w:right="1000" w:firstLine="225"/>
        <w:spacing w:after="0" w:line="286"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involved in various legal proceedings and other matters. In accordance with ASC 450</w:t>
      </w:r>
      <w:r>
        <w:rPr>
          <w:rFonts w:ascii="Arial" w:cs="Arial" w:eastAsia="Arial" w:hAnsi="Arial"/>
          <w:sz w:val="17"/>
          <w:szCs w:val="17"/>
          <w:i w:val="1"/>
          <w:iCs w:val="1"/>
          <w:color w:val="auto"/>
        </w:rPr>
        <w:t xml:space="preserve"> Contingencies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previously FASB Statement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the Company would record a provision for a liability when it is both probable that a liability has been incurred and the amount of the loss can be reasonably estimated.</w:t>
      </w:r>
    </w:p>
    <w:p>
      <w:pPr>
        <w:spacing w:after="0" w:line="57" w:lineRule="exact"/>
        <w:rPr>
          <w:sz w:val="20"/>
          <w:szCs w:val="20"/>
          <w:color w:val="auto"/>
        </w:rPr>
      </w:pPr>
    </w:p>
    <w:p>
      <w:pPr>
        <w:ind w:left="700" w:right="800" w:firstLine="225"/>
        <w:spacing w:after="0" w:line="285" w:lineRule="auto"/>
        <w:rPr>
          <w:sz w:val="20"/>
          <w:szCs w:val="20"/>
          <w:color w:val="auto"/>
        </w:rPr>
      </w:pPr>
      <w:r>
        <w:rPr>
          <w:rFonts w:ascii="Arial" w:cs="Arial" w:eastAsia="Arial" w:hAnsi="Arial"/>
          <w:sz w:val="16"/>
          <w:szCs w:val="16"/>
          <w:i w:val="1"/>
          <w:iCs w:val="1"/>
          <w:color w:val="auto"/>
        </w:rPr>
        <w:t xml:space="preserve">Licensing Arrangement </w:t>
      </w:r>
      <w:r>
        <w:rPr>
          <w:rFonts w:ascii="Arial" w:cs="Arial" w:eastAsia="Arial" w:hAnsi="Arial"/>
          <w:sz w:val="16"/>
          <w:szCs w:val="16"/>
          <w:color w:val="auto"/>
        </w:rPr>
        <w:t>— On October 12, 2006, the Company entered into an agreement with The Technion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Foundation Ltd. (“TRDF”), an Israeli 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$3.0 million and to issue to TRDF a total of 300,000 shares of the Company’s common stock. The license fees were to be paid and the shares issued in three equal installments. The first installment occurred on October 18, 2006. The second installment was paid on December 3, 2007. The third installment was scheduled to occur, subject to the accomplishment of certain milestones, on October 12, 2008. The Company had also agreed to pay royalties to TRDF with respect to sales of certain products that contain or use the licensed technology or are covered by patents included in the licensed technology or are discovered through the use of the licensed technology. The Company agreed to pay up to $6.0 million of the royalties in advance upon the receipt of specified regulatory approvals. The Company agreed to pay to TRDF specified percentages of any lump-sum sub-license payments that the Company received if it decided to sub-license the technology. The Company had also agreed to pay a total of $2.0 million to TRDF in three nearly equal installments to fund sponsored research to be conducted at TRDF by a team led by a faculty member at Technion. The initial sponsored research payment was made upon signing of the agreement. The second sponsored research payment occurred on December 3, 2007 and the third sponsored research payment was scheduled to occur, subject to the accomplishment of certain milestones, on October 12, 2008. The Company had also agreed to retain the services of the Technion faculty member as a consultant, for which the Company agreed to pay the consultant $60,000 per year and granted the individual an option to purchase 60,000 shares of the Company’s common stock. Under the terms of the agreement, the Company issued 100,000 shares of common stock to TRDF on October 12, 2006 and November 29, 2007, respectively. Additionally, $1.6 million in license fees were paid on October 18, 2006 and December 3, 2007, respectively. In August of 2008, the Company ended its agreement with TRDF and made no further payments for licensing fees in 2008.</w:t>
      </w:r>
    </w:p>
    <w:p>
      <w:pPr>
        <w:spacing w:after="0" w:line="3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13. Employee benefit plans</w:t>
      </w:r>
    </w:p>
    <w:p>
      <w:pPr>
        <w:spacing w:after="0" w:line="121" w:lineRule="exact"/>
        <w:rPr>
          <w:sz w:val="20"/>
          <w:szCs w:val="20"/>
          <w:color w:val="auto"/>
        </w:rPr>
      </w:pPr>
    </w:p>
    <w:p>
      <w:pPr>
        <w:ind w:left="700" w:right="1020" w:firstLine="222"/>
        <w:spacing w:after="0" w:line="264" w:lineRule="auto"/>
        <w:rPr>
          <w:sz w:val="20"/>
          <w:szCs w:val="20"/>
          <w:color w:val="auto"/>
        </w:rPr>
      </w:pPr>
      <w:r>
        <w:rPr>
          <w:rFonts w:ascii="Arial" w:cs="Arial" w:eastAsia="Arial" w:hAnsi="Arial"/>
          <w:sz w:val="18"/>
          <w:szCs w:val="18"/>
          <w:color w:val="auto"/>
        </w:rPr>
        <w:t>The Company administers a 401(k) Savings Retirement Plan (the “MannKind Retirement Plan”) for its employees. For the years ended December 31, 2007, 2008 and 2009, the Company contributed $821,000, $914,000 and $824,000 respectively, to the MannKind Retirement Plan.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700" w:right="980" w:firstLine="225"/>
        <w:spacing w:after="0" w:line="259"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2008 and 2009 are approximately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424,497</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462,913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credits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38,187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Non-qualified stock option expense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gross deferred tax assets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525,561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575,724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(525,561)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(575,724)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960" w:type="dxa"/>
            <w:vAlign w:val="bottom"/>
            <w:vMerge w:val="restart"/>
          </w:tcPr>
          <w:p>
            <w:pPr>
              <w:jc w:val="right"/>
              <w:ind w:right="2650"/>
              <w:spacing w:after="0"/>
              <w:rPr>
                <w:sz w:val="20"/>
                <w:szCs w:val="20"/>
                <w:color w:val="auto"/>
              </w:rPr>
            </w:pPr>
            <w:r>
              <w:rPr>
                <w:rFonts w:ascii="Arial" w:cs="Arial" w:eastAsia="Arial" w:hAnsi="Arial"/>
                <w:sz w:val="18"/>
                <w:szCs w:val="18"/>
                <w:color w:val="auto"/>
              </w:rPr>
              <w:t>85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effective income tax rate differs from the statutory federal income tax rate as follows for the years ended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31, 2007, 2008 and 2009:</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rate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Intercompany transfer of intellectual property</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(35.0)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100" w:firstLine="215"/>
        <w:spacing w:after="0" w:line="273" w:lineRule="auto"/>
        <w:rPr>
          <w:sz w:val="20"/>
          <w:szCs w:val="20"/>
          <w:color w:val="auto"/>
        </w:rPr>
      </w:pPr>
      <w:r>
        <w:rPr>
          <w:rFonts w:ascii="Arial" w:cs="Arial" w:eastAsia="Arial" w:hAnsi="Arial"/>
          <w:sz w:val="17"/>
          <w:szCs w:val="17"/>
          <w:color w:val="auto"/>
        </w:rPr>
        <w:t xml:space="preserve">As required by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formerly FASB Statement No. 109,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2007, 2008 and 2009, the change in the valuation allowance was $135.4 million, $138.1 million and $50.2 million, respectively, for income taxes.</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 December 31, 2009, the Company had federal and state net operating loss carryforwards of approximately $1.2 billion and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$710.1 million available, respectively, to reduce future taxable income and which will expire at various dates beginning in 2010 and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2012, respectively. As a result of the Company’s initial public offering, an ownership change within the meaning of Internal Revenue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Code Section 382 occurred in August 2004. As a result, federal net operating loss and credit carry forwards of approximately</w:t>
      </w:r>
    </w:p>
    <w:p>
      <w:pPr>
        <w:spacing w:after="0" w:line="9" w:lineRule="exact"/>
        <w:rPr>
          <w:sz w:val="20"/>
          <w:szCs w:val="20"/>
          <w:color w:val="auto"/>
        </w:rPr>
      </w:pPr>
    </w:p>
    <w:p>
      <w:pPr>
        <w:ind w:left="700" w:right="100"/>
        <w:spacing w:after="0" w:line="292" w:lineRule="auto"/>
        <w:rPr>
          <w:sz w:val="20"/>
          <w:szCs w:val="20"/>
          <w:color w:val="auto"/>
        </w:rPr>
      </w:pPr>
      <w:r>
        <w:rPr>
          <w:rFonts w:ascii="Arial" w:cs="Arial" w:eastAsia="Arial" w:hAnsi="Arial"/>
          <w:sz w:val="16"/>
          <w:szCs w:val="16"/>
          <w:color w:val="auto"/>
        </w:rPr>
        <w:t>$216.0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2009, the Company had research and development credits of $53.5 million that expire at various dates through 2030.</w:t>
      </w:r>
    </w:p>
    <w:p>
      <w:pPr>
        <w:spacing w:after="0" w:line="55" w:lineRule="exact"/>
        <w:rPr>
          <w:sz w:val="20"/>
          <w:szCs w:val="20"/>
          <w:color w:val="auto"/>
        </w:rPr>
      </w:pPr>
    </w:p>
    <w:p>
      <w:pPr>
        <w:ind w:left="700" w:firstLine="222"/>
        <w:spacing w:after="0" w:line="285" w:lineRule="auto"/>
        <w:rPr>
          <w:sz w:val="20"/>
          <w:szCs w:val="20"/>
          <w:color w:val="auto"/>
        </w:rPr>
      </w:pPr>
      <w:r>
        <w:rPr>
          <w:rFonts w:ascii="Arial" w:cs="Arial" w:eastAsia="Arial" w:hAnsi="Arial"/>
          <w:sz w:val="16"/>
          <w:szCs w:val="16"/>
          <w:color w:val="auto"/>
        </w:rPr>
        <w:t>The Company has evaluated the impact of ASC 740, previously FIN 48, on its financial statements, which was effective beginning January 1, 2007. The evaluation of a tax position in accordance with this guidance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The cumulative effect, if any, of applying ASC 740 is to be reported as an adjustment to the opening balance of retained earnings in the year of adoption. The Company did not record a cumulative effect adjustment related to the adoption of ASC 740. Tax years since 1993 remain subject to examination by the major tax jurisdictions in which the Company is subject to tax.</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left="700" w:right="80" w:firstLine="222"/>
        <w:spacing w:after="0" w:line="257" w:lineRule="auto"/>
        <w:rPr>
          <w:sz w:val="20"/>
          <w:szCs w:val="20"/>
          <w:color w:val="auto"/>
        </w:rPr>
      </w:pPr>
      <w:r>
        <w:rPr>
          <w:rFonts w:ascii="Arial" w:cs="Arial" w:eastAsia="Arial" w:hAnsi="Arial"/>
          <w:sz w:val="18"/>
          <w:szCs w:val="18"/>
          <w:color w:val="auto"/>
        </w:rPr>
        <w:t>The Company issued 8,550,446 shares of its common stock to its principal stockholder during the year ended December 31, 2005 for proceeds of approximately $87.3 million. In connection with this issuance, the board of directors approved the issuance of warrants to purchase 1,710,091 shares of the Company’s common stock at $12.228 per share, which expire on August 2, 2010. The issuance of shares and warrants to the principal stockholder was on terms identical to the other purchasers in the private placement, as approved by the Company’s board of directors.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During the year ended December 31, 2006 the principal stockholder purchased 5,750,000 shares of common stock at $17.42 per share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the Company’s December 2006 equity offering on terms identical to other purchasers resulting in proceeds of approximately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$100.1 million to the Company. In connection with the equity offering the Company paid $280,000 in filing fees related to the principal</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filings made pursuant to the Hart-Scott-Rodino Antitrust Improvement Act of 1976. During the year ended December 31,</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2006, the Company borrowed $70.0 million from its principal stockholder under the loan arrangement described in Note 7. 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December 12, 2006, in connection with the completion of their equity and convertible debt offerings, the Company paid principal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of $70.0 million and $1.6 million, respectively, under the loan arrangement.</w:t>
      </w:r>
    </w:p>
    <w:p>
      <w:pPr>
        <w:spacing w:after="0" w:line="103" w:lineRule="exact"/>
        <w:rPr>
          <w:sz w:val="20"/>
          <w:szCs w:val="20"/>
          <w:color w:val="auto"/>
        </w:rPr>
      </w:pPr>
    </w:p>
    <w:p>
      <w:pPr>
        <w:ind w:left="700" w:right="20" w:firstLine="225"/>
        <w:spacing w:after="0" w:line="253" w:lineRule="auto"/>
        <w:rPr>
          <w:sz w:val="20"/>
          <w:szCs w:val="20"/>
          <w:color w:val="auto"/>
        </w:rPr>
      </w:pPr>
      <w:r>
        <w:rPr>
          <w:rFonts w:ascii="Arial" w:cs="Arial" w:eastAsia="Arial" w:hAnsi="Arial"/>
          <w:sz w:val="18"/>
          <w:szCs w:val="18"/>
          <w:color w:val="auto"/>
        </w:rPr>
        <w:t>On October 2, 2007, the Company sold 15.9 million shares of the Company’s common stock to its principal stockholder at a price per share of $9.41 and 11.1 million shares of common stock to other investors at a price per share of $9.03. The sales of common stock resulted in aggregate net proceeds to the Company of approximately $249.8 million after deducting offering expenses. Also, on October 2, 2007, the Company entered into a loan arrangement with its principal stockholder to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As of December 31, 2009, the Company had borrowed $165.0 million under this agreement and had accrued interest of $1.9 million for the year ended December 31, 2009. See Note 7— Related-Party Loan Arrangement.</w:t>
      </w:r>
    </w:p>
    <w:p>
      <w:pPr>
        <w:spacing w:after="0" w:line="89" w:lineRule="exact"/>
        <w:rPr>
          <w:sz w:val="20"/>
          <w:szCs w:val="20"/>
          <w:color w:val="auto"/>
        </w:rPr>
      </w:pPr>
    </w:p>
    <w:p>
      <w:pPr>
        <w:ind w:left="700" w:right="40" w:firstLine="225"/>
        <w:spacing w:after="0" w:line="257" w:lineRule="auto"/>
        <w:rPr>
          <w:sz w:val="20"/>
          <w:szCs w:val="20"/>
          <w:color w:val="auto"/>
        </w:rPr>
      </w:pPr>
      <w:r>
        <w:rPr>
          <w:rFonts w:ascii="Arial" w:cs="Arial" w:eastAsia="Arial" w:hAnsi="Arial"/>
          <w:sz w:val="18"/>
          <w:szCs w:val="18"/>
          <w:color w:val="auto"/>
        </w:rPr>
        <w:t>On August 5, 2009, the Company closed the sale of 8,360,000 shares of its common stock, including 960,000 shares sold pursuant to the full exercise of an over-allotment option previously granted to the underwriters of the offering, at a public offering price of $7.35 per share. The Company’s principal stockholder purchased 1,000,000 of these shares from the underwriters at a price per share of $8.11. The sale of common stock resulted in aggregate net proceeds to the Company of approximately $59.7 million after deducting offering expenses.</w:t>
      </w:r>
    </w:p>
    <w:p>
      <w:pPr>
        <w:spacing w:after="0" w:line="80" w:lineRule="exact"/>
        <w:rPr>
          <w:sz w:val="20"/>
          <w:szCs w:val="20"/>
          <w:color w:val="auto"/>
        </w:rPr>
      </w:pPr>
    </w:p>
    <w:p>
      <w:pPr>
        <w:ind w:left="700" w:firstLine="215"/>
        <w:spacing w:after="0" w:line="257" w:lineRule="auto"/>
        <w:rPr>
          <w:sz w:val="20"/>
          <w:szCs w:val="20"/>
          <w:color w:val="auto"/>
        </w:rPr>
      </w:pPr>
      <w:r>
        <w:rPr>
          <w:rFonts w:ascii="Arial" w:cs="Arial" w:eastAsia="Arial" w:hAnsi="Arial"/>
          <w:sz w:val="18"/>
          <w:szCs w:val="18"/>
          <w:color w:val="auto"/>
        </w:rPr>
        <w:t>Alfred E. Mann, who is the Company’s principal stockholder and chief executive officer, has established the Alfred Mann Institute for Biomedical Development at the Technion (“AMI-Technion”) to expedite the translation of intellectual property and technology of the Technion into commercial medical products for the public benefit. Over a period of several years, Mr. Mann will establish a $100 million endowment for AMI-Technion. Mr. Mann does not directly or indirectly have any interest in TRDF (see Note 12 — Commitments and Contingencies — Licensing Arrangement).</w:t>
      </w:r>
    </w:p>
    <w:p>
      <w:pPr>
        <w:spacing w:after="0" w:line="80" w:lineRule="exact"/>
        <w:rPr>
          <w:sz w:val="20"/>
          <w:szCs w:val="20"/>
          <w:color w:val="auto"/>
        </w:rPr>
      </w:pPr>
    </w:p>
    <w:p>
      <w:pPr>
        <w:ind w:left="700" w:right="60" w:firstLine="225"/>
        <w:spacing w:after="0" w:line="255" w:lineRule="auto"/>
        <w:rPr>
          <w:sz w:val="20"/>
          <w:szCs w:val="20"/>
          <w:color w:val="auto"/>
        </w:rPr>
      </w:pPr>
      <w:r>
        <w:rPr>
          <w:rFonts w:ascii="Arial" w:cs="Arial" w:eastAsia="Arial" w:hAnsi="Arial"/>
          <w:sz w:val="18"/>
          <w:szCs w:val="18"/>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stockholder approximately $105,090, $130,000 and $136,800, respectively, for the years ended December 31, 2007, 2008 and 2009 on the basis of the corresponding cost of commercial airfare. These payments were approved by the audit committee of the board of directors.</w:t>
      </w:r>
    </w:p>
    <w:p>
      <w:pPr>
        <w:spacing w:after="0" w:line="85" w:lineRule="exact"/>
        <w:rPr>
          <w:sz w:val="20"/>
          <w:szCs w:val="20"/>
          <w:color w:val="auto"/>
        </w:rPr>
      </w:pPr>
    </w:p>
    <w:p>
      <w:pPr>
        <w:ind w:left="700" w:right="180" w:firstLine="222"/>
        <w:spacing w:after="0" w:line="264"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12 — Commitments and Contingencies — Guarantees and Indemnifications).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121" w:lineRule="exact"/>
        <w:rPr>
          <w:sz w:val="20"/>
          <w:szCs w:val="20"/>
          <w:color w:val="auto"/>
        </w:rPr>
      </w:pPr>
    </w:p>
    <w:p>
      <w:pPr>
        <w:ind w:left="700" w:right="60" w:firstLine="222"/>
        <w:spacing w:after="0" w:line="255" w:lineRule="auto"/>
        <w:rPr>
          <w:sz w:val="20"/>
          <w:szCs w:val="20"/>
          <w:color w:val="auto"/>
        </w:rPr>
      </w:pPr>
      <w:r>
        <w:rPr>
          <w:rFonts w:ascii="Arial" w:cs="Arial" w:eastAsia="Arial" w:hAnsi="Arial"/>
          <w:sz w:val="18"/>
          <w:szCs w:val="18"/>
          <w:color w:val="auto"/>
        </w:rPr>
        <w:t>The following unaudited selected quarterly financial data has been prepared on the same basis as the audited information and includes all adjustments necessary to present fairly the information set forth in the Company’s consolidated financial statements and notes herein. As a development stage enterprise, the Company has experienced fluctuations in its quarterly results related to the development of its lead product candidate, AFREZZA, and in its expansion of the product candidate portfolio. The Company expects these fluctuations to continue in the future. Due to these and other factors, the quarterly operating results are not indicative of the Company’s future performance.</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300" w:type="dxa"/>
            <w:vAlign w:val="bottom"/>
          </w:tcPr>
          <w:p>
            <w:pPr>
              <w:spacing w:after="0"/>
              <w:rPr>
                <w:sz w:val="14"/>
                <w:szCs w:val="14"/>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76"/>
              </w:rPr>
              <w:t>except</w:t>
            </w:r>
          </w:p>
        </w:tc>
        <w:tc>
          <w:tcPr>
            <w:tcW w:w="8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jc w:val="center"/>
              <w:ind w:left="134"/>
              <w:spacing w:after="0" w:line="142" w:lineRule="exact"/>
              <w:rPr>
                <w:sz w:val="20"/>
                <w:szCs w:val="20"/>
                <w:color w:val="auto"/>
              </w:rPr>
            </w:pPr>
            <w:r>
              <w:rPr>
                <w:rFonts w:ascii="Arial" w:cs="Arial" w:eastAsia="Arial" w:hAnsi="Arial"/>
                <w:sz w:val="14"/>
                <w:szCs w:val="14"/>
                <w:b w:val="1"/>
                <w:bCs w:val="1"/>
                <w:color w:val="auto"/>
                <w:w w:val="77"/>
              </w:rPr>
              <w:t>(In thousands,</w:t>
            </w:r>
          </w:p>
        </w:tc>
        <w:tc>
          <w:tcPr>
            <w:tcW w:w="540" w:type="dxa"/>
            <w:vAlign w:val="bottom"/>
            <w:gridSpan w:val="2"/>
            <w:vMerge w:val="continue"/>
          </w:tcPr>
          <w:p>
            <w:pPr>
              <w:spacing w:after="0"/>
              <w:rPr>
                <w:sz w:val="12"/>
                <w:szCs w:val="12"/>
                <w:color w:val="auto"/>
              </w:rPr>
            </w:pPr>
          </w:p>
        </w:tc>
        <w:tc>
          <w:tcPr>
            <w:tcW w:w="11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7"/>
              </w:rPr>
              <w:t>per share data)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 (71,421)</w:t>
            </w:r>
          </w:p>
        </w:tc>
        <w:tc>
          <w:tcPr>
            <w:tcW w:w="1260" w:type="dxa"/>
            <w:vAlign w:val="bottom"/>
            <w:gridSpan w:val="4"/>
          </w:tcPr>
          <w:p>
            <w:pPr>
              <w:jc w:val="right"/>
              <w:ind w:right="168"/>
              <w:spacing w:after="0"/>
              <w:rPr>
                <w:sz w:val="20"/>
                <w:szCs w:val="20"/>
                <w:color w:val="auto"/>
              </w:rPr>
            </w:pPr>
            <w:r>
              <w:rPr>
                <w:rFonts w:ascii="Arial" w:cs="Arial" w:eastAsia="Arial" w:hAnsi="Arial"/>
                <w:sz w:val="18"/>
                <w:szCs w:val="18"/>
                <w:color w:val="auto"/>
              </w:rPr>
              <w:t>$ (79,826)</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(68,496)</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(83,295)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(71,421)</w:t>
            </w:r>
          </w:p>
        </w:tc>
        <w:tc>
          <w:tcPr>
            <w:tcW w:w="126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 (79,826)</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(68,496)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(83,295)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w w:val="93"/>
              </w:rPr>
              <w:t>Net loss per share applicable to common stockholders — basic</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0"/>
              <w:spacing w:after="0"/>
              <w:rPr>
                <w:sz w:val="20"/>
                <w:szCs w:val="20"/>
                <w:color w:val="auto"/>
              </w:rPr>
            </w:pPr>
            <w:r>
              <w:rPr>
                <w:rFonts w:ascii="Arial" w:cs="Arial" w:eastAsia="Arial" w:hAnsi="Arial"/>
                <w:sz w:val="18"/>
                <w:szCs w:val="18"/>
                <w:color w:val="auto"/>
              </w:rPr>
              <w:t>and diluted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8"/>
              <w:spacing w:after="0"/>
              <w:rPr>
                <w:sz w:val="20"/>
                <w:szCs w:val="20"/>
                <w:color w:val="auto"/>
              </w:rPr>
            </w:pPr>
            <w:r>
              <w:rPr>
                <w:rFonts w:ascii="Arial" w:cs="Arial" w:eastAsia="Arial" w:hAnsi="Arial"/>
                <w:sz w:val="18"/>
                <w:szCs w:val="18"/>
                <w:color w:val="auto"/>
              </w:rPr>
              <w:t>(0.79)</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(0.67)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Weighted average common shares used to compute basic and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diluted net loss per share applicable to common stockholders</w:t>
            </w:r>
          </w:p>
        </w:tc>
        <w:tc>
          <w:tcPr>
            <w:tcW w:w="4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101,409</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101,427</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101,647</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101,758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300" w:type="dxa"/>
            <w:vAlign w:val="bottom"/>
          </w:tcPr>
          <w:p>
            <w:pPr>
              <w:spacing w:after="0"/>
              <w:rPr>
                <w:sz w:val="24"/>
                <w:szCs w:val="24"/>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76"/>
              </w:rPr>
              <w:t>except</w:t>
            </w:r>
          </w:p>
        </w:tc>
        <w:tc>
          <w:tcPr>
            <w:tcW w:w="8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jc w:val="center"/>
              <w:ind w:left="134"/>
              <w:spacing w:after="0" w:line="142" w:lineRule="exact"/>
              <w:rPr>
                <w:sz w:val="20"/>
                <w:szCs w:val="20"/>
                <w:color w:val="auto"/>
              </w:rPr>
            </w:pPr>
            <w:r>
              <w:rPr>
                <w:rFonts w:ascii="Arial" w:cs="Arial" w:eastAsia="Arial" w:hAnsi="Arial"/>
                <w:sz w:val="14"/>
                <w:szCs w:val="14"/>
                <w:b w:val="1"/>
                <w:bCs w:val="1"/>
                <w:color w:val="auto"/>
                <w:w w:val="77"/>
              </w:rPr>
              <w:t>(In thousands,</w:t>
            </w:r>
          </w:p>
        </w:tc>
        <w:tc>
          <w:tcPr>
            <w:tcW w:w="540" w:type="dxa"/>
            <w:vAlign w:val="bottom"/>
            <w:gridSpan w:val="2"/>
            <w:vMerge w:val="continue"/>
          </w:tcPr>
          <w:p>
            <w:pPr>
              <w:spacing w:after="0"/>
              <w:rPr>
                <w:sz w:val="12"/>
                <w:szCs w:val="12"/>
                <w:color w:val="auto"/>
              </w:rPr>
            </w:pPr>
          </w:p>
        </w:tc>
        <w:tc>
          <w:tcPr>
            <w:tcW w:w="11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7"/>
              </w:rPr>
              <w:t>per share data)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 (59,412)</w:t>
            </w:r>
          </w:p>
        </w:tc>
        <w:tc>
          <w:tcPr>
            <w:tcW w:w="1260" w:type="dxa"/>
            <w:vAlign w:val="bottom"/>
            <w:gridSpan w:val="4"/>
          </w:tcPr>
          <w:p>
            <w:pPr>
              <w:jc w:val="right"/>
              <w:ind w:right="168"/>
              <w:spacing w:after="0"/>
              <w:rPr>
                <w:sz w:val="20"/>
                <w:szCs w:val="20"/>
                <w:color w:val="auto"/>
              </w:rPr>
            </w:pPr>
            <w:r>
              <w:rPr>
                <w:rFonts w:ascii="Arial" w:cs="Arial" w:eastAsia="Arial" w:hAnsi="Arial"/>
                <w:sz w:val="18"/>
                <w:szCs w:val="18"/>
                <w:color w:val="auto"/>
              </w:rPr>
              <w:t>$ (55,604)</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(45,555)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(59,533)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(59,412)</w:t>
            </w:r>
          </w:p>
        </w:tc>
        <w:tc>
          <w:tcPr>
            <w:tcW w:w="126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 (55,604)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(45,555)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(59,533)</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w w:val="93"/>
              </w:rPr>
              <w:t>Net loss per share applicable to common stockholders — basic</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0"/>
              <w:spacing w:after="0"/>
              <w:rPr>
                <w:sz w:val="20"/>
                <w:szCs w:val="20"/>
                <w:color w:val="auto"/>
              </w:rPr>
            </w:pPr>
            <w:r>
              <w:rPr>
                <w:rFonts w:ascii="Arial" w:cs="Arial" w:eastAsia="Arial" w:hAnsi="Arial"/>
                <w:sz w:val="18"/>
                <w:szCs w:val="18"/>
                <w:color w:val="auto"/>
              </w:rPr>
              <w:t>and diluted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8"/>
              <w:spacing w:after="0"/>
              <w:rPr>
                <w:sz w:val="20"/>
                <w:szCs w:val="20"/>
                <w:color w:val="auto"/>
              </w:rPr>
            </w:pPr>
            <w:r>
              <w:rPr>
                <w:rFonts w:ascii="Arial" w:cs="Arial" w:eastAsia="Arial" w:hAnsi="Arial"/>
                <w:sz w:val="18"/>
                <w:szCs w:val="18"/>
                <w:color w:val="auto"/>
              </w:rPr>
              <w:t>(0.54)</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Weighted average common shares used to compute basic and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diluted net loss per share applicable to common stockholders</w:t>
            </w:r>
          </w:p>
        </w:tc>
        <w:tc>
          <w:tcPr>
            <w:tcW w:w="4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102,030</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102,322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108,779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112,860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419" w:right="10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We consent to the incorporation by reference in Registration Statement No. 333-145282 on Form S-3 and Registration Statement Nos. 333-117811, 333-127876, 333-137332, 333-149049 and 333-160225 on Form S-8 of our report dated March 16, 2010, relating to the consolidated financial statements of MannKind Corporation (a development stage company), and of our report dated March 16, 2010 relating to the effectiveness of MannKind Corporation’s internal control over financial reporting, appearing in the Annual Report on Form 10-K of MannKind Corporation for the year ended December 31, 2009.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2010</w:t>
      </w:r>
    </w:p>
    <w:p>
      <w:pPr>
        <w:sectPr>
          <w:pgSz w:w="11900" w:h="16838" w:orient="portrait"/>
          <w:cols w:equalWidth="0" w:num="1">
            <w:col w:w="9920"/>
          </w:cols>
          <w:pgMar w:left="940" w:top="121" w:right="10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400" w:hanging="18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17" w:lineRule="exact"/>
        <w:rPr>
          <w:rFonts w:ascii="Arial" w:cs="Arial" w:eastAsia="Arial" w:hAnsi="Arial"/>
          <w:sz w:val="18"/>
          <w:szCs w:val="18"/>
          <w:color w:val="auto"/>
        </w:rPr>
      </w:pPr>
    </w:p>
    <w:p>
      <w:pPr>
        <w:ind w:right="500" w:firstLine="218"/>
        <w:spacing w:after="0" w:line="264" w:lineRule="auto"/>
        <w:tabs>
          <w:tab w:leader="none" w:pos="4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00" w:firstLine="218"/>
        <w:spacing w:after="0" w:line="264" w:lineRule="auto"/>
        <w:tabs>
          <w:tab w:leader="none" w:pos="4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right="20" w:firstLine="218"/>
        <w:spacing w:after="0" w:line="291" w:lineRule="auto"/>
        <w:tabs>
          <w:tab w:leader="none" w:pos="4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200" w:right="140" w:firstLine="216"/>
        <w:spacing w:after="0" w:line="286" w:lineRule="auto"/>
        <w:tabs>
          <w:tab w:leader="none" w:pos="67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200" w:right="160" w:firstLine="216"/>
        <w:spacing w:after="0" w:line="286" w:lineRule="auto"/>
        <w:tabs>
          <w:tab w:leader="none" w:pos="6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200" w:right="260" w:firstLine="216"/>
        <w:spacing w:after="0" w:line="264" w:lineRule="auto"/>
        <w:tabs>
          <w:tab w:leader="none" w:pos="67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00" w:right="100" w:firstLine="216"/>
        <w:spacing w:after="0" w:line="264" w:lineRule="auto"/>
        <w:tabs>
          <w:tab w:leader="none" w:pos="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jc w:val="both"/>
        <w:ind w:right="140" w:firstLine="218"/>
        <w:spacing w:after="0" w:line="264" w:lineRule="auto"/>
        <w:tabs>
          <w:tab w:leader="none" w:pos="4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00" w:right="40" w:firstLine="216"/>
        <w:spacing w:after="0" w:line="342" w:lineRule="auto"/>
        <w:tabs>
          <w:tab w:leader="none" w:pos="67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200" w:right="40" w:firstLine="216"/>
        <w:spacing w:after="0" w:line="277" w:lineRule="auto"/>
        <w:tabs>
          <w:tab w:leader="none" w:pos="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Alfred E. Mann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-130810</wp:posOffset>
            </wp:positionV>
            <wp:extent cx="23323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2010</w:t>
      </w:r>
    </w:p>
    <w:p>
      <w:pPr>
        <w:sectPr>
          <w:pgSz w:w="11900" w:h="16838" w:orient="portrait"/>
          <w:cols w:equalWidth="0" w:num="1">
            <w:col w:w="9920"/>
          </w:cols>
          <w:pgMar w:left="940" w:top="121" w:right="10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400" w:hanging="182"/>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17" w:lineRule="exact"/>
        <w:rPr>
          <w:rFonts w:ascii="Arial" w:cs="Arial" w:eastAsia="Arial" w:hAnsi="Arial"/>
          <w:sz w:val="18"/>
          <w:szCs w:val="18"/>
          <w:color w:val="auto"/>
        </w:rPr>
      </w:pPr>
    </w:p>
    <w:p>
      <w:pPr>
        <w:ind w:right="500" w:firstLine="218"/>
        <w:spacing w:after="0" w:line="264" w:lineRule="auto"/>
        <w:tabs>
          <w:tab w:leader="none" w:pos="4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00" w:firstLine="218"/>
        <w:spacing w:after="0" w:line="264" w:lineRule="auto"/>
        <w:tabs>
          <w:tab w:leader="none" w:pos="4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right="20" w:firstLine="218"/>
        <w:spacing w:after="0" w:line="291" w:lineRule="auto"/>
        <w:tabs>
          <w:tab w:leader="none" w:pos="4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200" w:right="140" w:firstLine="216"/>
        <w:spacing w:after="0" w:line="286" w:lineRule="auto"/>
        <w:tabs>
          <w:tab w:leader="none" w:pos="67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200" w:right="160" w:firstLine="216"/>
        <w:spacing w:after="0" w:line="286" w:lineRule="auto"/>
        <w:tabs>
          <w:tab w:leader="none" w:pos="6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200" w:right="260" w:firstLine="216"/>
        <w:spacing w:after="0" w:line="264" w:lineRule="auto"/>
        <w:tabs>
          <w:tab w:leader="none" w:pos="6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00" w:right="100" w:firstLine="216"/>
        <w:spacing w:after="0" w:line="264" w:lineRule="auto"/>
        <w:tabs>
          <w:tab w:leader="none" w:pos="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jc w:val="both"/>
        <w:ind w:right="140" w:firstLine="218"/>
        <w:spacing w:after="0" w:line="264" w:lineRule="auto"/>
        <w:tabs>
          <w:tab w:leader="none" w:pos="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00" w:right="40" w:firstLine="216"/>
        <w:spacing w:after="0" w:line="342" w:lineRule="auto"/>
        <w:tabs>
          <w:tab w:leader="none" w:pos="67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200" w:right="40" w:firstLine="216"/>
        <w:spacing w:after="0" w:line="277" w:lineRule="auto"/>
        <w:tabs>
          <w:tab w:leader="none" w:pos="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Matthew J. Pfeffer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-130810</wp:posOffset>
            </wp:positionV>
            <wp:extent cx="23323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Corporate Vice President and</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2010</w:t>
      </w:r>
    </w:p>
    <w:p>
      <w:pPr>
        <w:sectPr>
          <w:pgSz w:w="11900" w:h="16838" w:orient="portrait"/>
          <w:cols w:equalWidth="0" w:num="1">
            <w:col w:w="9920"/>
          </w:cols>
          <w:pgMar w:left="940" w:top="121" w:right="10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121" w:lineRule="exact"/>
        <w:rPr>
          <w:sz w:val="20"/>
          <w:szCs w:val="20"/>
          <w:color w:val="auto"/>
        </w:rPr>
      </w:pPr>
    </w:p>
    <w:p>
      <w:pPr>
        <w:ind w:left="7" w:right="260" w:firstLine="225"/>
        <w:spacing w:after="0" w:line="259"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79" w:lineRule="exact"/>
        <w:rPr>
          <w:sz w:val="20"/>
          <w:szCs w:val="20"/>
          <w:color w:val="auto"/>
        </w:rPr>
      </w:pPr>
    </w:p>
    <w:p>
      <w:pPr>
        <w:ind w:left="207" w:right="60" w:firstLine="216"/>
        <w:spacing w:after="0" w:line="342" w:lineRule="auto"/>
        <w:tabs>
          <w:tab w:leader="none" w:pos="61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Company’s Annual Report on Form 10-K for the period ended December 31, 2009, to which this Certification is attached as Exhibit 32 (the “Annual Report”) fully complies with the requirements of Section 13(a) or Section 15(d) of the Exchange Act, and</w:t>
      </w:r>
    </w:p>
    <w:p>
      <w:pPr>
        <w:spacing w:after="0" w:line="15" w:lineRule="exact"/>
        <w:rPr>
          <w:rFonts w:ascii="Arial" w:cs="Arial" w:eastAsia="Arial" w:hAnsi="Arial"/>
          <w:sz w:val="16"/>
          <w:szCs w:val="16"/>
          <w:color w:val="auto"/>
        </w:rPr>
      </w:pPr>
    </w:p>
    <w:p>
      <w:pPr>
        <w:ind w:left="207" w:right="340" w:firstLine="216"/>
        <w:spacing w:after="0" w:line="277" w:lineRule="auto"/>
        <w:tabs>
          <w:tab w:leader="none" w:pos="6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58" w:lineRule="exact"/>
        <w:rPr>
          <w:sz w:val="20"/>
          <w:szCs w:val="20"/>
          <w:color w:val="auto"/>
        </w:rPr>
      </w:pPr>
    </w:p>
    <w:p>
      <w:pPr>
        <w:ind w:left="227"/>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2010.</w:t>
      </w:r>
    </w:p>
    <w:p>
      <w:pPr>
        <w:spacing w:after="0" w:line="229"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 Alfred E. Mann</w:t>
            </w:r>
          </w:p>
        </w:tc>
        <w:tc>
          <w:tcPr>
            <w:tcW w:w="5020" w:type="dxa"/>
            <w:vAlign w:val="bottom"/>
            <w:gridSpan w:val="2"/>
          </w:tcPr>
          <w:p>
            <w:pPr>
              <w:ind w:left="1180"/>
              <w:spacing w:after="0"/>
              <w:rPr>
                <w:sz w:val="20"/>
                <w:szCs w:val="20"/>
                <w:color w:val="auto"/>
              </w:rPr>
            </w:pPr>
            <w:r>
              <w:rPr>
                <w:rFonts w:ascii="Arial" w:cs="Arial" w:eastAsia="Arial" w:hAnsi="Arial"/>
                <w:sz w:val="18"/>
                <w:szCs w:val="18"/>
                <w:color w:val="auto"/>
              </w:rPr>
              <w:t>/s/ Matthew J. Pfeffer</w:t>
            </w:r>
          </w:p>
        </w:tc>
      </w:tr>
      <w:tr>
        <w:trPr>
          <w:trHeight w:val="209"/>
        </w:trPr>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1200" w:type="dxa"/>
            <w:vAlign w:val="bottom"/>
          </w:tcPr>
          <w:p>
            <w:pPr>
              <w:spacing w:after="0"/>
              <w:rPr>
                <w:sz w:val="18"/>
                <w:szCs w:val="18"/>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020" w:type="dxa"/>
            <w:vAlign w:val="bottom"/>
            <w:gridSpan w:val="2"/>
          </w:tcPr>
          <w:p>
            <w:pPr>
              <w:ind w:left="1180"/>
              <w:spacing w:after="0"/>
              <w:rPr>
                <w:sz w:val="20"/>
                <w:szCs w:val="20"/>
                <w:color w:val="auto"/>
              </w:rPr>
            </w:pPr>
            <w:r>
              <w:rPr>
                <w:rFonts w:ascii="Arial" w:cs="Arial" w:eastAsia="Arial" w:hAnsi="Arial"/>
                <w:sz w:val="18"/>
                <w:szCs w:val="18"/>
                <w:color w:val="auto"/>
                <w:w w:val="91"/>
              </w:rPr>
              <w:t>Corporate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11322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30" w:lineRule="exact"/>
        <w:rPr>
          <w:sz w:val="20"/>
          <w:szCs w:val="20"/>
          <w:color w:val="auto"/>
        </w:rPr>
      </w:pPr>
    </w:p>
    <w:p>
      <w:pPr>
        <w:ind w:left="387" w:hanging="387"/>
        <w:spacing w:after="0" w:line="302" w:lineRule="auto"/>
        <w:tabs>
          <w:tab w:leader="none" w:pos="387" w:val="left"/>
        </w:tabs>
        <w:numPr>
          <w:ilvl w:val="0"/>
          <w:numId w:val="45"/>
        </w:numPr>
        <w:rPr>
          <w:rFonts w:ascii="Arial" w:cs="Arial" w:eastAsia="Arial" w:hAnsi="Arial"/>
          <w:sz w:val="14"/>
          <w:szCs w:val="14"/>
          <w:color w:val="auto"/>
        </w:rPr>
      </w:pPr>
      <w:r>
        <w:rPr>
          <w:rFonts w:ascii="Arial" w:cs="Arial" w:eastAsia="Arial" w:hAnsi="Arial"/>
          <w:sz w:val="16"/>
          <w:szCs w:val="16"/>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this the Annual Report on Form 10-K to which this certification relates), irrespective of any general incorporation language contained in such filing.</w:t>
      </w:r>
    </w:p>
    <w:sectPr>
      <w:pgSz w:w="11900" w:h="16838" w:orient="portrait"/>
      <w:cols w:equalWidth="0" w:num="1">
        <w:col w:w="9927"/>
      </w:cols>
      <w:pgMar w:left="933" w:top="121"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emdash "/>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lvl w:ilvl="1">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amp;"/>
      <w:numFmt w:val="bullet"/>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Roman"/>
      <w:start w:val="1"/>
    </w:lvl>
  </w:abstractNum>
  <w:abstractNum w:abstractNumId="35">
    <w:nsid w:val="580BD78F"/>
    <w:multiLevelType w:val="hybridMultilevel"/>
    <w:lvl w:ilvl="0">
      <w:lvlJc w:val="left"/>
      <w:lvlText w:val="(%1)"/>
      <w:numFmt w:val="decimal"/>
      <w:start w:val="3"/>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32"/>
    </w:lvl>
    <w:lvl w:ilvl="1">
      <w:lvlJc w:val="left"/>
      <w:lvlText w:val="*"/>
      <w:numFmt w:val="bullet"/>
      <w:start w:val="1"/>
    </w:lvl>
  </w:abstractNum>
  <w:abstractNum w:abstractNumId="38">
    <w:nsid w:val="70A64E2A"/>
    <w:multiLevelType w:val="hybridMultilevel"/>
    <w:lvl w:ilvl="0">
      <w:lvlJc w:val="left"/>
      <w:lvlText w:val="%1"/>
      <w:numFmt w:val="decimal"/>
      <w:start w:val="1"/>
    </w:lvl>
    <w:lvl w:ilvl="1">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2019-12-10T10:45:01Z</dcterms:created>
  <dcterms:modified xsi:type="dcterms:W3CDTF">2019-12-10T10:45:01Z</dcterms:modified>
</cp:coreProperties>
</file>