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8" w:lineRule="exact"/>
        <w:rPr>
          <w:sz w:val="20"/>
          <w:szCs w:val="20"/>
          <w:color w:val="auto"/>
        </w:rPr>
      </w:pPr>
    </w:p>
    <w:p>
      <w:pPr>
        <w:ind w:left="1380" w:right="4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0"/>
          <w:szCs w:val="20"/>
          <w:color w:val="auto"/>
        </w:rPr>
      </w:pPr>
    </w:p>
    <w:p>
      <w:pPr>
        <w:ind w:left="1380" w:right="3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0"/>
          <w:szCs w:val="20"/>
          <w:color w:val="auto"/>
        </w:rPr>
      </w:pPr>
    </w:p>
    <w:p>
      <w:pPr>
        <w:ind w:left="1380"/>
        <w:spacing w:after="0"/>
        <w:tabs>
          <w:tab w:leader="none" w:pos="4680" w:val="left"/>
          <w:tab w:leader="none" w:pos="5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6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or organization)</w:t>
            </w:r>
          </w:p>
        </w:tc>
        <w:tc>
          <w:tcPr>
            <w:tcW w:w="4180" w:type="dxa"/>
            <w:vAlign w:val="bottom"/>
          </w:tcPr>
          <w:p>
            <w:pPr>
              <w:spacing w:after="0"/>
              <w:rPr>
                <w:sz w:val="20"/>
                <w:szCs w:val="20"/>
                <w:color w:val="auto"/>
              </w:rPr>
            </w:pPr>
          </w:p>
        </w:tc>
      </w:tr>
      <w:tr>
        <w:trPr>
          <w:trHeight w:val="410"/>
        </w:trPr>
        <w:tc>
          <w:tcPr>
            <w:tcW w:w="468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28903 North Avenue Paine</w:t>
            </w:r>
          </w:p>
        </w:tc>
        <w:tc>
          <w:tcPr>
            <w:tcW w:w="4180" w:type="dxa"/>
            <w:vAlign w:val="bottom"/>
          </w:tcPr>
          <w:p>
            <w:pPr>
              <w:spacing w:after="0"/>
              <w:rPr>
                <w:sz w:val="24"/>
                <w:szCs w:val="24"/>
                <w:color w:val="auto"/>
              </w:rPr>
            </w:pPr>
          </w:p>
        </w:tc>
      </w:tr>
      <w:tr>
        <w:trPr>
          <w:trHeight w:val="220"/>
        </w:trPr>
        <w:tc>
          <w:tcPr>
            <w:tcW w:w="4680" w:type="dxa"/>
            <w:vAlign w:val="bottom"/>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Valencia, California</w:t>
            </w:r>
          </w:p>
        </w:tc>
        <w:tc>
          <w:tcPr>
            <w:tcW w:w="41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234"/>
        </w:trPr>
        <w:tc>
          <w:tcPr>
            <w:tcW w:w="46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(661) 775-5300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0"/>
          <w:szCs w:val="20"/>
          <w:color w:val="auto"/>
        </w:rPr>
      </w:pPr>
    </w:p>
    <w:p>
      <w:pPr>
        <w:ind w:right="240" w:firstLine="22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42" w:lineRule="exact"/>
        <w:rPr>
          <w:sz w:val="20"/>
          <w:szCs w:val="20"/>
          <w:color w:val="auto"/>
        </w:rPr>
      </w:pPr>
    </w:p>
    <w:p>
      <w:pPr>
        <w:ind w:left="220" w:right="1900" w:firstLine="1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10, 2005, there were 50,186,977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2920" w:type="dxa"/>
            <w:vAlign w:val="bottom"/>
            <w:gridSpan w:val="10"/>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 FINANCIAL INFORMATION</w:t>
              </w:r>
            </w:hyperlink>
          </w:p>
        </w:tc>
        <w:tc>
          <w:tcPr>
            <w:tcW w:w="7640" w:type="dxa"/>
            <w:vAlign w:val="bottom"/>
            <w:gridSpan w:val="7"/>
            <w:vMerge w:val="restart"/>
          </w:tcPr>
          <w:p>
            <w:pPr>
              <w:spacing w:after="0"/>
              <w:rPr>
                <w:sz w:val="15"/>
                <w:szCs w:val="15"/>
                <w:color w:val="auto"/>
              </w:rPr>
            </w:pPr>
          </w:p>
        </w:tc>
        <w:tc>
          <w:tcPr>
            <w:tcW w:w="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2920" w:type="dxa"/>
            <w:vAlign w:val="bottom"/>
            <w:tcBorders>
              <w:bottom w:val="single" w:sz="8" w:color="0000EE"/>
            </w:tcBorders>
            <w:gridSpan w:val="10"/>
            <w:vMerge w:val="continue"/>
          </w:tcPr>
          <w:p>
            <w:pPr>
              <w:spacing w:after="0"/>
              <w:rPr>
                <w:sz w:val="14"/>
                <w:szCs w:val="14"/>
                <w:color w:val="auto"/>
              </w:rPr>
            </w:pPr>
          </w:p>
        </w:tc>
        <w:tc>
          <w:tcPr>
            <w:tcW w:w="7640" w:type="dxa"/>
            <w:vAlign w:val="bottom"/>
            <w:gridSpan w:val="7"/>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June 30, 2005 and December 31, 2004</w:t>
              </w:r>
            </w:hyperlink>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Three Months and Six Months ended June 30, 2005 and 2004 and the period from inception</w:t>
              </w:r>
            </w:hyperlink>
          </w:p>
        </w:tc>
        <w:tc>
          <w:tcPr>
            <w:tcW w:w="10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(February 14, 1991) to June 30, 2005</w:t>
              </w:r>
            </w:hyperlink>
          </w:p>
        </w:tc>
        <w:tc>
          <w:tcPr>
            <w:tcW w:w="7660" w:type="dxa"/>
            <w:vAlign w:val="bottom"/>
            <w:gridSpan w:val="8"/>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Six Months ended June 30, 2005 and 2004 and the period from inception (February 14, 1991) to</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June 30, 2005</w:t>
              </w:r>
            </w:hyperlink>
          </w:p>
        </w:tc>
        <w:tc>
          <w:tcPr>
            <w:tcW w:w="8680" w:type="dxa"/>
            <w:vAlign w:val="bottom"/>
            <w:tcBorders>
              <w:top w:val="single" w:sz="8" w:color="0000EE"/>
            </w:tcBorders>
            <w:gridSpan w:val="13"/>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Consolidated Financial Statements</w:t>
              </w:r>
            </w:hyperlink>
          </w:p>
        </w:tc>
        <w:tc>
          <w:tcPr>
            <w:tcW w:w="7400" w:type="dxa"/>
            <w:vAlign w:val="bottom"/>
            <w:gridSpan w:val="6"/>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3. Quantitative and Qualitative Disclosure about Market Risk</w:t>
              </w:r>
            </w:hyperlink>
          </w:p>
        </w:tc>
        <w:tc>
          <w:tcPr>
            <w:tcW w:w="3540" w:type="dxa"/>
            <w:vAlign w:val="bottom"/>
            <w:gridSpan w:val="3"/>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4.</w:t>
              </w:r>
            </w:hyperlink>
          </w:p>
        </w:tc>
        <w:tc>
          <w:tcPr>
            <w:tcW w:w="180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Controls and Procedures</w:t>
              </w:r>
            </w:hyperlink>
          </w:p>
        </w:tc>
        <w:tc>
          <w:tcPr>
            <w:tcW w:w="2460" w:type="dxa"/>
            <w:vAlign w:val="bottom"/>
            <w:tcBorders>
              <w:top w:val="single" w:sz="8" w:color="0000EE"/>
            </w:tcBorders>
            <w:gridSpan w:val="6"/>
          </w:tcPr>
          <w:p>
            <w:pPr>
              <w:spacing w:after="0"/>
              <w:rPr>
                <w:sz w:val="17"/>
                <w:szCs w:val="17"/>
                <w:color w:val="auto"/>
              </w:rPr>
            </w:pPr>
          </w:p>
        </w:tc>
        <w:tc>
          <w:tcPr>
            <w:tcW w:w="5760" w:type="dxa"/>
            <w:vAlign w:val="bottom"/>
            <w:gridSpan w:val="5"/>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1.</w:t>
              </w:r>
            </w:hyperlink>
          </w:p>
        </w:tc>
        <w:tc>
          <w:tcPr>
            <w:tcW w:w="1360" w:type="dxa"/>
            <w:vAlign w:val="bottom"/>
            <w:tcBorders>
              <w:top w:val="single" w:sz="8" w:color="0000EE"/>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980" w:type="dxa"/>
            <w:vAlign w:val="bottom"/>
            <w:gridSpan w:val="10"/>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2.</w:t>
              </w:r>
            </w:hyperlink>
          </w:p>
        </w:tc>
        <w:tc>
          <w:tcPr>
            <w:tcW w:w="442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Unregistered Sales of Equity Securities and Use of Proceeds</w:t>
              </w:r>
            </w:hyperlink>
          </w:p>
        </w:tc>
        <w:tc>
          <w:tcPr>
            <w:tcW w:w="5600" w:type="dxa"/>
            <w:vAlign w:val="bottom"/>
            <w:gridSpan w:val="4"/>
          </w:tcPr>
          <w:p>
            <w:pPr>
              <w:spacing w:after="0"/>
              <w:rPr>
                <w:sz w:val="17"/>
                <w:szCs w:val="17"/>
                <w:color w:val="auto"/>
              </w:rPr>
            </w:pPr>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3.</w:t>
              </w:r>
            </w:hyperlink>
          </w:p>
        </w:tc>
        <w:tc>
          <w:tcPr>
            <w:tcW w:w="10020" w:type="dxa"/>
            <w:vAlign w:val="bottom"/>
            <w:gridSpan w:val="15"/>
          </w:tcPr>
          <w:p>
            <w:pPr>
              <w:ind w:left="20"/>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Defaults Upon Senior Securities</w:t>
              </w:r>
            </w:hyperlink>
          </w:p>
        </w:tc>
        <w:tc>
          <w:tcPr>
            <w:tcW w:w="860" w:type="dxa"/>
            <w:vAlign w:val="bottom"/>
          </w:tcPr>
          <w:p>
            <w:pPr>
              <w:jc w:val="right"/>
              <w:ind w:right="253"/>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4.</w:t>
              </w:r>
            </w:hyperlink>
          </w:p>
        </w:tc>
        <w:tc>
          <w:tcPr>
            <w:tcW w:w="7080" w:type="dxa"/>
            <w:vAlign w:val="bottom"/>
            <w:gridSpan w:val="5"/>
          </w:tcPr>
          <w:p>
            <w:pPr>
              <w:ind w:lef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Submission of Matters to a Vote of Security Holders</w:t>
              </w:r>
            </w:hyperlink>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Other Information</w:t>
              </w:r>
            </w:hyperlink>
          </w:p>
        </w:tc>
        <w:tc>
          <w:tcPr>
            <w:tcW w:w="2440" w:type="dxa"/>
            <w:vAlign w:val="bottom"/>
            <w:tcBorders>
              <w:top w:val="single" w:sz="8" w:color="0000EE"/>
            </w:tcBorders>
          </w:tcPr>
          <w:p>
            <w:pPr>
              <w:spacing w:after="0"/>
              <w:rPr>
                <w:sz w:val="17"/>
                <w:szCs w:val="17"/>
                <w:color w:val="auto"/>
              </w:rPr>
            </w:pPr>
          </w:p>
        </w:tc>
        <w:tc>
          <w:tcPr>
            <w:tcW w:w="3300" w:type="dxa"/>
            <w:vAlign w:val="bottom"/>
          </w:tcPr>
          <w:p>
            <w:pPr>
              <w:spacing w:after="0"/>
              <w:rPr>
                <w:sz w:val="17"/>
                <w:szCs w:val="17"/>
                <w:color w:val="auto"/>
              </w:rPr>
            </w:pPr>
          </w:p>
        </w:tc>
        <w:tc>
          <w:tcPr>
            <w:tcW w:w="3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540" w:type="dxa"/>
            <w:vAlign w:val="bottom"/>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6.</w:t>
              </w:r>
            </w:hyperlink>
          </w:p>
        </w:tc>
        <w:tc>
          <w:tcPr>
            <w:tcW w:w="7080" w:type="dxa"/>
            <w:vAlign w:val="bottom"/>
            <w:gridSpan w:val="5"/>
          </w:tcPr>
          <w:p>
            <w:pPr>
              <w:ind w:left="20"/>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w:t>
              </w:r>
            </w:hyperlink>
          </w:p>
        </w:tc>
        <w:tc>
          <w:tcPr>
            <w:tcW w:w="3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Signature</w:t>
              </w:r>
            </w:hyperlink>
          </w:p>
        </w:tc>
        <w:tc>
          <w:tcPr>
            <w:tcW w:w="460" w:type="dxa"/>
            <w:vAlign w:val="bottom"/>
            <w:tcBorders>
              <w:top w:val="single" w:sz="8" w:color="0000EE"/>
            </w:tcBorders>
          </w:tcPr>
          <w:p>
            <w:pPr>
              <w:spacing w:after="0"/>
              <w:rPr>
                <w:sz w:val="17"/>
                <w:szCs w:val="17"/>
                <w:color w:val="auto"/>
              </w:rPr>
            </w:pPr>
          </w:p>
        </w:tc>
        <w:tc>
          <w:tcPr>
            <w:tcW w:w="6460" w:type="dxa"/>
            <w:vAlign w:val="bottom"/>
            <w:gridSpan w:val="3"/>
          </w:tcPr>
          <w:p>
            <w:pPr>
              <w:spacing w:after="0"/>
              <w:rPr>
                <w:sz w:val="17"/>
                <w:szCs w:val="17"/>
                <w:color w:val="auto"/>
              </w:rPr>
            </w:pPr>
          </w:p>
        </w:tc>
        <w:tc>
          <w:tcPr>
            <w:tcW w:w="3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18"/>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31.1</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31.2</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32</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ind w:left="60"/>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w:t>
      </w:r>
    </w:p>
    <w:p>
      <w:pPr>
        <w:spacing w:after="0" w:line="1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08" w:right="5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2005</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2004</w:t>
            </w:r>
          </w:p>
        </w:tc>
      </w:t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7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19,552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78,987</w:t>
            </w: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22,884</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w:t>
            </w: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3,265</w:t>
            </w:r>
          </w:p>
        </w:tc>
      </w:tr>
      <w:tr>
        <w:trPr>
          <w:trHeight w:val="223"/>
        </w:trPr>
        <w:tc>
          <w:tcPr>
            <w:tcW w:w="20" w:type="dxa"/>
            <w:vAlign w:val="bottom"/>
          </w:tcPr>
          <w:p>
            <w:pPr>
              <w:spacing w:after="0"/>
              <w:rPr>
                <w:sz w:val="19"/>
                <w:szCs w:val="19"/>
                <w:color w:val="auto"/>
              </w:rPr>
            </w:pPr>
          </w:p>
        </w:tc>
        <w:tc>
          <w:tcPr>
            <w:tcW w:w="7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95,881</w:t>
            </w:r>
          </w:p>
        </w:tc>
        <w:tc>
          <w:tcPr>
            <w:tcW w:w="5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68,353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5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RESEARCH AND DEVELOPMENT CREDIT EXCHANGE RECEIVABLE — net of current</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portion</w:t>
            </w:r>
          </w:p>
        </w:tc>
        <w:tc>
          <w:tcPr>
            <w:tcW w:w="4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163,483</w:t>
            </w:r>
          </w:p>
        </w:tc>
        <w:tc>
          <w:tcPr>
            <w:tcW w:w="5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11,567</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8,194</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4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1,373</w:t>
            </w:r>
          </w:p>
        </w:tc>
      </w:tr>
      <w:tr>
        <w:trPr>
          <w:trHeight w:val="223"/>
        </w:trPr>
        <w:tc>
          <w:tcPr>
            <w:tcW w:w="20" w:type="dxa"/>
            <w:vAlign w:val="bottom"/>
          </w:tcPr>
          <w:p>
            <w:pPr>
              <w:spacing w:after="0"/>
              <w:rPr>
                <w:sz w:val="19"/>
                <w:szCs w:val="19"/>
                <w:color w:val="auto"/>
              </w:rPr>
            </w:pPr>
          </w:p>
        </w:tc>
        <w:tc>
          <w:tcPr>
            <w:tcW w:w="7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5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5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value—10,000,000 shares authorized; no shares issued or</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June 30, 2005 and December 31, 2004</w:t>
            </w:r>
          </w:p>
        </w:tc>
        <w:tc>
          <w:tcPr>
            <w:tcW w:w="460" w:type="dxa"/>
            <w:vAlign w:val="bottom"/>
          </w:tcPr>
          <w:p>
            <w:pPr>
              <w:spacing w:after="0"/>
              <w:rPr>
                <w:sz w:val="20"/>
                <w:szCs w:val="20"/>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value—90,000,000 shares authorized; 32,833,188 and 32,756,237 shares</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 and outstanding at June 30, 2005 and December 31, 2004, respectively</w:t>
            </w:r>
          </w:p>
        </w:tc>
        <w:tc>
          <w:tcPr>
            <w:tcW w:w="4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590,530</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592,999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46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9"/>
              </w:rPr>
              <w:t>(492,280)</w:t>
            </w:r>
          </w:p>
        </w:tc>
        <w:tc>
          <w:tcPr>
            <w:tcW w:w="7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(442,963)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150,363</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163,483</w:t>
            </w:r>
          </w:p>
        </w:tc>
        <w:tc>
          <w:tcPr>
            <w:tcW w:w="5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7"/>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14, 1991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vMerge w:val="continue"/>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16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42,292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27,110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 costs</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18,382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50,214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34,950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499,621</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(27,567)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(18,382)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(50,214)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(34,950)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(496,763)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(27,155)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(18,245)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(49,316)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(34,654)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(492,264)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(27,155)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(18,245)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(49,317)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(34,654)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(492,280)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beneficial</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feature of convertible preferred</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preferred stock</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(27,155</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(18,241</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(49,317</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(35,326</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(515,492</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applicable to common</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w:t>
            </w: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per share applicable to common</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32,777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19,975</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32,777</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19,975</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80" w:type="dxa"/>
            <w:vAlign w:val="bottom"/>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2"/>
                <w:szCs w:val="12"/>
                <w:color w:val="auto"/>
              </w:rPr>
            </w:pPr>
          </w:p>
        </w:tc>
        <w:tc>
          <w:tcPr>
            <w:tcW w:w="144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2"/>
                <w:szCs w:val="12"/>
                <w:color w:val="auto"/>
              </w:rPr>
            </w:pPr>
          </w:p>
        </w:tc>
        <w:tc>
          <w:tcPr>
            <w:tcW w:w="1420" w:type="dxa"/>
            <w:vAlign w:val="bottom"/>
            <w:gridSpan w:val="3"/>
          </w:tcPr>
          <w:p>
            <w:pPr>
              <w:jc w:val="center"/>
              <w:ind w:left="6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$(49,317)</w:t>
            </w: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$(34,654)</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$(492,280)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3,639</w:t>
            </w:r>
          </w:p>
        </w:tc>
        <w:tc>
          <w:tcPr>
            <w:tcW w:w="17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3,564</w:t>
            </w: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(2,901)</w:t>
            </w:r>
          </w:p>
        </w:tc>
        <w:tc>
          <w:tcPr>
            <w:tcW w:w="1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2,377</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Loss/(gain) on sale and abandonment/disposal of property and equipment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interest on investments, net of amortization of premiums</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3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interest on notes</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interest expense on notes payable to stockholders</w:t>
            </w:r>
          </w:p>
        </w:tc>
        <w:tc>
          <w:tcPr>
            <w:tcW w:w="3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Discount on stockholder notes below market rate</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Non-cash compensation expense of officer resulting from stockholder</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contribution</w:t>
            </w:r>
          </w:p>
        </w:tc>
        <w:tc>
          <w:tcPr>
            <w:tcW w:w="3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 R&amp;D credit exchange receivable</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1,180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808</w:t>
            </w:r>
          </w:p>
        </w:tc>
        <w:tc>
          <w:tcPr>
            <w:tcW w:w="1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w:t>
            </w:r>
          </w:p>
        </w:tc>
        <w:tc>
          <w:tcPr>
            <w:tcW w:w="1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Restricted cash</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565</w:t>
            </w: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1,144</w:t>
            </w: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3,373</w:t>
            </w:r>
          </w:p>
        </w:tc>
        <w:tc>
          <w:tcPr>
            <w:tcW w:w="1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Payment of deferred compensation</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(1,373)</w:t>
            </w:r>
          </w:p>
        </w:tc>
        <w:tc>
          <w:tcPr>
            <w:tcW w:w="1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(43,056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(28,866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(256,009</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(69,550)</w:t>
            </w: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(2,614)</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(214,118)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58,195</w:t>
            </w:r>
          </w:p>
        </w:tc>
        <w:tc>
          <w:tcPr>
            <w:tcW w:w="1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(5,547)</w:t>
            </w: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(2,518)</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(98,747)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(16,812</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32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(121,693</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cash</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17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Collection of Series C convertible preferred stock subscriptions receivable</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18,153</w:t>
            </w:r>
          </w:p>
        </w:tc>
        <w:tc>
          <w:tcPr>
            <w:tcW w:w="17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stockholder</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(1,406)</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7"/>
        </w:trPr>
        <w:tc>
          <w:tcPr>
            <w:tcW w:w="67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14,</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1991 (date of</w:t>
            </w: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60"/>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Put shares sold to majority stockholder</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notes receivables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received for common stock to be issued</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Series B convertible preferred stock for cash</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397,254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(59,435)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(16,747)</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78,987</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47,020</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320" w:type="dxa"/>
            <w:vAlign w:val="bottom"/>
          </w:tcPr>
          <w:p>
            <w:pPr>
              <w:spacing w:after="0"/>
              <w:rPr>
                <w:sz w:val="19"/>
                <w:szCs w:val="19"/>
                <w:color w:val="auto"/>
              </w:rPr>
            </w:pP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FLOWS DISCLOSURES: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by stockholder issued to officers</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Accretion on redeemable convertible preferred stock</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in additional paid-in capital resulting from merger</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171,154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Issuance of Series C convertible preferred stock subscriptions</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Issuance of Series A redeemable convertible preferred stock</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upon conversion of notes payable</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Issuance of common stock for notes receivable</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put option by stockholder</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Put option redemption by stockholder</w:t>
            </w: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 in cash</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MANNKIND CORPORATION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Development Stage Company)</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These audited statements for the year ended December 31, 2004 are included in the Annual Report on Form 10-K for the fiscal year ended December 31, 2004 filed with the SEC on March 16, 2005.</w:t>
      </w:r>
    </w:p>
    <w:p>
      <w:pPr>
        <w:spacing w:after="0" w:line="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July 22, 2004, the Company effected a one-for-three reverse stock split of its common stock. All share and per share amounts included in these unaudited consolidated financial statements have been retroactively adjusted for all periods presented to give effect to the reverse stock split, including reclassifying an amount equal to the reduction in par value to additional paid-in capital.</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2005 may not be indicative of the results that may be expected for the full year.</w:t>
      </w:r>
    </w:p>
    <w:p>
      <w:pPr>
        <w:spacing w:after="0" w:line="6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Reclassification — Auction rate securities amounting to $7.1 million previously included in cash and cash equivalents as of December 31, 2003 have been reclassified to marketable securities resulting in a reduction in cash equivalents for the beginning of the six months ended June 30, 2004 in the accompanying consolidated statements of cash flows.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considered to be in the development stage as its primary activities since incorporation have been establishing its facilities, recruiting personnel, conducting research and development, business development, business and financial planning, and raising capital. Since its inception through June 30, 2005 the Company has reported accumulated net losses of $492.3 million which includes a goodwill impairment charge of $151.4 million. Also, since its inception through June 30, 2005, the Company has reported negative cash flow from operations of $256.0 million. It is costly to develop therapeutic products and conduct clinical trials for these products. Based upon the Company’s current expectations, management believes the Company’s existing capital resources, including the net proceeds of approximately $170.5 million from its private placement in August 2005 (see Note 11), will enable it to continue planned operations into the third quarter of 2006. However, the Company cannot provide assurances that its plans will not change or that changed circumstances will not result in the depletion of its capital resources more rapidly than it currently anticipates. If planned operating results are not achieved or the Company is not successful in raising additional equity financing, management believes that planned expenditures could be reduced substantially, extending the time period over which the Company’s currently available capital resources will be adequate to fund the Company’s operations, on a reduced basis, through 2006.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Initial public offering</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August 2, 2004, the Company completed an initial public offering of its common stock at a price to the public of $14.00 per share. The Company sold 6,250,000 shares of common stock in the offering resulting in gross proceeds of $87.5 million. In connection with the offering, the Company paid</w:t>
      </w:r>
    </w:p>
    <w:p>
      <w:pPr>
        <w:ind w:right="140"/>
        <w:spacing w:after="0" w:line="255" w:lineRule="auto"/>
        <w:rPr>
          <w:sz w:val="20"/>
          <w:szCs w:val="20"/>
          <w:color w:val="auto"/>
        </w:rPr>
      </w:pPr>
      <w:r>
        <w:rPr>
          <w:rFonts w:ascii="Times New Roman" w:cs="Times New Roman" w:eastAsia="Times New Roman" w:hAnsi="Times New Roman"/>
          <w:sz w:val="18"/>
          <w:szCs w:val="18"/>
          <w:color w:val="auto"/>
        </w:rPr>
        <w:t>$6.1 million in underwriting discounts and commissions to underwriters and incurred $2.2 million in other offering expenses. After deducting the underwriting discounts and commissions and other offering expenses, the Company received net proceeds from the offering of approximately $79.2 million. The Company had granted the underwriters a 30-day option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purchase up to an additional 937,500 shares of common stock from the Company to cover over-allotments, if any. This option was exercised for 307,100 shares on August 28, 2004 and closing occurred on September 1, 2004 with net proceeds to the Company of $4.0 million. Additionally, in connection with the initial public offering, all of the outstanding shares of the Company’s preferred stock were converted into shares of its common stock. Accordingly, the automatic conversion of preferred stock on August 2, 2004 into common stock is reflected in the accompanying consolidated financial statements. A summary of the terms of the offering can be found in the Prospectus filed by the Company pursuant to Rule 424(b) under the Securities Act of 1933, as amended with the SEC on July 28, 2004.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for stock-based compensation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accounts for employee stock options and the employee stock purchase plan using the intrinsic-value method in accordance with Accounting Principles Board (“APB”) Opinion No. 25 (“APB No. 25”), “Accounting for Stock Issued to Employees,” and its interpretations, and has adopted the disclosure-only alternative of Statement of Financial Accounting Standards (“SFAS”) No. 123 (“SFAS No. 123”), “Accounting for Stock-based Compensation”. Stock options issued to consultants are accounted for in accordance with the provisions of Emerging Issues Task Force Issue (“EITF”) No. 96-18, “Accounting for Equity Instruments That Are Issued to Other Than Employees for Acquiring, or in Conjunction with Selling, Goods or Services”, and Financial Accounting Standard Board (“FASB”) Interpretation No. 28 (“FIN 28”), “Accounting for Stock Appreciation Rights and Other Variable Stock Option or Award Plans”. Accordingly, no compensation expense is recorded for options issued to employees with fixed amounts and fixed exercise prices which, for accounting purposes, are at least equal to the fair value of the Company’s common stock at the date of grant. Conversely, when the exercise price for accounting purposes is below fair value of the Company’s common stock on the date of grant, a non-cash charge to compensation expense is recorded for the amount equal to the difference between the exercise price and the fair value ratably over the term of the option vesting period. On October 7, 2003, the Company’s board of directors approved a repricing program for certain outstanding options to purchase shares of our common stock granted under each of our stock plans. Compensation cost for all options repriced under the repricing program is measured on a quarterly basis until the options expire or are exercised or canceled. The Company uses the fair-value method to account for non-employee stock-based compensation.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granted during the six months ended June 30, 2005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2005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342,616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w w:val="99"/>
              </w:rPr>
              <w:t>13.02 - $14.72</w:t>
            </w:r>
          </w:p>
        </w:tc>
        <w:tc>
          <w:tcPr>
            <w:tcW w:w="15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2005</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348,000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12.52</w:t>
            </w:r>
          </w:p>
        </w:tc>
        <w:tc>
          <w:tcPr>
            <w:tcW w:w="15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On January 31, 2005, the Company’s board of directors approved stock option grants to the Chief Executive Officer and the President and Chief Operating Officer to purchase an aggregate of 185,000 shares of common stock which vest annually over four years at an exercise price of $13.39 per share.</w:t>
      </w:r>
    </w:p>
    <w:p>
      <w:pPr>
        <w:spacing w:after="0" w:line="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February 14, 2005, the Company’s board of directors approved new hire stock option grants to purchase 127,616 shares of common stock which vest annually over four years at an exercise price of $14.72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2004 Non-Employee Directors’ Stock Option Plan, a stock option grant to purchase 30,000 shares of common stock at an exercise price of</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$13.02 was awarded to a non-employee director in March 2005 upon his acceptance of an appointment to the Company’s board of directors. This option vests in three equal annual installments.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24, 2005, the Company’s board of directors approved new hire and promotion stock option grants to purchase 290,500 shares of common stock which vest annually over four years at an exercise price of $12.52 per share. Additionally, options to purchase 57,500 shares of common stock were automatically granted on May 24, 2005, the day of the annual stockholders meeting, to non-employee directors pursuant to the 2004 Non-Employee Directors Stock Option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had determined compensation cost for grants issued during the current and prior periods based on the fair-value approach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SFAS No. 123, pro forma net loss and net loss per share would have been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 as reported</w:t>
            </w: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(27,155)</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(18,241)</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(49,317)</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(35,326)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(deduct): Stock-based employee compensation expense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 included in reported net loss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Stock-based compensation expense determined under fair</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value method</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(7,319)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 pro forma</w:t>
            </w:r>
          </w:p>
        </w:tc>
        <w:tc>
          <w:tcPr>
            <w:tcW w:w="2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(33,594</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(19,075</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(59,816</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(37,061</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loss per share applicable to common stockholders (basic and</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reported</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 forma</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8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common share</w:t>
      </w:r>
    </w:p>
    <w:p>
      <w:pPr>
        <w:spacing w:after="0" w:line="12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Basic net loss per common share excludes dilution for potentially dilutive securities and is computed by dividing the loss applicable to common stockholders by the weighted-average number of common shares outstanding during the period. Common shares outstanding during the period include shares of common stock issued in exchange for notes receivable, including those that are being accounted for as in-substance stock options. Diluted net loss per common share reflects the potential dilution that could occur if securities or other contracts to issue common stock were exercised or converted into common stock.</w:t>
      </w:r>
    </w:p>
    <w:p>
      <w:pPr>
        <w:spacing w:after="0" w:line="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Potentially dilutive securities are excluded from the computation of diluted net loss per share for all the periods presented in the accompanying statements of operations because the reported net loss in each of these periods results in their inclusion being antidilutive. Antidilutive securities, which consist of redeemable convertible preferred stock, convertible preferred stock, stock options and warrants that are not included in the diluted net loss per share calculation, consisted of an aggregate of 4,497,904 shares and 7,236,452 shares as of June 30, 2005 and 2004,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State research and development credit exchange receivable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State of Connecticut provides certain companies with the opportunity to exchange certain research and development income tax credit carryforwards for cash in exchange for foregoing the carryforward of the research and development income credits. The program provides for an exchange of research and development income tax credits for cash equal to 65% of the value of corporation tax credit available for exchange. The Company has recorded an offset to research and development expenses of $4.0 million through the year ended December 31, 2004 and an additional $0.3 million for the six months ended June 30, 2005 related to this research and development credit exchange program. Of these amounts, approximately $1.5 million consisted of cash received during 2004 and $1.5 million received in April 2005.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0"/>
                <w:szCs w:val="10"/>
                <w:color w:val="auto"/>
              </w:rPr>
            </w:pPr>
          </w:p>
        </w:tc>
        <w:tc>
          <w:tcPr>
            <w:tcW w:w="88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300" w:type="dxa"/>
            <w:vAlign w:val="bottom"/>
            <w:gridSpan w:val="4"/>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4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5,273</w:t>
            </w: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38,534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21,408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on equipment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(22,580)</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(19,368)</w:t>
            </w:r>
          </w:p>
        </w:tc>
        <w:tc>
          <w:tcPr>
            <w:tcW w:w="0" w:type="dxa"/>
            <w:vAlign w:val="bottom"/>
          </w:tcPr>
          <w:p>
            <w:pPr>
              <w:spacing w:after="0"/>
              <w:rPr>
                <w:sz w:val="1"/>
                <w:szCs w:val="1"/>
                <w:color w:val="auto"/>
              </w:rPr>
            </w:pPr>
          </w:p>
        </w:tc>
      </w:tr>
      <w:tr>
        <w:trPr>
          <w:trHeight w:val="223"/>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and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90,000,000 shares of common stock, par value $0.01 per share, and 10,000,000 shares 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undesignated preferred stock, par value $0.01 per share, issuable in one or more series designated by the Company’s board of directors. No other class of capital stock is authorized. As of December 31, 2004 and June 30, 2005, 32,756,237 and 32,833,188 shares of common stock, respectively, were issued and outstanding. No shares of preferred stock were issued and outstanding at December 31, 2004 and June 30, 2005.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Warrants were issued during the years ended December 31, 1995 and 1996 to purchase shares of common stock. As of March 31, 2005, warrants to purchase 131,628 shares of common stock were outstanding and exercisable at a weighted average exercise price of $12.54 per share. The outstanding warrants range in exercise price from $12.53 to $12.70 per share and expire at various dates through 2007. Each warrant contains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During the second quarter ended June 30, 2005, warrants to purchase 110,888 shares of common stock were exchanged for 24,210 shares of common stock resulting in stock-based compensation expense of $245,000 based on a fair market value of common stock of $10.12 per share. As of June 30, 2005, warrants to purchase 20,740 shares of common stock remain outstanding and exercisable.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Recently issued accounting pronouncements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 (“SFAS No. 154”), which replaces APB Opinion No. 20, “Accounting Changes” and SFAS No. 3, “Reporting Accounting Changes in Interim Financial Statements – 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Company believes that the adoption of this statement will not have a material effect on its financial condition or results of operations.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 an Amendment of FASB Statements No. 123 and 95”. The statement requires companies to expense share-based payments to employees, including stock options, based on the fair value of the award at the grant date. The statement also eliminates the intrinsic value method of accounting for stock options permitted by APB No. 25, which the Company currently follows. In April 2005, the SEC deferred the effective date of SFAS No. 123R, and the Company is required to adopt the standard for the quarter that begins January 1, 2006.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the Company’s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the Company continues to evaluate the impact of SFAS No. 123R on its financial statements, management believes that the expensing of stock-based compensation will have an impact on the Company’s Statements of Operations similar to the pro forma disclosure under SFAS No. 123.</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2004, the FASB ratified the measurement and recognition guidance and certain disclosure requirements for impaired securities as described in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 FASB issues the final standard. Management has not determined what impact the adoption of the measurement and recognition guidance in EITF Issue No. 03-1 will have on the Company’s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 Company may be involved in various legal proceedings and other matters. In accordance with SFAS No. 5, Accounting for Contingencies, the Company would record a provision for a liability when it is both probable that a liability has been incurred and the amount of the loss can be reasonably estimated. During the year ended December 31, 2000, the Company issued an aggregate 699,972 shares of common stock to three consultants in exchange for notes receivable aggregating approximately $10,891,000. The notes are collateralized by the underlying common stock, bear interest at fixed rates, and are payable in October 2005. The notes-for-stock transactions are being accounted for as in-substance stock option grants to non-employees. In November 2004, the borrowers notified the Company that they believed that they had entered into an agreement in October 2001 with the Company’s principal stockholder under which the stockholder would purchase from the borrowers some of the common stock, with the proceeds to be paid to the Company to pay down the notes. The borrowers informed the Company that they believe both the Company and its majority stockholder are in breach of certain agreements related to the transaction and indicated they intend to seek alleged damages arising from any failure of the agreement to be performed. The Company is in discussion with the borrowers and has concluded that the matter does not have any financial statement impact as of June 30, 2005. The Company believes that the ultimate resolution of this matter will not have a material impact on the Company’s financial position or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 November 2004, the Company learned that the parent company of a vendor with whom the Company has equipment deposits in the amount of</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$2.9 million as of June 30, 2005 is experiencing financial difficulties. The vendor has indicated it intends to supply the equipment against which the deposits were made. The vendor and its parent company are located in France, and the Company has engaged counsel in France to assist it in evaluating the matter. The Company has assessed this matter in accordance with SFAS No. 5 and concluded that, based on currently available information, a loss accrual is not warranted.</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May 2005, the Company’s former Chief Medical Officer, filed a complaint against the Company in the California Superior Court, County of Los Angeles. </w:t>
      </w:r>
      <w:r>
        <w:rPr>
          <w:rFonts w:ascii="Times New Roman" w:cs="Times New Roman" w:eastAsia="Times New Roman" w:hAnsi="Times New Roman"/>
          <w:sz w:val="18"/>
          <w:szCs w:val="18"/>
          <w:i w:val="1"/>
          <w:iCs w:val="1"/>
          <w:color w:val="auto"/>
        </w:rPr>
        <w:t>Wayman Wendell Cheatham, M.D. v. MannKind Corporation</w:t>
      </w:r>
      <w:r>
        <w:rPr>
          <w:rFonts w:ascii="Times New Roman" w:cs="Times New Roman" w:eastAsia="Times New Roman" w:hAnsi="Times New Roman"/>
          <w:sz w:val="18"/>
          <w:szCs w:val="18"/>
          <w:color w:val="auto"/>
        </w:rPr>
        <w:t>, Case No. BC333845. The complaint alleges causes of action for wrongful termination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intends to vigorously defend against them. The Company also filed a cross-complaint against</w:t>
      </w:r>
    </w:p>
    <w:p>
      <w:pPr>
        <w:ind w:right="140"/>
        <w:spacing w:after="0" w:line="265" w:lineRule="auto"/>
        <w:rPr>
          <w:sz w:val="20"/>
          <w:szCs w:val="20"/>
          <w:color w:val="auto"/>
        </w:rPr>
      </w:pPr>
      <w:r>
        <w:rPr>
          <w:rFonts w:ascii="Times New Roman" w:cs="Times New Roman" w:eastAsia="Times New Roman" w:hAnsi="Times New Roman"/>
          <w:sz w:val="17"/>
          <w:szCs w:val="17"/>
          <w:color w:val="auto"/>
        </w:rPr>
        <w:t>Dr. Cheatham, alleging claims for libel per se, trade libel, breach of contract, breach of the implied covenant of good faith and fair dealing and breach of the duty of loyalty. The libel claims arise out of certain false and malicious statements Dr. Cheatham made after his termination in a letter to the Food and Drug Administration (“FDA”) with regard to a request by the Company to hold a meeting with the FDA. The remaining causes of action in the cross-complaint arise out of Dr. Cheatham’s undisclosed consulting relationship with a Company competitor during his employment with the Company. In July 2005,</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Cheatham filed a demurrer and motion to strike the Company’s cross-complaint under California’s anti-SLAPP statute, the hearing for which is scheduled for September 2005. All discovery in the case is stayed pending the court’s ruling on the motion to strike. The Company believes that the ultimate resolution of this matter will not have a material impact on the Company’s financial position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2, 2005, the Company entered into a definitive purchase agreement for a $175 million private placement of newly issued shares of common stock and the concurrent issuance of warrants for the purchase of additional shares of common stock to accredited investors. Alfred E. Mann, the Company’s Chairman of the Board and Chief Executive Officer, purchased $87.3 million of securities and institutional investors purchased $87.5 million in securities. The private placement closed on August 5, 2005 resulting in net proceeds of $170.5 million. Upon the close of the private placement, the Company issued approximately 17.1 million shares of common stock and warrants to purchase up to approximately 3.4 million shares of common stock at an exercise price of $12.228 per share. The warrants will be exercisable beginning on January 1, 2006 and expire on August 5, 2010.</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contains forward-looking statements, which involve risks and uncertainties. Our actual results could differ materially from those anticipated in these forward-looking statements as a result of various factors, including those set forth below under the caption “Risk Factors” and elsewhere in this quarterly report on Form 10-Q. The interim financial statements and this Management’s discussion and analysis of financial condition and results of operations should be read in conjunction with the financial statements and notes thereto for the year ended December 31, 2004 and the related Management’s </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iscussion and Analysis of Financial Condition and Results of Operations, both of which are contained in our Annual Report on Form 10-K filed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development and commercialization of therapeutic products for diseases such as diabetes and cancer. We are currently in Phase 3 clinical trials in the United States and Europe of our lead product, the Technosphere Insulin System, to study its safety and efficacy in the treatment of diabetes. This therapy consists of a proprietary dry powder Technosphere formulation of insulin that is inhaled into the deep lung using our proprietary MedTone inhaler. We believe that the combination of unique performance characteristics, including the rapid transfer of the insulin into the blood and the significantly higher bioavailability, and the convenience and ease of use of the Technosphere Insulin System may have the potential to change the way diabetes is treated.</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developing additional applications for our proprietary Technosphere platform technology by formulating other drugs for pulmonary delivery, primarily for metabolic and immunological diseases. We are also developing therapies for the treatment of solid-tumor cancers.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were incorporated in February 1991 under the laws of the State of Delaware as Pharmaceutical Discovery Corporation, or PDC. On December 12, 2001, AlleCure and CTL merged with wholly-owned subsidiaries of PDC. Pursuant to the merger, all of the outstanding shares of capital stock of AlleCure and CTL were exchanged for shares of capital stock of PDC, and AlleCure and CTL became wholly-owned subsidiaries of PDC. In connection with the merger, PDC changed its name to MannKind Corporation. On December 31, 2002, AlleCure and CTL merged with and into MannKind and ceased to be separate entities.</w:t>
      </w:r>
    </w:p>
    <w:p>
      <w:pPr>
        <w:spacing w:after="0" w:line="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product revenues, and except for our recently completed initial public offering, we have funded our operations primarily through private placements of equity securities. We are a development stage enterprise and have incurred significant losses since our inception in 1991. As of June 30, 2005, we have incurred a cumulative net loss of $492.3 million which includes a goodwill impairment charge of $151.4 million. We do not anticipate receiving revenues from the sales of any product prior to regulatory approval and commercialization of our Technosphere Insulin System. We expect to make substantial and increasing expenditures and to incur additional operating losses for at least the next several years as we:</w:t>
      </w:r>
    </w:p>
    <w:p>
      <w:pPr>
        <w:spacing w:after="0" w:line="76" w:lineRule="exact"/>
        <w:rPr>
          <w:sz w:val="20"/>
          <w:szCs w:val="20"/>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the clinical development and commercialization of our Technosphere Insulin System for the treatment of diabetes;</w:t>
      </w:r>
    </w:p>
    <w:p>
      <w:pPr>
        <w:spacing w:after="0" w:line="130" w:lineRule="exact"/>
        <w:rPr>
          <w:rFonts w:ascii="Times New Roman" w:cs="Times New Roman" w:eastAsia="Times New Roman" w:hAnsi="Times New Roman"/>
          <w:sz w:val="18"/>
          <w:szCs w:val="18"/>
          <w:b w:val="1"/>
          <w:bCs w:val="1"/>
          <w:color w:val="auto"/>
        </w:rPr>
      </w:pPr>
    </w:p>
    <w:p>
      <w:pPr>
        <w:ind w:left="660" w:right="680" w:hanging="436"/>
        <w:spacing w:after="0" w:line="28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expand our manufacturing operations and quality systems to meet our currently anticipated commercial production needs as we advance the Technosphere Insulin System through Phase 3 clinical trials and into commercialization;</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expand our other research, discovery and development programs focused primarily on the development of therapies for cancer;</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expand our proprietary Technosphere platform technology and develop additional applications for the delivery of other drugs; and</w:t>
      </w:r>
    </w:p>
    <w:p>
      <w:pPr>
        <w:spacing w:after="0" w:line="130" w:lineRule="exact"/>
        <w:rPr>
          <w:rFonts w:ascii="Times New Roman" w:cs="Times New Roman" w:eastAsia="Times New Roman" w:hAnsi="Times New Roman"/>
          <w:sz w:val="18"/>
          <w:szCs w:val="18"/>
          <w:b w:val="1"/>
          <w:bCs w:val="1"/>
          <w:color w:val="auto"/>
        </w:rPr>
      </w:pPr>
    </w:p>
    <w:p>
      <w:pPr>
        <w:ind w:left="660" w:right="380" w:hanging="436"/>
        <w:spacing w:after="0" w:line="28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 into sales and marketing collaborations with other companies, if available on commercially reasonable terms, or develop these capabilities ourselves.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a limited history of operations with our current management team. To date, we have not generated any revenues from sales of any product. We currently do not have the required approvals to market any of our product candidates, and we may not receive them. We may not be profitable even if we succeed in commercializing any of our product candidates.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Since 1991, we have been successful in completing several rounds of private equity financing. In 2003, we raised $100.0 million through private placements of our equity securities, comprised of 3,493,194 shares of common stock and 980,392 shares of Series C convertible preferred stock. On August 2, 2004, we sold 6,250,000 shares of common stock in an initial public offering for aggregate gross proceeds of $87.5 million. The underwriters exercised 307,100 shares of the over-allotment option on August 28, 2004, and the closing occurred on September 1, 2004 for aggregate gross proceeds of $4.3 million. After deducting the underwriters’ commission and offering expenses, we received aggregate net proceeds of $83.2 million. On August 5, 2005, we sold 17,131,682 shares of common stock and warrants to purchase up to 3,426,340 shares of common stock for aggregate gross proceeds of $175 million. After deducting expenses, we received aggregate net proceeds of $170.5 million.</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and manufacturing and related activities. This staff is divided between our facilities in Valencia, California, Paramus, New Jersey and Danbury, Connecticut. We expense research and development costs as we incur them.</w:t>
      </w:r>
    </w:p>
    <w:p>
      <w:pPr>
        <w:spacing w:after="0" w:line="6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type 2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and the initiation of new clinical trials, the resulting manufacturing costs associated with producing materials for these clinical trials, and the expansion, qualification and validation of our commercial manufacturing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expect general and administrative expenses to increase significantly, in part due to increased (non-cash) stock compensation expense resulting in part from the anticipated adoption of Statement of Financial Accounting Standards (SFAS) No. 123R, </w:t>
      </w:r>
      <w:r>
        <w:rPr>
          <w:rFonts w:ascii="Times New Roman" w:cs="Times New Roman" w:eastAsia="Times New Roman" w:hAnsi="Times New Roman"/>
          <w:sz w:val="18"/>
          <w:szCs w:val="18"/>
          <w:i w:val="1"/>
          <w:iCs w:val="1"/>
          <w:color w:val="auto"/>
        </w:rPr>
        <w:t>Share-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based Payment: an Amendment of FASB Statement 123 and 95</w:t>
      </w:r>
      <w:r>
        <w:rPr>
          <w:rFonts w:ascii="Times New Roman" w:cs="Times New Roman" w:eastAsia="Times New Roman" w:hAnsi="Times New Roman"/>
          <w:sz w:val="18"/>
          <w:szCs w:val="18"/>
          <w:color w:val="auto"/>
        </w:rPr>
        <w:t>. See “Note 3 — Accounting for stock-based compensation” in the footnotes to our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Also, we became a public company in July 2004. As a public company, we expect our general and administrative expenses to increase significantly in such areas as audit and legal fees, internal control compliance and insurance. A significant portion of these increases will be paid directly to third parties; most of the remainder will be related to increased staffing in these areas.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described in Item 7 to our Annual Report on Form 10-K for the year ended December 31, 2004, under the caption “Critical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2005 and 2004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revenues were recorded for the three months ended June 30, 2005 or 2004. We do not anticipate receiving revenues from the sales of any product prior to regulatory approval and commercialization of our Technosphere Insulin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$9.3 million to $23.6 million for the three months ended June 30, 2005 compared to $14.3 million for the three months ended June 30, 2004, an increase of 65.0%. The increase was primarily due to ongoing expenses in 2005 related to our Technosphere Insulin System. Continuation of preclinical and clinical studies in 2005 increased research expenditures by $7.9 million, which also resulted in increased manufacturing costs of $0.5 million to supply clinical trial materials and our continued validation of our manufacturing system. Additionally, research activity related to expanding our proprietary Technosphere platform technology, developing additional applications for the delivery of other drugs and the discovery and development of programs primarily focused on cancer therapies resulted in increased research expenditures of $1.1 million in 2005. Offsetting the total increase in research and development expenses of $9.5 million was the recognition of an estimated $0.2 million value-added tax receivable. We anticipate that our research and development expenses associated with our Technosphere Insulin System, expanding our Technosphere platform technology and the pursuit of cancer therapies will increase significantly. Specifically, we anticipate increased expenses related to the continuation of existing, and initiation of new, clinical trials and the resulting manufacturing costs associated with producing materials for these clinical trials.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$0.1 million to $4.0 million for the three months ended June 30, 2005 compared to $4.1 million for the three months ended June 30, 2004, a decrease of 2.4%. The decrease was primarily due to a $2.5 million decrease in stock compensation expense resulting from the effect of the fluctuation of our stock price on the valuation of stock options that were repriced in November 2003 which was offset by increased salaries and other employee related expenses of $0.8 million and various other general and administrative expenses which increased by $1.5 million, such as insurance, accounting and legal fees incurred as a result of operating as a public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income of $7,000 and $14,000 for the three months ended June 30, 2005 and 2004, respectively, relates primarily to dividend income from available-for-sale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income increased by $282,000 to $405,000 for the three months ended June 30, 2005 compared to $123,000 for the three months ended June 30, 2004. The increase was primarily due to higher levels of cash equivalents and marketable securities available for investment during 2005 compared to 2004.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2005 and 2004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revenues were recorded for the six months ended June 30, 2005 or 2004.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$15.2 million to $42.3 million for the six months ended June 30, 2005 compared to $27.1 million for the six months ended June 30, 2004, an increase of 56.1%. The increase was primarily due to ongoing expenses in 2005 related to our Technosphere Insulin System. Continuation of preclinical and clinical studies in 2005 increased research expenditures by $13.0 million, which also resulted in increased manufacturing costs of $1.6 million to supply clinical trial materials and our continued validation of our manufacturing system. Additionally, research activity related to expanding our proprietary Technosphere platform technology, developing additional applications for the delivery of other drugs and the discovery and development of programs primarily focused on cancer therapies resulted in increased research expenditures of $1.2 million in 2005. Offsetting the total increase in research and development expenses of $15.8 million was the recognition of an estimated $0.3 million receivable from the State of Connecticut pursuant to a program under which we can exchange qualified research and development income tax credits for cash and $0.2 million value-added tax receivable.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$0.1 million to $7.9 million for the six months ended June 30, 2005 compared to $7.8 million for the six months ended June 30, 2004, an increase of 1.3%. The increase was primarily due to increased salaries and other employee related expenses of $1.5 million and various other general and administrative expenses which increased by $2.3 million, such as insurance, accounting and legal fees incurred as a result of operating as a public company. This increase was offset by a $4.0 million decrease in stock compensation expense resulting from the effect of the fluctuation of our stock price on the valuation of stock options that were repriced in November 2003.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income of $21,000 and $75,000 for the six months ended June 30, 2005 and 2004, respectively, relates primarily to dividend income from available-for-sale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increased by $656,000 to $877,000 for the six months ended June 30, 2005 compared to $221,000 for the six months ended June 30, 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levels of cash and marketable securities available for investment during 2005 compared to 2004.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deemed dividend of $612,000 for the six months ended June 30, 2004 represents the beneficial conversion charge to common stockholders related to the downward adjustment of the Series B preferred stock conversion price. No further deemed dividend has been recognized as all outstanding preferred stock automatically converted into common stock at the close of the initial public offering in the third quarter of 2004.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we have historically funded our operations primarily through the private placement of equity securities with our majority stockholder and his affiliated entities, who have invested approximately $228.5 million of the approximately $328.5 million that we have raised prior to the closing of our initial public offering on August 2, 2004. In 2003, we raised $100.0 million through private placements of our equity securities, comprising 3,493,194 shares of common stock sold at a weighted average price of $14.31 per share, and 980,392 shares of Series C convertible preferred stock that were subscribed for at a price of $51.00 per preferred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August 2, 2004, we closed our initial public offering at a price to the public of $14.00 per share. We sold 6,250,000 shares of our common stock in the offering for a gross offering price of $87.5 million. We granted the underwriters a 30-day option to purchase up to an additional 937,500 shares of common stock to cover over-allotments. This option was exercised for 307,100 shares on August 28, 2004 and closing occurred on September 1, 2004 with net proceeds to us of approximately $4.0 million. In connection with the initial public offering, we paid $6.4 million in underwriting discounts and commissions to underwriters and incurred $2.2 million in other offering expenses. After deducting the underwriting discounts and commissions and other offering expenses, we received net proceeds from the initial public offering, including the over-allotment, of approximately $83.2 million.</w:t>
      </w:r>
    </w:p>
    <w:p>
      <w:pPr>
        <w:spacing w:after="0" w:line="8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On August 5, 2005, we closed a $175.0 million private placement of newly issued shares of common stock and the concurrent issuance of warrants for the purchase of additional shares of common stock to accredited investors. We sold 17,132,000 shares of our common stock in the private placement, together with warrants to purchase up to 3,426,000 share of common stock at an exercise price of $12.228 per share. In connection with this private placement, we paid $4.4 million in commissions to our placements agents which resulted in net proceeds of approximately $170.5 million.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2005, operating activities used $43.1 million of cash. Net cash used by operating activities during this period resulted primarily from a net loss of $49.3 million, which included a credit to non-cash stock-based compensation of $2.9 million and depreciation of $3.6 million. Additionally, accounts payable and accrued expenses increased by an aggregate of $4.5 million and prepaid expenses and other current assets decreased by an aggregate of $1.4 million. Deferred compensation of $1.4 million was repaid in May 2005 and $1.5 million was received in May 2005 related to the Connecticut research and development tax credit exchange. We expect our negative operating cash flow to continue for several years.</w:t>
      </w:r>
    </w:p>
    <w:p>
      <w:pPr>
        <w:spacing w:after="0" w:line="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2005, investing activities used $16.8 million of cash. This use of cash was for purchases of equipment of $5.6 million and net purchases of marketable securities of $11.4 million. Our efforts with respect to our Technosphere Insulin System include expansion of our manufacturing operations and quality systems. Accordingly, we expect to make significant purchases of equipment in the foreseeable future.</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2005, financing activities provided $0.4 million in cash from the exercise of options and the sale of 28,878 shares through our Employee Stock Purchase Plan on June 30, 2005.</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2005, we had $42.4 million in cash, cash equivalents and marketable securities. Although we believe our existing cash resources, including the net proceeds of $170.5 million from our private placement in August 2005, will be sufficient to fund our anticipated cash requirements into the third quarter of 2006, we will require significant additional financing in the future to fund our operations. We intend to seek additional funding through public or private equity financing, arrangements with corporate partners or other sources. There can be no assurance that we will be able to obtain such additional capital or enter into such relationships with corporate partners on a timely basis, on favorable terms, or at all. If adequate funds are not available, we may be required to delay, reduce or eliminate expenditures for certain of our programs, including our Technosphere Insulin development activities. Because the majority of our expenses in the next twelve months can be reduced or eliminated in a relatively short period, we believe that if we are unable to obtain additional capital we can continue activities, on a reduced basis, through 2006.</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enter into a strategic business collaboration with a pharmaceutical or biotechnology company, we would expect, as part of the transaction, to receive additional capital and share a portion of the costs associated with the development, manufacture and commercialization of our Technosphere Insulin product candidate.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we may be required to reduce expenses through the delay, reduction or curtailment of our projects, including our Technosphere Insulin System development activities, or further reduction of costs for facilities and administration.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2005, we did not have any off-balance sheet arrangements as defined under Item 303(a)(4)(ii) of SEC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consist of operating leases, purchase obligations and capital lease commitments which are included in the table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payments under our operating lease obligations and open purchase commitments consist of the following at June 30, 2005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Payments due in</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Less than</w:t>
            </w:r>
          </w:p>
        </w:tc>
        <w:tc>
          <w:tcPr>
            <w:tcW w:w="126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More</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than</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commitments and lease obligations</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1 Year</w:t>
            </w: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years</w:t>
            </w:r>
          </w:p>
        </w:tc>
        <w:tc>
          <w:tcPr>
            <w:tcW w:w="480" w:type="dxa"/>
            <w:vAlign w:val="bottom"/>
          </w:tcPr>
          <w:p>
            <w:pPr>
              <w:spacing w:after="0"/>
              <w:rPr>
                <w:sz w:val="14"/>
                <w:szCs w:val="1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years</w:t>
            </w:r>
          </w:p>
        </w:tc>
        <w:tc>
          <w:tcPr>
            <w:tcW w:w="46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5 years</w:t>
            </w: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purchase order commitments (1)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$28,702</w:t>
            </w:r>
          </w:p>
        </w:tc>
        <w:tc>
          <w:tcPr>
            <w:tcW w:w="1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$13,793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$42,495</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499</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$28,986</w:t>
            </w:r>
          </w:p>
        </w:tc>
        <w:tc>
          <w:tcPr>
            <w:tcW w:w="1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$14,795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499</w:t>
            </w: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1" w:lineRule="exact"/>
        <w:rPr>
          <w:sz w:val="20"/>
          <w:szCs w:val="20"/>
          <w:color w:val="auto"/>
        </w:rPr>
      </w:pPr>
    </w:p>
    <w:p>
      <w:pPr>
        <w:ind w:left="460" w:right="200" w:hanging="452"/>
        <w:spacing w:after="0" w:line="267" w:lineRule="auto"/>
        <w:tabs>
          <w:tab w:leader="none" w:pos="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and the acquisition of manufacturing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 (“SFAS No. 154”), which replaces APB Opinion No. 20, “Accounting Changes” and SFAS No. 3, “Reporting Accounting Changes in Interim Financial Statements – 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Company believes that the adoption of this statement will not have a material effect on its financial condition or results of operations.</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123R, </w:t>
      </w:r>
      <w:r>
        <w:rPr>
          <w:rFonts w:ascii="Times New Roman" w:cs="Times New Roman" w:eastAsia="Times New Roman" w:hAnsi="Times New Roman"/>
          <w:sz w:val="18"/>
          <w:szCs w:val="18"/>
          <w:i w:val="1"/>
          <w:iCs w:val="1"/>
          <w:color w:val="auto"/>
        </w:rPr>
        <w:t>Share-based Payment: an Amendment of FASB Statements No. 123 and 95</w:t>
      </w:r>
      <w:r>
        <w:rPr>
          <w:rFonts w:ascii="Times New Roman" w:cs="Times New Roman" w:eastAsia="Times New Roman" w:hAnsi="Times New Roman"/>
          <w:sz w:val="18"/>
          <w:szCs w:val="18"/>
          <w:color w:val="auto"/>
        </w:rPr>
        <w:t>. The statement requires companies to expense share-based payments to employees, including stock options, based on the fair value of the award at the grant date. The statement also eliminates the intrinsic value method of accounting for stock options permitted by APB No. 25, which we currently follow. In April 2005, the SEC deferred the effective date of SFAS No. 123R, and we are required to adopt the standard for the quarter that begins January 1, 2006. While the fair value method under SFAS No. 123R is very similar to the fair value method under SFAS No. 123 with regards to measurement and recognition of stock-based compensation, we are currently evaluating the impact of several of the key differences between the two standards on our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we continue to evaluate the impact of SFAS No. 123R on our financial statements, we believe that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expensing of stock-based compensation will have an impact on our Statements of Operations similar to the pro forma disclosure under SFAS No. 123.</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2004, the FASB ratified the measurement and recognition guidance and certain disclosure requirements for impaired securities as described in EITF Issue No. 03-1, “The Meaning of Other-Than-Temporary Impairment and Its Application to Certain Investments”. In September 2004, the FASB issued a proposed Staff Position (“FSP”) EITF Issue No. 03-1a, “Implementation Guidance for the Application of Paragraph 16 of EITF 03-1”. The proposed FSP will provide measurement and recognition guidance with respect to debt securities that are impaired solely due to interest rates and/or sector spreads. The FSP has delayed the effective date until such time that the FASB issues the final standard. We have not determined what impact the adoption of the measurement and recognition guidance in EITF Issue No. 03-1 will have on our financial statements.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operating losses, we expect to continue to incur losses, and we may never become profitable.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never been profitable, and, as of June 30, 2005, we had an accumulated deficit of $492.3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 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raise additional capital, our financial condition and business will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Based upon our current expectations, we believe that our existing capital resources, including the net proceeds from our private placement in August 2005, will enable us to continue planned operations into the third quarter of 2006.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80" w:lineRule="exact"/>
        <w:rPr>
          <w:sz w:val="20"/>
          <w:szCs w:val="20"/>
          <w:color w:val="auto"/>
        </w:rPr>
      </w:pPr>
    </w:p>
    <w:p>
      <w:pPr>
        <w:ind w:left="660" w:right="580" w:hanging="436"/>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of progress and costs of our clinical trials and research and development activities, including costs of procuring clinical materials and expanding our own manufacturing facilities;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actions taken by the FDA and other regulatory authorities affecting our products and competitive products;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success in establishing strategic business collaborations;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and amount of milestone or other payments we might receive from potential third parties;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and amount of payments we might receive from potential licensees;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discontinuing projects and technologies or decommissioning existing facilities, if we undertake those activities;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degree of success in commercializing our Technosphere Insulin System or our other product candidates;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30" w:lineRule="exact"/>
        <w:rPr>
          <w:rFonts w:ascii="Times New Roman" w:cs="Times New Roman" w:eastAsia="Times New Roman" w:hAnsi="Times New Roman"/>
          <w:sz w:val="18"/>
          <w:szCs w:val="18"/>
          <w:b w:val="1"/>
          <w:bCs w:val="1"/>
          <w:color w:val="auto"/>
        </w:rPr>
      </w:pPr>
    </w:p>
    <w:p>
      <w:pPr>
        <w:ind w:left="660" w:right="80" w:hanging="436"/>
        <w:spacing w:after="0" w:line="28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also may seek to raise additional capital by pursuing opportunities for the licensing, sale or divestiture of certain intellectual property and other assets, including our Technosphere technology platform. We cannot assure you,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4"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depend heavily on the successful development and commercialization of our lead product candidate, the Technosphere Insulin System, which is still under development, and our other product candidates, which are in early stages of preclinical development.</w:t>
      </w:r>
    </w:p>
    <w:p>
      <w:pPr>
        <w:spacing w:after="0" w:line="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currently anticipate conducting several pivotal Phase 3 clinical trials as well as several special population studies involving, in total, more than 3,000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many years, if at all.</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drugs or therapeutics. In addition, the clinical results we obtain at one stage are not necessarily indicative 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achieve our projected development goals in the timeframes we announce and expect, the commercialization of our product candidates may be delayed and our business will be harmed.</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76" w:lineRule="exact"/>
        <w:rPr>
          <w:sz w:val="20"/>
          <w:szCs w:val="20"/>
          <w:color w:val="auto"/>
        </w:rPr>
      </w:pPr>
    </w:p>
    <w:p>
      <w:pPr>
        <w:ind w:left="660" w:hanging="436"/>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of progress, costs and results of our clinical trial and research and development activities, which will be impacted by the level of proficiency and experience of our clinical staff;</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receipt of approvals by our competitors and by us from the FDA and other regulatory agencies;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actions by regulators;</w:t>
      </w:r>
    </w:p>
    <w:p>
      <w:pPr>
        <w:spacing w:after="0" w:line="130" w:lineRule="exact"/>
        <w:rPr>
          <w:rFonts w:ascii="Times New Roman" w:cs="Times New Roman" w:eastAsia="Times New Roman" w:hAnsi="Times New Roman"/>
          <w:sz w:val="18"/>
          <w:szCs w:val="18"/>
          <w:b w:val="1"/>
          <w:bCs w:val="1"/>
          <w:color w:val="auto"/>
        </w:rPr>
      </w:pPr>
    </w:p>
    <w:p>
      <w:pPr>
        <w:ind w:left="660" w:right="120" w:hanging="436"/>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of scheduling conflicts with participating clinicians and clinical institutions;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initially are focusing on the development of the Technosphere Insulin System for the treatment of diabetes, and we face intense competition in this area. Pfizer, Inc. and Sanofi-Aventis, in collaboration with Nektar Therapeutics, have been conducting Phase 3 clinical trials for the Exubera product. In March 2004, these collaborators filed a submission seeking regulatory approval in Europe, and in March 2005, their new drug application, or NDA, was accepted by the FDA. Novo Nordisk A.S. has a pulmonary insulin product in development. In July 2005, Eli Lilly and Company, in collaboration with Alkermes, Inc., initiated a Phase 3 clinical trial required for registration of their inhaled insulin system and to define the safety and efficacy of the Lilly/Alkermes product. In addition, a number of established pharmaceutical companies have or are developing proprietary technologies or have entered into arrangements with, or acquired, companies with technologies for the treatment of diabetes. We also face substantial competition for the development of our other product candidates.</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enter into a strategic collaboration with respect to our Technosphere Insulin System, our most clinically advanced program, we may not be able to execute on our business model.</w:t>
      </w:r>
    </w:p>
    <w:p>
      <w:pPr>
        <w:spacing w:after="0" w:line="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current strategy for developing, manufacturing and commercializing our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not able to enter into a collaboration on terms that are favorable to us for our products, we could be required to undertake and fund product development, clinical trials, manufacturing and marketing activities solely at our own expense. For example, we are currently evaluating potential collaborations with respect to our Technosphere Insulin System. We currently estimate that the cost of a self-funded Phase 3 program over the next 12 months would be in the range of $150 to $175 million. However, this estimate may change based on how the program proceeds. Failure to enter into a collaboration with respect to our Technosphere Insulin System following initial Phase 3 clinical trials or with respect to any other product candidate could substantially increase our requirements for capital, which might not be available on favorable terms, if at all. Alternatively, we would have to substantially reduce our development efforts, which would delay or otherwise impede the commercialization of our product candidates.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rely on hospitals and clinical research organizations to conduct, supervise or monitor some or all aspects of clinical trials involving our product candidates, including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enter into collaborative arrangements, we will have less control over the timing, planning and other aspects of our clinical trials, and the sale and marketing of our product candidates. We cannot assure you that we will be able to enter into satisfactory arrangements with third parties as contemplated or that any of our existing or future collaborations will be successful.</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Testing of a particular product candidate may not yield successful results, and even if it does, we may still be unable to commercialize that product candidate.</w:t>
      </w:r>
    </w:p>
    <w:p>
      <w:pPr>
        <w:spacing w:after="0" w:line="5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68" w:lineRule="exact"/>
        <w:rPr>
          <w:sz w:val="20"/>
          <w:szCs w:val="20"/>
          <w:color w:val="auto"/>
        </w:rPr>
      </w:pPr>
    </w:p>
    <w:p>
      <w:pPr>
        <w:ind w:left="460" w:right="180" w:hanging="452"/>
        <w:spacing w:after="0" w:line="266" w:lineRule="auto"/>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data collected from clinical trials of our product candidates may not be sufficient to support FDA or other regulatory approval;</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reviewing test results, we or any potential collaborators may abandon projects that we previously believed were promising; and</w:t>
      </w:r>
    </w:p>
    <w:p>
      <w:pPr>
        <w:spacing w:after="0" w:line="130" w:lineRule="exact"/>
        <w:rPr>
          <w:rFonts w:ascii="Times New Roman" w:cs="Times New Roman" w:eastAsia="Times New Roman" w:hAnsi="Times New Roman"/>
          <w:sz w:val="18"/>
          <w:szCs w:val="18"/>
          <w:b w:val="1"/>
          <w:bCs w:val="1"/>
          <w:color w:val="auto"/>
        </w:rPr>
      </w:pPr>
    </w:p>
    <w:p>
      <w:pPr>
        <w:ind w:left="460" w:right="480" w:hanging="452"/>
        <w:spacing w:after="0" w:line="282" w:lineRule="auto"/>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initiated the second of our Phase 3 studies, a pivotal safety study of our Technosphere Insulin System, primarily to evaluate pulmonary function during long term use.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third-party payors do not reimburse customers for our products, they might not be used or purchased, which would adversely affect our revenues.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7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transition successfully from an early-stage development company to a company that commercializes therapeutics, our operations will suffer.</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reaching a critical juncture in our development, transitioning from an early-stage development company to one with multiple Phase 3 clinical trials moving toward commercializing products. Phase 3 development of the Technosphere Insulin System will be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require a well-structured plan to make this transition. We are in the process of implementing the following measures, among others, to accommodate our transition and successfully implement our commercialization strategy for our Technosphere Insulin System: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20" w:right="440" w:hanging="437"/>
        <w:spacing w:after="0" w:line="282" w:lineRule="auto"/>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 a significant number of new personnel, particularly in clinical development and manufacturing production, including personnel with significant Phase 3-to-commercialization experience;</w:t>
      </w:r>
    </w:p>
    <w:p>
      <w:pPr>
        <w:spacing w:after="0" w:line="67"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expand our manufacturing capabilities;</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 comprehensive and detailed commercialization, clinical development and regulatory plans;</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implement standard operating procedures, including those for protocol development; and</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align our management structure to accommodate the increasing complexity of our operations.</w:t>
      </w:r>
    </w:p>
    <w:p>
      <w:pPr>
        <w:spacing w:after="0" w:line="200" w:lineRule="exact"/>
        <w:rPr>
          <w:sz w:val="20"/>
          <w:szCs w:val="20"/>
          <w:color w:val="auto"/>
        </w:rPr>
      </w:pPr>
    </w:p>
    <w:p>
      <w:pPr>
        <w:spacing w:after="0" w:line="241" w:lineRule="exact"/>
        <w:rPr>
          <w:sz w:val="20"/>
          <w:szCs w:val="20"/>
          <w:color w:val="auto"/>
        </w:rPr>
      </w:pPr>
    </w:p>
    <w:p>
      <w:pPr>
        <w:ind w:left="1120" w:hanging="437"/>
        <w:spacing w:after="0"/>
        <w:tabs>
          <w:tab w:leader="none" w:pos="11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launch and complete our Phase 3 clinical trial program in a deliberate fashion, on time and within budget; and</w:t>
      </w:r>
    </w:p>
    <w:p>
      <w:pPr>
        <w:spacing w:after="0" w:line="130" w:lineRule="exact"/>
        <w:rPr>
          <w:rFonts w:ascii="Times New Roman" w:cs="Times New Roman" w:eastAsia="Times New Roman" w:hAnsi="Times New Roman"/>
          <w:sz w:val="18"/>
          <w:szCs w:val="18"/>
          <w:b w:val="1"/>
          <w:bCs w:val="1"/>
          <w:color w:val="auto"/>
        </w:rPr>
      </w:pPr>
    </w:p>
    <w:p>
      <w:pPr>
        <w:ind w:left="1120" w:hanging="437"/>
        <w:spacing w:after="0"/>
        <w:tabs>
          <w:tab w:leader="none" w:pos="11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 through our Phase 3 trials the key clinical data needed to obtain regulatory approval and compete successfully in the marketplace.</w:t>
      </w:r>
    </w:p>
    <w:p>
      <w:pPr>
        <w:spacing w:after="0" w:line="11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assure you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its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72"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manufacture the raw Technosphere material, but we are in the process of qualifying a secondary manufacturer to supply us with commercial quantities of this raw material. We recently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5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7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If our products do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product candidates will depend on many factors, including:</w:t>
      </w:r>
    </w:p>
    <w:p>
      <w:pPr>
        <w:spacing w:after="0" w:line="117" w:lineRule="exact"/>
        <w:rPr>
          <w:sz w:val="20"/>
          <w:szCs w:val="20"/>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claims for which FDA approval can be obtained, including superiority claims;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perceived advantages and disadvantages of competitive products;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willingness and ability of patients and the healthcare community to adopt new technologies;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manufacture the product in sufficient quantities with acceptable quality and at an acceptable cost;</w:t>
      </w:r>
    </w:p>
    <w:p>
      <w:pPr>
        <w:spacing w:after="0" w:line="130" w:lineRule="exact"/>
        <w:rPr>
          <w:rFonts w:ascii="Times New Roman" w:cs="Times New Roman" w:eastAsia="Times New Roman" w:hAnsi="Times New Roman"/>
          <w:sz w:val="18"/>
          <w:szCs w:val="18"/>
          <w:b w:val="1"/>
          <w:bCs w:val="1"/>
          <w:color w:val="auto"/>
        </w:rPr>
      </w:pPr>
    </w:p>
    <w:p>
      <w:pPr>
        <w:ind w:left="660" w:right="460" w:hanging="436"/>
        <w:spacing w:after="0" w:line="282"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convenience and ease of administration of the products relative to existing treatment methods;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pricing and reimbursement of our products relative to existing treatment therapeutics and methods;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marketing and distribution support for our products.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 product liability coverage for commercial sales in the future.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8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deal with hazardous materials and must comply with environmental laws and regulations, which can be expensive and restrict how we do business.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estimate that the cost to complete the soil cleanup plan for industrial use is $1.5 to $3.0 million over the next 18 to 24 months.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success depends upon our ability to attract, retain and motivate highly skilled employees. We may be unable to attract and retain these individuals on acceptable terms, if at all.</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 In May 2005, we terminated Dr. Cheatham’s employment. Although Mr. Edstrom has assumed Dr. Cheatham’s management responsibilities while we search for a senior executive to lead our development operations, there can be no assurance that we will be able to recruit such an individual with the appropriate skills and experience.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Alfred Mann, our Chairman and Chief Executive Officer, is also serving as the Chairman and Co-Chief Executive Officer of Advanced Bionics Corporation, which was acquired by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Mr. Mann typically devotes anywhere between 25 and 50 hours a week to our business. If Mr. Mann is unable to devote the time and attention necessary to running our business, we may not be able to execute our business strategy and our business could be materially harmed.</w:t>
      </w:r>
    </w:p>
    <w:p>
      <w:pPr>
        <w:spacing w:after="0" w:line="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sued by our former Chief Medical Officer. As a result of this litigation, we may incur material costs and suffer other consequences, which may adversely affect us.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w:t>
      </w:r>
    </w:p>
    <w:p>
      <w:pPr>
        <w:ind w:right="80"/>
        <w:spacing w:after="0" w:line="254" w:lineRule="auto"/>
        <w:rPr>
          <w:sz w:val="20"/>
          <w:szCs w:val="20"/>
          <w:color w:val="auto"/>
        </w:rPr>
      </w:pPr>
      <w:r>
        <w:rPr>
          <w:rFonts w:ascii="Times New Roman" w:cs="Times New Roman" w:eastAsia="Times New Roman" w:hAnsi="Times New Roman"/>
          <w:sz w:val="18"/>
          <w:szCs w:val="18"/>
          <w:color w:val="auto"/>
        </w:rPr>
        <w:t>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motion to strike our cross-complaint under California’s anti-SLAPP statute.</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If we are not successful in this litigation, we could be forced to make a significant settlement or judgment payment to Dr. Cheatham, which could adversely affect our business, results of operations or financial position.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facilities that are located in Southern California may be affected by natural disasters.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in accordance with Section 404 of the Sarbanes-Oxley Act could have a material adverse effect on our business and stock price.</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in the process of documenting and testing our internal control procedures in order to satisfy the requirements of Section 404 of the Sarbanes-Oxley Act, which, beginning with our fiscal year ending December 31, 2005, will require annual management assessments of the effectiveness of our internal controls over financial reporting and a report by our independent auditors that both addresses management’s assessments and provides for the independent auditor’s assessment of the effectiveness of our internal controls. During the course of our testing, we may identify deficiencies which we may not be able to remediate in time to meet the deadline for compliance with Section 404. Testing and maintaining internal controls also involves significant costs and can divert our management’s attention from other matters that are important to our business. We may not be able to conclude on an ongoing basis that we have effective internal controls over financial reporting in accordance with Section 404, and our independent auditors may not be able or willing to issue a favorable assessment of our conclusions. Failure to achieve and maintain an effective internal control environment could harm our operating results and could cause us to fail to meet our reporting obligations.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68" w:lineRule="exact"/>
        <w:rPr>
          <w:sz w:val="20"/>
          <w:szCs w:val="20"/>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design, development, manufacture and testing;</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labeling;</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storage and shipping;</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pre-market clearance or approval;</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and promotion;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sales and distribution.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conduct a two-year carcinogenicity study of Technosphere Insulin in rodents to obtain approval, among other requirements. We cannot be certain when or under what conditions we will undertake further clinical trials, including a US Phase 3 program for our Technosphere Insulin System.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However, an application for approval for another pulmonary insulin product candidate was recently filed in the United States, and we believe a decision could be made by the FDA in early 2006.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recent events regarding questions about the safety of marketed drugs,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developing our Technosphere Insulin System as a new treatment for diabetes utilizing unique, proprietary components. The FDA advised us that the Technosphere Insulin System must be tested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expect that our inhaler will be approved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6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or pulmonary insulin products in development, including its approximation of the natural first-phase insulin release spike.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or USPTO.</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expect that our stock price will fluctuate significantly.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completed our initial public offering on August 2, 2004. Prior to that, our stockholders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76" w:lineRule="exact"/>
        <w:rPr>
          <w:sz w:val="20"/>
          <w:szCs w:val="20"/>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progress and results of our clinical trials;</w:t>
      </w:r>
    </w:p>
    <w:p>
      <w:pPr>
        <w:spacing w:after="0" w:line="130" w:lineRule="exact"/>
        <w:rPr>
          <w:rFonts w:ascii="Times New Roman" w:cs="Times New Roman" w:eastAsia="Times New Roman" w:hAnsi="Times New Roman"/>
          <w:sz w:val="18"/>
          <w:szCs w:val="18"/>
          <w:b w:val="1"/>
          <w:bCs w:val="1"/>
          <w:color w:val="auto"/>
        </w:rPr>
      </w:pPr>
    </w:p>
    <w:p>
      <w:pPr>
        <w:ind w:left="660" w:right="100" w:hanging="436"/>
        <w:spacing w:after="0" w:line="282"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concerning their clinical trial results, acquisitions, strategic alliances, technological innovations and newly approved commercial products;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critical materials used in developing and manufacturing our Technosphere Insulin System or other product candidates;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developments concerning our patents, proprietary rights and potential infringement claims;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securities analysts’ estimates of our financial and operating performance;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line="282"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price of our common stock to decline.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Mann has been our primary source of financing to date. Following the close of our private placement on August 5, 2005, Mr. Mann beneficially owned approximately 48.7% of our outstanding shares of capital stock. Members of Mr. Mann’s family beneficially owned at least an additional 1.6%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w:t>
      </w:r>
    </w:p>
    <w:p>
      <w:pPr>
        <w:spacing w:after="0" w:line="3"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7"/>
          <w:szCs w:val="17"/>
          <w:color w:val="auto"/>
        </w:rPr>
        <w:t>Mr. Mann, four of his children and Dr. Joseph Schulman, the director of AMF. The AEMFBE is a membership foundation consisting of five members, including Mr. Mann and the same four of his children. Although we understand that the members of AEMMRO and AEMFBE have been advised of</w:t>
      </w:r>
    </w:p>
    <w:p>
      <w:pPr>
        <w:ind w:right="80"/>
        <w:spacing w:after="0" w:line="261" w:lineRule="auto"/>
        <w:rPr>
          <w:sz w:val="20"/>
          <w:szCs w:val="20"/>
          <w:color w:val="auto"/>
        </w:rPr>
      </w:pPr>
      <w:r>
        <w:rPr>
          <w:rFonts w:ascii="Times New Roman" w:cs="Times New Roman" w:eastAsia="Times New Roman" w:hAnsi="Times New Roman"/>
          <w:sz w:val="18"/>
          <w:szCs w:val="18"/>
          <w:color w:val="auto"/>
        </w:rPr>
        <w:t>Mr. Mann’s objectives for these foundations, once Mr. Mann’s shares of our capital stock become the property of the foundations, we cannot assure you as to how those shares will be distributed or how they will be voted.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future sale of our common stock could negatively affect our stock price.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2005, we had approximately 32.8 million shares of common stock outstanding, all of which are available for public sale, subject in some cases to volume and other limitations. Also as of June 30, 2005, holders of 916,715 shares of our common stock and the holders of warrants to purchase 20,740 shares of our common stock have rights, subject to some conditions, to require us to file registration statements covering their shares or to include their shares in registration statements that we may file for ourselves or other stockholders. On August 5, 2005, we sold approximately17.1 million shares of common stock in a private placement, together with warrants to purchase approximately 3.4 million shares of common stock. Under the terms of the private placement, we are required to file a resale registration statement covering the shares and warrant shares sold in the private placement by September 4, 2005 and use our best efforts to have that registration statement declared effective.</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those holders pursuant to the exercise of their registrations rights, the sale of those shares could impair our ability to raise needed capital by depressing the price at which we could sell our common stock.</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5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See “Description of capital stock—Amended and restated certificate of incorporation and bylaw provisions.”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do not expect to pay dividends in the foreseeable future, you must rely on stock appreciation for any return on your investment.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We have not used derivative financial instruments for speculation or trading purposes.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June 30, 2005, we estimate that the fair value of our investment portfolio would decline by an immaterial amount.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June 30, 2005 that has materially affected, or is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May 2005, our former Chief Medical Officer filed a complaint against us in the California Superior Court, County of Los Angeles. </w:t>
      </w:r>
      <w:r>
        <w:rPr>
          <w:rFonts w:ascii="Times New Roman" w:cs="Times New Roman" w:eastAsia="Times New Roman" w:hAnsi="Times New Roman"/>
          <w:sz w:val="18"/>
          <w:szCs w:val="18"/>
          <w:i w:val="1"/>
          <w:iCs w:val="1"/>
          <w:color w:val="auto"/>
        </w:rPr>
        <w:t>Wayman Wendell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Cheatham, M.D. v. MannKind Corporation</w:t>
      </w:r>
      <w:r>
        <w:rPr>
          <w:rFonts w:ascii="Times New Roman" w:cs="Times New Roman" w:eastAsia="Times New Roman" w:hAnsi="Times New Roman"/>
          <w:sz w:val="18"/>
          <w:szCs w:val="18"/>
          <w:color w:val="auto"/>
        </w:rPr>
        <w:t>, Case No. BC333845. The complaint alleges causes of action for wrongful termination in violation of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breach of contract and retaliation, in connection with our termination of Dr. Cheatham’s employment. In the complaint, Dr. Cheatham seeks compensatory, punitive and exemplary damages in excess of $2.0 million, as well as reimbursement of attorneys’ fees. In June 2005, we answered the complaint, generally denying each of Dr. Cheatham’s allegations and asserting various defenses. We believe the allegations in the complaint are without merit and intend to vigorously defend against them. We also filed a cross-complaint against Dr. Cheatham, alleging claims for libel per se, trade libel, breach of contract, breach of the implied covenant of good faith and fair dealing and breach of the duty of loyalty. The libel claims arise out of certain false and malicious statements Dr. Cheatham made after his termination in a letter to the FDA with regard to a request by us to hold a meeting with the FDA. The remaining causes of action in the cross-complaint arise out of Dr. Cheatham’s undisclosed consulting relationship with a competitor during his employment with us. In July 2005, Dr. Cheatham filed a demurrer and motion to strike our cross-complaint under California’s anti-SLAPP statute, the hearing for which is scheduled for September 2005. All discovery in the case is stayed pending the court’s ruling on the motion to strike.</w:t>
      </w:r>
    </w:p>
    <w:p>
      <w:pPr>
        <w:spacing w:after="0" w:line="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2000, we issued an aggregate 699,972 shares of common stock to three consultants in exchange for notes receivable aggregating approximately $10,891,000. The notes are collateralized by the underlying common stock, bear interest at fixed rates, and are payable in October 2005. On November 10, 2004, the borrowers notified us that they believed that they had entered into an agreement in October 2001 with Alfred E. Mann, our Chairman, Chief Executive Officer and principal stockholder, under which Mr. Mann would purchase from the borrowers some of the common stock, with the proceeds to be paid to us to pay down the notes. The borrowers have informed us that they believe both we and Mr. Mann are in breach of certain agreements related to the transaction and indicated they intend to seek alleged damages arising from any failure of the agreement to be performed. To the best of our knowledge, the borrowers have not commenced any legal proceedings against Mr. Mann or us. We believe that the ultimate resolution of this matter will not have a material impact on our financial position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Unregistered Sales of Equity Securities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2005, the Company issued 24,210 shares of its common stock to 12 holders of warrants to purchase the Company’s common stock in exchange for the cancellation of such warrants. No commission or other remuneration was paid or given directly or indirectly for soliciting the exchange. For these issuances, the Company relied on the exemption from registration contained in Section 3(a)(9) of the Securities Act of 1933, as amended.</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 Use of Proceeds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w:t>
      </w:r>
    </w:p>
    <w:p>
      <w:pPr>
        <w:spacing w:after="0" w:line="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w:t>
      </w:r>
    </w:p>
    <w:p>
      <w:pPr>
        <w:ind w:right="60" w:firstLine="8"/>
        <w:spacing w:after="0" w:line="261"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Inc. and Harris Nesbitt. The underwriters exercised 307,100 shares of the over-allotment option on August 28, 2004 and the closing occurred on September 1, 2004.</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2005, we estimate that we had used approximately $70.6 million of the net proceeds of our initial public offering for operating activities and approximately $8.9 million of the net proceeds for the purchase of manufacturing equipment. The remainder of the net proceeds has been invested into short-term securities and cash equivalents.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 The use of proceeds does not represent a material change from the use of proceeds described in the prospectus we filed pursuant to Rule 424(b) of the Securities Act with the SEC on July 28, 2004.</w:t>
      </w:r>
    </w:p>
    <w:p>
      <w:pPr>
        <w:spacing w:after="0" w:line="72" w:lineRule="exact"/>
        <w:rPr>
          <w:sz w:val="20"/>
          <w:szCs w:val="20"/>
          <w:color w:val="auto"/>
        </w:rPr>
      </w:pPr>
    </w:p>
    <w:p>
      <w:pPr>
        <w:ind w:left="240" w:right="10040" w:hanging="7"/>
        <w:spacing w:after="0" w:line="445" w:lineRule="auto"/>
        <w:tabs>
          <w:tab w:leader="none" w:pos="4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 our Annual Meeting of Stockholders, held on May 24, 2005, the following members were re-elected to the Board of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Affirmative</w:t>
            </w:r>
          </w:p>
        </w:tc>
        <w:tc>
          <w:tcPr>
            <w:tcW w:w="520" w:type="dxa"/>
            <w:vAlign w:val="bottom"/>
          </w:tcPr>
          <w:p>
            <w:pPr>
              <w:spacing w:after="0"/>
              <w:rPr>
                <w:sz w:val="13"/>
                <w:szCs w:val="13"/>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Votes</w:t>
            </w:r>
          </w:p>
        </w:tc>
      </w:tr>
      <w:tr>
        <w:trPr>
          <w:trHeight w:val="171"/>
        </w:trPr>
        <w:tc>
          <w:tcPr>
            <w:tcW w:w="83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Votes</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Withheld</w:t>
            </w: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Terms expiring in 2006</w:t>
            </w: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28,802,047</w:t>
            </w: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7,750</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Hakan S. Edstrom</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28,806,077</w:t>
            </w:r>
          </w:p>
        </w:tc>
        <w:tc>
          <w:tcPr>
            <w:tcW w:w="16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3,720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Kathleen Connell, Ph.D.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28,805,392</w:t>
            </w: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4,405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Consiglio</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28,798,975</w:t>
            </w:r>
          </w:p>
        </w:tc>
        <w:tc>
          <w:tcPr>
            <w:tcW w:w="16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10,822</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Michael Friedman, M.D.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28,783,702</w:t>
            </w: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26,095</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Llew Keltner, M.D., Ph.D.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28,787,637</w:t>
            </w:r>
          </w:p>
        </w:tc>
        <w:tc>
          <w:tcPr>
            <w:tcW w:w="16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22,160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Kent Kresa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28,761,183</w:t>
            </w: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48,614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MacCallum</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28,806,202</w:t>
            </w:r>
          </w:p>
        </w:tc>
        <w:tc>
          <w:tcPr>
            <w:tcW w:w="16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3,595</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Henry L. Nordhoff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28,807,147</w:t>
            </w:r>
          </w:p>
        </w:tc>
        <w:tc>
          <w:tcPr>
            <w:tcW w:w="16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2,650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1050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10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6"/>
                <w:szCs w:val="16"/>
                <w:color w:val="auto"/>
              </w:rPr>
            </w:pPr>
          </w:p>
        </w:tc>
        <w:tc>
          <w:tcPr>
            <w:tcW w:w="10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from Exhibit 3.5 to the Registrant’s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Form S-1, File No. 333-115020)</w:t>
            </w:r>
          </w:p>
        </w:tc>
        <w:tc>
          <w:tcPr>
            <w:tcW w:w="0" w:type="dxa"/>
            <w:vAlign w:val="bottom"/>
          </w:tcPr>
          <w:p>
            <w:pPr>
              <w:spacing w:after="0"/>
              <w:rPr>
                <w:sz w:val="1"/>
                <w:szCs w:val="1"/>
                <w:color w:val="auto"/>
              </w:rPr>
            </w:pPr>
          </w:p>
        </w:tc>
      </w:tr>
      <w:tr>
        <w:trPr>
          <w:trHeight w:val="414"/>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from Exhibit 3.7 to the Registrant’s Registration Statement on Form S-1,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No. 333-115020)</w:t>
            </w:r>
          </w:p>
        </w:tc>
        <w:tc>
          <w:tcPr>
            <w:tcW w:w="0" w:type="dxa"/>
            <w:vAlign w:val="bottom"/>
          </w:tcPr>
          <w:p>
            <w:pPr>
              <w:spacing w:after="0"/>
              <w:rPr>
                <w:sz w:val="1"/>
                <w:szCs w:val="1"/>
                <w:color w:val="auto"/>
              </w:rPr>
            </w:pPr>
          </w:p>
        </w:tc>
      </w:tr>
      <w:tr>
        <w:trPr>
          <w:trHeight w:val="414"/>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Form of Common Stock Certificate (incorporated by reference from Exhibit 4.1 to the Registrant’s Registration Statement on Form S-1,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No. 333-115020)</w:t>
            </w:r>
          </w:p>
        </w:tc>
        <w:tc>
          <w:tcPr>
            <w:tcW w:w="0" w:type="dxa"/>
            <w:vAlign w:val="bottom"/>
          </w:tcPr>
          <w:p>
            <w:pPr>
              <w:spacing w:after="0"/>
              <w:rPr>
                <w:sz w:val="1"/>
                <w:szCs w:val="1"/>
                <w:color w:val="auto"/>
              </w:rPr>
            </w:pPr>
          </w:p>
        </w:tc>
      </w:tr>
      <w:tr>
        <w:trPr>
          <w:trHeight w:val="414"/>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made and entered into as of October 15, 1998 by and among CTL Immunotherapies Corp., Medical Research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Group, LLC, McLean Watson Advisory Inc. and Alfred E. Mann, as amended (incorporated by reference from Exhibit 4.2 to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File No. 333-115020)</w:t>
            </w:r>
          </w:p>
        </w:tc>
        <w:tc>
          <w:tcPr>
            <w:tcW w:w="0" w:type="dxa"/>
            <w:vAlign w:val="bottom"/>
          </w:tcPr>
          <w:p>
            <w:pPr>
              <w:spacing w:after="0"/>
              <w:rPr>
                <w:sz w:val="1"/>
                <w:szCs w:val="1"/>
                <w:color w:val="auto"/>
              </w:rPr>
            </w:pPr>
          </w:p>
        </w:tc>
      </w:tr>
      <w:tr>
        <w:trPr>
          <w:trHeight w:val="432"/>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under Section 302 of the Sarbanes-Oxley Act of 2002</w:t>
            </w:r>
          </w:p>
        </w:tc>
        <w:tc>
          <w:tcPr>
            <w:tcW w:w="0" w:type="dxa"/>
            <w:vAlign w:val="bottom"/>
          </w:tcPr>
          <w:p>
            <w:pPr>
              <w:spacing w:after="0"/>
              <w:rPr>
                <w:sz w:val="1"/>
                <w:szCs w:val="1"/>
                <w:color w:val="auto"/>
              </w:rPr>
            </w:pPr>
          </w:p>
        </w:tc>
      </w:tr>
      <w:tr>
        <w:trPr>
          <w:trHeight w:val="432"/>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under Section 302 of the Sarbanes-Oxley Act of 2002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5620" w:right="1340" w:hanging="5412"/>
        <w:spacing w:after="0" w:line="501" w:lineRule="auto"/>
        <w:tabs>
          <w:tab w:leader="none" w:pos="9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under Section 906 of the Sarbanes-Oxley Act of 2002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15th day of August 2005.</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RICHARD L. ANDERSON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Officer (Principal Financial and Accounting Officer)</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240" w:top="41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E. Mann, certify that:</w:t>
      </w:r>
    </w:p>
    <w:p>
      <w:pPr>
        <w:spacing w:after="0" w:line="117" w:lineRule="exact"/>
        <w:rPr>
          <w:sz w:val="20"/>
          <w:szCs w:val="20"/>
          <w:color w:val="auto"/>
        </w:rPr>
      </w:pPr>
    </w:p>
    <w:p>
      <w:pPr>
        <w:ind w:left="420" w:hanging="187"/>
        <w:spacing w:after="0"/>
        <w:tabs>
          <w:tab w:leader="none" w:pos="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MannKind Corporation;</w:t>
      </w:r>
    </w:p>
    <w:p>
      <w:pPr>
        <w:spacing w:after="0" w:line="117" w:lineRule="exact"/>
        <w:rPr>
          <w:rFonts w:ascii="Times New Roman" w:cs="Times New Roman" w:eastAsia="Times New Roman" w:hAnsi="Times New Roman"/>
          <w:sz w:val="18"/>
          <w:szCs w:val="18"/>
          <w:color w:val="auto"/>
        </w:rPr>
      </w:pPr>
    </w:p>
    <w:p>
      <w:pPr>
        <w:ind w:right="400" w:firstLine="233"/>
        <w:spacing w:after="0" w:line="282" w:lineRule="auto"/>
        <w:tabs>
          <w:tab w:leader="none" w:pos="4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460" w:firstLine="233"/>
        <w:spacing w:after="0" w:line="282" w:lineRule="auto"/>
        <w:tabs>
          <w:tab w:leader="none" w:pos="4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700" w:firstLine="233"/>
        <w:spacing w:after="0" w:line="282" w:lineRule="auto"/>
        <w:tabs>
          <w:tab w:leader="none" w:pos="4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right="380" w:firstLine="233"/>
        <w:spacing w:after="0" w:line="282" w:lineRule="auto"/>
        <w:tabs>
          <w:tab w:leader="none" w:pos="4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660" w:hanging="43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2005</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ALFRED E. MANN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932"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Anderson, certify that:</w:t>
      </w:r>
    </w:p>
    <w:p>
      <w:pPr>
        <w:spacing w:after="0" w:line="117" w:lineRule="exact"/>
        <w:rPr>
          <w:sz w:val="20"/>
          <w:szCs w:val="20"/>
          <w:color w:val="auto"/>
        </w:rPr>
      </w:pPr>
    </w:p>
    <w:p>
      <w:pPr>
        <w:ind w:left="420" w:hanging="187"/>
        <w:spacing w:after="0"/>
        <w:tabs>
          <w:tab w:leader="none" w:pos="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MannKind Corporation;</w:t>
      </w:r>
    </w:p>
    <w:p>
      <w:pPr>
        <w:spacing w:after="0" w:line="117" w:lineRule="exact"/>
        <w:rPr>
          <w:rFonts w:ascii="Times New Roman" w:cs="Times New Roman" w:eastAsia="Times New Roman" w:hAnsi="Times New Roman"/>
          <w:sz w:val="18"/>
          <w:szCs w:val="18"/>
          <w:color w:val="auto"/>
        </w:rPr>
      </w:pPr>
    </w:p>
    <w:p>
      <w:pPr>
        <w:ind w:right="400" w:firstLine="233"/>
        <w:spacing w:after="0" w:line="282" w:lineRule="auto"/>
        <w:tabs>
          <w:tab w:leader="none" w:pos="4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460" w:firstLine="233"/>
        <w:spacing w:after="0" w:line="282" w:lineRule="auto"/>
        <w:tabs>
          <w:tab w:leader="none" w:pos="4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700" w:firstLine="233"/>
        <w:spacing w:after="0" w:line="282" w:lineRule="auto"/>
        <w:tabs>
          <w:tab w:leader="none" w:pos="40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60" w:hanging="43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00" w:hanging="43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right="380" w:firstLine="233"/>
        <w:spacing w:after="0" w:line="282" w:lineRule="auto"/>
        <w:tabs>
          <w:tab w:leader="none" w:pos="40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660" w:hanging="43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40" w:hanging="43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2005</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RICHARD L. ANDERSON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931"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EXHIBIT 32</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CERTIFICATIONS OF</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Alfred E. Mann, Chief Executive Officer of MannKind Corporation (the “Company”), certify, pursuant to Section 906 of the Sarbanes-Oxley Act of 2002, 18 U.S.C. Section 1350, that to my knowledge:</w:t>
      </w:r>
    </w:p>
    <w:p>
      <w:pPr>
        <w:spacing w:after="0" w:line="54" w:lineRule="exact"/>
        <w:rPr>
          <w:sz w:val="20"/>
          <w:szCs w:val="20"/>
          <w:color w:val="auto"/>
        </w:rPr>
      </w:pPr>
    </w:p>
    <w:p>
      <w:pPr>
        <w:ind w:firstLine="233"/>
        <w:spacing w:after="0" w:line="282"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2005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right="20" w:firstLine="233"/>
        <w:spacing w:after="0" w:line="282"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August 15, 2005</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ALFRED E. MANN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Richard L. Anderson, Chief Financial Officer of MannKind Corporation (the “Company”), certify pursuant to Section 906 of the Sarbanes-Oxley Act of 2002, 18 U.S.C. Section 1350, that to my knowledge:</w:t>
      </w:r>
    </w:p>
    <w:p>
      <w:pPr>
        <w:spacing w:after="0" w:line="54" w:lineRule="exact"/>
        <w:rPr>
          <w:sz w:val="20"/>
          <w:szCs w:val="20"/>
          <w:color w:val="auto"/>
        </w:rPr>
      </w:pPr>
    </w:p>
    <w:p>
      <w:pPr>
        <w:ind w:firstLine="233"/>
        <w:spacing w:after="0" w:line="282"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2005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right="20" w:firstLine="233"/>
        <w:spacing w:after="0" w:line="282" w:lineRule="auto"/>
        <w:tabs>
          <w:tab w:leader="none" w:pos="4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August 15, 2005</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RICHARD L. ANDERSON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5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sectPr>
      <w:pgSz w:w="11900" w:h="16838" w:orient="portrait"/>
      <w:cols w:equalWidth="0" w:num="1">
        <w:col w:w="11360"/>
      </w:cols>
      <w:pgMar w:left="240" w:top="93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amp;"/>
      <w:numFmt w:val="bullet"/>
      <w:start w:val="1"/>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decimal"/>
      <w:start w:val="32"/>
    </w:lvl>
  </w:abstractNum>
  <w:abstractNum w:abstractNumId="17">
    <w:nsid w:val="333AB105"/>
    <w:multiLevelType w:val="hybridMultilevel"/>
    <w:lvl w:ilvl="0">
      <w:lvlJc w:val="left"/>
      <w:lvlText w:val="%1"/>
      <w:numFmt w:val="lowerLetter"/>
      <w:start w:val="1"/>
    </w:lvl>
    <w:lvl w:ilvl="1">
      <w:lvlJc w:val="left"/>
      <w:lvlText w:val="%2."/>
      <w:numFmt w:val="decimal"/>
      <w:start w:val="1"/>
    </w:lvl>
  </w:abstractNum>
  <w:abstractNum w:abstractNumId="18">
    <w:nsid w:val="721DA317"/>
    <w:multiLevelType w:val="hybridMultilevel"/>
    <w:lvl w:ilvl="0">
      <w:lvlJc w:val="left"/>
      <w:lvlText w:val="%1)"/>
      <w:numFmt w:val="lowerLetter"/>
      <w:start w:val="1"/>
    </w:lvl>
    <w:lvl w:ilvl="1">
      <w:lvlJc w:val="left"/>
      <w:lvlText w:val="%2."/>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lvl w:ilvl="1">
      <w:lvlJc w:val="left"/>
      <w:lvlText w:val="%2."/>
      <w:numFmt w:val="decimal"/>
      <w:start w:val="1"/>
    </w:lvl>
  </w:abstractNum>
  <w:abstractNum w:abstractNumId="21">
    <w:nsid w:val="6763845E"/>
    <w:multiLevelType w:val="hybridMultilevel"/>
    <w:lvl w:ilvl="0">
      <w:lvlJc w:val="left"/>
      <w:lvlText w:val="%1)"/>
      <w:numFmt w:val="lowerLetter"/>
      <w:start w:val="1"/>
    </w:lvl>
    <w:lvl w:ilvl="1">
      <w:lvlJc w:val="left"/>
      <w:lvlText w:val="%2."/>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2019-12-14T00:13:40Z</dcterms:created>
  <dcterms:modified xsi:type="dcterms:W3CDTF">2019-12-14T00:13:40Z</dcterms:modified>
</cp:coreProperties>
</file>