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63" w:lineRule="exact"/>
        <w:rPr>
          <w:rFonts w:ascii="MS PGothic" w:cs="MS PGothic" w:eastAsia="MS PGothic" w:hAnsi="MS PGothic"/>
          <w:sz w:val="14"/>
          <w:szCs w:val="14"/>
          <w:color w:val="auto"/>
          <w:highlight w:val="black"/>
        </w:rPr>
      </w:pPr>
    </w:p>
    <w:p>
      <w:pPr>
        <w:ind w:left="408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6"/>
          <w:szCs w:val="16"/>
          <w:b w:val="1"/>
          <w:bCs w:val="1"/>
          <w:color w:val="auto"/>
        </w:rPr>
        <w:t>For the fiscal year ended December 31, 2024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7"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226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46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71"/>
        </w:trPr>
        <w:tc>
          <w:tcPr>
            <w:tcW w:w="3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300" w:type="dxa"/>
            <w:vAlign w:val="bottom"/>
            <w:gridSpan w:val="7"/>
          </w:tcPr>
          <w:p>
            <w:pPr>
              <w:jc w:val="center"/>
              <w:ind w:right="3851"/>
              <w:spacing w:after="0"/>
              <w:rPr>
                <w:sz w:val="20"/>
                <w:szCs w:val="20"/>
                <w:color w:val="auto"/>
              </w:rPr>
            </w:pPr>
            <w:r>
              <w:rPr>
                <w:rFonts w:ascii="Times New Roman" w:cs="Times New Roman" w:eastAsia="Times New Roman" w:hAnsi="Times New Roman"/>
                <w:sz w:val="16"/>
                <w:szCs w:val="16"/>
                <w:b w:val="1"/>
                <w:bCs w:val="1"/>
                <w:color w:val="auto"/>
              </w:rPr>
              <w:t>Commission file number: 000-50865</w:t>
            </w:r>
          </w:p>
        </w:tc>
      </w:tr>
      <w:tr>
        <w:trPr>
          <w:trHeight w:val="114"/>
        </w:trPr>
        <w:tc>
          <w:tcPr>
            <w:tcW w:w="3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0" w:type="dxa"/>
            <w:vAlign w:val="bottom"/>
          </w:tcPr>
          <w:p>
            <w:pPr>
              <w:spacing w:after="0"/>
              <w:rPr>
                <w:sz w:val="9"/>
                <w:szCs w:val="9"/>
                <w:color w:val="auto"/>
              </w:rPr>
            </w:pPr>
          </w:p>
        </w:tc>
      </w:tr>
      <w:tr>
        <w:trPr>
          <w:trHeight w:val="342"/>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00" w:type="dxa"/>
            <w:vAlign w:val="bottom"/>
            <w:gridSpan w:val="7"/>
          </w:tcPr>
          <w:p>
            <w:pPr>
              <w:jc w:val="center"/>
              <w:ind w:right="3851"/>
              <w:spacing w:after="0"/>
              <w:rPr>
                <w:sz w:val="20"/>
                <w:szCs w:val="20"/>
                <w:color w:val="auto"/>
              </w:rPr>
            </w:pPr>
            <w:r>
              <w:rPr>
                <w:rFonts w:ascii="Times New Roman" w:cs="Times New Roman" w:eastAsia="Times New Roman" w:hAnsi="Times New Roman"/>
                <w:sz w:val="27"/>
                <w:szCs w:val="27"/>
                <w:b w:val="1"/>
                <w:bCs w:val="1"/>
                <w:color w:val="auto"/>
                <w:w w:val="99"/>
              </w:rPr>
              <w:t>MannKind Corporation</w:t>
            </w:r>
          </w:p>
        </w:tc>
      </w:tr>
      <w:tr>
        <w:trPr>
          <w:trHeight w:val="212"/>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20" w:type="dxa"/>
            <w:vAlign w:val="bottom"/>
            <w:gridSpan w:val="8"/>
          </w:tcPr>
          <w:p>
            <w:pPr>
              <w:jc w:val="center"/>
              <w:ind w:right="373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114"/>
        </w:trPr>
        <w:tc>
          <w:tcPr>
            <w:tcW w:w="3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0" w:type="dxa"/>
            <w:vAlign w:val="bottom"/>
          </w:tcPr>
          <w:p>
            <w:pPr>
              <w:spacing w:after="0"/>
              <w:rPr>
                <w:sz w:val="9"/>
                <w:szCs w:val="9"/>
                <w:color w:val="auto"/>
              </w:rPr>
            </w:pPr>
          </w:p>
        </w:tc>
      </w:tr>
      <w:tr>
        <w:trPr>
          <w:trHeight w:val="233"/>
        </w:trPr>
        <w:tc>
          <w:tcPr>
            <w:tcW w:w="3540" w:type="dxa"/>
            <w:vAlign w:val="bottom"/>
          </w:tcPr>
          <w:p>
            <w:pPr>
              <w:jc w:val="center"/>
              <w:ind w:left="201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40" w:type="dxa"/>
            <w:vAlign w:val="bottom"/>
            <w:gridSpan w:val="4"/>
          </w:tcPr>
          <w:p>
            <w:pPr>
              <w:jc w:val="right"/>
              <w:ind w:right="2231"/>
              <w:spacing w:after="0"/>
              <w:rPr>
                <w:sz w:val="20"/>
                <w:szCs w:val="20"/>
                <w:color w:val="auto"/>
              </w:rPr>
            </w:pPr>
            <w:r>
              <w:rPr>
                <w:rFonts w:ascii="Times New Roman" w:cs="Times New Roman" w:eastAsia="Times New Roman" w:hAnsi="Times New Roman"/>
                <w:sz w:val="16"/>
                <w:szCs w:val="16"/>
                <w:b w:val="1"/>
                <w:bCs w:val="1"/>
                <w:color w:val="auto"/>
              </w:rPr>
              <w:t>13-3607736</w:t>
            </w:r>
          </w:p>
        </w:tc>
      </w:tr>
      <w:tr>
        <w:trPr>
          <w:trHeight w:val="148"/>
        </w:trPr>
        <w:tc>
          <w:tcPr>
            <w:tcW w:w="6600" w:type="dxa"/>
            <w:vAlign w:val="bottom"/>
            <w:gridSpan w:val="6"/>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tcPr>
          <w:p>
            <w:pPr>
              <w:jc w:val="center"/>
              <w:ind w:right="1711"/>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6600" w:type="dxa"/>
            <w:vAlign w:val="bottom"/>
            <w:gridSpan w:val="6"/>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jc w:val="center"/>
              <w:ind w:right="1711"/>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54"/>
        </w:trPr>
        <w:tc>
          <w:tcPr>
            <w:tcW w:w="3540" w:type="dxa"/>
            <w:vAlign w:val="bottom"/>
          </w:tcPr>
          <w:p>
            <w:pPr>
              <w:ind w:left="2340"/>
              <w:spacing w:after="0"/>
              <w:rPr>
                <w:sz w:val="20"/>
                <w:szCs w:val="20"/>
                <w:color w:val="auto"/>
              </w:rPr>
            </w:pPr>
            <w:r>
              <w:rPr>
                <w:rFonts w:ascii="Times New Roman" w:cs="Times New Roman" w:eastAsia="Times New Roman" w:hAnsi="Times New Roman"/>
                <w:sz w:val="13"/>
                <w:szCs w:val="13"/>
                <w:b w:val="1"/>
                <w:bCs w:val="1"/>
                <w:color w:val="auto"/>
              </w:rPr>
              <w:t>1 Casper Street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0" w:type="dxa"/>
            <w:vAlign w:val="bottom"/>
          </w:tcPr>
          <w:p>
            <w:pPr>
              <w:spacing w:after="0"/>
              <w:rPr>
                <w:sz w:val="22"/>
                <w:szCs w:val="22"/>
                <w:color w:val="auto"/>
              </w:rPr>
            </w:pPr>
          </w:p>
        </w:tc>
      </w:tr>
      <w:tr>
        <w:trPr>
          <w:trHeight w:val="148"/>
        </w:trPr>
        <w:tc>
          <w:tcPr>
            <w:tcW w:w="3540" w:type="dxa"/>
            <w:vAlign w:val="bottom"/>
          </w:tcPr>
          <w:p>
            <w:pPr>
              <w:jc w:val="center"/>
              <w:ind w:left="2030"/>
              <w:spacing w:after="0"/>
              <w:rPr>
                <w:sz w:val="20"/>
                <w:szCs w:val="20"/>
                <w:color w:val="auto"/>
              </w:rPr>
            </w:pPr>
            <w:r>
              <w:rPr>
                <w:rFonts w:ascii="Times New Roman" w:cs="Times New Roman" w:eastAsia="Times New Roman" w:hAnsi="Times New Roman"/>
                <w:sz w:val="13"/>
                <w:szCs w:val="13"/>
                <w:b w:val="1"/>
                <w:bCs w:val="1"/>
                <w:color w:val="auto"/>
              </w:rPr>
              <w:t>Danbury, Connecticut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40" w:type="dxa"/>
            <w:vAlign w:val="bottom"/>
            <w:gridSpan w:val="4"/>
          </w:tcPr>
          <w:p>
            <w:pPr>
              <w:jc w:val="right"/>
              <w:ind w:right="2451"/>
              <w:spacing w:after="0"/>
              <w:rPr>
                <w:sz w:val="20"/>
                <w:szCs w:val="20"/>
                <w:color w:val="auto"/>
              </w:rPr>
            </w:pPr>
            <w:r>
              <w:rPr>
                <w:rFonts w:ascii="Times New Roman" w:cs="Times New Roman" w:eastAsia="Times New Roman" w:hAnsi="Times New Roman"/>
                <w:sz w:val="13"/>
                <w:szCs w:val="13"/>
                <w:b w:val="1"/>
                <w:bCs w:val="1"/>
                <w:color w:val="auto"/>
              </w:rPr>
              <w:t>06810</w:t>
            </w:r>
          </w:p>
        </w:tc>
      </w:tr>
      <w:tr>
        <w:trPr>
          <w:trHeight w:val="178"/>
        </w:trPr>
        <w:tc>
          <w:tcPr>
            <w:tcW w:w="6600" w:type="dxa"/>
            <w:vAlign w:val="bottom"/>
            <w:gridSpan w:val="6"/>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jc w:val="center"/>
              <w:ind w:right="1711"/>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241"/>
        </w:trPr>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20" w:type="dxa"/>
            <w:vAlign w:val="bottom"/>
            <w:gridSpan w:val="8"/>
          </w:tcPr>
          <w:p>
            <w:pPr>
              <w:jc w:val="center"/>
              <w:ind w:right="373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r>
        <w:trPr>
          <w:trHeight w:val="202"/>
        </w:trPr>
        <w:tc>
          <w:tcPr>
            <w:tcW w:w="3540" w:type="dxa"/>
            <w:vAlign w:val="bottom"/>
          </w:tcPr>
          <w:p>
            <w:pPr>
              <w:spacing w:after="0"/>
              <w:rPr>
                <w:sz w:val="17"/>
                <w:szCs w:val="17"/>
                <w:color w:val="auto"/>
              </w:rPr>
            </w:pPr>
          </w:p>
        </w:tc>
        <w:tc>
          <w:tcPr>
            <w:tcW w:w="3060" w:type="dxa"/>
            <w:vAlign w:val="bottom"/>
            <w:gridSpan w:val="5"/>
          </w:tcPr>
          <w:p>
            <w:pPr>
              <w:jc w:val="center"/>
              <w:ind w:left="1039"/>
              <w:spacing w:after="0"/>
              <w:rPr>
                <w:sz w:val="20"/>
                <w:szCs w:val="20"/>
                <w:color w:val="auto"/>
              </w:rPr>
            </w:pPr>
            <w:r>
              <w:rPr>
                <w:rFonts w:ascii="Times New Roman" w:cs="Times New Roman" w:eastAsia="Times New Roman" w:hAnsi="Times New Roman"/>
                <w:sz w:val="16"/>
                <w:szCs w:val="16"/>
                <w:b w:val="1"/>
                <w:bCs w:val="1"/>
                <w:color w:val="auto"/>
              </w:rPr>
              <w:t>(818) 661-5000</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12"/>
        </w:trPr>
        <w:tc>
          <w:tcPr>
            <w:tcW w:w="3540" w:type="dxa"/>
            <w:vAlign w:val="bottom"/>
          </w:tcPr>
          <w:p>
            <w:pPr>
              <w:spacing w:after="0"/>
              <w:rPr>
                <w:sz w:val="18"/>
                <w:szCs w:val="18"/>
                <w:color w:val="auto"/>
              </w:rPr>
            </w:pPr>
          </w:p>
        </w:tc>
        <w:tc>
          <w:tcPr>
            <w:tcW w:w="7700" w:type="dxa"/>
            <w:vAlign w:val="bottom"/>
            <w:gridSpan w:val="9"/>
          </w:tcPr>
          <w:p>
            <w:pPr>
              <w:jc w:val="center"/>
              <w:ind w:right="3471"/>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22"/>
        </w:trPr>
        <w:tc>
          <w:tcPr>
            <w:tcW w:w="35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4"/>
        </w:trPr>
        <w:tc>
          <w:tcPr>
            <w:tcW w:w="3540" w:type="dxa"/>
            <w:vAlign w:val="bottom"/>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0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MNKD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85" w:lineRule="exact"/>
        <w:rPr>
          <w:sz w:val="24"/>
          <w:szCs w:val="24"/>
          <w:color w:val="auto"/>
        </w:rPr>
      </w:pPr>
    </w:p>
    <w:p>
      <w:pPr>
        <w:sectPr>
          <w:pgSz w:w="11900" w:h="16838" w:orient="portrait"/>
          <w:cols w:equalWidth="0" w:num="3">
            <w:col w:w="7200" w:space="140"/>
            <w:col w:w="420" w:space="120"/>
            <w:col w:w="3360"/>
          </w:cols>
          <w:pgMar w:left="320" w:top="1256"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5">
            <w:col w:w="7320" w:space="160"/>
            <w:col w:w="240" w:space="80"/>
            <w:col w:w="120" w:space="160"/>
            <w:col w:w="180" w:space="80"/>
            <w:col w:w="2900"/>
          </w:cols>
          <w:pgMar w:left="320" w:top="1256" w:right="339" w:bottom="1440" w:gutter="0" w:footer="0" w:header="0"/>
          <w:type w:val="continuous"/>
        </w:sectPr>
      </w:pPr>
    </w:p>
    <w:p>
      <w:pPr>
        <w:ind w:right="240"/>
        <w:spacing w:after="0" w:line="18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140"/>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01"/>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8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ind w:left="2940"/>
              <w:spacing w:after="0"/>
              <w:rPr>
                <w:sz w:val="20"/>
                <w:szCs w:val="20"/>
                <w:color w:val="auto"/>
              </w:rPr>
            </w:pPr>
            <w:r>
              <w:rPr>
                <w:rFonts w:ascii="Times New Roman" w:cs="Times New Roman" w:eastAsia="Times New Roman" w:hAnsi="Times New Roman"/>
                <w:sz w:val="15"/>
                <w:szCs w:val="15"/>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8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ind w:left="29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8"/>
        </w:trPr>
        <w:tc>
          <w:tcPr>
            <w:tcW w:w="19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5080" w:type="dxa"/>
            <w:vAlign w:val="bottom"/>
          </w:tcPr>
          <w:p>
            <w:pPr>
              <w:ind w:left="2940"/>
              <w:spacing w:after="0"/>
              <w:rPr>
                <w:sz w:val="20"/>
                <w:szCs w:val="20"/>
                <w:color w:val="auto"/>
              </w:rPr>
            </w:pPr>
            <w:r>
              <w:rPr>
                <w:rFonts w:ascii="Times New Roman" w:cs="Times New Roman" w:eastAsia="Times New Roman" w:hAnsi="Times New Roman"/>
                <w:sz w:val="15"/>
                <w:szCs w:val="15"/>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ind w:right="80" w:firstLine="509"/>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 w:lineRule="exact"/>
        <w:rPr>
          <w:sz w:val="24"/>
          <w:szCs w:val="24"/>
          <w:color w:val="auto"/>
        </w:rPr>
      </w:pPr>
    </w:p>
    <w:p>
      <w:pPr>
        <w:ind w:right="32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8" w:lineRule="exact"/>
        <w:rPr>
          <w:sz w:val="24"/>
          <w:szCs w:val="24"/>
          <w:color w:val="auto"/>
        </w:rPr>
      </w:pPr>
    </w:p>
    <w:p>
      <w:pPr>
        <w:ind w:right="42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If </w:t>
      </w:r>
      <w:r>
        <w:rPr>
          <w:rFonts w:ascii="Times New Roman" w:cs="Times New Roman" w:eastAsia="Times New Roman" w:hAnsi="Times New Roman"/>
          <w:sz w:val="15"/>
          <w:szCs w:val="15"/>
          <w:color w:val="231F20"/>
        </w:rPr>
        <w:t>securities are registered pursuant to Section 12(b) of the Act, indicate by check mark whether the financial statements of the registrant included in the filing reflect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31F20"/>
        </w:rPr>
        <w:t xml:space="preserve">correction of an error to previously issued financial statements. </w:t>
      </w:r>
      <w:r>
        <w:rPr>
          <w:rFonts w:ascii="MS PGothic" w:cs="MS PGothic" w:eastAsia="MS PGothic" w:hAnsi="MS PGothic"/>
          <w:sz w:val="15"/>
          <w:szCs w:val="15"/>
          <w:color w:val="000000"/>
        </w:rPr>
        <w:t>☐</w:t>
      </w:r>
    </w:p>
    <w:p>
      <w:pPr>
        <w:spacing w:after="0" w:line="8" w:lineRule="exact"/>
        <w:rPr>
          <w:sz w:val="24"/>
          <w:szCs w:val="24"/>
          <w:color w:val="auto"/>
        </w:rPr>
      </w:pPr>
    </w:p>
    <w:p>
      <w:pPr>
        <w:ind w:right="42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w:t>
      </w:r>
      <w:r>
        <w:rPr>
          <w:rFonts w:ascii="Times New Roman" w:cs="Times New Roman" w:eastAsia="Times New Roman" w:hAnsi="Times New Roman"/>
          <w:sz w:val="15"/>
          <w:szCs w:val="15"/>
          <w:color w:val="231F20"/>
        </w:rPr>
        <w:t>by check mark whether any of those error corrections are restatements that required a recovery analysis of incentive-based compensation received by any of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31F20"/>
        </w:rPr>
        <w:t xml:space="preserve">registrant’s executive officers during the relevant recovery period pursuant to §240.10D-1(b). </w:t>
      </w:r>
      <w:r>
        <w:rPr>
          <w:rFonts w:ascii="MS PGothic" w:cs="MS PGothic" w:eastAsia="MS PGothic" w:hAnsi="MS PGothic"/>
          <w:sz w:val="15"/>
          <w:szCs w:val="15"/>
          <w:color w:val="000000"/>
        </w:rPr>
        <w:t>☐</w:t>
      </w:r>
    </w:p>
    <w:p>
      <w:pPr>
        <w:spacing w:after="0" w:line="1" w:lineRule="exact"/>
        <w:rPr>
          <w:sz w:val="24"/>
          <w:szCs w:val="24"/>
          <w:color w:val="auto"/>
        </w:rPr>
      </w:pPr>
    </w:p>
    <w:p>
      <w:pPr>
        <w:ind w:left="520"/>
        <w:spacing w:after="0" w:line="173" w:lineRule="exact"/>
        <w:tabs>
          <w:tab w:leader="none" w:pos="6960" w:val="left"/>
          <w:tab w:leader="none" w:pos="75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78" w:lineRule="exact"/>
        <w:rPr>
          <w:sz w:val="24"/>
          <w:szCs w:val="24"/>
          <w:color w:val="auto"/>
        </w:rPr>
      </w:pPr>
    </w:p>
    <w:p>
      <w:pPr>
        <w:ind w:right="240" w:firstLine="509"/>
        <w:spacing w:after="0" w:line="261" w:lineRule="auto"/>
        <w:rPr>
          <w:sz w:val="20"/>
          <w:szCs w:val="20"/>
          <w:color w:val="auto"/>
        </w:rPr>
      </w:pPr>
      <w:r>
        <w:rPr>
          <w:rFonts w:ascii="Times New Roman" w:cs="Times New Roman" w:eastAsia="Times New Roman" w:hAnsi="Times New Roman"/>
          <w:sz w:val="15"/>
          <w:szCs w:val="15"/>
          <w:color w:val="auto"/>
        </w:rPr>
        <w:t>As of June 28, 2024, the aggregate market value of the voting and non-voting common equity held by non-affiliates of the registrant, computed by reference to the last sale price of such stock as of such date on the Nasdaq Global Market, was approximately $1,390,239,822.</w:t>
      </w:r>
    </w:p>
    <w:p>
      <w:pPr>
        <w:spacing w:after="0" w:line="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5"/>
          <w:szCs w:val="15"/>
          <w:color w:val="auto"/>
        </w:rPr>
        <w:t>As of February 14, 2025, there were 303,591,344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9" w:lineRule="exact"/>
        <w:rPr>
          <w:sz w:val="24"/>
          <w:szCs w:val="24"/>
          <w:color w:val="auto"/>
        </w:rPr>
      </w:pPr>
    </w:p>
    <w:p>
      <w:pPr>
        <w:ind w:right="340" w:firstLine="509"/>
        <w:spacing w:after="0" w:line="261" w:lineRule="auto"/>
        <w:rPr>
          <w:sz w:val="20"/>
          <w:szCs w:val="20"/>
          <w:color w:val="auto"/>
        </w:rPr>
      </w:pPr>
      <w:r>
        <w:rPr>
          <w:rFonts w:ascii="Times New Roman" w:cs="Times New Roman" w:eastAsia="Times New Roman" w:hAnsi="Times New Roman"/>
          <w:sz w:val="15"/>
          <w:szCs w:val="15"/>
          <w:color w:val="auto"/>
        </w:rPr>
        <w:t>Portions of the registrant’s definitive Proxy Statement (the “Proxy Statement”) for the 2025 Annual Meeting of Stockholders to be filed with the Securities and Exchange Commission not later than April 30, 2025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917575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40" w:type="dxa"/>
            <w:vAlign w:val="bottom"/>
            <w:gridSpan w:val="10"/>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MANNKIND CORPORATION</w:t>
            </w:r>
          </w:p>
        </w:tc>
        <w:tc>
          <w:tcPr>
            <w:tcW w:w="800" w:type="dxa"/>
            <w:vAlign w:val="bottom"/>
          </w:tcPr>
          <w:p>
            <w:pPr>
              <w:spacing w:after="0"/>
              <w:rPr>
                <w:sz w:val="20"/>
                <w:szCs w:val="20"/>
                <w:color w:val="auto"/>
              </w:rPr>
            </w:pPr>
          </w:p>
        </w:tc>
      </w:tr>
      <w:tr>
        <w:trPr>
          <w:trHeight w:val="410"/>
        </w:trPr>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0"/>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800" w:type="dxa"/>
            <w:vAlign w:val="bottom"/>
          </w:tcPr>
          <w:p>
            <w:pPr>
              <w:spacing w:after="0"/>
              <w:rPr>
                <w:sz w:val="24"/>
                <w:szCs w:val="24"/>
                <w:color w:val="auto"/>
              </w:rPr>
            </w:pPr>
          </w:p>
        </w:tc>
      </w:tr>
      <w:tr>
        <w:trPr>
          <w:trHeight w:val="238"/>
        </w:trPr>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900" w:type="dxa"/>
            <w:vAlign w:val="bottom"/>
            <w:gridSpan w:val="12"/>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2024</w:t>
            </w:r>
          </w:p>
        </w:tc>
        <w:tc>
          <w:tcPr>
            <w:tcW w:w="800" w:type="dxa"/>
            <w:vAlign w:val="bottom"/>
          </w:tcPr>
          <w:p>
            <w:pPr>
              <w:spacing w:after="0"/>
              <w:rPr>
                <w:sz w:val="20"/>
                <w:szCs w:val="20"/>
                <w:color w:val="auto"/>
              </w:rPr>
            </w:pPr>
          </w:p>
        </w:tc>
      </w:tr>
      <w:tr>
        <w:trPr>
          <w:trHeight w:val="432"/>
        </w:trPr>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0"/>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0" w:type="dxa"/>
            <w:vAlign w:val="bottom"/>
          </w:tcPr>
          <w:p>
            <w:pPr>
              <w:spacing w:after="0"/>
              <w:rPr>
                <w:sz w:val="24"/>
                <w:szCs w:val="24"/>
                <w:color w:val="auto"/>
              </w:rPr>
            </w:pPr>
          </w:p>
        </w:tc>
      </w:tr>
      <w:tr>
        <w:trPr>
          <w:trHeight w:val="441"/>
        </w:trPr>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gridSpan w:val="9"/>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800" w:type="dxa"/>
            <w:vAlign w:val="bottom"/>
          </w:tcPr>
          <w:p>
            <w:pPr>
              <w:spacing w:after="0"/>
              <w:rPr>
                <w:sz w:val="24"/>
                <w:szCs w:val="24"/>
                <w:color w:val="auto"/>
              </w:rPr>
            </w:pPr>
          </w:p>
        </w:tc>
      </w:tr>
      <w:tr>
        <w:trPr>
          <w:trHeight w:val="194"/>
        </w:trPr>
        <w:tc>
          <w:tcPr>
            <w:tcW w:w="150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16"/>
                <w:szCs w:val="16"/>
                <w:color w:val="auto"/>
              </w:rPr>
            </w:pPr>
          </w:p>
        </w:tc>
        <w:tc>
          <w:tcPr>
            <w:tcW w:w="8280" w:type="dxa"/>
            <w:vAlign w:val="bottom"/>
            <w:gridSpan w:val="23"/>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020" w:type="dxa"/>
            <w:vAlign w:val="bottom"/>
            <w:gridSpan w:val="1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9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6900" w:type="dxa"/>
            <w:vAlign w:val="bottom"/>
            <w:gridSpan w:val="1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940" w:type="dxa"/>
            <w:vAlign w:val="bottom"/>
            <w:gridSpan w:val="1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150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9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1500" w:type="dxa"/>
            <w:vAlign w:val="bottom"/>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9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18"/>
        </w:trPr>
        <w:tc>
          <w:tcPr>
            <w:tcW w:w="15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9"/>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00" w:type="dxa"/>
            <w:vAlign w:val="bottom"/>
          </w:tcPr>
          <w:p>
            <w:pPr>
              <w:spacing w:after="0"/>
              <w:rPr>
                <w:sz w:val="18"/>
                <w:szCs w:val="18"/>
                <w:color w:val="auto"/>
              </w:rPr>
            </w:pPr>
          </w:p>
        </w:tc>
      </w:tr>
      <w:tr>
        <w:trPr>
          <w:trHeight w:val="194"/>
        </w:trPr>
        <w:tc>
          <w:tcPr>
            <w:tcW w:w="150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360" w:type="dxa"/>
            <w:vAlign w:val="bottom"/>
            <w:tcBorders>
              <w:bottom w:val="single" w:sz="8" w:color="0000FF"/>
            </w:tcBorders>
            <w:gridSpan w:val="24"/>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the Registrant’s Common Equity, Related Stockholder Matters and Issuer Purchases of Equity Securities</w:t>
            </w:r>
          </w:p>
        </w:tc>
        <w:tc>
          <w:tcPr>
            <w:tcW w:w="58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9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15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8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580" w:type="dxa"/>
            <w:vAlign w:val="bottom"/>
            <w:gridSpan w:val="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9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1500" w:type="dxa"/>
            <w:vAlign w:val="bottom"/>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9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244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180" w:type="dxa"/>
            <w:vAlign w:val="bottom"/>
            <w:gridSpan w:val="1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1500" w:type="dxa"/>
            <w:vAlign w:val="bottom"/>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040" w:type="dxa"/>
            <w:vAlign w:val="bottom"/>
            <w:gridSpan w:val="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18"/>
        </w:trPr>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9"/>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800" w:type="dxa"/>
            <w:vAlign w:val="bottom"/>
          </w:tcPr>
          <w:p>
            <w:pPr>
              <w:spacing w:after="0"/>
              <w:rPr>
                <w:sz w:val="18"/>
                <w:szCs w:val="18"/>
                <w:color w:val="auto"/>
              </w:rPr>
            </w:pPr>
          </w:p>
        </w:tc>
      </w:tr>
      <w:tr>
        <w:trPr>
          <w:trHeight w:val="194"/>
        </w:trPr>
        <w:tc>
          <w:tcPr>
            <w:tcW w:w="150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94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5"/>
          </w:tcPr>
          <w:p>
            <w:pPr>
              <w:spacing w:after="0"/>
              <w:rPr>
                <w:sz w:val="17"/>
                <w:szCs w:val="17"/>
                <w:color w:val="auto"/>
              </w:rPr>
            </w:pPr>
          </w:p>
        </w:tc>
        <w:tc>
          <w:tcPr>
            <w:tcW w:w="4860" w:type="dxa"/>
            <w:vAlign w:val="bottom"/>
            <w:gridSpan w:val="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9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6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500" w:type="dxa"/>
            <w:vAlign w:val="bottom"/>
            <w:gridSpan w:val="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18"/>
        </w:trPr>
        <w:tc>
          <w:tcPr>
            <w:tcW w:w="15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9"/>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00" w:type="dxa"/>
            <w:vAlign w:val="bottom"/>
          </w:tcPr>
          <w:p>
            <w:pPr>
              <w:spacing w:after="0"/>
              <w:rPr>
                <w:sz w:val="18"/>
                <w:szCs w:val="18"/>
                <w:color w:val="auto"/>
              </w:rPr>
            </w:pPr>
          </w:p>
        </w:tc>
      </w:tr>
      <w:tr>
        <w:trPr>
          <w:trHeight w:val="194"/>
        </w:trPr>
        <w:tc>
          <w:tcPr>
            <w:tcW w:w="150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6040" w:type="dxa"/>
            <w:vAlign w:val="bottom"/>
            <w:gridSpan w:val="10"/>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5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89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500" w:type="dxa"/>
            <w:vAlign w:val="bottom"/>
          </w:tcPr>
          <w:p>
            <w:pPr>
              <w:spacing w:after="0"/>
              <w:rPr>
                <w:sz w:val="17"/>
                <w:szCs w:val="17"/>
                <w:color w:val="auto"/>
              </w:rPr>
            </w:pPr>
          </w:p>
        </w:tc>
        <w:tc>
          <w:tcPr>
            <w:tcW w:w="154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7400" w:type="dxa"/>
            <w:vAlign w:val="bottom"/>
            <w:gridSpan w:val="1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080"/>
        </w:trPr>
        <w:tc>
          <w:tcPr>
            <w:tcW w:w="150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These statements may include, but are not limited to, statements regarding: our commercialization plans and expectations, including our ability to successfully market, commercialize and achieve market acceptance for Afrezza®, V-Go® or other product candidates or therapies that we may develop or acquire; our ability to manufacture sufficient quantities of Afrezza and obtain insulin supply as needed; our ability to manufacture sufficient quantities of Tyvaso DPI® to meet demand; our ability to recruit patients for our clinical studies; our plan to discuss the clinical development of MNKD-201 with the FDA; our expectations regarding our contract manufacturer’s ability to meet our current and expected near-term demand for V-Go; our ability to successfully commercialize our Technosphere drug delivery platform; our estimates for future performance; our estimates regarding future financial results, capital requirements and our needs for additional financing; the progress or success of our research, development and clinical programs, including the application for and receipt of regulatory clearances and approvals and expected timing for data readouts; our ability to protect our intellectual property and operate our business without infringing upon the intellectual property rights of others our ability to service our debt obligations; and scientific studies and the conclusions we draw from them.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 Factors” and elsewhere in this report. In addition, statements like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Except as required by law, we undertake no obligation to publicly update or revise any forward-looking statements, whether as a result of new information, future events or otherwise. Afrezza, Technosphere®, BluHale®, Dreamboat®, Cricket® and V-Go, and MannKind Corporation are our trademarks in the United States. We have also applied for or have registered company trademarks in other jurisdictions. This document also contains trademarks and service marks of other companies that are the property of their respective owners.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under the heading “Risk Factors” in Part I of this Annual Report on Form 10-K and should be carefully considered, together with other information in this Annual Report on Form 10-K and our other filings with the Securities and Exchange Commission (“SEC”) before making investment decisions regarding our common stock.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that we or our collaboration partner are commercializing may only achieve a limited degree of commercial success.</w:t>
      </w:r>
    </w:p>
    <w:p>
      <w:pPr>
        <w:spacing w:after="0" w:line="117" w:lineRule="exact"/>
        <w:rPr>
          <w:rFonts w:ascii="Times New Roman" w:cs="Times New Roman" w:eastAsia="Times New Roman" w:hAnsi="Times New Roman"/>
          <w:sz w:val="18"/>
          <w:szCs w:val="18"/>
          <w:color w:val="auto"/>
        </w:rPr>
      </w:pPr>
    </w:p>
    <w:p>
      <w:pPr>
        <w:ind w:left="960" w:right="100" w:hanging="367"/>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risks may adversely affect our ability to manufacture our products and Tyvaso DPI, which could reduce our gross margin and profitability.</w:t>
      </w:r>
    </w:p>
    <w:p>
      <w:pPr>
        <w:spacing w:after="0" w:line="53" w:lineRule="exact"/>
        <w:rPr>
          <w:rFonts w:ascii="Times New Roman" w:cs="Times New Roman" w:eastAsia="Times New Roman" w:hAnsi="Times New Roman"/>
          <w:sz w:val="18"/>
          <w:szCs w:val="18"/>
          <w:color w:val="auto"/>
        </w:rPr>
      </w:pPr>
    </w:p>
    <w:p>
      <w:pPr>
        <w:ind w:left="960" w:right="40" w:hanging="367"/>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67" w:lineRule="exact"/>
        <w:rPr>
          <w:rFonts w:ascii="Times New Roman" w:cs="Times New Roman" w:eastAsia="Times New Roman" w:hAnsi="Times New Roman"/>
          <w:sz w:val="18"/>
          <w:szCs w:val="18"/>
          <w:color w:val="auto"/>
        </w:rPr>
      </w:pPr>
    </w:p>
    <w:p>
      <w:pPr>
        <w:ind w:left="960" w:right="220" w:hanging="367"/>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do not cover our approved products, such products might not be prescribed, used or purchased, which would adversely affect our revenues.</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operations.</w:t>
      </w:r>
    </w:p>
    <w:p>
      <w:pPr>
        <w:spacing w:after="0" w:line="117" w:lineRule="exact"/>
        <w:rPr>
          <w:rFonts w:ascii="Times New Roman" w:cs="Times New Roman" w:eastAsia="Times New Roman" w:hAnsi="Times New Roman"/>
          <w:sz w:val="18"/>
          <w:szCs w:val="18"/>
          <w:color w:val="auto"/>
        </w:rPr>
      </w:pPr>
    </w:p>
    <w:p>
      <w:pPr>
        <w:ind w:left="960" w:right="40" w:hanging="367"/>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data or our information technology systems,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1" w:lineRule="exact"/>
        <w:rPr>
          <w:rFonts w:ascii="Times New Roman" w:cs="Times New Roman" w:eastAsia="Times New Roman" w:hAnsi="Times New Roman"/>
          <w:sz w:val="18"/>
          <w:szCs w:val="18"/>
          <w:color w:val="auto"/>
        </w:rPr>
      </w:pPr>
    </w:p>
    <w:p>
      <w:pPr>
        <w:ind w:left="960" w:hanging="367"/>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results of operations will fluctuate for the foreseeable future, which may make it difficult to predict our future performance from period to period.</w:t>
      </w:r>
    </w:p>
    <w:p>
      <w:pPr>
        <w:spacing w:after="0" w:line="53" w:lineRule="exact"/>
        <w:rPr>
          <w:rFonts w:ascii="Times New Roman" w:cs="Times New Roman" w:eastAsia="Times New Roman" w:hAnsi="Times New Roman"/>
          <w:sz w:val="18"/>
          <w:szCs w:val="18"/>
          <w:color w:val="auto"/>
        </w:rPr>
      </w:pPr>
    </w:p>
    <w:p>
      <w:pPr>
        <w:ind w:left="960" w:hanging="367"/>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losses and may not generate positive or sufficient cash flow from operations in the future which may have an adverse impact on our working capital, total assets and stockholders' equity and our ability to service all of our indebtedness and commitments.</w:t>
      </w:r>
    </w:p>
    <w:p>
      <w:pPr>
        <w:spacing w:after="0" w:line="53" w:lineRule="exact"/>
        <w:rPr>
          <w:rFonts w:ascii="Times New Roman" w:cs="Times New Roman" w:eastAsia="Times New Roman" w:hAnsi="Times New Roman"/>
          <w:sz w:val="18"/>
          <w:szCs w:val="18"/>
          <w:color w:val="auto"/>
        </w:rPr>
      </w:pPr>
    </w:p>
    <w:p>
      <w:pPr>
        <w:ind w:left="960" w:right="500" w:hanging="367"/>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testing of our products and product candidates may not yield successful results, and even if it does, we may still be unable to successfully commercialize our current or future products.</w:t>
      </w:r>
    </w:p>
    <w:p>
      <w:pPr>
        <w:spacing w:after="0" w:line="53" w:lineRule="exact"/>
        <w:rPr>
          <w:rFonts w:ascii="Times New Roman" w:cs="Times New Roman" w:eastAsia="Times New Roman" w:hAnsi="Times New Roman"/>
          <w:sz w:val="18"/>
          <w:szCs w:val="18"/>
          <w:color w:val="auto"/>
        </w:rPr>
      </w:pPr>
    </w:p>
    <w:p>
      <w:pPr>
        <w:ind w:left="960" w:right="80" w:hanging="367"/>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3" w:lineRule="exact"/>
        <w:rPr>
          <w:rFonts w:ascii="Times New Roman" w:cs="Times New Roman" w:eastAsia="Times New Roman" w:hAnsi="Times New Roman"/>
          <w:sz w:val="18"/>
          <w:szCs w:val="18"/>
          <w:color w:val="auto"/>
        </w:rPr>
      </w:pPr>
    </w:p>
    <w:p>
      <w:pPr>
        <w:ind w:left="960" w:right="140" w:hanging="367"/>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safety and efficacy of approved products may differ from clinical studies, which could negatively impact sales and could lead to reputational harm or other negative effects.</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candidates may be rendered obsolete by rapid technological change.</w:t>
      </w:r>
    </w:p>
    <w:p>
      <w:pPr>
        <w:spacing w:after="0" w:line="117" w:lineRule="exact"/>
        <w:rPr>
          <w:rFonts w:ascii="Times New Roman" w:cs="Times New Roman" w:eastAsia="Times New Roman" w:hAnsi="Times New Roman"/>
          <w:sz w:val="18"/>
          <w:szCs w:val="18"/>
          <w:color w:val="auto"/>
        </w:rPr>
      </w:pPr>
    </w:p>
    <w:p>
      <w:pPr>
        <w:ind w:left="960" w:right="220" w:hanging="367"/>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undertake internal restructuring activities in the future that could result in disruptions to our business or otherwise materially harm our results of operations or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21" w:lineRule="exact"/>
        <w:rPr>
          <w:sz w:val="20"/>
          <w:szCs w:val="20"/>
          <w:color w:val="auto"/>
        </w:rPr>
      </w:pPr>
    </w:p>
    <w:p>
      <w:pPr>
        <w:ind w:left="960" w:right="60" w:hanging="367"/>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7" w:lineRule="exact"/>
        <w:rPr>
          <w:rFonts w:ascii="Times New Roman" w:cs="Times New Roman" w:eastAsia="Times New Roman" w:hAnsi="Times New Roman"/>
          <w:sz w:val="18"/>
          <w:szCs w:val="18"/>
          <w:color w:val="auto"/>
        </w:rPr>
      </w:pPr>
    </w:p>
    <w:p>
      <w:pPr>
        <w:ind w:left="960" w:right="60" w:hanging="367"/>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ongoing government regulation.</w:t>
      </w:r>
    </w:p>
    <w:p>
      <w:pPr>
        <w:spacing w:after="0" w:line="117" w:lineRule="exact"/>
        <w:rPr>
          <w:rFonts w:ascii="Times New Roman" w:cs="Times New Roman" w:eastAsia="Times New Roman" w:hAnsi="Times New Roman"/>
          <w:sz w:val="18"/>
          <w:szCs w:val="18"/>
          <w:color w:val="auto"/>
        </w:rPr>
      </w:pPr>
    </w:p>
    <w:p>
      <w:pPr>
        <w:ind w:left="960" w:right="200" w:hanging="367"/>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any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 w:name="page5"/>
    <w:bookmarkEnd w:id="4"/>
    <w:p>
      <w:pPr>
        <w:ind w:left="960" w:right="100" w:hanging="367"/>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third parties with whom we work are subject to stringent and evolving U.S. and foreign laws, regulations and rules, contractual obligations, industry standards, policies and other obligations related to data privacy and security. Our actual or perceived failure, or that of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62" w:lineRule="exact"/>
        <w:rPr>
          <w:sz w:val="20"/>
          <w:szCs w:val="20"/>
          <w:color w:val="auto"/>
        </w:rPr>
      </w:pPr>
    </w:p>
    <w:p>
      <w:pPr>
        <w:ind w:left="960" w:hanging="367"/>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w:t>
      </w:r>
    </w:p>
    <w:p>
      <w:pPr>
        <w:spacing w:after="0" w:line="117" w:lineRule="exact"/>
        <w:rPr>
          <w:rFonts w:ascii="Times New Roman" w:cs="Times New Roman" w:eastAsia="Times New Roman" w:hAnsi="Times New Roman"/>
          <w:sz w:val="18"/>
          <w:szCs w:val="18"/>
          <w:color w:val="auto"/>
        </w:rPr>
      </w:pPr>
    </w:p>
    <w:p>
      <w:pPr>
        <w:ind w:left="960" w:right="20" w:hanging="367"/>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our common stock in the public market, or the perception that such sales may occur, may depress our stock price and adversely impact the market price of our common stock and other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48" w:lineRule="exact"/>
        <w:rPr>
          <w:sz w:val="20"/>
          <w:szCs w:val="20"/>
          <w:color w:val="auto"/>
        </w:rPr>
      </w:pPr>
    </w:p>
    <w:p>
      <w:pPr>
        <w:ind w:left="960" w:hanging="367"/>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economic and geopolitical conditions may have serious adverse consequences on our business, financial condition and stock price.</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requires otherwise, the words “MannKind,” “we,” “Company,” “us” and “our” refer to MannKind Corporation and its subsidiaries.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innovative therapeutic products and devices to address serious unmet medical needs for those living with endocrine and orphan lung diseases. Our signature technologies – Technosphere dry-powder formulations and Dreamboat inhalation devices – offer rapid and convenient delivery of medicines to the deep lung where they can exert an effect locally or enter the systemic circulation.</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Afrezza was developed by us and received approval from the FDA in June 2014. Afrezza consists of a dry powder formulation of human insulin delivered from a small portable inhaler. Administered at the beginning of a meal, Afrezza dissolves rapidly upon inhalation to the lung and delivers insulin quickly to the bloodstream. V-Go received 510(k) clearance by the FDA in 2010 and has been available commercially since 2012. In May 2022, we acquired V-Go from Zealand Pharma A/S and Zealand Pharma US, Inc. (together “Zealand”). V-Go is a mechanical basal-bolus insulin delivery system that is worn like a patch and can eliminate the need for taking multiple daily injections. V-Go administers a continuous preset basal rate of insulin over 24 hours and provides discreet on-demand bolus dosing at mealtimes.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solely responsible for the commercialization of Afrezza and V-Go in the United States. Outside of the U.S., our strategy has been to establish regional partnerships in foreign jurisdictions where there are commercial opportunities, subject to the receipt of necessary foreign regulatory approvals. Our partner in Brazil, Biomm S.A. (“Biomm”), commenced commercialization of Afrezza in January 2020. Our partner in India, Cipla Ltd. (“Cipla”), recently obtained approvals for Afrezza from the Drug Controller General of India and the Central Drugs Standard Control Organisation. We expect to ship product once Cipla obtains the registration certificate and import license.</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proprietary formulation and inhaler technologies used in Afrezza have also been deployed in our efforts to develop products to treat orphan lung diseases. Our first product to address an orphan lung disease, Tyvaso DPI (treprostinil) inhalation powder, received FDA approval in May 2022 for the treatment of pulmonary arterial hypertension (PAH) and pulmonary hypertension associated with interstitial lung disease (PH-ILD). Our development and marketing partner (sometimes referred to as our collaboration partner), United Therapeutics Corporation (“United Therapeutics” or “UT”) began commercializing Tyvaso DPI in June 2022 and is obligated to pay us a royalty on net sales of the product. We also receive revenue for the supply of Tyvaso DPI that we manufacture for UT.</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pipeline of potential treatments for orphan lung diseases includes MNKD-101, a nebulized formulation of clofazimine, for the treatment of severe chronic and recurrent pulmonary infections, including nontuberculous mycobacterial (NTM) lung disease. We believe an orally inhaled formulation of clofazimine could potentially provide several clinical advantages over the current solid oral dosage form of this drug. The FDA has designated MNKD-101 as both an orphan drug and as a qualified infectious disease product for the treatment of pulmonary NTM infections. It has also granted Fast Track designation to our development program. In 2024, we initiated a global Phase 3 registrational study of MNKD-101, with sites in the United States, Japan, South Korea, Taiwan, and Australia. We expect enrollment of subjects into this study to continue into 2026.</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other major program in our pipeline is MNKD-201, a dry-powder formulation of nintedanib, for the treatment of idiopathic pulmonary fibrosis (IPF). An oral dosage form of nintedanib was approved for IPF by the FDA in 2014. However, a fairly large oral dose is required in order to achieve sufficient drug levels in lung tissue. Our goal with an inhaled formulation is to deliver a therapeutic amount of nintedanib to the lungs while avoiding high levels of the drug in other tissues, where it is associated with undesirable side effects. In 2024, we conducted a Phase 1 clinical study of MNKD-201, which met its primary objective of demonstrating positive safety results and good tolerability in healthy volunteers. We plan to meet with the FDA in the first half of 2025 to discuss the late-stage development of MNKD-201.</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July 2024, we closed a transaction with Pulmatrix, Inc. pursuant to which we acquired an exclusive license to the Pulmatrix iSPERSE formulation technology for clofazimine and insulin and a non-exclusive license for iSPERSE formulations of active pharmaceutical ingredients for the treatment of NTM lung disease, endocrine disease, and interstitial lung diseases. With this transaction, we now have additional formulation options to utilize in our development of viable powders for certain drug candidates, such as clofazimine, that may require a higher drug payload than our Technosphere formulation technology can provide.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Technosphere powders, such as Afrezza and Tyvaso DPI, are based on our proprietary excipient, fumaryl diketopiperazine (“FDKP”), which is a pH-sensitive organic molecule that self-assembles into small particles under acidic conditions. Certain drugs can be loaded onto these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line="254" w:lineRule="auto"/>
        <w:rPr>
          <w:sz w:val="20"/>
          <w:szCs w:val="20"/>
          <w:color w:val="auto"/>
        </w:rPr>
      </w:pPr>
      <w:r>
        <w:rPr>
          <w:rFonts w:ascii="Times New Roman" w:cs="Times New Roman" w:eastAsia="Times New Roman" w:hAnsi="Times New Roman"/>
          <w:sz w:val="18"/>
          <w:szCs w:val="18"/>
          <w:color w:val="auto"/>
        </w:rPr>
        <w:t>particles by combining a solution of the drug with a solution or suspension of Technosphere material, which is then dried to powder form. The resulting powder has a consistent and narrow range of particle sizes with good aerodynamic properties that enable efficient delivery deep into the lungs. Technosphere powders dissolve quickly when the particles contact the moist lung surface with its neutral pH, releasing the drug molecules to diffuse across a thin layer of cells into the arterial circulation, bypassing the liver to provide excellent systemic exposure. In our Danbury, Connecticut facility, we can develop novel Technosphere formulations of different pharmaceutical ingredients and manufacture clinical and commercial supplies of these powders. In our facility, we formulate both the Afrezza and Tyvaso DPI inhalation powders at commercial scale, fill plastic cartridges with the powders and package the cartridges into blister packs. The blister packs of Afrezza and Tyvaso DPI cartridges are combined with inhalers and the applicable package inserts into final kits for sale. Some of this final packaging occurs in our Connecticut facility, with a contract packager providing additional services.</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Technosphere powders are intended to be administered with our innovative, breath-powered, dry powder inhalers. Our inhalers are easy to use, cost-effective and can be produced in both a reusable (chronic treatment) and a single-use (acute treatment) format. Both the reusable and single-use inhaler formats use the same internal air-flow design. Afrezza and Tyvaso DPI both use the reusable format (also known as Dreamboat). Being breath-powered, our inhalers require only the patient’s inhalation effort to deliver the powder. To administer a dose of the inhalation powder, a patient loads a cartridge into our inhaler and inhales through the mouthpiece. Upon inhalation, the dry powder is lifted out of the cartridge and broken up (or de-agglomerated) into small particles. The inhalers are engineered to produce an aggressive airstream that de-agglomerates the powder while keeping the powder moving relatively slowly. This slow-moving powder effectively navigates the patient’s airways to reach the deep lung with minimal deposition at the back of the throat. Our inhalers show very little change in performance (i.e., efficient cartridge emptying) over a wide range of inhalation efforts. We have a supply agreement with the contract manufacturer that produces the plastic-molded parts for our inhaler and the corresponding cartridges. We expect to be able to qualify an additional vendor of plastic-molding contract manufacturing services, if warranted by demand. We assemble the inhalers from the individual components at our Connecticut facility.</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quality management systems of our Connecticut facility have been certified to be in conformance with the ISO 13485:2016 standard. Our facility is inspected on a regular basis by the FDA, most recently in July 2021 when the FDA conducted a pre-approval inspection related to Tyvaso DPI and a GMP inspection related to Afrezza. The FDA made one observation during its most recent inspection, which we corrected and addressed with the FDA following the site visit. We were also inspected by the Agência Nacional de Vigilância Sanitária (“ANVISA”) (Brazil National Health Surveillance Agency) in May 2018. ANVISA renewed its certificate in 2020 on the basis of a virtual inspection. The FDA and other foreign jurisdictions are expected to conduct additional inspections of our facility from time to time.</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that our Connecticut facility has enough capacity to satisfy the current demand for Afrezza and Tyvaso DPI. In addition, we are currently expanding production capacity with additional filling lines and other equipment in order to meet the demand for Tyvaso DPI projected by UT over the next several years. The costs of this expansion project were primarily borne by UT.</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Currently, the only source of insulin that we have qualified for Afrezza is manufactured by Amphastar France Pharmaceuticals S.A.S. (“Amphastar”). In April 2014, we entered into a supply agreement with Amphastar (as amended, the “Insulin Supply Agreement”) to purchase certain annual minimum quantities with an aggregate purchase commitment of €120.1 million over a term that currently extends through at least December 31, 2034. As of December 31, 2024, there was €55.2 million remaining in aggregate purchase commitments under this agreement. See additional information in Note 16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to the consolidated financial statements for further information related to the Insulin Supply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treprostinil used to produce Tyvaso DPI is supplied to us at no cost by United Therapeutics.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past, we purchased FDKP, the primary component of Technosphere powders, from a major chemical manufacturer with facilities in Europe and North America. We subsequently developed a more efficient process for manufacturing FDKP and transferred the new process to a different European chemical manufacturer. We are currently evaluating the comparability of powders made with the two different sources of FDKP. If testing is successful, we plan to include the additional source of FDKP in a future update to our drug master file.</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V-Go is manufactured for us by a contract manufacturer (“CMO”) in Southern China using MannKind-owned, custom-designed, semi-automated manufacturing equipment and production lines that can be brought online and/or staffed up as demand increases. We believe these production lines will have the ability to meet our current and expected near-term demand for V-Go. Additional CMOs in China perform release testing, sterilization, inspection and packaging functions.</w:t>
      </w:r>
    </w:p>
    <w:p>
      <w:pPr>
        <w:spacing w:after="0" w:line="18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V-Go is assembled from components that are manufactured to our specifications. Each completed device is tested to ensure compliance with our engineering and quality assurance specifications. A series of automated inspection checks, including x-ray assessments and lot-released testing, are also conducted throughout the manufacturing process to verify proper assembly and functionality. When mechanical components are sourced from outside vendors, those vendors must meet our detailed qualification and process control requirements. We maintain a team of product and process engineers, supply chain and quality personnel who provide product and production line support for V-Go. We also utilize a full-time dedicated contractor based in China.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 w:name="page8"/>
    <w:bookmarkEnd w:id="7"/>
    <w:p>
      <w:pPr>
        <w:spacing w:after="0" w:line="266" w:lineRule="auto"/>
        <w:rPr>
          <w:sz w:val="20"/>
          <w:szCs w:val="20"/>
          <w:color w:val="auto"/>
        </w:rPr>
      </w:pPr>
      <w:r>
        <w:rPr>
          <w:rFonts w:ascii="Times New Roman" w:cs="Times New Roman" w:eastAsia="Times New Roman" w:hAnsi="Times New Roman"/>
          <w:sz w:val="18"/>
          <w:szCs w:val="18"/>
          <w:color w:val="auto"/>
        </w:rPr>
        <w:t>Some of the parts and components of V-Go are purchased from single-source vendors, and we manage any single-source components and suppliers through our global supply chain operation. We believe that, if necessary, alternative sources of supply for such components would be available in a relatively short period of time and on commercially reasonable terms once such alternate suppliers have the appropriate tooling in place.</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our Connecticut facility, we manufacture both the clofazimine inhalation solution being evaluated in the MNKD-101 program and the nintedanib dry powder formulation being evaluated in the MNKD-201 program. We purchase clofazimine and nintedanib from suppliers of generic drug substances.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general, our suppliers and contract manufacturers are sophisticated and mature organizations, often with multinational operations, that have significant experience with pharmaceutical and medical device manufacturing. Our quality and manufacturing personnel conduct extensive inspections to qualify new vendors and conduct periodic GMP audits of their operations on an ongoing basis. Our CMO facilities and the facilities of our critical suppliers are subject to periodic inspection by the FDA and corresponding state and foreign agencies.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Our success will depend in large measure on our ability to continue enforcing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for all inventions in the United States, Europe, Japan and, depending on the nature of the invention, selected other jurisdictions. We have obtained, are seeking, and will continue to seek patent protection on the compositions of matter, methods of treatment and manufacturing processes flowing from our research and development efforts.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Technosphere drug delivery platform enjoys patent protection relating to the powder, its manufacture, its use for pulmonary delivery of drugs as well as protection related to our inhalers and associated cartridges. We have additional patent coverage relating to methods for the treatment of diabetes using Afrezza. Overall, Afrezza is protected by approximately 620 issued patents and 35 pending patent applications in the United States and selected jurisdictions around the world, the longest-lived of which will expire in 2032. Similarly, Tyvaso DPI is protected by approximately 500 issued patents in the United States and elsewhere and an additional 63 pending patent applications. Currently, the longest-lived patent protection for Tyvaso DPI in our portfolio will expire in 2035. Various features of the commercial V-Go device are protected by a portfolio of approximately 56 issued patents and another 14 pending patent applications, the longest-lived of which will expire in 2033. Additional patents and patent applications are expected to provide protection for products in our pipeline, including MNKD-101, MNKD-201, our BluHale inhalation-profiling apparatus and various development tools. Our entire worldwide portfolio consists of approximately 1,125 issued patents and approximately 225 pending patent applications. We expect to file further patent applications as our research and development efforts continue.</w:t>
      </w:r>
    </w:p>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Drug delivery is a crowded field and a substantial number of patents have been issued to inventors and companies in this space.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 For some of our inventions, particularly manufacturing processes and improvements, we have chosen to rely on trade secrets and know-how, which are not protected by patents, to maintain our competitive position.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use trademarks and service marks to protect our corporate brand as well as the branding associated with Afrezza, V-Go, our Technosphere formulation technology, our device platform and the product support programs that we have developed. Our current portfolio consists of approximately 300 registered trademarks and 44 applications in the U.S. and selected foreign jurisdictions. We routinely monitor competing trademarks and, when necessary, oppose marks that we believe would be confusing to consumers. We also enforce against the unauthorized use or misappropriation of our marks.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highly competitive and characterized by rapidly evolving technology and intense research and development efforts. We compete with companies, including major global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face competition based on, among other things, product efficacy and safety, the timing and scope of regulatory approvals, product ease of use and price.</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Afrezza is administered at the beginning of a meal, so its principal competitors are “rapid-acting” insulin analogs that are used for mealtime insulin injections. The products in this category are marketed by Eli Lilly and Company, Sanofi S.A. and Novo Nordisk A/S. V-Go is typically used by patients as part of a basal-bolus insulin regimen. Like Afrezza, it competes with injectable mealtime insulin products but also with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long-acting, or basal, injectable insulins. The principal products in this category are marketed by Novo Nordisk and Sanofi.</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Both Afrezza and V-Go also face some competition from glucagon-like peptide-1, or GLP-1, analog injection products. These products are often used in combination with oral medications or basal insulin injection before a patient progresses to a basal-bolus insulin regimen. As a result, we also compete with the manufacturers of GLP-1 analog injection products, such as AstraZeneca PLC, Novo Nordisk A/S and Eli Lilly and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FDA and comparable regulatory agencies in state and local jurisdictions impose substantial requirements upon the research, clinical development, testing, manufacture, labeling, storage, shipping, approval, recordkeeping, advertising, promotion, sale and distribution of medical devices and new drug and biologic products. In addition, to the extent that our products are marketed abroad, they are also subject to export requirements and to regulation by foreign governments. The regulatory approval process is generally lengthy, expensive and uncertain. Failure to comply with applicable FDA and other regulatory requirements can result in sanctions being imposed on us, including warning letters, hold letters on clinical research, product recalls or seizures,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civil or criminal fines or other penalties.</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the holder of marketing approvals for Afrezza and V-Go, we are subject to continuing regulation by the FDA, including post marketing study commitments or requirements, record-keeping requirements, reporting of adverse experiences with our products, submitting periodic reports, drug sampling and distribution requirements, notifying the FDA and gaining its approval of certain manufacturing or labeling changes, and complying with certain electronic records and signature requirements. For example, as part of the approval of Afrezza, the FDA required us to conduct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or registry to address any concerns.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manufacturer of multiple therapeutic products, including Tyvaso DPI, our Connecticut facility is subject to federal registration and listing requirements and, if applicable, to state licensing requirements. It is also subject to inspection by the FDA and other national regulatory bodies and must comply with current good manufacturing practices (“cGMPs”), quality system regulations for medical devices (“QSR”) and other requirements enforced by these regulatory bodies. So too are the facilities of our insulin supplier and the supplier(s) of FDKP. Likewise, the supplier of our inhaler and cartridges and the CMOs for V-Go are subject to QSR, which requires manufacturers to follow elaborate design, testing, control, documentation and other quality assurance procedures during the manufacturing process of medical devices, among other requirements. A 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w:t>
      </w:r>
    </w:p>
    <w:p>
      <w:pPr>
        <w:spacing w:after="0" w:line="1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the FDA imposes complex regulations on entities that advertise and promote drugs, which include, among other requirements, standards for and regulation of direct-to-consumer advertising, industry sponsored scientific and educational activities, promotional activities involving the Internet, and restrictions on off-label promotion. The FDA has very broad enforcement authority, and failure to comply with these regulations can result in penalties, including the issuance of a warning letter, requirements for corrective advertising to healthcare providers, a requirement that future advertising and promotional materials be pre-cleared by the FDA, and state and federal civil and criminal investigations and prosecutions.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Products manufactured in the United States and marketed outside the United States are subject to certain FDA regulations, as well as regulation by the country in which the products are to be sold. We are also subject to foreign regulatory requirements governing clinical trials and drug product sales if products are studied or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Pricing and Reimbursement</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Government coverage and reimbursement policies both directly and indirectly affect our ability to successfully commercialize our approved products, and such coverage and reimbursement policies will be affected by future healthcare reform measures. Third-party payers, such as government health administration authorities, private health insurers and other organizations that provide healthcare coverage, generally decide which drugs they will pay for and establish reimbursement levels for covered drugs. In particular, in the United States, private third-party payers often provide reimbursement for products and services based on the level at which the government (through the Medicare or Medicaid programs) provides reimbursement for such products and services. In the United States, the European Union and other potentially significant markets for our product candidates, government authorities and other third-party payers are increasingly attempting to limit or regulate the price of medical products and services, particularly for new and innovative products and therapies, which has resulted in lower average selling prices. Further, the increased emphasis on managed healthcare in the United States will put additional pressure on product pricing, reimbursement and usage, which may adversely affect our future product sales and results of operations. Recently, in the United States there has been heightened governmental scrutiny of the manner in which drug manufacturers set prices for their marketed products. Pricing pressures can arise from rules and practices of managed care organizations, judicial decisions and governmental laws and regulations related to Medicare, Medicaid, healthcare reform, pharmaceutical reimbursement policies and pricing in general.</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United States and some foreign jurisdictions have enacted or are considering a number of additional legislative and regulatory proposals to change the healthcare system in ways that could affect our ability to sell our products profitably. Among policy makers and payers in the U.S.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including the Patient Protection and Affordable Care Act, as amended by the Health Care and Education Reconciliation Act (collectively, “PPACA”), which was enacted in March 2010. In the years since the PPACA was enacted, there have been a number of executive, judicial and congressional challenges to certain aspects of PPACA. While Congress has not passed comprehensive repeal legislation, several bills affecting the implementation of certain provisions of the PPACA have been signed into law. In the future, there are likely to be additional proposals relating to the reform of the U.S. health care system, some of which could further limit the prices we are able to charge for our 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8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Moreover, in the United States, there have been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in March 2021, the American Rescue Plan Act of 2021 was signed into law, which eliminated the statutory Medicaid drug rebate cap, previously set at 100% of a drug’s average manufacturer price ("AMP"), for single source and innovator multiple source drugs, effective January 1, 2024. The Inflation Reduction Act (the “IRA”), which was signed into law in August 2022, limited insulin copays to $35 per month for Medicare Part D beneficiaries starting in 2023 and extended enhanced subsidies for individuals purchasing health insurance coverage in PPACA marketplaces through plan year 2025. The IRA also eliminated the “donut hole” under the Medicare Part D program beginning in 2025 by significantly lowering the beneficiary maximum out-of-pocket cost and through a newly established manufacturer discount program. In addition, the IRA, among other things, (1) directed the U.S. Department of Health and Human Services (“HHS”) to negotiate the price of certain single-source drugs that have been on the market for at least 7 years covered under Medicare (the "Medicare Drug Price Negotiation Program") and (2) imposed rebates under Medicare Part B and Medicare Part D to penalize price increases that outpace inflation. These provisions began to take effect progressively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negotiations in 2025. Each year thereafter more Part B and Part D products will become subject to the Medicare Drug Price Negotiation Program. In December 2023, an initiative to control the price of prescription drugs through the use of march-in rights under the Bayh-Dole Act was announced which includes the price of a product as one factor an agency can use when deciding to exercise march-in rights.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in January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Further, it is possible that other healthcare reform measures may be adopted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Care Fraud and Abuse and Transparency Laws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a drug product is reimbursed by Medicare, Medicaid or other federal or state healthcare programs, we must comply with, among others, the federal civil and criminal false claims laws, including the civil False Claims Act, as amended, the federal Anti-Kickback Statute, as amended, and similar state laws. Similarly, if a drug product is reimbursed by Medicare or Medicaid, pricing and rebate programs must comply with, as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0" w:name="page11"/>
    <w:bookmarkEnd w:id="10"/>
    <w:p>
      <w:pPr>
        <w:ind w:right="640"/>
        <w:spacing w:after="0" w:line="282" w:lineRule="auto"/>
        <w:rPr>
          <w:sz w:val="20"/>
          <w:szCs w:val="20"/>
          <w:color w:val="auto"/>
        </w:rPr>
      </w:pPr>
      <w:r>
        <w:rPr>
          <w:rFonts w:ascii="Times New Roman" w:cs="Times New Roman" w:eastAsia="Times New Roman" w:hAnsi="Times New Roman"/>
          <w:sz w:val="18"/>
          <w:szCs w:val="18"/>
          <w:color w:val="auto"/>
        </w:rPr>
        <w:t>applicable, the Medicaid rebate requirements of the Omnibus Budget Reconciliation Act of 1990, as amended, and the Medicare Prescription Drug Improvement and Modernization Act of 2003.</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federal healthcare Anti-Kickback Statute prohibits, among other things, persons or entities from knowingly and willfully soliciting, offering, receiving or providing remuneration, directly or indirectly, overtly or covertly,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federal civil and criminal false claims laws, including the civil False Claims Act, which can be enforced through civil whistleblower or qui tam actions, and civil monetary penalty laws impose criminal and civil penalties against individuals or entities for, among other things, knowingly presenting, or causing to be presented, to the federal government, including the Medicare and Medicaid programs, claims for payment or approval that are false or fraudulent or making a false statement to avoid, decrease or conceal an obligation to pay money to the federal government.</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imposes criminal and civil liability for, among other things, executing a scheme to defraud any healthcare benefit program and also created federal criminal laws that prohibit knowingly and willfully falsifying, concealing or covering up a material fact or making any materially false statements in connection with the delivery of or payment for healthcare benefits, items or services.</w:t>
      </w:r>
    </w:p>
    <w:p>
      <w:pPr>
        <w:spacing w:after="0" w:line="1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Physician Payments Sunshine Act within PPACA, and its implementing regulations, require certain manufacturers of drugs, devices, biological and medical supplies for which payment is available under Medicare, Medicaid or the Children’s Health Insurance Program (with certain exceptions) to (i) report information related to certain payments or other transfers of value made or distributed to physicians, certain other healthcare professionals, and teaching hospitals, or to entities or individuals at the request of, or designated on behalf of, the physicians and teaching hospitals and (ii) report annually certain ownership and investment interests held by physicians and their immediate family members.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Many states have similar healthcare statutes or regulations that apply to items and services reimbursed under Medicaid and other state programs, or, in several states, that apply regardless of the payer. Additional state laws require pharmaceutical companies to implement a comprehensive compliance program, comply with industry’s compliance guidelines and relevant compliance guidance promulgated by the federal government and register pharmaceutical sales representatives and limit expenditure for, or payments to, individual medical or health professionals. In addition, certain state and local laws require pharmaceutical companies to report expenses relating to the marketing and promotion of pharmaceutical products and to report gifts and payments to individual physicians in the states; register pharmaceutical sales representatives, and report pricing with respect to certain drug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data privacy and security laws, regulations, and rules, contractual obligations, industry standards, policies and other obligations related to data privacy and security. For example, HIPAA, as amended by the Health Information Technology and Clinical Health Act (“HITECH”), and their respective implementing regulations, imposes certain requirements relating to the privacy, security and transmission of individually identifiable health information. Among other things, HITECH makes HIPAA’s privacy and security standards directly applicable to “business associates”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independent contractors or agents of covered entities, which include certain healthcare providers, health plans, and healthcare clearinghouses, that receive or obtain protected health information in connection with providing a service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State laws also govern the privacy and security of personal data, including health information in certain circumstances, many of which differ from each other in significant ways and may not have the same effect, thus complicating compliance efforts. For example, the California Consumer Privacy Act of 2018 (“CCPA”) imposes obligations on covered businesses. 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we maintain about California residents. In addition, the California Privacy Rights Act of 2020 (“CPRA”), which became effective January 1, 2023, expands the CCPA. The CPRA established a new California Privacy Protection Agency to implement and enforce the CPRA, which could increase the risk of enforcement. At this time, at least 19 states have enacted some sort of data privacy law, with bills introduced in many other states.</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Foreign data privacy and security laws impose significant and complex compliance obligations on entities that are subject to those laws. As one example, the European Union’s General Data Protection Regulation 2016/679 (“EU GDPR”) contains provisions specifically directed at the processing of health information, higher sanctions and extra-territoriality measures that are intended to bring non-EU companies under the data security and privacy legal framework specified in the regulation. We anticipate that over time we may expand our business operations to</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 w:name="page12"/>
    <w:bookmarkEnd w:id="11"/>
    <w:p>
      <w:pPr>
        <w:ind w:right="580"/>
        <w:spacing w:after="0" w:line="282" w:lineRule="auto"/>
        <w:rPr>
          <w:sz w:val="20"/>
          <w:szCs w:val="20"/>
          <w:color w:val="auto"/>
        </w:rPr>
      </w:pPr>
      <w:r>
        <w:rPr>
          <w:rFonts w:ascii="Times New Roman" w:cs="Times New Roman" w:eastAsia="Times New Roman" w:hAnsi="Times New Roman"/>
          <w:sz w:val="18"/>
          <w:szCs w:val="18"/>
          <w:color w:val="auto"/>
        </w:rPr>
        <w:t>include operations in the EU, including potentially conducting preclinical and clinical trials. With such expansion, we would be subject to increased governmental regulation in the EU countries in which we might operate, including the EU GDPR.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regulation</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safe working conditions, manufacturing practices, product distribution practices, environmental protection and fire hazard control.</w:t>
      </w:r>
    </w:p>
    <w:p>
      <w:pPr>
        <w:spacing w:after="0" w:line="17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may incur significant costs to comply with these laws and regulations now or in the future. If our operations are found to be in violation of any of the federal and state laws described above or any other governmental regulations that apply to us, we may be subject to penalties, including significant criminal, civil and administrative penalties, damages, fines, imprisonment, disgorgement, exclusion from government healthcare programs,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Ethical Business Practices and Sustainability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Ethical Marketing</w:t>
      </w:r>
    </w:p>
    <w:p>
      <w:pPr>
        <w:spacing w:after="0" w:line="22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require that our employees abide by our Code of Business Conduct and Ethics, our policy on interactions with healthcare professionals and patients, U.S. federal and state laws and applicable foreign laws. We are committed to protecting the health and well-being of patients by ensuring that medically sound knowledge of the benefits and risks of our products is understood and communicated thoroughly and accurately to patients, physicians and global health authorities.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policy on interactions with healthcare professionals and patients requires that our employees promote our products fairly, truthfully, accurately and on-label. Off-label promotion of our products is explicitly prohibited, as are sales activities that would interfere with a healthcare provider’s independent medical judgment or the doctor-patient relationship. All sales staff receive compliance training upon hire and on an annual basis. We also routinely monitor sales calls. We expect that consistent enforcement of, and training on, our Code of Business Conduct and Ethics and our policy on interactions with healthcare professionals and patients will help us to avoid the incidence of unethical marketing practices.</w:t>
      </w:r>
    </w:p>
    <w:p>
      <w:pPr>
        <w:spacing w:after="0" w:line="18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As part of our commitment to patient support and education, our employees and consultants may attend and participate in certain patient events, such as health fairs or local disease awareness and advocacy events. In all cases, interactions with patients and patient groups may only be conducted in settings that are suitable for patient education and separate from the usual place(s) of clinical business of healthcare providers or institutions. In addition, our sponsorship of such events, if any, must be clearly disclosed through prominent signage.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Safety</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safety of our products at all stages – from clinical trials to the administration and use and through to safe disposal – is a key area of attention for us. We manufacture our approved and investigational products in accordance with the applicable cGMPs, QSR and other requirements enforced by the FDA and other regulatory bodies that have oversight over our products.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all sales packs of our drugs that are placed in the distribution chain are serialized in accordance with the requirements of the Drug Quality and Security Act, which requires drug manufacturers to assign a unique identifier to each sales pack (and each aggregate of such sales pack, such as a case or pallet). These identifiers remain on such pack or aggregate through the whole supply chain until its consumption or destruction. This system is intended to improve detection and removal of drugs that may be counterfeit, stolen, contaminated, or otherwise harmful from the drug supply chain.</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All of our employees are required to adhere to a standard operating procedure for capturing and reporting adverse events, safety information, and product complaints/adverse incidents involving any drug products marketed by us. These reports, as well as those that are collected by our third-party call center, are evaluated, processed and reported to regulatory authorities in accordance with FDA regulations and guidance on the post-marketing reporting of adverse experiences involving drugs, medical devices and combination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of Clinical Trial Participants</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When we are actively conducting clinical trials, the safety of our clinical trials plays a crucial role in the development of new products and our continuing prosperity. We take numerous steps to maximize the safety of our clinical trial participants.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right="120"/>
        <w:spacing w:after="0" w:line="261" w:lineRule="auto"/>
        <w:rPr>
          <w:sz w:val="20"/>
          <w:szCs w:val="20"/>
          <w:color w:val="auto"/>
        </w:rPr>
      </w:pPr>
      <w:r>
        <w:rPr>
          <w:rFonts w:ascii="Times New Roman" w:cs="Times New Roman" w:eastAsia="Times New Roman" w:hAnsi="Times New Roman"/>
          <w:sz w:val="18"/>
          <w:szCs w:val="18"/>
          <w:color w:val="auto"/>
        </w:rPr>
        <w:t>The health of subjects in clinical trials is a priority for us and we are committed to conducting clinical trials according to uniformly high ethical standards. We apply those standards to trials that we sponsor and conduct directly as well as those conducted on our behalf by clinical research organizations. We conduct trials in accordance with all applicable laws, the standards of International Council for Harmonisation of Technical Requirements for Registration of Pharmaceuticals for Human Use Guidelines and following the ethical principles that have their origin in the Declaration of Helsinki.</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require that informed consent be obtained in all trials to ensure that participants understand the risks and benefits of the procedures, how personal medical data is collected and used, and that participation in the trial is voluntary, among other information. We retain documentation that all participants in our trials have provided informed consent.</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monitor clinical trials through audits and inspections conducted by us and by clinical research organizations (CROs) that we engage. We also inspect our CROs prior to, and during, an engagement. These inspections verify that our policies, good clinical practices and applicable laws are being adhered to.</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ability to ensure the safety of clinical trial participants is critical to securing regulatory approval and continued product development success. Moreover, our inability to conduct safe and effective clinical trials could increase our development costs over time. We will continue to hold ourselves to high standards in our oversight and management of clinical trials.</w:t>
      </w:r>
    </w:p>
    <w:p>
      <w:pPr>
        <w:spacing w:after="0" w:line="17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Our policy is to disclose the basic results of all clinical trials that we conduct to test the effectiveness of investigational drugs intended to treat serious or life-threatening diseases or conditions (i.e., phase 2-4 clinical studies). Additionally, we may voluntarily disclose the results of initial safety studies (i.e., phase 1 clinical studies). In our disclosure of clinical trial results, our policy is to include all serious adverse events and those non-serious adverse events that have a frequency of at least five percent.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Corruption and Bribery</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Code of Business Conduct and Ethics reflects the business practices and principles of behavior that we expect of every employee, officer and director. All new employees are trained on the Code of Business Conduct and Ethics and existing employees are required to acknowledge annually that they have refreshed their familiarity with the policies contained within it. Our Code of Business Conduct and Ethics includes clear guidelines on anti-bribery and anti-corruption practices. In addition, we have adopted a separate anti-corruption policy. Currently, we have very limited operations outside the United States; however, as we expand our global reach through collaborations or through our own growth, we acknowledge that certain regions may pose a higher risk for corrupt practices. We intend to continue our internal training programs and oversight over collaborators on anti-bribery, anti-corruption and other unethical practices in order to reduce these risks.</w:t>
      </w:r>
    </w:p>
    <w:p>
      <w:pPr>
        <w:spacing w:after="0" w:line="189"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Bribing healthcare professionals to use or recommend our products can create adverse publicity and damage our ability to use a critical channel of influence. We believe that training on, and enforcement of, these codes will limit the incidence of unethical interactions between our personnel and healthcare professionals.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long-lived assets comprised of our property, equipment, right-of-use assets and developed technology are located in the United States and China and totaled $99.5 million and $90.0 million as of December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human capital helps us develop and commercialize new products, conduct clinical trials and navigate government regulations. Our ability to recruit, develop and retain highly skilled talent is a significant determinant of our success. Our Code of Business Conduct and Ethics codifies our commitment to diversity and to providing equal opportunity and a positive working environment in all aspects of employment. We also have policies setting forth our expectations for nondiscrimination and a harassment-free work environment. Specifically, our policy is that no aspect of employment, including hiring and promotional opportunities, will be subject to unlawful discrimination or harassment (including sexual harassment) based on race, creed, color, religion, national origin, ancestry, gender (including pregnancy, breastfeeding or medical conditions related to pregnancy or breastfeeding), age, physical or intellectual disability, sexual orientation, gender identity, gender expression, gender stereotyping, marital status, military or veteran status, citizenship, genetic characteristic or information, or any other characteristic protected by applicable federal, state or local law.</w:t>
      </w:r>
    </w:p>
    <w:p>
      <w:pPr>
        <w:spacing w:after="0" w:line="192"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As of December 31, 2024, we had 407 total at-will employees, of which 403 were full-time. Of our full-time employees, 238 were engaged in manufacturing, 23 in research and development, and 142 in selling, general and administrative. Thirteen of these employees had a Ph.D. degree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and/or M.D. degree and were engaged in activities relating to research and development, manufacturing, quality assurance or business development.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our workforce was distributed among gender and ethnic minorities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4"/>
                <w:szCs w:val="14"/>
                <w:b w:val="1"/>
                <w:bCs w:val="1"/>
                <w:color w:val="auto"/>
              </w:rPr>
              <w:t>Grade Levels</w:t>
            </w:r>
          </w:p>
        </w:tc>
        <w:tc>
          <w:tcPr>
            <w:tcW w:w="25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Female (%)</w:t>
            </w:r>
          </w:p>
        </w:tc>
        <w:tc>
          <w:tcPr>
            <w:tcW w:w="1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Ethnic minority (%)</w:t>
            </w:r>
          </w:p>
        </w:tc>
      </w:tr>
      <w:tr>
        <w:trPr>
          <w:trHeight w:val="210"/>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Vice President and above</w:t>
            </w:r>
          </w:p>
        </w:tc>
        <w:tc>
          <w:tcPr>
            <w:tcW w:w="2500" w:type="dxa"/>
            <w:vAlign w:val="bottom"/>
            <w:shd w:val="clear" w:color="auto" w:fill="CFF0FC"/>
          </w:tcPr>
          <w:p>
            <w:pPr>
              <w:jc w:val="center"/>
              <w:ind w:left="754"/>
              <w:spacing w:after="0"/>
              <w:rPr>
                <w:sz w:val="20"/>
                <w:szCs w:val="20"/>
                <w:color w:val="auto"/>
              </w:rPr>
            </w:pPr>
            <w:r>
              <w:rPr>
                <w:rFonts w:ascii="Times New Roman" w:cs="Times New Roman" w:eastAsia="Times New Roman" w:hAnsi="Times New Roman"/>
                <w:sz w:val="18"/>
                <w:szCs w:val="18"/>
                <w:color w:val="auto"/>
                <w:w w:val="99"/>
              </w:rPr>
              <w:t>23</w:t>
            </w:r>
          </w:p>
        </w:tc>
        <w:tc>
          <w:tcPr>
            <w:tcW w:w="1820" w:type="dxa"/>
            <w:vAlign w:val="bottom"/>
            <w:shd w:val="clear" w:color="auto" w:fill="CFF0FC"/>
          </w:tcPr>
          <w:p>
            <w:pPr>
              <w:jc w:val="center"/>
              <w:ind w:left="134"/>
              <w:spacing w:after="0"/>
              <w:rPr>
                <w:sz w:val="20"/>
                <w:szCs w:val="20"/>
                <w:color w:val="auto"/>
              </w:rPr>
            </w:pPr>
            <w:r>
              <w:rPr>
                <w:rFonts w:ascii="Times New Roman" w:cs="Times New Roman" w:eastAsia="Times New Roman" w:hAnsi="Times New Roman"/>
                <w:sz w:val="18"/>
                <w:szCs w:val="18"/>
                <w:color w:val="auto"/>
                <w:w w:val="96"/>
              </w:rPr>
              <w:t>22%</w:t>
            </w:r>
          </w:p>
        </w:tc>
        <w:tc>
          <w:tcPr>
            <w:tcW w:w="1980" w:type="dxa"/>
            <w:vAlign w:val="bottom"/>
            <w:shd w:val="clear" w:color="auto" w:fill="CFF0FC"/>
          </w:tcPr>
          <w:p>
            <w:pPr>
              <w:jc w:val="center"/>
              <w:ind w:left="94"/>
              <w:spacing w:after="0"/>
              <w:rPr>
                <w:sz w:val="20"/>
                <w:szCs w:val="20"/>
                <w:color w:val="auto"/>
              </w:rPr>
            </w:pPr>
            <w:r>
              <w:rPr>
                <w:rFonts w:ascii="Times New Roman" w:cs="Times New Roman" w:eastAsia="Times New Roman" w:hAnsi="Times New Roman"/>
                <w:sz w:val="18"/>
                <w:szCs w:val="18"/>
                <w:color w:val="auto"/>
                <w:w w:val="96"/>
              </w:rPr>
              <w:t>22%</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Director, Director and Senior Manager</w:t>
            </w:r>
          </w:p>
        </w:tc>
        <w:tc>
          <w:tcPr>
            <w:tcW w:w="2500" w:type="dxa"/>
            <w:vAlign w:val="bottom"/>
          </w:tcPr>
          <w:p>
            <w:pPr>
              <w:jc w:val="center"/>
              <w:ind w:left="734"/>
              <w:spacing w:after="0"/>
              <w:rPr>
                <w:sz w:val="20"/>
                <w:szCs w:val="20"/>
                <w:color w:val="auto"/>
              </w:rPr>
            </w:pPr>
            <w:r>
              <w:rPr>
                <w:rFonts w:ascii="Times New Roman" w:cs="Times New Roman" w:eastAsia="Times New Roman" w:hAnsi="Times New Roman"/>
                <w:sz w:val="18"/>
                <w:szCs w:val="18"/>
                <w:color w:val="auto"/>
              </w:rPr>
              <w:t>119</w:t>
            </w:r>
          </w:p>
        </w:tc>
        <w:tc>
          <w:tcPr>
            <w:tcW w:w="182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6"/>
              </w:rPr>
              <w:t>46%</w:t>
            </w:r>
          </w:p>
        </w:tc>
        <w:tc>
          <w:tcPr>
            <w:tcW w:w="198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96"/>
              </w:rPr>
              <w:t>27%</w:t>
            </w: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Managers and below</w:t>
            </w:r>
          </w:p>
        </w:tc>
        <w:tc>
          <w:tcPr>
            <w:tcW w:w="2500" w:type="dxa"/>
            <w:vAlign w:val="bottom"/>
            <w:shd w:val="clear" w:color="auto" w:fill="CFF0FC"/>
          </w:tcPr>
          <w:p>
            <w:pPr>
              <w:jc w:val="center"/>
              <w:ind w:left="734"/>
              <w:spacing w:after="0"/>
              <w:rPr>
                <w:sz w:val="20"/>
                <w:szCs w:val="20"/>
                <w:color w:val="auto"/>
              </w:rPr>
            </w:pPr>
            <w:r>
              <w:rPr>
                <w:rFonts w:ascii="Times New Roman" w:cs="Times New Roman" w:eastAsia="Times New Roman" w:hAnsi="Times New Roman"/>
                <w:sz w:val="18"/>
                <w:szCs w:val="18"/>
                <w:color w:val="auto"/>
              </w:rPr>
              <w:t>265</w:t>
            </w:r>
          </w:p>
        </w:tc>
        <w:tc>
          <w:tcPr>
            <w:tcW w:w="1820" w:type="dxa"/>
            <w:vAlign w:val="bottom"/>
            <w:shd w:val="clear" w:color="auto" w:fill="CFF0FC"/>
          </w:tcPr>
          <w:p>
            <w:pPr>
              <w:jc w:val="center"/>
              <w:ind w:left="134"/>
              <w:spacing w:after="0"/>
              <w:rPr>
                <w:sz w:val="20"/>
                <w:szCs w:val="20"/>
                <w:color w:val="auto"/>
              </w:rPr>
            </w:pPr>
            <w:r>
              <w:rPr>
                <w:rFonts w:ascii="Times New Roman" w:cs="Times New Roman" w:eastAsia="Times New Roman" w:hAnsi="Times New Roman"/>
                <w:sz w:val="18"/>
                <w:szCs w:val="18"/>
                <w:color w:val="auto"/>
                <w:w w:val="96"/>
              </w:rPr>
              <w:t>38%</w:t>
            </w:r>
          </w:p>
        </w:tc>
        <w:tc>
          <w:tcPr>
            <w:tcW w:w="1980" w:type="dxa"/>
            <w:vAlign w:val="bottom"/>
            <w:shd w:val="clear" w:color="auto" w:fill="CFF0FC"/>
          </w:tcPr>
          <w:p>
            <w:pPr>
              <w:jc w:val="center"/>
              <w:ind w:left="94"/>
              <w:spacing w:after="0"/>
              <w:rPr>
                <w:sz w:val="20"/>
                <w:szCs w:val="20"/>
                <w:color w:val="auto"/>
              </w:rPr>
            </w:pPr>
            <w:r>
              <w:rPr>
                <w:rFonts w:ascii="Times New Roman" w:cs="Times New Roman" w:eastAsia="Times New Roman" w:hAnsi="Times New Roman"/>
                <w:sz w:val="18"/>
                <w:szCs w:val="18"/>
                <w:color w:val="auto"/>
                <w:w w:val="96"/>
              </w:rPr>
              <w:t>46%</w:t>
            </w:r>
          </w:p>
        </w:tc>
      </w:tr>
      <w:tr>
        <w:trPr>
          <w:trHeight w:val="238"/>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 employees</w:t>
            </w:r>
          </w:p>
        </w:tc>
        <w:tc>
          <w:tcPr>
            <w:tcW w:w="2500" w:type="dxa"/>
            <w:vAlign w:val="bottom"/>
          </w:tcPr>
          <w:p>
            <w:pPr>
              <w:jc w:val="center"/>
              <w:ind w:left="734"/>
              <w:spacing w:after="0"/>
              <w:rPr>
                <w:sz w:val="20"/>
                <w:szCs w:val="20"/>
                <w:color w:val="auto"/>
              </w:rPr>
            </w:pPr>
            <w:r>
              <w:rPr>
                <w:rFonts w:ascii="Times New Roman" w:cs="Times New Roman" w:eastAsia="Times New Roman" w:hAnsi="Times New Roman"/>
                <w:sz w:val="18"/>
                <w:szCs w:val="18"/>
                <w:b w:val="1"/>
                <w:bCs w:val="1"/>
                <w:color w:val="auto"/>
              </w:rPr>
              <w:t>407</w:t>
            </w:r>
          </w:p>
        </w:tc>
        <w:tc>
          <w:tcPr>
            <w:tcW w:w="1820" w:type="dxa"/>
            <w:vAlign w:val="bottom"/>
          </w:tcPr>
          <w:p>
            <w:pPr>
              <w:jc w:val="center"/>
              <w:ind w:left="134"/>
              <w:spacing w:after="0"/>
              <w:rPr>
                <w:sz w:val="20"/>
                <w:szCs w:val="20"/>
                <w:color w:val="auto"/>
              </w:rPr>
            </w:pPr>
            <w:r>
              <w:rPr>
                <w:rFonts w:ascii="Times New Roman" w:cs="Times New Roman" w:eastAsia="Times New Roman" w:hAnsi="Times New Roman"/>
                <w:sz w:val="18"/>
                <w:szCs w:val="18"/>
                <w:b w:val="1"/>
                <w:bCs w:val="1"/>
                <w:color w:val="auto"/>
                <w:w w:val="99"/>
              </w:rPr>
              <w:t>39%</w:t>
            </w:r>
          </w:p>
        </w:tc>
        <w:tc>
          <w:tcPr>
            <w:tcW w:w="1980" w:type="dxa"/>
            <w:vAlign w:val="bottom"/>
          </w:tcPr>
          <w:p>
            <w:pPr>
              <w:jc w:val="center"/>
              <w:ind w:left="94"/>
              <w:spacing w:after="0"/>
              <w:rPr>
                <w:sz w:val="20"/>
                <w:szCs w:val="20"/>
                <w:color w:val="auto"/>
              </w:rPr>
            </w:pPr>
            <w:r>
              <w:rPr>
                <w:rFonts w:ascii="Times New Roman" w:cs="Times New Roman" w:eastAsia="Times New Roman" w:hAnsi="Times New Roman"/>
                <w:sz w:val="18"/>
                <w:szCs w:val="18"/>
                <w:b w:val="1"/>
                <w:bCs w:val="1"/>
                <w:color w:val="auto"/>
                <w:w w:val="99"/>
              </w:rPr>
              <w:t>39%</w:t>
            </w:r>
          </w:p>
        </w:tc>
      </w:tr>
    </w:tbl>
    <w:p>
      <w:pPr>
        <w:spacing w:after="0" w:line="21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None of our employees are subject to a collective bargaining agreement. We believe relations with our employees are good. In managing our business, we monitor several human capital measures, including:</w:t>
      </w:r>
    </w:p>
    <w:p>
      <w:pPr>
        <w:spacing w:after="0" w:line="54" w:lineRule="exact"/>
        <w:rPr>
          <w:sz w:val="20"/>
          <w:szCs w:val="20"/>
          <w:color w:val="auto"/>
        </w:rPr>
      </w:pPr>
    </w:p>
    <w:p>
      <w:pPr>
        <w:ind w:left="960" w:right="200" w:hanging="367"/>
        <w:spacing w:after="0" w:line="261"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against a set of specified corporate objectives for each calendar year, some of which are milestone-based, such as achieving development milestones relating to our investigational products, and some of which are quantitative, such as achieving target net sales of commercial products. These objectives are intended to stretch employees and serve as development opportunities but also form the basis for our incentive compensation programs.</w:t>
      </w:r>
    </w:p>
    <w:p>
      <w:pPr>
        <w:spacing w:after="0" w:line="71" w:lineRule="exact"/>
        <w:rPr>
          <w:rFonts w:ascii="Times New Roman" w:cs="Times New Roman" w:eastAsia="Times New Roman" w:hAnsi="Times New Roman"/>
          <w:sz w:val="18"/>
          <w:szCs w:val="18"/>
          <w:color w:val="auto"/>
        </w:rPr>
      </w:pPr>
    </w:p>
    <w:p>
      <w:pPr>
        <w:ind w:left="960" w:right="40" w:hanging="367"/>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churn rate – the number of new hires and terminations each month as a percentage of the employee base – as well as the number of regrettable losses. These metrics help us to identify areas within the company where there may be a need for greater management attention and intervention.</w:t>
      </w:r>
    </w:p>
    <w:p>
      <w:pPr>
        <w:spacing w:after="0" w:line="67" w:lineRule="exact"/>
        <w:rPr>
          <w:rFonts w:ascii="Times New Roman" w:cs="Times New Roman" w:eastAsia="Times New Roman" w:hAnsi="Times New Roman"/>
          <w:sz w:val="18"/>
          <w:szCs w:val="18"/>
          <w:color w:val="auto"/>
        </w:rPr>
      </w:pPr>
    </w:p>
    <w:p>
      <w:pPr>
        <w:ind w:left="960" w:hanging="367"/>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responses to periodic employee surveys, which are designed to give us insight into employees’ perception of company culture and areas where management’s efforts are perceived positively or negatively as well as open-ended feedback in the form of anonymous comments and questions.</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offer our employees a portfolio of rewards (our “Total Rewards Program”) to recruit and retain a high level of talent across the Company. Our Total Rewards program is offered to each employee and currently consists of the seven components:</w:t>
      </w:r>
    </w:p>
    <w:p>
      <w:pPr>
        <w:spacing w:after="0" w:line="54" w:lineRule="exact"/>
        <w:rPr>
          <w:sz w:val="20"/>
          <w:szCs w:val="20"/>
          <w:color w:val="auto"/>
        </w:rPr>
      </w:pPr>
    </w:p>
    <w:p>
      <w:pPr>
        <w:ind w:left="960" w:hanging="367"/>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 We offer a market-competitive base salary.</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 program – We offer quarterly sales incentive bonuses to our sales force and annual bonuses to the remainder of our employees.</w:t>
      </w:r>
    </w:p>
    <w:p>
      <w:pPr>
        <w:spacing w:after="0" w:line="117" w:lineRule="exact"/>
        <w:rPr>
          <w:rFonts w:ascii="Times New Roman" w:cs="Times New Roman" w:eastAsia="Times New Roman" w:hAnsi="Times New Roman"/>
          <w:sz w:val="18"/>
          <w:szCs w:val="18"/>
          <w:color w:val="auto"/>
        </w:rPr>
      </w:pPr>
    </w:p>
    <w:p>
      <w:pPr>
        <w:ind w:left="960" w:right="200" w:hanging="367"/>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equity program – A portion of our employees are eligible for a new hire and annual equity awards that consist of time- and, in some cases, performance-based restricted stock units and non-qualified stock options.</w:t>
      </w:r>
    </w:p>
    <w:p>
      <w:pPr>
        <w:spacing w:after="0" w:line="53" w:lineRule="exact"/>
        <w:rPr>
          <w:rFonts w:ascii="Times New Roman" w:cs="Times New Roman" w:eastAsia="Times New Roman" w:hAnsi="Times New Roman"/>
          <w:sz w:val="18"/>
          <w:szCs w:val="18"/>
          <w:color w:val="auto"/>
        </w:rPr>
      </w:pPr>
    </w:p>
    <w:p>
      <w:pPr>
        <w:ind w:left="960" w:right="60" w:hanging="367"/>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wellness program – A variety of insurance plans that allow employees to select among different options, including a health maintenance organization, a preferred provider organization and a high-deductible health plan, as well as flexible spending and health savings accounts.</w:t>
      </w:r>
    </w:p>
    <w:p>
      <w:pPr>
        <w:spacing w:after="0" w:line="67" w:lineRule="exact"/>
        <w:rPr>
          <w:rFonts w:ascii="Times New Roman" w:cs="Times New Roman" w:eastAsia="Times New Roman" w:hAnsi="Times New Roman"/>
          <w:sz w:val="18"/>
          <w:szCs w:val="18"/>
          <w:color w:val="auto"/>
        </w:rPr>
      </w:pPr>
    </w:p>
    <w:p>
      <w:pPr>
        <w:ind w:left="960" w:right="160" w:hanging="367"/>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 program – In addition to the paid time off that is accrued throughout the year, we offer paid holidays, including two week-long company shutdowns in July and December.</w:t>
      </w:r>
    </w:p>
    <w:p>
      <w:pPr>
        <w:spacing w:after="0" w:line="53" w:lineRule="exact"/>
        <w:rPr>
          <w:rFonts w:ascii="Times New Roman" w:cs="Times New Roman" w:eastAsia="Times New Roman" w:hAnsi="Times New Roman"/>
          <w:sz w:val="18"/>
          <w:szCs w:val="18"/>
          <w:color w:val="auto"/>
        </w:rPr>
      </w:pPr>
    </w:p>
    <w:p>
      <w:pPr>
        <w:ind w:left="960" w:right="40" w:hanging="367"/>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savings program – A 401(k) retirement plan pursuant to which we match 50% of employee contributions up to a specified limit on their annual eligible earnings.</w:t>
      </w:r>
    </w:p>
    <w:p>
      <w:pPr>
        <w:spacing w:after="0" w:line="53" w:lineRule="exact"/>
        <w:rPr>
          <w:rFonts w:ascii="Times New Roman" w:cs="Times New Roman" w:eastAsia="Times New Roman" w:hAnsi="Times New Roman"/>
          <w:sz w:val="18"/>
          <w:szCs w:val="18"/>
          <w:color w:val="auto"/>
        </w:rPr>
      </w:pPr>
    </w:p>
    <w:p>
      <w:pPr>
        <w:ind w:left="960" w:right="40" w:hanging="367"/>
        <w:spacing w:after="0" w:line="312" w:lineRule="auto"/>
        <w:tabs>
          <w:tab w:leader="none" w:pos="9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stock purchase plan (“ESPP”) program – The ESPP provides the opportunity to purchase shares of our common stock through payroll deductions every six months at a 15% discount to the market price at the beginning or end of each offering period, whichever is lower.</w:t>
      </w:r>
    </w:p>
    <w:p>
      <w:pPr>
        <w:spacing w:after="0" w:line="31" w:lineRule="exact"/>
        <w:rPr>
          <w:rFonts w:ascii="Times New Roman" w:cs="Times New Roman" w:eastAsia="Times New Roman" w:hAnsi="Times New Roman"/>
          <w:sz w:val="17"/>
          <w:szCs w:val="17"/>
          <w:color w:val="auto"/>
        </w:rPr>
      </w:pPr>
    </w:p>
    <w:p>
      <w:pPr>
        <w:ind w:left="960" w:right="760" w:hanging="367"/>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Recognition Program – We provide a company-wide Spot and Peer to Peer Recognition Program to more directly reward performance and behaviors and drive cultural improvement.</w:t>
      </w:r>
    </w:p>
    <w:p>
      <w:pPr>
        <w:spacing w:after="0" w:line="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majority of our employees are essential workers involved in the production of medicine for chronic diseases. As such, they cannot work remotely and must perform their job duties in our Connecticut facility according to a 24/7 shift schedule. Other employees have work responsibilities that can be performed somewhat asynchronously and in different locations. For such employees, our general preference is that in-office employees be in the office during core business hours at least four days per week in order to maximize the productivity gains that come from having a collaborative culture and a common workplace; however, we also recognize that such employees can be equally productive working from home some of the time or with a flexible workday that they can structure around significant events outside of the workplace, such as commute times or childcare responsibilities.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Occupational Health and Safety</w:t>
      </w:r>
    </w:p>
    <w:p>
      <w:pPr>
        <w:spacing w:after="0" w:line="1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Hazardous materials are inherent in our operations, and it is not possible to eliminate completely the risk of accidental exposure from our operations. We have established procedures to comply with governmental regulations regarding workplace safety, including training employees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4" w:name="page15"/>
    <w:bookmarkEnd w:id="14"/>
    <w:p>
      <w:pPr>
        <w:ind w:right="20"/>
        <w:spacing w:after="0" w:line="261" w:lineRule="auto"/>
        <w:rPr>
          <w:sz w:val="20"/>
          <w:szCs w:val="20"/>
          <w:color w:val="auto"/>
        </w:rPr>
      </w:pPr>
      <w:r>
        <w:rPr>
          <w:rFonts w:ascii="Times New Roman" w:cs="Times New Roman" w:eastAsia="Times New Roman" w:hAnsi="Times New Roman"/>
          <w:sz w:val="18"/>
          <w:szCs w:val="18"/>
          <w:color w:val="auto"/>
        </w:rPr>
        <w:t>to enable them to recognize risks and empower them to learn, discover, work safely, and to minimize injuries, illnesses, environmental impact and regulatory risks. In 2024, our total illness and injury incidence rate was 1.4 per 100 employees compared to the 2023 industry average of 1.7, as reported by the U.S. Department of Labor, and our DART (days away/restricted or job transfer) incident rate was 0.9 per 100 employees compared to the 2023 industry average of 1.2. We will continue our efforts to ensure a high level of workplace safety.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were incorporated in the State of Delaware on February 14, 1991. Our principal executive offices are located at 1 Casper Street, Danbury, Connecticut 06810, and our general telephone number is (818) 661-5000. Our website address is http://www.mannkindcorp.com. Our Annual Reports on Form 10-K, Quarterly Reports on Form 10-Q, Current Reports on Form 8-K, and amendments to reports filed pursuant to Sections 13(a) and 15(d) of the Securities Exchange Act of 1934, as amended, or the Exchange Act, are available free of charge on our website as soon as reasonably practicable after we electronically file such material with, or furnish it to, the SEC. The contents of our websites are not incorporated into this Annual Report. Further, our references to the URLs for these websites are intended to be inactive textual reference only.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current executive officers and their ages: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5"/>
                <w:szCs w:val="15"/>
                <w:color w:val="auto"/>
              </w:rPr>
            </w:pPr>
          </w:p>
        </w:tc>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91"/>
        </w:trPr>
        <w:tc>
          <w:tcPr>
            <w:tcW w:w="33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E. Castagna, Pharm.D.</w:t>
            </w:r>
          </w:p>
        </w:tc>
        <w:tc>
          <w:tcPr>
            <w:tcW w:w="120" w:type="dxa"/>
            <w:vAlign w:val="bottom"/>
          </w:tcPr>
          <w:p>
            <w:pPr>
              <w:spacing w:after="0"/>
              <w:rPr>
                <w:sz w:val="16"/>
                <w:szCs w:val="16"/>
                <w:color w:val="auto"/>
              </w:rPr>
            </w:pPr>
          </w:p>
        </w:tc>
        <w:tc>
          <w:tcPr>
            <w:tcW w:w="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16"/>
                <w:szCs w:val="16"/>
                <w:color w:val="auto"/>
              </w:rPr>
            </w:pPr>
          </w:p>
        </w:tc>
        <w:tc>
          <w:tcPr>
            <w:tcW w:w="70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 Prentiss</w:t>
            </w:r>
          </w:p>
        </w:tc>
        <w:tc>
          <w:tcPr>
            <w:tcW w:w="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8"/>
                <w:szCs w:val="18"/>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Burkhard Blank</w:t>
            </w:r>
          </w:p>
        </w:tc>
        <w:tc>
          <w:tcPr>
            <w:tcW w:w="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tcPr>
          <w:p>
            <w:pPr>
              <w:spacing w:after="0"/>
              <w:rPr>
                <w:sz w:val="18"/>
                <w:szCs w:val="18"/>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Research and Development, and Chief Medical Officer</w:t>
            </w: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Dominic Marasco</w:t>
            </w:r>
          </w:p>
        </w:tc>
        <w:tc>
          <w:tcPr>
            <w:tcW w:w="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8"/>
                <w:szCs w:val="18"/>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Endocrine Business Unit</w:t>
            </w: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Lauren Sabella</w:t>
            </w:r>
          </w:p>
        </w:tc>
        <w:tc>
          <w:tcPr>
            <w:tcW w:w="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18"/>
                <w:szCs w:val="18"/>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Operations</w:t>
            </w: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Sanjay Singh, M Pharm, MBA</w:t>
            </w:r>
          </w:p>
        </w:tc>
        <w:tc>
          <w:tcPr>
            <w:tcW w:w="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8"/>
                <w:szCs w:val="18"/>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Technical Operations</w:t>
            </w: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A. Tross, Ph.D.</w:t>
            </w:r>
          </w:p>
        </w:tc>
        <w:tc>
          <w:tcPr>
            <w:tcW w:w="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8"/>
                <w:szCs w:val="18"/>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Human Resources</w:t>
            </w: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B. Thomson, Ph.D., J.D.</w:t>
            </w:r>
          </w:p>
        </w:tc>
        <w:tc>
          <w:tcPr>
            <w:tcW w:w="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2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Michael E. Castagna, Pharm.D. </w:t>
      </w:r>
      <w:r>
        <w:rPr>
          <w:rFonts w:ascii="Times New Roman" w:cs="Times New Roman" w:eastAsia="Times New Roman" w:hAnsi="Times New Roman"/>
          <w:sz w:val="18"/>
          <w:szCs w:val="18"/>
          <w:color w:val="auto"/>
        </w:rPr>
        <w:t>has been our Chief Executive Officer since May 2017 and was our Chief Commercial Officer from March 2016 until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From November 2012 until he joined us, Dr. Castagna was at Amgen, Inc., where he initially served as Vice President, Global Lifecycle Management, and subsequently, Vice President, Global Commercial Lead for Amgen’s Biosimilar Business Unit. From 2010 to 2012, he was Executive Director, Immunology, at Bristol-Myers Squibb Company (“BMS”), an innovative global biopharmaceutical company. Before BMS, Dr. Castagna served as Vice President &amp; Head, Biopharmaceuticals, North America, at Sandoz, a division of Novartis. He has also held positions with commercial responsibilities at EMD (Merck) Serono, Pharmasset and DuPont Pharmaceuticals. He received his pharmacy degree from the University of the Sciences-Philadelphia College of Pharmacy, a PharmD. from Massachusetts College of Pharmacy &amp; Sciences and an MBA from The Wharton School of Business at the University of Pennsylvania.</w:t>
      </w:r>
    </w:p>
    <w:p>
      <w:pPr>
        <w:spacing w:after="0" w:line="1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Christopher B. Prentiss </w:t>
      </w:r>
      <w:r>
        <w:rPr>
          <w:rFonts w:ascii="Times New Roman" w:cs="Times New Roman" w:eastAsia="Times New Roman" w:hAnsi="Times New Roman"/>
          <w:sz w:val="18"/>
          <w:szCs w:val="18"/>
          <w:color w:val="auto"/>
        </w:rPr>
        <w:t>has been our Chief Financial Officer since April 2024. From September 2022 until March 2024, Mr. Prentiss served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ADARx Pharmaceuticals, Inc., a privately held clinical-stage biotechnology company. Between April 2015 and November 2021, he held a series of finance positions of increasing responsibility at the commercial-stage biotech company Adamas Pharmaceuticals, Inc. (“Adamas”), culminating in Chief Financial Officer commencing in November 2019. His responsibilities at Adamas included finance, accounting, investor relations, information technology and facilities. From June 2013 until March 2015, he was Vice President, Finance and Corporate Controller of InterMune Inc., a commercial-stage biotech with responsibilities over all aspects of corporate accounting, reporting, and treasury. Prior to that, Mr. Prentiss was Senior Director, Controller at Dynavax Technologies Corporation, a clinical-stage biopharmaceutical company, from May 2012 to June 2013, where he was responsible for the accounting and tax functions. Between 2005 – 2012, he worked here at MannKind, where he held senior finance positions of increasing responsibility. Prior to that, Mr. Prentiss was a Senior Manager at KPMG LLP in the assurance practice. Mr. Prentiss received a B.Sc. degree in Accounting from Loyola Marymount University, and an MBA from Indiana University. Mr. Prentiss is a licensed CPA (inactive) in California.</w:t>
      </w:r>
    </w:p>
    <w:p>
      <w:pPr>
        <w:spacing w:after="0" w:line="18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Burkhard Blank, M.D</w:t>
      </w:r>
      <w:r>
        <w:rPr>
          <w:rFonts w:ascii="Times New Roman" w:cs="Times New Roman" w:eastAsia="Times New Roman" w:hAnsi="Times New Roman"/>
          <w:sz w:val="18"/>
          <w:szCs w:val="18"/>
          <w:color w:val="auto"/>
        </w:rPr>
        <w:t>. has been our Executive Vice President, Research and Development and our Chief Medical Officer since May 2023. Before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since 2022, Dr. Blank served as CMO/Head of R&amp;D at Pharnext SA after serving seven years in the same position at Acorda Therapeutics. While at Acorda, he oversaw the Phase 3 development in North America and in Europe for Inbrija® (levodopa inhalation powder) for Parkinson’s disease with subsequent one-cycle approvals by the FDA and the EMA. Earlier in his career, Dr. Blank spent 20 years between Boehringer Ingelheim Pharmaceuticals in Ridgefield, CT, and Boehringer Ingelheim GmbH in Germany, serving in progressive leadership roles. Under his guidance, four products received approval including Spiriva® (for COPD) for which he oversaw development and led the presentation at the FDA advisory committee meeting. Dr. Blank received his medical degree from Universitaet Marburg, Germany, and is board-certified in internal medicine.</w:t>
      </w:r>
    </w:p>
    <w:p>
      <w:pPr>
        <w:spacing w:after="0" w:line="183"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Dominic Marasco, R.Ph., </w:t>
      </w:r>
      <w:r>
        <w:rPr>
          <w:rFonts w:ascii="Times New Roman" w:cs="Times New Roman" w:eastAsia="Times New Roman" w:hAnsi="Times New Roman"/>
          <w:sz w:val="18"/>
          <w:szCs w:val="18"/>
          <w:color w:val="auto"/>
        </w:rPr>
        <w:t>has been our President, Endocrine Business Unit since January 2025. Prior to joining us, Mr. Marasco held the 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President, Chief Commercial Officer for Envision Pharma Group from February 2023 until August 2024, leading its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right="20"/>
        <w:spacing w:after="0" w:line="255" w:lineRule="auto"/>
        <w:rPr>
          <w:sz w:val="20"/>
          <w:szCs w:val="20"/>
          <w:color w:val="auto"/>
        </w:rPr>
      </w:pPr>
      <w:r>
        <w:rPr>
          <w:rFonts w:ascii="Times New Roman" w:cs="Times New Roman" w:eastAsia="Times New Roman" w:hAnsi="Times New Roman"/>
          <w:sz w:val="18"/>
          <w:szCs w:val="18"/>
          <w:color w:val="auto"/>
        </w:rPr>
        <w:t>technology and artificial intelligence business units and all commercial operations. Before joining Envision Pharma, Mr. Marasco was Chief Commercial Officer at BioAgilytix Labs, Inc. from December 2019 until December 2022. Prior to BioAgilytix, he was EVP, Global Business Development, Commercial Group at Syneos Health from February 2018 until December 2019, after serving in progressive leadership roles at Amgen, Inc. including Head of U.S. Sales for the Neuroscience Business Unit and before that Global Commercial Head, Amgen Biosimilars. Mr. Marasco also held successful commercial leadership roles at Sandoz Biopharmaceuticals, a Novartis Company, and Quintiles Transnational Holdings Inc (now IQVIA). He began his career as a pharmacist before joining Eli Lilly and Company in a sales capacity. Mr. Marasco has a Bachelor of Science degree from the Philadelphia College of Pharmacy and completed Harvard Business School’s Advanced Management Program.</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Lauren Sabella </w:t>
      </w:r>
      <w:r>
        <w:rPr>
          <w:rFonts w:ascii="Times New Roman" w:cs="Times New Roman" w:eastAsia="Times New Roman" w:hAnsi="Times New Roman"/>
          <w:sz w:val="18"/>
          <w:szCs w:val="18"/>
          <w:color w:val="auto"/>
        </w:rPr>
        <w:t>has been our Executive Vice President, Operations since January 2025 and previously served as our Chief Operating Officer from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January 2025. Prior to joining us, Ms. Sabella served as Principal at LS Consulting Group, a strategic advisory group providing consulting services to pharmaceutical and emerging biotech companies, from September 2022 until March 2023. From September 2021 until September 2022, Ms. Sabella served as Chief Operating Officer at Acorda Therapeutics, Inc. (“Acorda”). Ms. Sabella was previously Acorda’s Chief Commercial Officer from February 2015 to September 2021. Before that, from January 2010 to February 2015, she was Acorda’s Executive Vice President, Commercial Development. Prior to that, Ms. Sabella was the Founder and Principal of Tugboat Consulting Group, an independent consulting practice assisting companies in the commercialization process. Ms. Sabella also served as Corporate Officer and Vice President of Commercial Development at Altus Pharmaceuticals Inc. (“Altus”) from May 2006 to September 2008, with responsibility for all aspects of commercialization. Prior to joining Altus, Ms. Sabella was employed by Boehringer Ingelheim Pharmaceuticals for 18 years in positions of increasing responsibility, which included over ten years of marketing experience during which she led several product launches including Mobic, an NSAID that became a $1 billion brand. In her last role, she served as Vice President of Sales, Eastern Zone, where she led the sales launch of Spiriva and ran both Primary Care and Specialty Divisions, including Neurology, Urology and Cardio/Pulmonary. Ms. Sabella holds a B.B.A. from Hofstra University.</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Sanjay Singh </w:t>
      </w:r>
      <w:r>
        <w:rPr>
          <w:rFonts w:ascii="Times New Roman" w:cs="Times New Roman" w:eastAsia="Times New Roman" w:hAnsi="Times New Roman"/>
          <w:sz w:val="18"/>
          <w:szCs w:val="18"/>
          <w:color w:val="auto"/>
        </w:rPr>
        <w:t>has been our Executive Vice President, Technical Operations since October 2022. Before joining us, since 2011 Mr. Singh served as Sr.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Associate President Technical Operations in India and USA at Aurobindo Pharma, a leading generic pharmaceutical manufacturing company, headquartered in Hyderabad, India. Prior to Aurobindo, Mr. Singh worked in various leadership roles at Cipla Ltd (2000 – 2007, 2008 – 2011), Glenmark Pharma (2007-2008), Nicholas Piramal India Ltd (1992-2000) and Cadila Laboratories (1990-1991). Mr. Singh has been associated with the Parenteral Drug Association (PDA) and was the founding president of the PDA, India chapter before moving to the US in 2015. Mr. Singh received an M. Pharma. degree in Pharmaceutical Chemistry from LM College of Pharmacy, Ahmedabad, India and an MBA degree from Institute of Management Studies, Indore, India.</w:t>
      </w:r>
    </w:p>
    <w:p>
      <w:pPr>
        <w:spacing w:after="0" w:line="183"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Stuart A. Tross, Ph.D. </w:t>
      </w:r>
      <w:r>
        <w:rPr>
          <w:rFonts w:ascii="Times New Roman" w:cs="Times New Roman" w:eastAsia="Times New Roman" w:hAnsi="Times New Roman"/>
          <w:sz w:val="18"/>
          <w:szCs w:val="18"/>
          <w:color w:val="auto"/>
        </w:rPr>
        <w:t>has been our Executive Vice President, Human Resources since December 2016, with responsibilities for human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corporate communications and west coast facilities. From 2006 to 2016 he served in various roles of increasing responsibility at Amgen, Inc., most recently as Senior Vice President and Chief Human Resources Officer responsible for human resources and security on a global basis. From 1998 to 2006 he served in a series of leadership roles at BMS, most recently as Vice President and Global Head of Human Resources for Mead Johnson Company. Mr. Tross received a B.S. degree from Cornell University and M.Sc. and Ph.D. degrees in Industrial-Organizational Psychology from the Georgia Institute of Technology.</w:t>
      </w:r>
    </w:p>
    <w:p>
      <w:pPr>
        <w:spacing w:after="0" w:line="17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David B. Thomson, Ph.D., J.D. </w:t>
      </w:r>
      <w:r>
        <w:rPr>
          <w:rFonts w:ascii="Times New Roman" w:cs="Times New Roman" w:eastAsia="Times New Roman" w:hAnsi="Times New Roman"/>
          <w:sz w:val="18"/>
          <w:szCs w:val="18"/>
          <w:color w:val="auto"/>
        </w:rPr>
        <w:t>has been our General Counsel and Corporate Secretary since January 2002. Prior to joining us, he practiced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corporate/commercial and securities law at a major Toronto law firm. Earlier in his career, Dr. Thomson was a post-doctoral fellow at the Rockefeller University. Dr. Thomson obtained his B.S., M Sc. and Ph.D. degrees from Queens University and obtained his J.D. degree from the University of Toronto.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Annual Report before you decide to buy or maintain an investment in our common stock.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products that we or our collaboration partner are commercializing may only achieve a limited degree of commercial success.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Successful commercialization of therapeutic products is subject to many risks, including some that are outside our control. There are numerous examples of failures to fully exploit the market potential of therapeutic products, including by biopharmaceutical and device companies with more experience and resources than us. Products that we commercialize ourselves (including any products that we may develop or acquire in the future) and the product that is commercialized by our current collaboration partner (including future products that may be commercialized by a collaboration partner) may not gain market acceptance among physicians, patients, third-party payers and the healthcare community. The degree of market acceptance of our or a collaboration partner’s products depends on many factors, including the following:</w:t>
      </w:r>
    </w:p>
    <w:p>
      <w:pPr>
        <w:spacing w:after="0" w:line="79" w:lineRule="exact"/>
        <w:rPr>
          <w:sz w:val="20"/>
          <w:szCs w:val="20"/>
          <w:color w:val="auto"/>
        </w:rPr>
      </w:pPr>
    </w:p>
    <w:p>
      <w:pPr>
        <w:ind w:left="960" w:hanging="367"/>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labeling claims;</w:t>
      </w:r>
    </w:p>
    <w:p>
      <w:pPr>
        <w:spacing w:after="0" w:line="117" w:lineRule="exact"/>
        <w:rPr>
          <w:rFonts w:ascii="Times New Roman" w:cs="Times New Roman" w:eastAsia="Times New Roman" w:hAnsi="Times New Roman"/>
          <w:sz w:val="18"/>
          <w:szCs w:val="18"/>
          <w:color w:val="auto"/>
        </w:rPr>
      </w:pPr>
    </w:p>
    <w:p>
      <w:pPr>
        <w:ind w:left="960" w:right="260" w:hanging="367"/>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efforts by us and/or any current or future collaboration or marketing partner to support and educate patients and physicians about the benefits and proper administration of our products, and the perceived advantages of our products and the disadvantages of competitive products;</w:t>
      </w:r>
    </w:p>
    <w:p>
      <w:pPr>
        <w:spacing w:after="0" w:line="6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the healthcare community and patients to adopt new technologies or therapies;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manufacture the product in sufficient quantities with acceptable quality and cost;</w:t>
      </w:r>
    </w:p>
    <w:p>
      <w:pPr>
        <w:spacing w:after="0" w:line="117" w:lineRule="exact"/>
        <w:rPr>
          <w:rFonts w:ascii="Times New Roman" w:cs="Times New Roman" w:eastAsia="Times New Roman" w:hAnsi="Times New Roman"/>
          <w:sz w:val="18"/>
          <w:szCs w:val="18"/>
          <w:color w:val="auto"/>
        </w:rPr>
      </w:pPr>
    </w:p>
    <w:p>
      <w:pPr>
        <w:ind w:left="960" w:right="360" w:hanging="367"/>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of patients and the healthcare community, including third-party payers, regarding the safety, efficacy and benefits compared to competing products or therapies;</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relative to existing treatment methods;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as well as pricing relative to other treatment therapeutics and methods; and</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Because of these and other factors, the products described above may not gain market acceptance or otherwise be commercially successful. Failure to achieve market acceptance would limit our ability to generate revenue and would adversely affect our results of operations. We and our current or any future collaboration partner may need to enhance our/their commercialization capabilities in order to successfully commercialize such products in the United States or any other jurisdiction in which such product is approved for commercial sale, and we or the collaboration partner may not have sufficient resources to do so.</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increase adoption and sales of our products, we need to continue to develop our commercial organization, including maintaining and growing a highly experienced and skilled workforce with qualified sales representatives.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built a sales force that promotes our products to endocrinologists and selected primary care physicians. In order to successfully commercialize any approved products, we must continue to build our sales, marketing, distribution, managerial and other commercial capabilities. The market for skilled commercial personnel is highly competitive, and we may not be able to hire all of the personnel we need on a timely basis or retain them for a sufficient period. Factors that may hinder our ability to successfully market and commercially distribute our products include:</w:t>
      </w:r>
    </w:p>
    <w:p>
      <w:pPr>
        <w:spacing w:after="0" w:line="72" w:lineRule="exact"/>
        <w:rPr>
          <w:sz w:val="20"/>
          <w:szCs w:val="20"/>
          <w:color w:val="auto"/>
        </w:rPr>
      </w:pPr>
    </w:p>
    <w:p>
      <w:pPr>
        <w:ind w:left="960" w:hanging="367"/>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retain and effectively manage adequate numbers of effective sales personnel;</w:t>
      </w:r>
    </w:p>
    <w:p>
      <w:pPr>
        <w:spacing w:after="0" w:line="117" w:lineRule="exact"/>
        <w:rPr>
          <w:rFonts w:ascii="Times New Roman" w:cs="Times New Roman" w:eastAsia="Times New Roman" w:hAnsi="Times New Roman"/>
          <w:sz w:val="18"/>
          <w:szCs w:val="18"/>
          <w:color w:val="auto"/>
        </w:rPr>
      </w:pPr>
    </w:p>
    <w:p>
      <w:pPr>
        <w:ind w:left="960" w:right="180" w:hanging="367"/>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complementary products to be offered by sales personnel, which may put us at a competitive disadvantage relative to companies that have more extensive product lines; and</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delays, costs and expenses associated with maintaining our sales organization.</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we are unable to maintain an effective sales force for our products, including potential future products, we may not be able to generate sufficient product revenue in the United States. We are required to expend significant time and resources to train our sales force to educate physicians about our products. In addition, we must continually train our sales force and equip them with effective marketing materials to ensure that a consistent and appropriate message about our products is being delivered to our potential customers. We currently have limited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resources compared to some of our competitors, and the continued development of our own commercial organization to market our products and any additional products we may develop or acquire will be expensive and time-consuming. We also cannot be certain that we will be able to continue to successfully develop this capability.</w:t>
      </w:r>
    </w:p>
    <w:p>
      <w:pPr>
        <w:spacing w:after="0" w:line="2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Similarly, if UT does not effectively engage or maintain its sales force for Tyvaso DPI, our ability to recognize royalties and manufacturing revenue from this collaboration will be adversely affected.</w:t>
      </w:r>
    </w:p>
    <w:p>
      <w:pPr>
        <w:spacing w:after="0" w:line="26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Manufacturing risks may adversely affect our ability to manufacture our products and Tyvaso DPI, which could reduce our gross margin and profitability.</w:t>
      </w:r>
    </w:p>
    <w:p>
      <w:pPr>
        <w:spacing w:after="0" w:line="5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use our Danbury, Connecticut facility to assemble the inhalers from their individual molded parts, formulate both the Afrezza and Tyvaso DPI inhalation powders, fill plastic cartridges with the powders, package the cartridges into secondary packaging and assemble final kits for certain stock-keeping units. Other semi-finished goods are assembled into the final kits for commercial sale by a contract packager.</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capacity utilization and yields. We may also experience shortages of qualified personnel, which could impact our ability to meet manufacturing requirements. In addition, there is a need to comply with strictly enforced federal, state and foreign regulations, including inspections. Our facility is inspected on a regular basis by the FDA. If the FDA makes any major observations during future inspections, the corrective actions required could be onerous and time-consuming.</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Any of these factors could cause us to delay or suspend production, could entail higher costs and may result in our being unable to obtain sufficient quantities for the commercialization of drug products at the costs that we currently anticipate. If we fail to deliver the required commercial quantities of the product on a timely basis, at commercially reasonable prices and at acceptable quality, and we were unable to promptly find on a timely basis one or more replacement manufacturers capable of production at a substantially equivalent cost, in substantially equivalent volume and quality, we would likely be unable to meet demand for such drug products and we would lose potential revenues.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demand for our products increases, we may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we may be unable to support commercialization of Tyvaso DPI.</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addition, we rely on our contract manufacturers in Southern China to manufacture V-Go. Our contract manufacturer uses MannKind-owned custom-designed, semi-automated manufacturing equipment and production lines to meet our quality requirements. Separate contract manufacturers in China perform release testing, sterilization, inspection and packaging functions. As a result, our business is subject to risks associated with doing business in China, including:</w:t>
      </w:r>
    </w:p>
    <w:p>
      <w:pPr>
        <w:spacing w:after="0" w:line="72" w:lineRule="exact"/>
        <w:rPr>
          <w:sz w:val="20"/>
          <w:szCs w:val="20"/>
          <w:color w:val="auto"/>
        </w:rPr>
      </w:pPr>
    </w:p>
    <w:p>
      <w:pPr>
        <w:ind w:left="960" w:right="100" w:hanging="367"/>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particularly those potentially negatively affecting the trade relationship between the United States and China;</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 increases, and import and export licensing and control requirements;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tax laws;</w:t>
      </w:r>
    </w:p>
    <w:p>
      <w:pPr>
        <w:spacing w:after="0" w:line="117" w:lineRule="exact"/>
        <w:rPr>
          <w:rFonts w:ascii="Times New Roman" w:cs="Times New Roman" w:eastAsia="Times New Roman" w:hAnsi="Times New Roman"/>
          <w:sz w:val="18"/>
          <w:szCs w:val="18"/>
          <w:color w:val="auto"/>
        </w:rPr>
      </w:pPr>
    </w:p>
    <w:p>
      <w:pPr>
        <w:ind w:left="960" w:right="600" w:hanging="367"/>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the Chinese legal system, including increased costs and uncertainties associated with enforcing contractual obligations in China;</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lower protection of intellectual property rights;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unfavorable changes in regulatory requirements;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volatility in currency exchange rates;</w:t>
      </w:r>
    </w:p>
    <w:p>
      <w:pPr>
        <w:spacing w:after="0" w:line="117" w:lineRule="exact"/>
        <w:rPr>
          <w:rFonts w:ascii="Times New Roman" w:cs="Times New Roman" w:eastAsia="Times New Roman" w:hAnsi="Times New Roman"/>
          <w:sz w:val="18"/>
          <w:szCs w:val="18"/>
          <w:color w:val="auto"/>
        </w:rPr>
      </w:pPr>
    </w:p>
    <w:p>
      <w:pPr>
        <w:ind w:left="960" w:right="480" w:hanging="367"/>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patient or physician preferences for more established pharmaceutical products and medical devices manufactured in the United States; and</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relationships and operations generally.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may be exacerbated by our limited experience with V-Go and its manufacturing processes.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For the commercial manufacture of inhaled drug products, we need access to sufficient, reliable and affordable supplies of raw materials for formulating powders, such as FDKP, as well as other components, such as the inhaler, the related cartridges and packaging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cGMP for drug products, and the molding of the inhaler and cartridges components in accordance with QSRs.</w:t>
      </w:r>
    </w:p>
    <w:p>
      <w:pPr>
        <w:spacing w:after="0" w:line="18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For V-Go, we obtain parts from a small number of suppliers, including some parts and components that are purchased from single-source vendors. Depending on a limited number of suppliers exposes us to risks, including limited control over pricing, availability, quality and delivery schedules. In addition, we do not have long-term supply agreements with most of our suppliers and, in many cases, we make our purchases on a purchase order basis. Under many of our supply agreements, we have no obligation to buy any given quantity of components, and our suppliers have no obligation to manufacture for us or sell to us any given quantity of components.</w:t>
      </w:r>
    </w:p>
    <w:p>
      <w:pPr>
        <w:spacing w:after="0" w:line="18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Because we do not have long-standing relationships with all of our suppliers, we may not be able to convince them to continue to make components available to us unless there is demand for such components from their other customers. If any one or more of our suppliers cease to provide us with sufficient quantities of components in a timely manner or on pricing and quality terms acceptable to us, we would have to seek alternative sources of supply. Because of factors such as the proprietary nature of our products, our quality control standards and regulatory requirements, we cannot quickly engage additional or replacement suppliers for some of our critical components.</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materials sourced from suppliers located outside the United States have or may become subject to tariffs under U.S. trade policies. For example, we expect that future orders of V-Go devices, which are manufactured in China, will be impacted by a 10% tariff on imports from China that the current administration imposed via an executive order in January 2025. Components made domestically from imported materials, such as steel and aluminum, that are currently subject to tariffs are also expected to become more expensive in the future. These and any future tariffs will increase our cost of goods and decrease our operating margins.</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may also have difficulty obtaining similar components from other suppliers that meet the requirements of the FDA or other regulatory agencies.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production.</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result, our ability to purchase adequate quantities of the components for our products may be limited. Additionally, our suppliers may encounter problems that limit their ability to manufacture components for us, including financial difficulties or damage to their manufacturing equipment or facilities.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payers do not cover our approved products, such products might not be prescribed, used or purchased, which would adversely affect our revenues.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United States and elsewhere, sales of prescription pharmaceuticals depend in large part on the availability of coverage and adequate reimbursement to the consumer from third-party payers, such as government health administration authorities and private insurance plans. In general, patients are less likely to use our products unless coverage is provided and reimbursement is adequate to cover a significant portion of the cost of our products. Third-party payers are increasingly challenging the prices charged for medical products and services. The market for our approved products depends significantly on access to third-party payers’ formularies, which are the lists of medications and devices for which third-party payers provide coverage and reimbursement. The industry competition to be included in such formularies often leads to downward pricing pressures on pharmaceutical and device companies. Also, third-party payers may refuse to include a particular branded product in their formularies or otherwise restrict patient access to a branded product when a less costly generic equivalent or other alternative is available.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Even if favorable coverage and reimbursement status is attained from some payers for our products, less favorable coverage policies and reimbursement rates may be implemented in the future. Such</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9" w:name="page20"/>
    <w:bookmarkEnd w:id="19"/>
    <w:p>
      <w:pPr>
        <w:ind w:right="100"/>
        <w:spacing w:after="0" w:line="266" w:lineRule="auto"/>
        <w:rPr>
          <w:sz w:val="20"/>
          <w:szCs w:val="20"/>
          <w:color w:val="auto"/>
        </w:rPr>
      </w:pPr>
      <w:r>
        <w:rPr>
          <w:rFonts w:ascii="Times New Roman" w:cs="Times New Roman" w:eastAsia="Times New Roman" w:hAnsi="Times New Roman"/>
          <w:sz w:val="18"/>
          <w:szCs w:val="18"/>
          <w:color w:val="auto"/>
        </w:rPr>
        <w:t>less favorable coverage could impact the market acceptance of any product and could have a negative effect on our revenues and operating results. Even if we succeed in bringing more products to market, we cannot be certain that any such products would be considered cost-effective or that coverage and adequate reimbursement to the consumer would be available.</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IRA limited insulin copays to $35 per month for Medicare Part D beneficiaries starting in 2023. In certain foreign markets, the pricing of prescription pharmaceuticals is subject to direct governmental control.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or any collaboration partner is unable to obtain and maintain coverage of, and adequate third-party reimbursement for, our approved products, physicians may limit how much or under what circumstances they will prescribe or administer them and patients may decline to purchase them. This in turn could affect our or any collaboration partner’s ability to successfully commercialize such products and would impact our profitability, results of operations, financial condition,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operations.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our products and the development of our product candidates. It may be difficult for us to raise additional funds on favorable terms, or at all. The extent of our additional funding requirements will depend on a number of factors, including:</w:t>
      </w:r>
    </w:p>
    <w:p>
      <w:pPr>
        <w:spacing w:after="0" w:line="72" w:lineRule="exact"/>
        <w:rPr>
          <w:sz w:val="20"/>
          <w:szCs w:val="20"/>
          <w:color w:val="auto"/>
        </w:rPr>
      </w:pPr>
    </w:p>
    <w:p>
      <w:pPr>
        <w:ind w:left="960" w:hanging="367"/>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we are able to generate revenue from products that we or a collaboration partner commercialize;</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Afrezza and of commercializing Afrezza and V-Go on our own in the United States;</w:t>
      </w:r>
    </w:p>
    <w:p>
      <w:pPr>
        <w:spacing w:after="0" w:line="117" w:lineRule="exact"/>
        <w:rPr>
          <w:rFonts w:ascii="Times New Roman" w:cs="Times New Roman" w:eastAsia="Times New Roman" w:hAnsi="Times New Roman"/>
          <w:sz w:val="18"/>
          <w:szCs w:val="18"/>
          <w:color w:val="auto"/>
        </w:rPr>
      </w:pPr>
    </w:p>
    <w:p>
      <w:pPr>
        <w:ind w:left="960" w:right="280" w:hanging="367"/>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by any or all of the holders of our senior convertible notes to require us to repay or repurchase such debt securities if and when required;</w:t>
      </w:r>
    </w:p>
    <w:p>
      <w:pPr>
        <w:spacing w:after="0" w:line="53" w:lineRule="exact"/>
        <w:rPr>
          <w:rFonts w:ascii="Times New Roman" w:cs="Times New Roman" w:eastAsia="Times New Roman" w:hAnsi="Times New Roman"/>
          <w:sz w:val="18"/>
          <w:szCs w:val="18"/>
          <w:color w:val="auto"/>
        </w:rPr>
      </w:pPr>
    </w:p>
    <w:p>
      <w:pPr>
        <w:ind w:left="960" w:right="460" w:hanging="367"/>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or refinance existing indebtedness, and the extent to which our senior convertible notes or any other convertible debt securities we may issue are converted into or exchanged for shares of our common stock;</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of our clinical studies and R&amp;D activities;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procuring raw materials and operating our manufacturing facility;</w:t>
      </w:r>
    </w:p>
    <w:p>
      <w:pPr>
        <w:spacing w:after="0" w:line="117" w:lineRule="exact"/>
        <w:rPr>
          <w:rFonts w:ascii="Times New Roman" w:cs="Times New Roman" w:eastAsia="Times New Roman" w:hAnsi="Times New Roman"/>
          <w:sz w:val="18"/>
          <w:szCs w:val="18"/>
          <w:color w:val="auto"/>
        </w:rPr>
      </w:pPr>
    </w:p>
    <w:p>
      <w:pPr>
        <w:ind w:left="960" w:right="140" w:hanging="367"/>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53" w:lineRule="exact"/>
        <w:rPr>
          <w:rFonts w:ascii="Times New Roman" w:cs="Times New Roman" w:eastAsia="Times New Roman" w:hAnsi="Times New Roman"/>
          <w:sz w:val="18"/>
          <w:szCs w:val="18"/>
          <w:color w:val="auto"/>
        </w:rPr>
      </w:pPr>
    </w:p>
    <w:p>
      <w:pPr>
        <w:ind w:left="960" w:right="560" w:hanging="367"/>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FDA and other regulatory authorities affecting Afrezza, V-Go, Tyvaso DPI, our product candidates or competitive products;</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market developments;</w:t>
      </w:r>
    </w:p>
    <w:p>
      <w:pPr>
        <w:spacing w:after="0" w:line="117" w:lineRule="exact"/>
        <w:rPr>
          <w:rFonts w:ascii="Times New Roman" w:cs="Times New Roman" w:eastAsia="Times New Roman" w:hAnsi="Times New Roman"/>
          <w:sz w:val="18"/>
          <w:szCs w:val="18"/>
          <w:color w:val="auto"/>
        </w:rPr>
      </w:pPr>
    </w:p>
    <w:p>
      <w:pPr>
        <w:ind w:left="960" w:right="140" w:hanging="367"/>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maintaining and enforcing patent claims and other intellectual property rights or defending against claims of infringement by others;</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legal and litigation expenses; and</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discontinuing projects and technologies, and/or decommissioning existing facilities, if we undertake any such activities.</w:t>
      </w:r>
    </w:p>
    <w:p>
      <w:pPr>
        <w:spacing w:after="0" w:line="225"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We have raised capital in the past through the sale of equity and debt securities and the sale of certain assets. In the future, we may pursue the sale of additional equity, debt securities and/or assets, or the establishment of other funding facilities including asset-based borrowings. There can be no assurances, however, that we will be able to raise additional capital in the future on acceptable terms, or at all. Volatility and disruptions of the global supply chain and financial markets, if sustained or recurrent, could prevent us or make it more difficult for us to access capital.</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60"/>
        <w:spacing w:after="0" w:line="256" w:lineRule="auto"/>
        <w:rPr>
          <w:sz w:val="20"/>
          <w:szCs w:val="20"/>
          <w:color w:val="auto"/>
        </w:rPr>
      </w:pPr>
      <w:r>
        <w:rPr>
          <w:rFonts w:ascii="Times New Roman" w:cs="Times New Roman" w:eastAsia="Times New Roman" w:hAnsi="Times New Roman"/>
          <w:sz w:val="18"/>
          <w:szCs w:val="18"/>
          <w:color w:val="auto"/>
        </w:rPr>
        <w:t>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18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data or information technology systems,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7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and third parties with whom we work, employ and are increasingly dependent upon information technology systems, infrastructure, applications, websites and other resources. Our business, and that of the third parties with whom we work, requires collecting, receiving, manipulating, analyzing, storing, processing, generating, using, disclosing, protecting, securing, transmitting, sharing, disposing of, and making accessible (collectively “processing”) large amounts of data, including proprietary, confidential and sensitive data (such as personal or health-related data), intellectual property, and trade secrets (collectively, “sensitive information”). As a result, we and the third parties with whom we work face a variety of evolving threats that could cause security incidents.</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increase,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may be subject to physical threats, such as telecommunications failures, earthquakes, fires or floods, as well as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credentials harvesting, personnel misconduct or error, ransomware attacks, supply-chain attacks, software bugs, server malfunctions, software or hardware failures, loss of data or other information technology assets, adware, attacks enhanced or facilitated by artificial intelligence,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Some of our workforce works remotely, which also poses increased risks to our information technology systems and data, as employees working from home, in transit or in public locations, utilize network connections, computers and devices outside our premises or network.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rely on third parties and technologies to operate critical business systems to process sensitive information in a variety of contexts, including, without limitation, cloud-based infrastructure, data center facilities, encryption and authentication technology, employee email and productivity software, and other functions. We also rely on third-party service providers to provide other products or services, or otherwise to operate our business. Our business, including our ability to manufacture drug products and conduct clinical trials, therefore depends on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right="20"/>
        <w:spacing w:after="0" w:line="254" w:lineRule="auto"/>
        <w:rPr>
          <w:sz w:val="20"/>
          <w:szCs w:val="20"/>
          <w:color w:val="auto"/>
        </w:rPr>
      </w:pPr>
      <w:r>
        <w:rPr>
          <w:rFonts w:ascii="Times New Roman" w:cs="Times New Roman" w:eastAsia="Times New Roman" w:hAnsi="Times New Roman"/>
          <w:sz w:val="18"/>
          <w:szCs w:val="18"/>
          <w:color w:val="auto"/>
        </w:rPr>
        <w:t>continuous, effective, reliable and secure operation of our information technology resources and those of third parties with whom we work, including computer hardware, software, networks, Internet servers and related infrastructure.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In particular,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While we may be entitled to damages if our third-party service providers fail to satisfy their privacy or security-related obligations to us, any award may be insufficient to cover our damages, or we may be unable to recover such award.</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technology systems (such as our hardware and/or software, including that of third parties with whom we work), but we may not be able to detect, mitigate, and remediate all such vulnerabilities on a timely basis. It may also be difficult and/or costly to detect, investigate, mitigate, contain, and remediate a security incident. Further, we may experience delays in developing and deploying remedial measures and patches designed to address identified vulnerabilities, which could be exploited and result in a security incident.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A security incident or other interruption could disrupt our ability (and that of third parties with whom we work) to provide our products. We may expend significant resources or modify our business activities (including our clinical trial activities) to try to protect against security incidents. Certain data privacy and security obligations have required us to implement and maintain specific security measures, industry-standards or reasonable security measures to protect our information technology systems and sensitive information.</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although we have not directly experienced a cyberattack, third parties with whom we work have experienced security incidents, such as the SolarWinds attack in December 2020, the ransomware attack on Kronos Private Cloud in December 2021 and the Change Healthcare data breach in February 2024. In all of these cases, we were able to apply software patches or move operations to a new provider in order to avoid any negative impact on our operations or the sensitive information we may process. Nonetheless, these incidents illustrate that despite our efforts to identify and remediate vulnerabilities, if any, in our information technology systems and those of third parties with whom we work, our efforts may not be successful.</w:t>
      </w:r>
    </w:p>
    <w:p>
      <w:pPr>
        <w:spacing w:after="0" w:line="19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identify theft protection services. Such disclosures and related actions can be costly, and the disclosures or the failure to comply with such applicable requirements could lead to adverse consequences. If we (or a third party with whom we work) experience a security incident or are perceived to have experienced a security incident, we may experience material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material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9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the Company or our customers could also be leaked, disclosed, or revealed as a result of or in connection with the use of generative artificial intelligence (“AI”) technologies by our employees, personnel or vendors.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51"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8"/>
          <w:szCs w:val="18"/>
          <w:color w:val="auto"/>
        </w:rPr>
        <w:t xml:space="preserve">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w:t>
      </w:r>
      <w:r>
        <w:rPr>
          <w:rFonts w:ascii="Times New Roman" w:cs="Times New Roman" w:eastAsia="Times New Roman" w:hAnsi="Times New Roman"/>
          <w:sz w:val="21"/>
          <w:szCs w:val="21"/>
          <w:i w:val="1"/>
          <w:iCs w:val="1"/>
          <w:color w:val="auto"/>
        </w:rPr>
        <w: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2" w:name="page23"/>
    <w:bookmarkEnd w:id="22"/>
    <w:p>
      <w:pPr>
        <w:ind w:right="220" w:firstLine="45"/>
        <w:spacing w:after="0" w:line="282" w:lineRule="auto"/>
        <w:rPr>
          <w:sz w:val="20"/>
          <w:szCs w:val="20"/>
          <w:color w:val="auto"/>
        </w:rPr>
      </w:pPr>
      <w:r>
        <w:rPr>
          <w:rFonts w:ascii="Times New Roman" w:cs="Times New Roman" w:eastAsia="Times New Roman" w:hAnsi="Times New Roman"/>
          <w:sz w:val="18"/>
          <w:szCs w:val="18"/>
          <w:color w:val="auto"/>
        </w:rPr>
        <w:t>We may need to raise additional capital to fund our operations.” In addition, the current inflationary environment related to increased aggregate demand and supply chain constraints has the potential to adversely affect our operating expenses.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believe that comparisons from period to period of our financial results are not necessarily meaningful and should not be relied upon as indications of our future performance.</w:t>
      </w:r>
    </w:p>
    <w:p>
      <w:pPr>
        <w:spacing w:after="0" w:line="26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and may not generate positive or sufficient cash flow from operations in the future which may have an adverse impact on our working capital, total assets and stockholders' equity and our ability to service all of our indebtedness and commitments.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ability to achieve and sustain positive cash flow from operations and profitability depends heavily upon successfully commercializing our products, and although we had positive cash flows from operations and net income in the year ended December 31, 2024, we may not generate positive cash flow from operations or be profitable in the future. In addition, we cannot assure you that we will maintain a level of cash flows from operating activities sufficient to permit us to make scheduled payments on our insulin purchase commitments and debt obligations. If our cash flows and capital resources are insufficient to fund our obligations, we may be forced to reduce or delay capital expenditures, sell assets or operations, seek additional capital or restructure or refinance our obligations. In the past, we have had losses that have had, and we may in the future have losses that have, an adverse impact on our working capital, total assets and stockholders’ equity.</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December 31, 2024, we had an accumulated deficit of $3.2 billion. The accumulated deficit has resulted principally from costs incurred in our R&amp;D programs, the write-off of assets (including goodwill, inventory and property, plant and equipment) and general operating expenses. We expect to make substantial expenditures and may incur operating losses in the future in order to continue commercializing our products and to advance development of product candidates in our pipeline.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we may from time to time seek to retire or purchase our outstanding debt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For example, in December 2024, we exchanged an aggregate principal amount of approximately $193.7 million of our senior convertible notes for 26,749,559 shares of our common stock and a cash payment of approximately $89.2 million, and we may seek to retire or purchase the remaining senior convertible notes.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spacing w:after="0" w:line="29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in regions where we have business operations, and we could experience significant disruptions in the operations of third-party manufacturers and distributors upon whom we rely. For example, sales and demand for Afrezza were adversely affected by the global COVID-19 pandemic, and future pandemics or epidemics could adversely affect the demand for and sales of our products in the future. Quarantines, shelter-in-place and similar government orders, or the perception that such orders, shutdowns or other restrictions on the conduct of business operations could occur, related to infectious diseases, could impact personnel at third-party manufacturing facilities in the United States and other countries, or the availability or cost of materials, which would disrupt our supply chain. In addition, our contract manufacturers in China could be impacted by that country’s policy of strict lockdowns in order to reduce the spread of disease. Disruptions in sales and demand for our products would be expected to occur:</w:t>
      </w:r>
    </w:p>
    <w:p>
      <w:pPr>
        <w:spacing w:after="0" w:line="84" w:lineRule="exact"/>
        <w:rPr>
          <w:sz w:val="20"/>
          <w:szCs w:val="20"/>
          <w:color w:val="auto"/>
        </w:rPr>
      </w:pPr>
    </w:p>
    <w:p>
      <w:pPr>
        <w:ind w:left="960" w:hanging="367"/>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are physically quarantined or are unable or unwilling to visit healthcare providers,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physicians restrict access to their facilities for a material period of time,</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healthcare providers prioritize treatment of acute or communicable illnesses over chronic disease management,</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pharmacies are closed or suffering supply chain disruptions,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lose access to employer-sponsored health insurance due to periods of high unemployment, or</w:t>
      </w:r>
    </w:p>
    <w:p>
      <w:pPr>
        <w:spacing w:after="0" w:line="117" w:lineRule="exact"/>
        <w:rPr>
          <w:rFonts w:ascii="Times New Roman" w:cs="Times New Roman" w:eastAsia="Times New Roman" w:hAnsi="Times New Roman"/>
          <w:sz w:val="18"/>
          <w:szCs w:val="18"/>
          <w:color w:val="auto"/>
        </w:rPr>
      </w:pPr>
    </w:p>
    <w:p>
      <w:pPr>
        <w:ind w:left="960" w:right="140" w:hanging="367"/>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general disruptions in the operations of payers, distributors, logistics providers and other third parties that are necessary for our products to be prescribed and reimbursed.</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Clinical trials of our products were delayed as a result of the COVID-19 pandemic and may be affected by a future health pandemic or epidemic. Clinical site initiation and patient enrollment may be delayed due to prioritization of hospital resources toward the health pandemic or epidemic. Some patients may not be able or willing to comply with clinical trial protocols if quarantines impede patient movement or interrupt healthcare services. Similarly, our ability to recruit and retain patients and principal investigators and site staff would adversely impact our clinical trial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3" w:name="page24"/>
    <w:bookmarkEnd w:id="23"/>
    <w:p>
      <w:pPr>
        <w:ind w:right="40"/>
        <w:spacing w:after="0" w:line="266" w:lineRule="auto"/>
        <w:rPr>
          <w:sz w:val="20"/>
          <w:szCs w:val="20"/>
          <w:color w:val="auto"/>
        </w:rPr>
      </w:pPr>
      <w:r>
        <w:rPr>
          <w:rFonts w:ascii="Times New Roman" w:cs="Times New Roman" w:eastAsia="Times New Roman" w:hAnsi="Times New Roman"/>
          <w:sz w:val="18"/>
          <w:szCs w:val="18"/>
          <w:color w:val="auto"/>
        </w:rPr>
        <w:t>A pandemic or epidemic also has the potential for disruption of global financial markets. This disruption, if sustained or recurrent, could make it more difficult for us to access capital, which could negatively affect our liquidity. In addition, a recession or market correction as a result of a health pandemic or epidemic could materially affect our business and the value of our common stock.</w:t>
      </w:r>
    </w:p>
    <w:p>
      <w:pPr>
        <w:spacing w:after="0" w:line="28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regulatory approval of our products in foreign jurisdictions, we will not be able to market in such jurisdictions, which could limit our commercial revenues. We may not be able to establish additional regional partnerships or other arrangements with third parties for the commercialization of our products outside of the United States.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Afrezza has been approved in the United States, Brazil and India, but we have not yet obtained approval in any other jurisdiction. Similarly, V-Go has received 510(k) clearance from the FDA, but has not received a comparable approval in any other country. In order to market our products in a foreign jurisdiction, we must obtain regulatory approval in each such foreign jurisdiction, and we may never be able to obtain such approvals. The research, testing, manufacturing, labeling, sale, import, export, marketing, and distribution of therapeutic products outside the United States are subject to extensive regulation by foreign regulatory authorities, whose regulations differ from country to country. We will be required to comply with the different regulations and policies of the jurisdictions where we seek approval for our products, and we have not yet identified all of the requirements that we will need to satisfy to submit our products for approval for other jurisdictions. This will require additional time, expertise and expense, including the potential need to conduct additional studies or development work for other jurisdictions beyond the work that we have conducted to support the approval of our products in the United States.</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current strategy for the future commercialization of our products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our products.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our products in foreign jurisdictions and could have a material and adverse impact on our business, financial condition and results of operations and the market price of our common stock and other securities could decline.</w:t>
      </w:r>
    </w:p>
    <w:p>
      <w:pPr>
        <w:spacing w:after="0" w:line="29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testing of our products and product candidates may not yield successful results, and even if it does, we may still be unable to successfully commercialize our current or future products.</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generally sought to develop product candidates through our internal research programs. All product candidates require preclinical, clinical and other testing prior to seeking regulatory approval to market them. Accordingly, the development timelines for product candidates can stretch over many years. Further research and development on these programs requires significant financial resources. Given our limited financial resources, we may not be able to complete the full clinical development of our product candidates unless we are able to obtain specific funding for these programs or enter into collaborations with third parties.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68" w:lineRule="exact"/>
        <w:rPr>
          <w:sz w:val="20"/>
          <w:szCs w:val="20"/>
          <w:color w:val="auto"/>
        </w:rPr>
      </w:pPr>
    </w:p>
    <w:p>
      <w:pPr>
        <w:ind w:left="960" w:hanging="367"/>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67" w:lineRule="exact"/>
        <w:rPr>
          <w:rFonts w:ascii="Times New Roman" w:cs="Times New Roman" w:eastAsia="Times New Roman" w:hAnsi="Times New Roman"/>
          <w:sz w:val="18"/>
          <w:szCs w:val="18"/>
          <w:color w:val="auto"/>
        </w:rPr>
      </w:pPr>
    </w:p>
    <w:p>
      <w:pPr>
        <w:ind w:left="960" w:right="80" w:hanging="367"/>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data collected from clinical studies of our products and product candidates may not reach the statistical significance necessary, or otherwise be sufficient to support FDA or other regulatory approval for the claimed indications;</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clinical data, we or any collaborators may abandon projects that we previously believed were promising;</w:t>
      </w:r>
    </w:p>
    <w:p>
      <w:pPr>
        <w:spacing w:after="0" w:line="117" w:lineRule="exact"/>
        <w:rPr>
          <w:rFonts w:ascii="Times New Roman" w:cs="Times New Roman" w:eastAsia="Times New Roman" w:hAnsi="Times New Roman"/>
          <w:sz w:val="18"/>
          <w:szCs w:val="18"/>
          <w:color w:val="auto"/>
        </w:rPr>
      </w:pPr>
    </w:p>
    <w:p>
      <w:pPr>
        <w:ind w:left="960" w:right="580" w:hanging="367"/>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53" w:lineRule="exact"/>
        <w:rPr>
          <w:rFonts w:ascii="Times New Roman" w:cs="Times New Roman" w:eastAsia="Times New Roman" w:hAnsi="Times New Roman"/>
          <w:sz w:val="18"/>
          <w:szCs w:val="18"/>
          <w:color w:val="auto"/>
        </w:rPr>
      </w:pPr>
    </w:p>
    <w:p>
      <w:pPr>
        <w:ind w:left="960" w:right="680" w:hanging="367"/>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geopolitical conflicts, man-made or natural disasters or public health pandemics or epidemics or other business interruptions.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a result of any of these events, we, any collaborator, the FDA, or any other regulatory authorities may suspend or terminate clinical studies or marketing of any of our products or product candidates at any time. Any suspension or termination of our clinical studies or marketing activities may harm our business, financial condition and results of operations and the market price of our common stock and other securities may decline.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75" w:lineRule="exact"/>
        <w:rPr>
          <w:sz w:val="20"/>
          <w:szCs w:val="20"/>
          <w:color w:val="auto"/>
        </w:rPr>
      </w:pPr>
    </w:p>
    <w:p>
      <w:pPr>
        <w:ind w:left="960" w:hanging="367"/>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studies and preclinical research and development activities;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study eligibility criteria;</w:t>
      </w:r>
    </w:p>
    <w:p>
      <w:pPr>
        <w:spacing w:after="0" w:line="117" w:lineRule="exact"/>
        <w:rPr>
          <w:rFonts w:ascii="Times New Roman" w:cs="Times New Roman" w:eastAsia="Times New Roman" w:hAnsi="Times New Roman"/>
          <w:sz w:val="18"/>
          <w:szCs w:val="18"/>
          <w:color w:val="auto"/>
        </w:rPr>
      </w:pPr>
    </w:p>
    <w:p>
      <w:pPr>
        <w:ind w:left="960" w:right="80" w:hanging="367"/>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components used in the manufacture of our product candidates or to source clinical supplies from contract manufacturers;</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and maintaining manufacturing operations, as necessary;</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clinical studies compete for clinical sites and eligible subjects with clinical studies sponsored by other companies;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regulators; and</w:t>
      </w:r>
    </w:p>
    <w:p>
      <w:pPr>
        <w:spacing w:after="0" w:line="117" w:lineRule="exact"/>
        <w:rPr>
          <w:rFonts w:ascii="Times New Roman" w:cs="Times New Roman" w:eastAsia="Times New Roman" w:hAnsi="Times New Roman"/>
          <w:sz w:val="18"/>
          <w:szCs w:val="18"/>
          <w:color w:val="auto"/>
        </w:rPr>
      </w:pPr>
    </w:p>
    <w:p>
      <w:pPr>
        <w:ind w:left="960" w:right="640" w:hanging="367"/>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geopolitical conflicts, man-made or natural disasters or public health pandemics or epidemics or other business interruptions.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we fail to commence or complete, or experience delays in or are forced to curtail, our proposed development programs or otherwise fail to adhere to our projected development goals in the timeframes we expect (or within the timeframes expected by analysts or investors), our business, financial condition and results of operations may be harmed and the market price of our common stock and other securities may decline. In addition, we may be delayed or prevented from generating revenues from milestone or other payments that depend on our ability to achieve any milestone obligations specified in an out-licensing arrangement.</w:t>
      </w:r>
    </w:p>
    <w:p>
      <w:pPr>
        <w:spacing w:after="0" w:line="28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long-term safety and efficacy of approved products may differ from clinical studies, which could negatively impact sales and could lead to reputational harm or other negative effects.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effects of approved therapeutic products over terms longer than the clinical studies or in much larger populations may not be consistent with earlier clinical results. If long-term use of an approved therapeutic product results in adverse health effects or reduced efficacy or both, the FDA or other regulatory agencies may terminate our or any collaboration partner’s ability to market and sell the product, may narrow the approved indications for use or otherwise require restrictive product labeling or marketing, or may require further clinical studies, which may be time-consuming and expensive and may not produce favorable results.</w:t>
      </w:r>
    </w:p>
    <w:p>
      <w:pPr>
        <w:spacing w:after="0" w:line="18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V-Go received pre-market clearance in 2010 under Section 510(k) of the U.S. Federal Food, Drug, and Cosmetic Act ("FDCA"). This process typically requires the submission of less supporting documentation than other FDA approval processes and does not always require long-term clinical studies. As a result, we currently lack significant published long-term clinical data supporting the safety and efficacy of V-Go and the benefits it offers that might have been generated in connection with other approval processes. For these reasons, adults who require insulin and their healthcare providers may be slower to adopt or recommend V-Go, we may not have comparative data that our competitors have or are generating, and third-party payers may not be willing to provide coverage or reimbursement for V-Go. Further, future studies or clinical experience may indicate that treatment with V-Go is not superior to treatment with competitive products. Such results could slow the adoption of V-Go and significantly reduce our sales, which could prevent us from achieving our forecasted sales targets or achieving or sustaining profitability. Moreover, if future results and experience indicate that V-Go causes unexpected or serious complications or other unforeseen negative effects, we could be subject to mandatory product recalls, suspension or withdrawal of FDA clearance or approval, significant legal liability or harm to our business reputation.</w:t>
      </w:r>
    </w:p>
    <w:p>
      <w:pPr>
        <w:spacing w:after="0" w:line="2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any future acquisition or strategic transaction; we may be unable to successfully integrate new products, technologies or businesses we may acquire.</w:t>
      </w:r>
    </w:p>
    <w:p>
      <w:pPr>
        <w:spacing w:after="0" w:line="5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periodically evaluate and pursue acquisition of therapeutic products or product candidates and technologies. The integration of any acquired business, product, technology or other assets into our company may be complex and time-consuming and, if such businesses,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5" w:name="page26"/>
    <w:bookmarkEnd w:id="25"/>
    <w:p>
      <w:pPr>
        <w:ind w:right="40"/>
        <w:spacing w:after="0" w:line="282" w:lineRule="auto"/>
        <w:rPr>
          <w:sz w:val="20"/>
          <w:szCs w:val="20"/>
          <w:color w:val="auto"/>
        </w:rPr>
      </w:pPr>
      <w:r>
        <w:rPr>
          <w:rFonts w:ascii="Times New Roman" w:cs="Times New Roman" w:eastAsia="Times New Roman" w:hAnsi="Times New Roman"/>
          <w:sz w:val="18"/>
          <w:szCs w:val="18"/>
          <w:color w:val="auto"/>
        </w:rPr>
        <w:t>products, technologies or assets are not successfully integrated, we may not achieve the anticipated benefits, cost-savings or growth opportunities. Potential difficulties that may be encountered in the integration process include the following:</w:t>
      </w:r>
    </w:p>
    <w:p>
      <w:pPr>
        <w:spacing w:after="0" w:line="54" w:lineRule="exact"/>
        <w:rPr>
          <w:sz w:val="20"/>
          <w:szCs w:val="20"/>
          <w:color w:val="auto"/>
        </w:rPr>
      </w:pPr>
    </w:p>
    <w:p>
      <w:pPr>
        <w:ind w:left="960" w:hanging="367"/>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assets, companies or joint ventures;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operations and systems, while maintaining focus on producing and delivering consistent, high quality products;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w:t>
      </w:r>
    </w:p>
    <w:p>
      <w:pPr>
        <w:spacing w:after="0" w:line="117" w:lineRule="exact"/>
        <w:rPr>
          <w:rFonts w:ascii="Times New Roman" w:cs="Times New Roman" w:eastAsia="Times New Roman" w:hAnsi="Times New Roman"/>
          <w:sz w:val="18"/>
          <w:szCs w:val="18"/>
          <w:color w:val="auto"/>
        </w:rPr>
      </w:pPr>
    </w:p>
    <w:p>
      <w:pPr>
        <w:ind w:left="960" w:right="360" w:hanging="367"/>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customers and attracting new customers;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inefficiencies associated with integrating the operations of our company; and</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assets, businesses or joint ventures.</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Furthermore, these acquisitions and other arrangements, even if successfully integrated, may fail to further our business strategy as anticipated, expose us to increased competition or challenges with respect to our products or geographic markets, and expose us to additional liabilities associated with an acquired business, product, technology or other asset or arrangement. Any one of these challenges or risks could impair our ability to realize any benefit from our acquisitions or arrangements after we have expended resources on them.</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Future acquisitions or dispositions could also result in potentially dilutive issuances of our equity securities, the incurrence of debt, contingent liabilities or amortization expenses or write-offs of goodwill, any of which could harm our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be rendered obsolete by rapid technological change.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rapid rate of scientific discoveries and technological changes could result in our approved products or one or more of our product candidates becoming obsolete or noncompetitive. Our competitors may develop or introduce new products that render our technology or products less competitive, uneconomical or obsolete. Our future success may depend not only on our ability to develop our product candidates, but also our ability to improve them in order to keep pace with emerging industry developments. We cannot assure you that we will be able to do so.</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our approved products.</w:t>
      </w:r>
    </w:p>
    <w:p>
      <w:pPr>
        <w:spacing w:after="0" w:line="5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There are a number of clinical studies being conducted by other pharmaceutical companies involving compounds similar to, or potentially competitive with, our product candidates. Adverse results reported by these other companies in their clinical studies or by companies that use our proprietary formulation and inhaler technologies could delay or prevent us from obtaining regulatory approval, may subject our products to class warnings in their labels or negatively impact public perception of our product candidates, which could harm our business, financial condition and results of operations and cause the market price of our common stock and other securities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sales of our products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an errors and omissions policy in the amount of $1.0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any key employees, our operations and our ability to execute our business strategy could be materially harmed.</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83"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Replacing key employees may be difficult and time-consuming because of the limited number of individuals in our industry with the skills and experience required to develop, gain regulatory approval of and commercialize products successfully.</w:t>
      </w:r>
    </w:p>
    <w:p>
      <w:pPr>
        <w:spacing w:after="0" w:line="2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5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or modifications in financial accounting standards may harm our results of operations.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9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(the "Tax Act"), the Coronavirus Aid, Relief, and Economic Security Act and the IRA enacted many significant changes to the U.S. tax laws. Further guidance from the Internal Revenue Service and other tax authorities with respect to such legislation may affect us, and certain aspects of such legislation could be repealed or modified in future legislation. In addition, it is uncertain if and to what extent various states will conform to federal tax laws. Future tax reform legislation could have a material impact on the value of our deferred tax assets and could increase our future U.S. tax expense.</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Effective January 1, 2022, the Tax Act eliminated the option to deduct research and development expenses for tax purposes in the year incurred and requires taxpayers to capitalize and subsequently amortize such expenses over five years for research activities conducted in the United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7" w:name="page28"/>
    <w:bookmarkEnd w:id="27"/>
    <w:p>
      <w:pPr>
        <w:spacing w:after="0" w:line="258" w:lineRule="auto"/>
        <w:rPr>
          <w:sz w:val="20"/>
          <w:szCs w:val="20"/>
          <w:color w:val="auto"/>
        </w:rPr>
      </w:pPr>
      <w:r>
        <w:rPr>
          <w:rFonts w:ascii="Times New Roman" w:cs="Times New Roman" w:eastAsia="Times New Roman" w:hAnsi="Times New Roman"/>
          <w:sz w:val="18"/>
          <w:szCs w:val="18"/>
          <w:color w:val="auto"/>
        </w:rPr>
        <w:t>States and over 15 years for research activities conducted outside the United States. Unless the United States Department of the Treasury issues regulations that narrow the application of this provision to a smaller subset of our research and development expenses or the provision is deferred, modified, or repealed by Congress, it could harm our future operating results by effectively increasing our future tax obligations. The actual impact of this provision will depend on multiple factors, including the amount of research and development expenses we will incur, whether we achieve sufficient income to fully utilize such deductions and whether we conduct our research and development activities inside or outside the United States.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to offset future taxable income may be subject to limitations.</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federal and state net operating loss carryforwards of approximately $1.9 billion and $1.3 billion available, respectively, to reduce future taxable income. $492.9 million of the federal net operating loss carryforwards do not expire and the remaining federal net operating loss carryforwards will begin expiring in 2026 through various future dates.</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Pursuant to Internal Revenue Code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2024, to determine whether additional limitations apply to the net operating loss carryforwards and other tax attributes, and no additional changes in ownership that met Section 382 study ownership change threshold have been identified through December 31, 2024. There is a risk that changes in ownership may occur in tax years after December 31, 2024.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2024 through 2026. As a result, if we earn net taxable income, we may be unable to use all or a material portion of our net operating loss carryforwards and other tax attributes, which could potentially result in increased future tax liability to us and adversely affect our future cash flows.</w:t>
      </w:r>
    </w:p>
    <w:p>
      <w:pPr>
        <w:spacing w:after="0" w:line="28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9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We deal with hazardous materials and must comply with environmental laws and regulations, which can be expensive and restrict how we do business.</w:t>
      </w: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Our research and development work involves the controlled storage and use of hazardous materials, including chemical and biological materials.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may be required as a result of our activities since 2001. To date, we have not identified any material environmental investigation or remediation activities that we are required to perform.</w:t>
      </w:r>
    </w:p>
    <w:p>
      <w:pPr>
        <w:spacing w:after="0" w:line="29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decade, the U.S. government has shut down several times and certain regulatory agencies, such as the FDA and the SEC, have had to furlough critical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at banking institutions in the United States that we believe are of high quality. Cash held in these accounts often exceed the Federal Deposit Insurance Corporation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68" w:lineRule="exact"/>
        <w:rPr>
          <w:sz w:val="20"/>
          <w:szCs w:val="20"/>
          <w:color w:val="auto"/>
        </w:rPr>
      </w:pPr>
    </w:p>
    <w:p>
      <w:pPr>
        <w:ind w:left="960" w:hanging="367"/>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testing;</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 and shipping;</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8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Even if we comply with regulatory requirements, we may not be able to obtain the labeling claims necessary or desirable for product promotion. We may also be required to undertake post-marketing studies.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ongoing government regulation.</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FDA and comparable foreign regulatory authorities subject any approved therapeutic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good clinical practice guidelines for any clinical trials that we conduct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0" w:name="page31"/>
    <w:bookmarkEnd w:id="30"/>
    <w:p>
      <w:pPr>
        <w:ind w:right="240"/>
        <w:spacing w:after="0" w:line="282" w:lineRule="auto"/>
        <w:rPr>
          <w:sz w:val="20"/>
          <w:szCs w:val="20"/>
          <w:color w:val="auto"/>
        </w:rPr>
      </w:pPr>
      <w:r>
        <w:rPr>
          <w:rFonts w:ascii="Times New Roman" w:cs="Times New Roman" w:eastAsia="Times New Roman" w:hAnsi="Times New Roman"/>
          <w:sz w:val="18"/>
          <w:szCs w:val="18"/>
          <w:color w:val="auto"/>
        </w:rPr>
        <w:t>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54" w:lineRule="exact"/>
        <w:rPr>
          <w:sz w:val="20"/>
          <w:szCs w:val="20"/>
          <w:color w:val="auto"/>
        </w:rPr>
      </w:pPr>
    </w:p>
    <w:p>
      <w:pPr>
        <w:ind w:left="960" w:right="720" w:hanging="367"/>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approved labeling to add new safety information;</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960" w:right="560" w:hanging="367"/>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are required to register our establishments and list our products with the FDA and certain state agencies. We and any third-party manufacturers or suppliers must continually adhere to federal regulations setting forth cGMP (for drugs) and QSR (for medical devices), and their foreign equivalents, which are enforced by the FDA and other national regulatory bodies through their facilities inspection programs. In complying with cGMP and foreign regulatory requirements, we and any of our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part of the approval of Afrezza, the FDA required us to conduct certain additional clinical studies of Afrezza, including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or registry to address any concerns. To date, we have not commenced a long-term safety study or budgeted any amount for it, but such a study in its original design would be anticipated to require substantial capital resources that we may not be able to obtain.</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 Internet. Regulatory authorities may also review industry-sponsored scientific and educational activities that make representations regarding product safety or efficacy in a promotional context. Prescription drugs may be promoted only for the approved indications in accordance with the approved label. The FDA and other regulatory authorities may take enforcement action against a company for promoting unapproved uses of a product or for other violations of its advertising and labeling laws and regulations.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Enforcement action may include product seizures, injunctions, significant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 New Drug Application ("NDA"). For example, in July 2021, a third party submitted a citizen petition to the FDA requesting that the FDA refuse to approve Tyvaso DPI, and/or impose additional requirements in order to approve the product. This prompted the FDA to request additional information concerning Tyvaso DPI prior to granting approval in May 2022. If successful, a citizen petition can significantly delay, or even prevent, the approval of a drug product.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ind w:right="100"/>
        <w:spacing w:after="0" w:line="254"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We also cannot be sure that actions by foreign regulatory bodies pertaining to the safety of drugs or medical devices will not adversely affect our operations.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legislation may make it more difficult to receive revenues.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has been a number of legislative and regulatory proposals in recent years to change the healthcare system in ways that could impact our ability to sell our products profitably. For example, the PPACA, enacted in March 2010, substantially changed the way healthcare is financed by both governmental and private insurers and continues to significantly affect the healthcare industry. There have been executive, judicial and congressional challenges and amendments to certain provisions of the PPACA. In addition, there have been proposed and enacted health reform initiatives affecting the PPACA. For example, the IRA extends enhanced subsidies for individuals purchasing health insurance coverage in PPACA marketplaces through plan year 2025, eliminates the “donut hole” under the Medicare Part D program beginning in 2025 by significantly lowering the beneficiary maximum out-of-pocket cost and through a newly established manufacturer discount program, and capped the out-of-pocket cost of insulin (including Afrezza) at $35 per month for Medicare recipients beginning in 2023. It is possible that the PPACA will be subject to judicial or Congressional challenges in the future. It is unclear how any such challenges, other litigation, and the healthcare reform measures of the current administration will impact the PPACA.</w:t>
      </w:r>
    </w:p>
    <w:p>
      <w:pPr>
        <w:spacing w:after="0" w:line="1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See the discussion above in Item 1 – Business; Government Regulation, Price and Reimbursement.</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Further, to the extent that such reforms have a material adverse effect on our ability to commercialize our products and product candidates under development, our business, financial condition and profitability may be adversely affected.</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expect that the IRA, as well as other healthcare reform measures that may be adopted in the future, are likely to have a significant effect on the pharmaceutical industry,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spacing w:after="0" w:line="18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including at HHS, the FDA, the Centers for Medicare and Medicaid Services (“CMS”) and related agencies. These actions, presently directed by executive orders or memoranda from the Office of Management and Budget, may propose policy changes that create additional uncertainty for MannKind’s business. These actions may include directives to reduce agency workforce,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Finally, Congress may introduce and ultimately pass health care related legislation that could impact the drug approval process and make changes to the Medicare Drug Price Negotiation Program created under the IRA. We cannot predict which additional measures may be adopted or the impact of current and additional measures on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marketing, pricing and demand for our products, which could have a material adverse effect on our business, financial condition and results of operations.</w:t>
      </w:r>
    </w:p>
    <w:p>
      <w:pPr>
        <w:spacing w:after="0" w:line="11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spacing w:after="0" w:line="75" w:lineRule="exact"/>
        <w:rPr>
          <w:sz w:val="20"/>
          <w:szCs w:val="20"/>
          <w:color w:val="auto"/>
        </w:rPr>
      </w:pPr>
    </w:p>
    <w:p>
      <w:pPr>
        <w:ind w:left="960" w:right="220" w:hanging="367"/>
        <w:spacing w:after="0" w:line="25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9" w:lineRule="exact"/>
        <w:rPr>
          <w:rFonts w:ascii="Times New Roman" w:cs="Times New Roman" w:eastAsia="Times New Roman" w:hAnsi="Times New Roman"/>
          <w:sz w:val="18"/>
          <w:szCs w:val="18"/>
          <w:color w:val="auto"/>
        </w:rPr>
      </w:pPr>
    </w:p>
    <w:p>
      <w:pPr>
        <w:ind w:left="960" w:right="40" w:hanging="367"/>
        <w:spacing w:after="0" w:line="25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79" w:lineRule="exact"/>
        <w:rPr>
          <w:rFonts w:ascii="Times New Roman" w:cs="Times New Roman" w:eastAsia="Times New Roman" w:hAnsi="Times New Roman"/>
          <w:sz w:val="18"/>
          <w:szCs w:val="18"/>
          <w:color w:val="auto"/>
        </w:rPr>
      </w:pPr>
    </w:p>
    <w:p>
      <w:pPr>
        <w:ind w:left="960" w:hanging="367"/>
        <w:spacing w:after="0" w:line="261"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under PPACA, which requires certain manufacturers of drugs, devices, biologics, and medical supplies to report annually to the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spacing w:after="0" w:line="71" w:lineRule="exact"/>
        <w:rPr>
          <w:rFonts w:ascii="Times New Roman" w:cs="Times New Roman" w:eastAsia="Times New Roman" w:hAnsi="Times New Roman"/>
          <w:sz w:val="18"/>
          <w:szCs w:val="18"/>
          <w:color w:val="auto"/>
        </w:rPr>
      </w:pPr>
    </w:p>
    <w:p>
      <w:pPr>
        <w:ind w:left="960" w:right="40" w:hanging="367"/>
        <w:spacing w:after="0" w:line="26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67" w:lineRule="exact"/>
        <w:rPr>
          <w:rFonts w:ascii="Times New Roman" w:cs="Times New Roman" w:eastAsia="Times New Roman" w:hAnsi="Times New Roman"/>
          <w:sz w:val="18"/>
          <w:szCs w:val="18"/>
          <w:color w:val="auto"/>
        </w:rPr>
      </w:pPr>
    </w:p>
    <w:p>
      <w:pPr>
        <w:ind w:left="960" w:right="100" w:hanging="367"/>
        <w:spacing w:after="0" w:line="258"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which impose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as well as their covered subcontractors.</w:t>
      </w:r>
    </w:p>
    <w:p>
      <w:pPr>
        <w:spacing w:after="0" w:line="75" w:lineRule="exact"/>
        <w:rPr>
          <w:rFonts w:ascii="Times New Roman" w:cs="Times New Roman" w:eastAsia="Times New Roman" w:hAnsi="Times New Roman"/>
          <w:sz w:val="18"/>
          <w:szCs w:val="18"/>
          <w:color w:val="auto"/>
        </w:rPr>
      </w:pPr>
    </w:p>
    <w:p>
      <w:pPr>
        <w:ind w:left="960" w:right="40" w:hanging="367"/>
        <w:spacing w:after="0" w:line="254"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9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exceptions and regulatory safe harbors, it is possible that some of our business activities could be subject to challenge under one or more of such laws. We cannot ensure that all our employees, agents, contractors, vendors, licensees, partners or collaborators will comply with all applicable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right="60"/>
        <w:spacing w:after="0" w:line="261" w:lineRule="auto"/>
        <w:rPr>
          <w:sz w:val="20"/>
          <w:szCs w:val="20"/>
          <w:color w:val="auto"/>
        </w:rPr>
      </w:pPr>
      <w:r>
        <w:rPr>
          <w:rFonts w:ascii="Times New Roman" w:cs="Times New Roman" w:eastAsia="Times New Roman" w:hAnsi="Times New Roman"/>
          <w:sz w:val="18"/>
          <w:szCs w:val="18"/>
          <w:color w:val="auto"/>
        </w:rPr>
        <w:t>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spacing w:after="0" w:line="28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actual or perceived failure, or that of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process sensitive information (as those terms are defined above).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Although the CCPA (like other U.S. comprehensive privacy laws) exempts some data processed in the context of clinical trials, the CCPA may increase compliance costs and potential liability with respect to other personal data we maintain about California residents. Similar laws are being considered in several other states, as well as at the federal and local levels, and we expect more states to pass similar laws in the future. These developments further complicate compliance efforts and increase legal risk and compliance costs for us and the third parties with whom we work.</w:t>
      </w:r>
    </w:p>
    <w:p>
      <w:pPr>
        <w:spacing w:after="0" w:line="19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(“EU GDPR”) and the United Kingdom’s GDPR (“UK GDPR”) (collectively “GDPR”), Brazil’s General Data Protection Law (Lei Geral de Proteção de Dados Pessoais, or “LGPD”) (Law No. 13,709/2018), and Australia’s Privacy Act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the processing of personal data brought by classes of data subjects or consumer protection organizations authorized at law to represent their interests. We may also be subject to new and emerging data privacy regimes in Asia, including Japan’s Act on the Protection of Personal Information.</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4" w:name="page35"/>
    <w:bookmarkEnd w:id="34"/>
    <w:p>
      <w:pPr>
        <w:ind w:right="40"/>
        <w:spacing w:after="0" w:line="256" w:lineRule="auto"/>
        <w:rPr>
          <w:sz w:val="20"/>
          <w:szCs w:val="20"/>
          <w:color w:val="auto"/>
        </w:rPr>
      </w:pPr>
      <w:r>
        <w:rPr>
          <w:rFonts w:ascii="Times New Roman" w:cs="Times New Roman" w:eastAsia="Times New Roman" w:hAnsi="Times New Roman"/>
          <w:sz w:val="18"/>
          <w:szCs w:val="18"/>
          <w:color w:val="auto"/>
        </w:rPr>
        <w:t>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 Regulators in the United States, such as the Department of Justice, are also increasingly scrutinizing certain personal data transfers and have imposed and may enact certain data localization requirements, particularly if we transfer personal data to, or process personal data of residents of, high risk or sanctioned jurisdictions, such as the Biden Administration’s executive order Preventing Access to Americans’ Bulk Sensitive Personal Data and United States Government-Related Data by Countries of Concern.</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We publish privacy policies, marketing materials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In addition, privacy advocates and industry groups have proposed, and may propose, standards with which we are legally or contractually bound to comply, or may become subject to in the future.</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obligations related to data privacy and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If we or the third parties with whom we work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29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6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5" w:name="page36"/>
    <w:bookmarkEnd w:id="35"/>
    <w:p>
      <w:pPr>
        <w:ind w:right="240"/>
        <w:spacing w:after="0" w:line="282" w:lineRule="auto"/>
        <w:rPr>
          <w:sz w:val="20"/>
          <w:szCs w:val="20"/>
          <w:color w:val="auto"/>
        </w:rPr>
      </w:pPr>
      <w:r>
        <w:rPr>
          <w:rFonts w:ascii="Times New Roman" w:cs="Times New Roman" w:eastAsia="Times New Roman" w:hAnsi="Times New Roman"/>
          <w:sz w:val="18"/>
          <w:szCs w:val="18"/>
          <w:color w:val="auto"/>
        </w:rPr>
        <w:t>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environmental, social and corporate governance ("ESG") matters or our reporting of such matters.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partners, and other stakeholders concerning ESG matters. We may be, or be perceived to be, not acting responsibly in connection with these matters, which could negatively impact us. For example, we have not previously reported our environmental emissions. The SEC recently finalized rules designed to enhance and standardize climate-related disclosures. These climate disclosure rules have been challenged in court and the SEC has issued an order staying their implementation pending the outcome of judicial review. These new climate-related disclosures, if required, may significantly increase our compliance and reporting costs and may also result in disclosures that certain investors or other stakeholders deem to impact our reputation negatively and/or that harm our stock price.</w:t>
      </w:r>
    </w:p>
    <w:p>
      <w:pPr>
        <w:spacing w:after="0" w:line="29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of investment securities may require us to register with the SEC as an “investment company” in accordance with the Investment Company Act of 1940 (“‘40 Act”).</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rules and interpretations of the SEC and the courts relating to the definition of "investment company" are very complex. Although we are a biopharmaceutical company and we do not hold ourselves out as an investment company, the value of our investment securities relative to our total assets (exclusive of government securities and cash items) has in the past exceeded safe harbor limits prescribed in the '40 Act. If our asset mix does not continue to qualify for one of the safe harbor limits prescribed in the ‘40 Act, it is possible that the SEC would take the position that we would be required to register under the ‘40 Act and comply with the ‘40 Act’s registration and reporting requirements, capital structure requirements, affiliate transaction restrictions, conflict of interest rules, requirements for disinterested directors, and other substantive provisions. If we were required to register as an “investment company” and be subject to the restrictions of the ‘40 Act, those restrictions likely would require significant changes in the way we do business and add significant administrative costs and burdens to our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Moreover, the term of a patent is limited and, as a result, the patents protecting our products expire at various dates. As and when these different patents expire, our products could become subject to increased competition. As a consequence, we may not be able to recover our development costs.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ind w:right="100"/>
        <w:spacing w:after="0" w:line="256" w:lineRule="auto"/>
        <w:rPr>
          <w:sz w:val="20"/>
          <w:szCs w:val="20"/>
          <w:color w:val="auto"/>
        </w:rPr>
      </w:pPr>
      <w:r>
        <w:rPr>
          <w:rFonts w:ascii="Times New Roman" w:cs="Times New Roman" w:eastAsia="Times New Roman" w:hAnsi="Times New Roman"/>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9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Interference proceedings brought by the United States Patent and Trademark Office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84"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7" w:name="page38"/>
    <w:bookmarkEnd w:id="37"/>
    <w:p>
      <w:pPr>
        <w:ind w:right="20"/>
        <w:spacing w:after="0" w:line="258" w:lineRule="auto"/>
        <w:rPr>
          <w:sz w:val="20"/>
          <w:szCs w:val="20"/>
          <w:color w:val="auto"/>
        </w:rPr>
      </w:pPr>
      <w:r>
        <w:rPr>
          <w:rFonts w:ascii="Times New Roman" w:cs="Times New Roman" w:eastAsia="Times New Roman" w:hAnsi="Times New Roman"/>
          <w:sz w:val="18"/>
          <w:szCs w:val="18"/>
          <w:color w:val="auto"/>
        </w:rPr>
        <w:t>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8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Moreover, certain components of our products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Although we do not believe that our products or product candidates infringe any third-party patents, if a plaintiff was to allege infringement of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trademark registrations for our potential trade names.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8" w:lineRule="exact"/>
        <w:rPr>
          <w:sz w:val="20"/>
          <w:szCs w:val="20"/>
          <w:color w:val="auto"/>
        </w:rPr>
      </w:pPr>
    </w:p>
    <w:p>
      <w:pPr>
        <w:jc w:val="center"/>
        <w:ind w:left="5540" w:right="1160" w:hanging="4947"/>
        <w:spacing w:after="0" w:line="532" w:lineRule="auto"/>
        <w:tabs>
          <w:tab w:leader="none" w:pos="9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products outside of the United States and to find collaboration partners for the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8" w:name="page39"/>
    <w:bookmarkEnd w:id="38"/>
    <w:p>
      <w:pPr>
        <w:ind w:left="960"/>
        <w:spacing w:after="0"/>
        <w:rPr>
          <w:sz w:val="20"/>
          <w:szCs w:val="20"/>
          <w:color w:val="auto"/>
        </w:rPr>
      </w:pPr>
      <w:r>
        <w:rPr>
          <w:rFonts w:ascii="Times New Roman" w:cs="Times New Roman" w:eastAsia="Times New Roman" w:hAnsi="Times New Roman"/>
          <w:sz w:val="18"/>
          <w:szCs w:val="18"/>
          <w:color w:val="auto"/>
        </w:rPr>
        <w:t>commercialization of our products in foreign jurisdictions;</w:t>
      </w:r>
    </w:p>
    <w:p>
      <w:pPr>
        <w:spacing w:after="0" w:line="117" w:lineRule="exact"/>
        <w:rPr>
          <w:sz w:val="20"/>
          <w:szCs w:val="20"/>
          <w:color w:val="auto"/>
        </w:rPr>
      </w:pPr>
    </w:p>
    <w:p>
      <w:pPr>
        <w:ind w:left="960" w:hanging="36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estimates of product sales, royalties, prescriptions or other operating metrics;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other products;</w:t>
      </w:r>
    </w:p>
    <w:p>
      <w:pPr>
        <w:spacing w:after="0" w:line="117" w:lineRule="exact"/>
        <w:rPr>
          <w:rFonts w:ascii="Times New Roman" w:cs="Times New Roman" w:eastAsia="Times New Roman" w:hAnsi="Times New Roman"/>
          <w:sz w:val="18"/>
          <w:szCs w:val="18"/>
          <w:color w:val="auto"/>
        </w:rPr>
      </w:pPr>
    </w:p>
    <w:p>
      <w:pPr>
        <w:ind w:left="960" w:right="20" w:hanging="367"/>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preclinical and clinical studies of our product candidates and of post-approval studies of approved products that are required by the FDA;</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stock market conditions, especially for emerging growth and pharmaceutical market sectors;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man-made or natural disasters or public health pandemics or epidemics or other business interruptions;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117" w:lineRule="exact"/>
        <w:rPr>
          <w:rFonts w:ascii="Times New Roman" w:cs="Times New Roman" w:eastAsia="Times New Roman" w:hAnsi="Times New Roman"/>
          <w:sz w:val="18"/>
          <w:szCs w:val="18"/>
          <w:color w:val="auto"/>
        </w:rPr>
      </w:pPr>
    </w:p>
    <w:p>
      <w:pPr>
        <w:ind w:left="960" w:right="220" w:hanging="367"/>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critical materials used in developing and manufacturing our products and product candidates;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relationship with any of our current or future collaborators or third party manufacturers;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patents or proprietary rights;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time associated with, and the extent of our ultimate success in, securing regulatory approvals;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concerning our financial condition or operating performance;</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condition or operating performance;</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17"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trades of short sellers;</w:t>
      </w:r>
    </w:p>
    <w:p>
      <w:pPr>
        <w:spacing w:after="0" w:line="117" w:lineRule="exact"/>
        <w:rPr>
          <w:rFonts w:ascii="Times New Roman" w:cs="Times New Roman" w:eastAsia="Times New Roman" w:hAnsi="Times New Roman"/>
          <w:sz w:val="18"/>
          <w:szCs w:val="18"/>
          <w:color w:val="auto"/>
        </w:rPr>
      </w:pPr>
    </w:p>
    <w:p>
      <w:pPr>
        <w:ind w:left="960" w:right="200" w:hanging="367"/>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perception of investors of our ability, to continue to meet all applicable requirements for continued listing of our common stock on The Nasdaq Global Market, and the possible delisting of our common stock if we are unable to do so;</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any legal proceedings or regulatory matters against or involving us or any of our executive officers and directors; and</w:t>
      </w:r>
    </w:p>
    <w:p>
      <w:pPr>
        <w:spacing w:after="0" w:line="117" w:lineRule="exact"/>
        <w:rPr>
          <w:rFonts w:ascii="Times New Roman" w:cs="Times New Roman" w:eastAsia="Times New Roman" w:hAnsi="Times New Roman"/>
          <w:sz w:val="18"/>
          <w:szCs w:val="18"/>
          <w:color w:val="auto"/>
        </w:rPr>
      </w:pPr>
    </w:p>
    <w:p>
      <w:pPr>
        <w:ind w:left="960" w:hanging="367"/>
        <w:spacing w:after="0" w:line="261"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our products, competitors’ products, or our stock price by the financial and scientific press, the healthcare community and online investor communities such as chat rooms. In particular, it may be difficult to verify statements about us that appear on interactive websites that permit users to generate content anonymously or under a pseudonym. Statements attributed to company officials may, in fact, have originated elsewhere.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as well as other factors, could cause the market value of our common stock and other securities to decline.</w:t>
      </w:r>
    </w:p>
    <w:p>
      <w:pPr>
        <w:spacing w:after="0" w:line="32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w:t>
      </w:r>
    </w:p>
    <w:p>
      <w:pPr>
        <w:spacing w:after="0" w:line="287"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9" w:name="page40"/>
    <w:bookmarkEnd w:id="39"/>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8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68" w:lineRule="exact"/>
        <w:rPr>
          <w:sz w:val="20"/>
          <w:szCs w:val="20"/>
          <w:color w:val="auto"/>
        </w:rPr>
      </w:pPr>
    </w:p>
    <w:p>
      <w:pPr>
        <w:ind w:left="960" w:hanging="367"/>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960" w:right="20" w:hanging="367"/>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breach of fiduciary duty owed by any of our current or former directors, officers or other employees to us or our stockholders;</w:t>
      </w:r>
    </w:p>
    <w:p>
      <w:pPr>
        <w:spacing w:after="0" w:line="53" w:lineRule="exact"/>
        <w:rPr>
          <w:rFonts w:ascii="Times New Roman" w:cs="Times New Roman" w:eastAsia="Times New Roman" w:hAnsi="Times New Roman"/>
          <w:sz w:val="18"/>
          <w:szCs w:val="18"/>
          <w:color w:val="auto"/>
        </w:rPr>
      </w:pPr>
    </w:p>
    <w:p>
      <w:pPr>
        <w:jc w:val="both"/>
        <w:ind w:left="960" w:right="240" w:hanging="367"/>
        <w:spacing w:after="0" w:line="266"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spacing w:after="0" w:line="67" w:lineRule="exact"/>
        <w:rPr>
          <w:rFonts w:ascii="Times New Roman" w:cs="Times New Roman" w:eastAsia="Times New Roman" w:hAnsi="Times New Roman"/>
          <w:sz w:val="18"/>
          <w:szCs w:val="18"/>
          <w:color w:val="auto"/>
        </w:rPr>
      </w:pPr>
    </w:p>
    <w:p>
      <w:pPr>
        <w:ind w:left="960" w:right="160" w:hanging="367"/>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amended and restated certificate of incorporation or our amended and restated bylaws;</w:t>
      </w:r>
    </w:p>
    <w:p>
      <w:pPr>
        <w:spacing w:after="0" w:line="53" w:lineRule="exact"/>
        <w:rPr>
          <w:rFonts w:ascii="Times New Roman" w:cs="Times New Roman" w:eastAsia="Times New Roman" w:hAnsi="Times New Roman"/>
          <w:sz w:val="18"/>
          <w:szCs w:val="18"/>
          <w:color w:val="auto"/>
        </w:rPr>
      </w:pPr>
    </w:p>
    <w:p>
      <w:pPr>
        <w:ind w:left="960" w:right="380" w:hanging="367"/>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Delaware General Corporation Law confers jurisdiction to the Court of Chancery of the State of Delaware; and</w:t>
      </w:r>
    </w:p>
    <w:p>
      <w:pPr>
        <w:spacing w:after="0" w:line="53"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officers or other employees that is governed by the internal affairs doctrine.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provision does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51" w:lineRule="exact"/>
        <w:rPr>
          <w:sz w:val="20"/>
          <w:szCs w:val="20"/>
          <w:color w:val="auto"/>
        </w:rPr>
      </w:pPr>
    </w:p>
    <w:p>
      <w:pPr>
        <w:jc w:val="both"/>
        <w:ind w:right="200"/>
        <w:spacing w:after="0" w:line="257" w:lineRule="auto"/>
        <w:rPr>
          <w:sz w:val="20"/>
          <w:szCs w:val="20"/>
          <w:color w:val="auto"/>
        </w:rPr>
      </w:pPr>
      <w:r>
        <w:rPr>
          <w:rFonts w:ascii="Times New Roman" w:cs="Times New Roman" w:eastAsia="Times New Roman" w:hAnsi="Times New Roman"/>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There is no guarantee that our common stock will appreciate or maintain its current price. You could lose the entire value of any investment in our common stock.</w:t>
      </w:r>
    </w:p>
    <w:p>
      <w:pPr>
        <w:spacing w:after="0" w:line="28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5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may need to raise substantial additional capital in the future to fund our operations. If we raise additional funds by issuing equity securities or additional convertible debt, the market price of our common stock and other securities may decline. Similarly, if our existing stockholders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ind w:right="80"/>
        <w:spacing w:after="0" w:line="266" w:lineRule="auto"/>
        <w:rPr>
          <w:sz w:val="20"/>
          <w:szCs w:val="20"/>
          <w:color w:val="auto"/>
        </w:rPr>
      </w:pPr>
      <w:r>
        <w:rPr>
          <w:rFonts w:ascii="Times New Roman" w:cs="Times New Roman" w:eastAsia="Times New Roman" w:hAnsi="Times New Roman"/>
          <w:sz w:val="18"/>
          <w:szCs w:val="18"/>
          <w:color w:val="auto"/>
        </w:rPr>
        <w:t>sell substantial amounts of our common stock in the public market, the market price of our common stock and other securities could decrease. The perception in the public market that we or our existing stockholders might sell shares of common stock could also depress the market price of our common stock and the market price of our other securities.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Likewise, the issuance of additional shares of our common stock upon the exchange or conversion of the senior convertible notes could adversely affect the market price of our common stock and other securities. Moreover, the existence of these notes may encourage short selling of our common stock by market participants, which could adversely affect the market price of our common stock and other securities.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a substantial number of shares of our common stock is reserved for issuance upon the exercise of stock options, the vesting of restricted stock unit awards and purchases under our ESPP. The issuance or sale of substantial amounts of common stock, or the perception that such issuances or sales may occur, could adversely affect the market price of our common stock and other securities.</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Public companies in general, including companies listed on The Nasdaq Stock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economic and geopolitical conditions may have serious adverse consequences on our business, financial condition and stock price.</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global credit and financial markets have experienced extreme volatility and disruptions in the past. These disruptions can result in severely diminished liquidity and credit availability, increase in inflation, declines in consumer confidence, declines in economic growth, increases in unemployment rates and uncertainty about economic stability. There can be no assurance that deterioration in credit and financial markets and confidence in economic conditions will not occur. Our general business strategy may be adversely affected by any such economic downturn, volatile business environment, actual or anticipated bank failures, tariffs and trade wars,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Other international and geopolitical events could also have a serious adverse impact on our business. For instance, in February 2022, Russia initiated military action against Ukraine and the two countries are now at war. In response, the United States and certain other countries imposed significant sanctions and trade actions against Russia and could impose further sanctions, trade restrictions, and other retaliatory actions. Additionally, in October 2023, Hamas initiated an attack against Israel, provoking a state of war and subsequently a larger regional conflict. Furthermore, following Hamas’ attack on Israel, the Houthi movement, which controls parts of Yemen, launched a number of attacks on commercial marine vessels in the Red Sea. The Red Sea is an important maritime route for international trade and as such disruptions to these trade routes can have an impact on global supply chains. As a result of such disruptions, we may experience in the future extended lead times, delays in supplier deliveries, and increased freight costs. While we cannot predict the broader consequences, these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interrupted by the occurrence of a natural disaster or other catastrophic event.</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Currently, our manufacturing facility in Connecticut is the sole location for the manufacturing of Afrezza and Tyvaso DPI. Similarly, our contract manufacturer in Southern China is the only location for the assembly of V-Go. Additional contract manufacturers in China perform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spacing w:after="0" w:line="253" w:lineRule="auto"/>
        <w:rPr>
          <w:sz w:val="20"/>
          <w:szCs w:val="20"/>
          <w:color w:val="auto"/>
        </w:rPr>
      </w:pPr>
      <w:r>
        <w:rPr>
          <w:rFonts w:ascii="Times New Roman" w:cs="Times New Roman" w:eastAsia="Times New Roman" w:hAnsi="Times New Roman"/>
          <w:sz w:val="18"/>
          <w:szCs w:val="18"/>
          <w:color w:val="auto"/>
        </w:rPr>
        <w:t>release testing, sterilization, inspection and packaging functions. These facilities and the specialized manufacturing equipment we use at them would be costly to replace and could require substantial lead-time to repair or replace. We depend on our facilities and on collaborators, contractors and vendors for the continued operation of our business. Natural disasters, such as interruptions in the supply of natural resources, public health pandemics or epidemics, earthquakes and extreme weather conditions, including, but not limited to, hurricanes, floods, tornados, wildfires, and winter storms, or other catastrophic events, including political and governmental changes, conflicts, explosions, actions of animal rights activists, terrorist attacks and wars, could disrupt our operations or those of our collaborators, contractors and vendors. Such conditions may be further exacerbated by the effects of climate change.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our products.</w:t>
      </w:r>
    </w:p>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Adverse developments that affect financial institutions, such as events involving liquidity that are rumored or actual, have in the past and may in the future lead to bank failures and market-wide liquidity problems. For example, in March 2023, Silicon Valley Bank (“SVB”) was closed by the California Department of Financial Protection and Innovation, which appointed the FDIC as receiver. Similarly, days later, Signature Bank and Silvergate Capital Corp. were each swept into receivership. In addition, in May 2023, the FDIC seized First Republic Bank and sold its assets to JPMorgan Chase &amp; Co. While the U.S. Department of Treasury, FDIC and Federal Reserve Board have implemented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such programs will be sufficient.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spacing w:after="0" w:line="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manufacturing-related data (collectively “Information Systems and Data”).</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cybersecurity risk committee, which includes employees with responsibility for information technology, information security, operations, finance and legal matters, has oversight of the cybersecurity program which manages our cybersecurity threats and risks. Members of this committee identify and assess risks from cybersecurity threats by monitoring and evaluating our threat environment using various methods, including:</w:t>
      </w:r>
    </w:p>
    <w:p>
      <w:pPr>
        <w:spacing w:after="0" w:line="6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automated and manual tools for identifying threats;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threat assessments for internal and external threats;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vulnerability assessments;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threats reported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scans of the threat environment;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internal and external audits;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reports of threats and 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our and our industry’s risk profile;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subscribing to reports and services that identify cybersecurity threats;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third-party threat assessments.</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security incident response and communication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disaster recovery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risk assessments;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security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encryption of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security;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tracking and disposal;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monitoring;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training;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testing;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insurance;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dedicated cybersecurity personnel.</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our enterprise risk management processes. For example,</w:t>
      </w:r>
    </w:p>
    <w:p>
      <w:pPr>
        <w:spacing w:after="0" w:line="27" w:lineRule="exact"/>
        <w:rPr>
          <w:sz w:val="20"/>
          <w:szCs w:val="20"/>
          <w:color w:val="auto"/>
        </w:rPr>
      </w:pPr>
    </w:p>
    <w:p>
      <w:pPr>
        <w:ind w:right="220" w:firstLine="8"/>
        <w:spacing w:after="0" w:line="253"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is addressed as a component of our enterprise risk management program and identified in our risk heat map with a specified mitigation plan; (2) our information security department works with management to prioritize our risk management processes and mitigate cybersecurity threats that are more likely to lead to a material impact to our business; (3) our cybersecurity risk committee evaluates material risks from cybersecurity threats against our overall business objectives and reports to the audit committee of the board of directors, which evaluates our overall enterprise risk.</w:t>
      </w:r>
    </w:p>
    <w:p>
      <w:pPr>
        <w:spacing w:after="0" w:line="8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use third-party service providers to assist us periodically to identify, assess, and manage material risks from cybersecurity threats, including for example;</w:t>
      </w:r>
    </w:p>
    <w:p>
      <w:pPr>
        <w:spacing w:after="0" w:line="5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intelligence service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software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cybersecurity service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testing firms;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dark web monitoring services;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firms, including legal counsel.</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third-party application providers provide critical services for our business. Our vendor management program to manage cybersecurity risks associated with our use of these providers includes audits and a review of security assessments.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the imposition of contractual obligations related to cybersecurity on the provider.</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us and how they may do so, see our risk factors in this Annual Report on Form 10-K, including “Risk Factors –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board of directors addresses our cybersecurity risk management as part of its general oversight function. The audit committee of the board of directors is responsible for overseeing our cybersecurity risk management processes, including oversight of mitigation of risks from cybersecurity threats.</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Executive Director of Information Technology, who has more than 30 years of experience of building and managing critical systems that house sensitive data, and a dedicated information security analyst with more than 15 years of experience in providing protection and resilience against evolving threats. Our Executive Director of Information Technology is responsible for hiring appropriate personnel, helping to integrate cybersecurity risk considerations into our overall risk management strategy, and communicating key priorities to relevant personnel. This member of the management team is also responsible for approving budgets, helping prepare for cybersecurity incidents, approving cybersecurity processes, and reviewing security assessments and other security-related reports.</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cybersecurity incident response and communication plan is designed to escalate certain cybersecurity incidents to members of management depending on the circumstances, including the executive leadership team. The cybersecurity risk committee works with our incident response team to help mitigate and remediate cybersecurity incidents of which they are notified. In addition, our cybersecurity incident response and communication plan includes reporting to the audit committee of the board of directors for certain cybersecurity incidents.</w:t>
      </w:r>
    </w:p>
    <w:p>
      <w:pPr>
        <w:spacing w:after="0" w:line="72"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audit committee receives regular reports from the cybersecurity risk committee concerning our significant cybersecurity threats and risk and the processes we have implemented to address them. The audit committee also has access to various reports, summaries or presentations related to cybersecurity threats, incidents, risk and mitigation.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2001, we acquired a facility in Danbury, Connecticut that included two buildings comprised of approximately 190,000 square feet on 17.5 acres. In September 2008, we completed the construction of approximately 140,000 square feet of new manufacturing space providing us with two buildings totaling approximately 328,000 square feet, housing our research and development, manufacturing and certain administrative functions. The Danbury facility contains our principal executive offices. We believe the Danbury facility has sufficient space, including unimproved manufacturing space, to satisfy anticipated commercial demand for Afrezza and Tyvaso DPI.</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On November 8, 2021, we sold a portion of the Danbury facility to an affiliate of Creative Manufacturing Properties (the “Purchaser”) for a sales price of $102.3 million and entered into a 20-year lease agreement with the Purchaser, with four renewal options of five years each. See Note 7 – </w:t>
      </w:r>
      <w:r>
        <w:rPr>
          <w:rFonts w:ascii="Times New Roman" w:cs="Times New Roman" w:eastAsia="Times New Roman" w:hAnsi="Times New Roman"/>
          <w:sz w:val="18"/>
          <w:szCs w:val="18"/>
          <w:i w:val="1"/>
          <w:iCs w:val="1"/>
          <w:color w:val="auto"/>
        </w:rPr>
        <w:t>Property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and Note 16 –</w:t>
      </w:r>
      <w:r>
        <w:rPr>
          <w:rFonts w:ascii="Times New Roman" w:cs="Times New Roman" w:eastAsia="Times New Roman" w:hAnsi="Times New Roman"/>
          <w:sz w:val="18"/>
          <w:szCs w:val="18"/>
          <w:i w:val="1"/>
          <w:iCs w:val="1"/>
          <w:color w:val="auto"/>
        </w:rPr>
        <w:t xml:space="preserve"> Commitments and Contingencies </w:t>
      </w:r>
      <w:r>
        <w:rPr>
          <w:rFonts w:ascii="Times New Roman" w:cs="Times New Roman" w:eastAsia="Times New Roman" w:hAnsi="Times New Roman"/>
          <w:sz w:val="18"/>
          <w:szCs w:val="18"/>
          <w:color w:val="auto"/>
        </w:rPr>
        <w:t>in the consolidated financial statements included in Part II, Item 8 – Financial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Supplementary Data.</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2024, we leased a total of approximately 24,475 square feet of office space in Westlake Village, California pursuant to a lease that expires in July 2028. See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consolidated financial statements included in Part II, Item 8 – Financial Statements and Supplementary Data.</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addition, we assumed certain leased real property (the “Marlborough Lease”) pursuant to the Asset Purchase Agreement entered into in May 2022 with Zealand Pharma A/S and Zealand Pharma US, Inc. The Marlborough Lease pertains to certain premises in a building located in Marlborough, Massachusetts. As of December 31, 2024, we leased a total of approximately 20,000 square feet of building space pursuant to a lease that expires in February 28, 2026. See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consolidated financial statements included in Part II, Item 8 – Financial Statements and Supplementary Data.</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July 2024, we assumed certain leased real property (the "Bedford Lease") in connection with the Pulmatrix Transaction. The Bedford Lease pertains to approximately 20,000 square feet in a building located in Bedford, Massachusetts. The monthly base rent payments of $101,282 are subject to 3% annual increases, plus the estimated cost of maintaining the property and common areas by the landlord. We also assumed from Pulmatrix a $0.7 million obligation to repay landlord-funded tenant improvements at a rate of $6,000 per month through the end of the lease term in November 2033. We have the right to extend the lease term for an additional five-year 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ind w:right="860"/>
        <w:spacing w:after="0" w:line="284" w:lineRule="auto"/>
        <w:rPr>
          <w:sz w:val="20"/>
          <w:szCs w:val="20"/>
          <w:color w:val="auto"/>
        </w:rPr>
      </w:pPr>
      <w:r>
        <w:rPr>
          <w:rFonts w:ascii="Times New Roman" w:cs="Times New Roman" w:eastAsia="Times New Roman" w:hAnsi="Times New Roman"/>
          <w:sz w:val="18"/>
          <w:szCs w:val="18"/>
          <w:color w:val="auto"/>
        </w:rPr>
        <w:t xml:space="preserve">See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consolidated financial statements included in Part II, Item 8 – Financial Statements and Supplementary Data.</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01" w:right="49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2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Common Stock Market</w:t>
      </w:r>
    </w:p>
    <w:p>
      <w:pPr>
        <w:spacing w:after="0" w:line="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common stock has been traded on The Nasdaq Global Market under the symbol “MNKD” since July 28, 2004. On February 14, 2025, there were 94 registered holders of record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33"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“filed” for purposes of Section 18 of the Exchange Act, or incorporated by reference into any of our filings under the Securities Act or the Exchange Act, except as shall be expressly set forth by specific reference in such filing.</w:t>
      </w:r>
    </w:p>
    <w:p>
      <w:pPr>
        <w:spacing w:after="0" w:line="20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graph illustrates a comparison of the cumulative total stockholder return (change in stock price plus reinvested dividends) of our common stock with (i) The Nasdaq Composite Index and (ii) The Nasdaq Biotechnology Index. The graph assumes a $100 investment, on December 31, 2019, in (i) our common stock, (ii) the securities comprising The Nasdaq Composite Index and (iii) the securities comprising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123190</wp:posOffset>
            </wp:positionV>
            <wp:extent cx="6180455" cy="42773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80455" cy="427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do not anticipate paying any cash dividends on our common stock in the foreseeable future. Any future determination to pay dividends will be at the discretion of our board of directors.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our consolidated financial statements and notes thereto included in this Annual Report on Form 10-K.</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discussion of changes in our results of operations during the year ended December 31, 2023 compared to the year ended December 31, 2022 has been omitted from this Annual Report on Form 10-K but may be found in “Item 7. Management’s Discussion and Analysis of Financial Condition and Results of Operations” in our Annual Report on Form 10-K for the year ended December 31, 2023, filed with the SEC on February 27, 2024, which discussion is incorporated herein by reference and which is available free of charge on the SEC’s website at www.sec.gov.</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are a biopharmaceutical company focused on the development and commercialization of innovative therapeutic products and devices to address serious unmet medical needs for those living with endocrine and orphan lung diseases. Our signature technologies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Technosphere dry-powder formulations and Dreamboat inhalation devices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offer rapid and convenient delivery of medicines to the deep lung where they can exert an effect locally or enter the systemic circulation.</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Afrezza was developed by us and received approval from the FDA in June 2014. Afrezza consists of a dry powder formulation of human insulin delivered from a small portable inhaler. V-Go received 510(k) clearance by the FDA in 2010 and has been available commercially since 2012. In May 2022, we acquired V-Go from Zealand. V-Go is a mechanical basal-bolus insulin delivery system that is worn like a patch and can eliminate the need for taking multiple daily injections.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first product to come out of our orphan lung disease pipeline, Tyvaso DPI (treprostinil) inhalation powder, received FDA approval in May 2022 for the treatment of PAH and PH-ILD. Our development and marketing partner, United Therapeutics, began commercializing Tyvaso DPI in June 2022 and is obligated to pay us a royalty on net sales of the product. We also receive a margin on supplies of Tyvaso DPI that we manufacture for UT.</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pipeline of potential treatments for orphan lung diseases includes MNKD-101, a nebulized formulation of clofazimine, for the treatment of severe chronic and recurrent pulmonary infections, including NTM lung disease. We believe an orally inhaled formulation of clofazimine could potentially provide several clinical advantages over the current solid oral dosage form, including directly targeting the site of the infection while lowering the systemic exposure of patients to the drug. The FDA has designated MNKD-101 as both an orphan drug and as a qualified infectious disease product for the treatment of pulmonary NTM infections. It has also granted Fast Track designation to our development program. In June 2024, we initiated a Phase 3 clinical study of MNKD-101, with sites in the United States, Japan, South Korea, Taiwan and Australia. We expect enrollment of subjects into this study to continue into 2026.</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other major program in our pipeline is MNKD-201, a dry-powder formulation of nintedanib, for the treatment of IPF. An oral dosage form of nintedanib was approved for IPF by the FDA in 2014. However, a fairly large oral dose is required in order to achieve sufficient drug levels in lung tissue. Our goal with an inhaled formulation is to deliver a therapeutic amount of nintedanib to the lungs while avoiding high levels of the drug in other tissues, where it is associated with undesirable side effects. In 2024, we conducted a Phase 1 clinical study of MNKD-201, which met its primary objective of demonstrating positive safety results and good tolerability in healthy volunteers. We plan to meet with the FDA in the first half of 2025 to discuss the late-stage development of MNKD-201.</w:t>
      </w:r>
    </w:p>
    <w:p>
      <w:pPr>
        <w:spacing w:after="0" w:line="187"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Our business is subject to significant risks, including but not limited to our ability to manufacture sufficient quantities of our products and Tyvaso DPI. Other significant risks also include the risk that our products may only achieve a limited degree of commercial success and the risks inherent in drug development, clinical trials and the regulatory approval process for our product candidates, which in some cases depends upon the efforts of our partners.</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2024, we had cash, cash equivalents and investments of $202.7 million, an accumulated deficit of $3.2 billion and a total stockholders’ deficit of $78.8 million. We had net income of $27.6 million in the year ended December 31, 2024, and net loss of $11.9 million and $87.4 million in the years ended December 31, 2023 and 2022, respectively. To date, we have funded our operations primarily through the sale of our equity and convertible debt securities, from the receipt of upfront and milestone payments from collaborations, from borrowings,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7" w:name="page48"/>
    <w:bookmarkEnd w:id="47"/>
    <w:p>
      <w:pPr>
        <w:ind w:right="140"/>
        <w:spacing w:after="0" w:line="282" w:lineRule="auto"/>
        <w:rPr>
          <w:sz w:val="20"/>
          <w:szCs w:val="20"/>
          <w:color w:val="auto"/>
        </w:rPr>
      </w:pPr>
      <w:r>
        <w:rPr>
          <w:rFonts w:ascii="Times New Roman" w:cs="Times New Roman" w:eastAsia="Times New Roman" w:hAnsi="Times New Roman"/>
          <w:sz w:val="18"/>
          <w:szCs w:val="18"/>
          <w:color w:val="auto"/>
        </w:rPr>
        <w:t>from sales of Afrezza and V-Go, from royalties and manufacturing revenue from UT, from proceeds of the sale-leaseback of our manufacturing facility in Danbury, CT and from the sale of a portion of future royalties that we receive from UT.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preparation of our consolidated financial statements is in accordance with accounting principles generally accepted in the United States of America (“GAAP”). The preparation of our consolidated financial statements requires management to make estimates and judgments that affect the reported amounts of assets, liabilities, revenues, and expenses and related disclosure of contingent assets and liabilities. We consider an accounting estimate to be critical to the consolidated financial statements if (i) the estimate is complex in nature or requires a high degree of judgment and (ii) different estimates and assumptions were used, the results could have a material impact on the consolidated financial statements. On an ongoing basis, we evaluate our estimates and the application of our policies. We base our estimates on historical experience, current conditions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consider our critical accounting policies to be those related to revenue recognition and gross-to-net adjustments, inventory costing and recoverability, recognized loss on purchase commitments, impairment of long-lived assets, milestone rights liability, clinical trial expenses, stock-based compensation, interest expense related to liability for sale of future royalties and accounting for income taxes. These critical accounting policies are also considered significant accounting policies and are more fully described in Note 2 – </w:t>
      </w:r>
      <w:r>
        <w:rPr>
          <w:rFonts w:ascii="Times New Roman" w:cs="Times New Roman" w:eastAsia="Times New Roman" w:hAnsi="Times New Roman"/>
          <w:sz w:val="18"/>
          <w:szCs w:val="18"/>
          <w:i w:val="1"/>
          <w:iCs w:val="1"/>
          <w:color w:val="auto"/>
        </w:rPr>
        <w:t>Summary of Significant Accounting Policies of the Notes to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included in Part II, Item 8 – Financial Statements and Supplementary Data.</w:t>
      </w:r>
    </w:p>
    <w:p>
      <w:pPr>
        <w:spacing w:after="0" w:line="17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Net Revenue – Commercial Product Sales </w:t>
      </w:r>
      <w:r>
        <w:rPr>
          <w:rFonts w:ascii="Times New Roman" w:cs="Times New Roman" w:eastAsia="Times New Roman" w:hAnsi="Times New Roman"/>
          <w:sz w:val="18"/>
          <w:szCs w:val="18"/>
          <w:color w:val="auto"/>
        </w:rPr>
        <w:t>— We sell products to a limited number of wholesale distributors and specialty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retail pharmacies, and durable medical suppliers (“DME”) in the U.S. (collectively, “Customers”). Wholesale distributors subsequently resell our products to retail pharmacies and certain medical centers or hospitals. Specialty pharmacies sell directly to patients. In addition to distribution agreements with Customers, we enter into arrangements with payers that provide for government mandated and/or privately negotiated rebates, chargebacks, and discounts with respect to the purchase of our products.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recognize revenue on product sales when the Customer obtains control of our product, which occurs at delivery for wholesale distributors and generally at delivery for specialty pharmacies. We recognize revenue on product sales to a retail pharmacy as the product is dispensed to patients. Product revenues are recorded net of applicable reserves including discounts, allowances, rebates, returns and other incentives. See </w:t>
      </w:r>
      <w:r>
        <w:rPr>
          <w:rFonts w:ascii="Times New Roman" w:cs="Times New Roman" w:eastAsia="Times New Roman" w:hAnsi="Times New Roman"/>
          <w:sz w:val="18"/>
          <w:szCs w:val="18"/>
          <w:i w:val="1"/>
          <w:iCs w:val="1"/>
          <w:color w:val="auto"/>
        </w:rPr>
        <w:t>Reserves for Variable Consideration</w:t>
      </w:r>
      <w:r>
        <w:rPr>
          <w:rFonts w:ascii="Times New Roman" w:cs="Times New Roman" w:eastAsia="Times New Roman" w:hAnsi="Times New Roman"/>
          <w:sz w:val="18"/>
          <w:szCs w:val="18"/>
          <w:color w:val="auto"/>
        </w:rPr>
        <w:t xml:space="preserve"> below.</w:t>
      </w:r>
    </w:p>
    <w:p>
      <w:pPr>
        <w:spacing w:after="0" w:line="1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Reserves for Variable Consideration </w:t>
      </w:r>
      <w:r>
        <w:rPr>
          <w:rFonts w:ascii="Times New Roman" w:cs="Times New Roman" w:eastAsia="Times New Roman" w:hAnsi="Times New Roman"/>
          <w:sz w:val="18"/>
          <w:szCs w:val="18"/>
          <w:color w:val="auto"/>
        </w:rPr>
        <w:t>— Revenues from product sales are recorded at the net sales price (transaction price), which includes estimates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us and our Customers, payers, and other indirect customers relating to the sale of our products. These reserves are based on the amounts earned, or to be claimed on the related sales, and result in a reduction of accounts receivable or establishment of a current liability. Significant judgments are required in making these estimates.</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Where appropriate, these estimates take into consideration a range of possible outcomes, which are probability-weighted in accordance with the expected value method in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relevant factors such as current contractual and statutory requirements, specific known market events and trends, industry data, and forecasted customer buying and payment patterns. Overall, these reserves reduce recognized revenue to our best estimates of the amount of consideration to which we are entitled based on the terms of the respective underlying contracts.</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Our analysis also contemplates application of the constraint in accordance with the guidance, under which we determined a material reversal of revenue would not occur in a future period for the estimates of gross-to-net adjustments as of December 31, 2024 and, therefore, the transaction price was not reduced further during the year ended December 31, 2024. Actual amounts of consideration ultimately received may differ from the Company’s estimates. If actual results in the future vary from our estimates, we will adjust these estimates, which would affect net revenue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commercial product sales and earnings in the period such variances become known.</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estimating gross-to-net adjustments, historical experience, payer channel mix unbilled claims, claim submission time lags and inventory levels in the distribution channel. Our reserves for variable consideration related to our commercial products are reflected in our gross-to-net adjustments which were 40% of gross product revenue, or $53.8 million, for the year ended December 31, 2024, compared to 43% of gross product revenue, or $56.4 million, for the year ended December 31, 2023. If there is a 10% difference between the estimates for accruals and the actual liability in the reserves for variable consideration, the impact to our revenue for commercial product sales would be $1.7 million or a 1.2% change in the gross-to-net adjustment percentage for the year ended December 31,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right="440"/>
        <w:spacing w:after="0" w:line="284" w:lineRule="auto"/>
        <w:rPr>
          <w:sz w:val="20"/>
          <w:szCs w:val="20"/>
          <w:color w:val="auto"/>
        </w:rPr>
      </w:pPr>
      <w:r>
        <w:rPr>
          <w:rFonts w:ascii="Times New Roman" w:cs="Times New Roman" w:eastAsia="Times New Roman" w:hAnsi="Times New Roman"/>
          <w:sz w:val="18"/>
          <w:szCs w:val="18"/>
          <w:color w:val="auto"/>
        </w:rPr>
        <w:t xml:space="preserve">These reserves are further detailed under Reserves for Variable Consideration in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Notes to Consolidated Financial Statements included in Part II, Item 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Financial Statements and Supplementary Data.</w:t>
      </w:r>
    </w:p>
    <w:p>
      <w:pPr>
        <w:spacing w:after="0" w:line="15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 Collaborations and Services </w:t>
      </w:r>
      <w:r>
        <w:rPr>
          <w:rFonts w:ascii="Times New Roman" w:cs="Times New Roman" w:eastAsia="Times New Roman" w:hAnsi="Times New Roman"/>
          <w:sz w:val="18"/>
          <w:szCs w:val="18"/>
          <w:color w:val="auto"/>
        </w:rPr>
        <w:t>— We enter into licensing, research or other agreements under which we license certain rights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candidates to third parties, conduct research or provide other services to third parties. The terms of these arrangements may include but are not limited to payment to us of one or more of the following: up-front license fees; development, regulatory, and commercial milestone payments; payments for commercial manufacturing and clinical supply services we provide; and royalties on net sales of licensed products and sublicenses of the rights. As part of the accounting for these arrangements, we must develop assumptions that require judgment such as determining the performance obligation in the contract and determining the stand-alone selling price for each performance obligation identified in the contract.</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 arrangement has multiple performance obligations, the allocation of the transaction price is determined from observable market inputs, and we use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With respect to our significant collaboration and service agreement with UT, which was entered into in December 2022 and includes a long-term commercial supply agreement (as amended, the "CSA"), if there is a 10% difference in (i) the estimates used to determine the transaction price for the CSA or (ii) the related allocation of the transaction price between performance obligations, the difference between the estimates for accruals and the actual liability for deferred revenue and revenue recognized for collaborations and services would be $2.6 million for the year ended December 31, 2024.</w:t>
      </w:r>
    </w:p>
    <w:p>
      <w:pPr>
        <w:spacing w:after="0" w:line="17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Royalties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recognize royalty revenue for a sales-based or usage-based royalty if it is promised in exchange for an intellectual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license. The royalty revenue is recognized as the latter of the subsequent sale of the product occurs or if the performance obligation to which the royalty has been allocated has been satisfied or partially satisfied. Our collaboration agreement with UT entitles us to receive a royalty on net sales of Tyvaso DPI for the license of our intellectual property that was considered to be interdependent with the development activities that supported the approval of Tyvaso DPI.</w:t>
      </w:r>
    </w:p>
    <w:p>
      <w:pPr>
        <w:spacing w:after="0" w:line="17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Liability for Sale of Future Royalties — </w:t>
      </w:r>
      <w:r>
        <w:rPr>
          <w:rFonts w:ascii="Times New Roman" w:cs="Times New Roman" w:eastAsia="Times New Roman" w:hAnsi="Times New Roman"/>
          <w:sz w:val="18"/>
          <w:szCs w:val="18"/>
          <w:color w:val="auto"/>
        </w:rPr>
        <w:t>In December 2023, we sold a portion of our rights to future royalties on UT’s sale of Tyvaso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DPI. The upfront proceeds received from the royalty purchaser were recorded as a royalty liability in the consolidated balance sheets. As royalty payments are earned by and remitted to the royalty purchaser, the balance of the royalty liability will be effectively repaid as it is amortized over the life of the underlying purchase agreement. To amortize the royalty liability, we estimate the total amount of future royalty payments to be made to the royalty purchaser. The excess of those future estimated royalty payments over the upfront proceeds received is recognized in the consolidated statements of operations as non-cash interest expense utilizing an imputed effective interest rate.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royalty payments which affects the timing and ultimate amount of reductions to the liability.</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evaluates the effective interest rate periodically based on its forecasted royalty payments utilizing the prospective method. The Company periodically assesses the forecasted royalty payments using a combination of historical results, internal projections and forecasts from external sources. To the extent such payments, or the timing of such payments, are materially different than original estimates, the Company will prospectively adjust the effective interest rate and amortization of the royalty liability. If there is a 10% difference in the estimated future royalty payments, the impact to our interest expense with respect to our royalty liability would be $4.6 million for the year ended December 31, 2024.</w:t>
      </w:r>
    </w:p>
    <w:p>
      <w:pPr>
        <w:spacing w:after="0" w:line="1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 Share-based payments to employees, including grants of restricted stock units, performance-based awards, restricted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units with market conditions (“Market RSUs”), nonqualified stock options (“options”) and the compensatory elements of employee stock purchase plans, are recognized in the consolidated statements of operations based upon the fair value of the awards at the grant date. Restricted stock units are valued based on the market price on the grant date. We evaluate stock awards with performance conditions as to the probability that the performance conditions will be met and estimates the date at which the performance conditions will be met in order to properly recognize stock-based compensation expense over the requisite service period. The grant date fair value and the effect of the market conditions for the Market RSUs was estimated using a Monte Carlo valuation. We use the Black-Scholes option valuation model to estimate the grant date fair value of employee options and the compensatory elements of employee stock purchase plans.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date fair value for the Market RSUs was $10.30 per unit for the Market RSUs granted during the year ended December 31, 2024, compared to</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$9.40 per unit for the Market RSUs granted during the year ended December 31, 2023. If there is a 10% difference in the grant date fair value of the Market RSUs, the impact to our stock-based compensation expense would be $1.1 million for the year ended December 31,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Uncertainties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Our collaboration agreement with UT entitles us to receive a 10% royalty on net sales of Tyvaso DPI, subject to our sale of a 1% royalty on future net sales to a royalty purchaser (leaving us with a 9% royalty) in December 2023. See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to Consolidated Financial Statements included in Part II, Item 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Financial Statements and Supplementary Data. Our royalty revenue reflects the upward trend in demand for Tyvaso DPI in the marketplace.</w:t>
      </w:r>
    </w:p>
    <w:p>
      <w:pPr>
        <w:spacing w:after="0" w:line="18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future success is dependent on our, and our current and future collaboration partners’, ability to effectively commercialize approved products. Our future success is also dependent on our pipeline of new products. There is a high rate of failure inherent in the R&amp;D process for new drugs. As a result, there is a high risk that the funds we invest in research programs will not generate sufficient financial returns. Products may appear promising in development but fail to reach market within the expected or optimal timeframe, or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2024 and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revenue categories for the years ended December 31, 2024 and 2023 (dollars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12"/>
                <w:szCs w:val="12"/>
                <w:color w:val="auto"/>
              </w:rPr>
            </w:pPr>
          </w:p>
        </w:tc>
        <w:tc>
          <w:tcPr>
            <w:tcW w:w="86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product sales: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revenue from commercial product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136,127</w:t>
            </w:r>
          </w:p>
        </w:tc>
        <w:tc>
          <w:tcPr>
            <w:tcW w:w="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130,461</w:t>
            </w: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198"/>
        </w:trPr>
        <w:tc>
          <w:tcPr>
            <w:tcW w:w="5600" w:type="dxa"/>
            <w:vAlign w:val="bottom"/>
            <w:shd w:val="clear" w:color="auto" w:fill="CFF0FC"/>
          </w:tcPr>
          <w:p>
            <w:pPr>
              <w:ind w:left="480"/>
              <w:spacing w:after="0" w:line="198" w:lineRule="exact"/>
              <w:rPr>
                <w:sz w:val="20"/>
                <w:szCs w:val="20"/>
                <w:color w:val="auto"/>
              </w:rPr>
            </w:pPr>
            <w:r>
              <w:rPr>
                <w:rFonts w:ascii="Times New Roman" w:cs="Times New Roman" w:eastAsia="Times New Roman" w:hAnsi="Times New Roman"/>
                <w:sz w:val="18"/>
                <w:szCs w:val="18"/>
                <w:color w:val="auto"/>
              </w:rPr>
              <w:t>Less: Wholesaler distribution fees, rebates and</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chargebacks, product returns and other</w:t>
            </w:r>
          </w:p>
        </w:tc>
        <w:tc>
          <w:tcPr>
            <w:tcW w:w="26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53,798</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56,432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00" w:type="dxa"/>
            <w:vAlign w:val="bottom"/>
            <w:tcBorders>
              <w:bottom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discounts</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(2,634 )</w:t>
            </w:r>
          </w:p>
        </w:tc>
        <w:tc>
          <w:tcPr>
            <w:tcW w:w="14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0"/>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product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82,329</w:t>
            </w:r>
          </w:p>
        </w:tc>
        <w:tc>
          <w:tcPr>
            <w:tcW w:w="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74,029</w:t>
            </w: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Gross-to-net revenue adjustment percentage</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40 %</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43 %</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Collaborations and services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52,954</w:t>
            </w: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47,886</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102,335</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71,979</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30,356</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10"/>
        </w:trPr>
        <w:tc>
          <w:tcPr>
            <w:tcW w:w="5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285,504</w:t>
            </w: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198,962</w:t>
            </w: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86,542</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-728345</wp:posOffset>
            </wp:positionV>
            <wp:extent cx="1200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-728345</wp:posOffset>
            </wp:positionV>
            <wp:extent cx="1200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-170815</wp:posOffset>
            </wp:positionV>
            <wp:extent cx="120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120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9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Afrezza </w:t>
      </w:r>
      <w:r>
        <w:rPr>
          <w:rFonts w:ascii="Times New Roman" w:cs="Times New Roman" w:eastAsia="Times New Roman" w:hAnsi="Times New Roman"/>
          <w:sz w:val="18"/>
          <w:szCs w:val="18"/>
          <w:color w:val="auto"/>
        </w:rPr>
        <w:t>— Gross revenue from sales of Afrezza increased by $11.0 million, or 13%, for the year ended December 31, 2024 compared to the prior year.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driven primarily by higher demand and price. The gross-to-net adjustment was 35% of gross revenue, or $34.9 million, for the year ended December 31, 2024 compared to 38% of gross revenue, or $33.0 million, for the prior year. The improved gross-to-net percentage was primarily attributable to a decrease in anticipated product returns (as a percentage of gross sales). As a result, net revenue from sales of Afrezza increased by $9.1 million, or 17%, for the year ended December 31, 2024 compared to the prior year.</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V-Go </w:t>
      </w:r>
      <w:r>
        <w:rPr>
          <w:rFonts w:ascii="Times New Roman" w:cs="Times New Roman" w:eastAsia="Times New Roman" w:hAnsi="Times New Roman"/>
          <w:sz w:val="18"/>
          <w:szCs w:val="18"/>
          <w:color w:val="auto"/>
        </w:rPr>
        <w:t>— Gross revenue from sales of V-Go decreased by $5.3 million, or 13%, for the year ended December 31, 2024 compared to the prior year and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 result of lower demand partially offset by increased price. The gross-to-net adjustment was 51% of gross revenue, or $18.9 million, for the year ended December 31, 2024 compared to 55% of gross revenue, or $23.4 million, for the prior year. The improved gross-to-net percentage was mainly attributable to a decrease in rebates. As a result, net revenue from sales of V-Go decreased by $0.8 million, or 4%, for the year ended December 31, 2024 compared to the prior year.</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Collaborations and Services </w:t>
      </w:r>
      <w:r>
        <w:rPr>
          <w:rFonts w:ascii="Times New Roman" w:cs="Times New Roman" w:eastAsia="Times New Roman" w:hAnsi="Times New Roman"/>
          <w:sz w:val="18"/>
          <w:szCs w:val="18"/>
          <w:color w:val="auto"/>
        </w:rPr>
        <w:t>— Net revenue from collaborations and services increased by $47.9 million, or 90%, for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prior year. The increase in revenue was primarily attributable to increased manufacturing volume for product sold to UT. Royalty revenue from UT increased by $30.4 million, or 42%, for the year ended December 31, 2024 compared to the prior year due to UT's increase in net revenue from sales of Tyvaso DPI due to higher patient demand.</w:t>
      </w:r>
    </w:p>
    <w:p>
      <w:pPr>
        <w:spacing w:after="0" w:line="180" w:lineRule="exact"/>
        <w:rPr>
          <w:sz w:val="20"/>
          <w:szCs w:val="20"/>
          <w:color w:val="auto"/>
        </w:rPr>
      </w:pPr>
    </w:p>
    <w:p>
      <w:pPr>
        <w:ind w:right="8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See Note 11 – Collaborations, Licensing and Other Arrangements </w:t>
      </w:r>
      <w:r>
        <w:rPr>
          <w:rFonts w:ascii="Times New Roman" w:cs="Times New Roman" w:eastAsia="Times New Roman" w:hAnsi="Times New Roman"/>
          <w:sz w:val="18"/>
          <w:szCs w:val="18"/>
          <w:color w:val="auto"/>
        </w:rPr>
        <w:t>in the consolidated financial statements included in Part II, Item 8 –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 Supplementary Data.</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product gross profit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commercial product gross profit categories for the years ended December 31, 2024 and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5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2"/>
                <w:szCs w:val="12"/>
                <w:color w:val="auto"/>
              </w:rPr>
            </w:pPr>
          </w:p>
        </w:tc>
      </w:tr>
      <w:tr>
        <w:trPr>
          <w:trHeight w:val="209"/>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product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82,329</w:t>
            </w:r>
          </w:p>
        </w:tc>
        <w:tc>
          <w:tcPr>
            <w:tcW w:w="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74,029</w:t>
            </w: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5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Cost of goods sold</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20,863</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(3,434 )</w:t>
            </w:r>
          </w:p>
        </w:tc>
        <w:tc>
          <w:tcPr>
            <w:tcW w:w="14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r>
      <w:tr>
        <w:trPr>
          <w:trHeight w:val="210"/>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64,900</w:t>
            </w: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53,166</w:t>
            </w: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5600" w:type="dxa"/>
            <w:vAlign w:val="bottom"/>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79 %</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72 %</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-307975</wp:posOffset>
            </wp:positionV>
            <wp:extent cx="1200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-307975</wp:posOffset>
            </wp:positionV>
            <wp:extent cx="1200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Commercial product gross profit increased by $11.7 million, or 22%, for the year ended December 31, 2024 compared to the prior year. The increase in gross profit and gross margin was primarily attributable to an increase in Afrezza net revenue, improved gross-to-net adjustments related to V-Go rebates and decreased cost of goods sold as a result of reduced sales of V-Go and efficiencies gained from increased production volumes of all products manufactured at our Danbury facility.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expense categories for the years ended December 31, 2024 and 2023 (dollars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5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2"/>
                <w:szCs w:val="12"/>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20,863</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(3,434 )</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r>
      <w:tr>
        <w:trPr>
          <w:trHeight w:val="216"/>
        </w:trPr>
        <w:tc>
          <w:tcPr>
            <w:tcW w:w="5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17,265</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41 %</w:t>
            </w:r>
          </w:p>
        </w:tc>
      </w:tr>
      <w:tr>
        <w:trPr>
          <w:trHeight w:val="216"/>
        </w:trPr>
        <w:tc>
          <w:tcPr>
            <w:tcW w:w="5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47 %</w:t>
            </w:r>
          </w:p>
        </w:tc>
      </w:tr>
      <w:tr>
        <w:trPr>
          <w:trHeight w:val="216"/>
        </w:trPr>
        <w:tc>
          <w:tcPr>
            <w:tcW w:w="5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94,329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94,314</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5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 loss on foreign currency transaction</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(3,907 )</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(5,823 )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r>
      <w:tr>
        <w:trPr>
          <w:trHeight w:val="250"/>
        </w:trPr>
        <w:tc>
          <w:tcPr>
            <w:tcW w:w="56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212,917</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190,284</w:t>
            </w:r>
          </w:p>
        </w:tc>
        <w:tc>
          <w:tcPr>
            <w:tcW w:w="42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22,633</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144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r>
      <w:tr>
        <w:trPr>
          <w:trHeight w:val="121"/>
        </w:trPr>
        <w:tc>
          <w:tcPr>
            <w:tcW w:w="568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_________________________</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-114300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-97155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-259715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-114300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-97155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-259715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23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Cost of revenue — collaborations and services increased by $17.3 million, or 41%, for the year ended December 31, 2024 compared to the prior year primarily as a result of increased manufacturing volume of Tyvaso DPI.</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$14.6 million, or 47%, for the year ended December 31, 2024 compared to the prior year. The increase was primarily attributable to increased expenditures for development activities, including a Phase 3 clinical study of MNKD-101 and a Phase 1 clinical study of MNKD-201, and personnel costs primarily due to increased headcount as a result of the Pulmatrix Transaction.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December 31, 2024 remained consistent compared to the prior year. This was primarily attributable to a loss of $1.4 million for estimated returns associated with sales of V-Go that pre-date our acquisition of the product and increases in personnel costs, professional fees and promotional activities, offset by a decrease in selling expenses related to sales force restructuring activities completed during the first quarter of 2024.</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Gain on foreign currency transaction was $3.9 million for the year ended December 31, 2024 compared to a loss of $1.9 million for the prior year. Under the Insulin Supply Agreement with Amphastar, payment obligations are denominated in Euros. We are required to record the foreign currency transaction impact of the U.S. dollar to Euro exchange rate associated with the recognized loss on purchase commitments. The year-over-year change was due to fluctuations in the Euro to U.S. dollar exchange rates.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comparison of the other income (expense) categories for the years ended December 31, 2024 and 2023 (dollars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5680" w:type="dxa"/>
            <w:vAlign w:val="bottom"/>
            <w:vMerge w:val="continue"/>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12,615</w:t>
            </w:r>
          </w:p>
        </w:tc>
        <w:tc>
          <w:tcPr>
            <w:tcW w:w="240" w:type="dxa"/>
            <w:vAlign w:val="bottom"/>
          </w:tcPr>
          <w:p>
            <w:pPr>
              <w:spacing w:after="0"/>
              <w:rPr>
                <w:sz w:val="18"/>
                <w:szCs w:val="18"/>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2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on liability for sale of future royalties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(16,172 )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(15,987 )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(9,828 )</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(9,825 )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(11,981 )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(15,151 )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(3,170 )</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(90 )</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settlement of debt</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(20,444 )</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(20,444 )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available-for-sale securities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(1,550 )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(1,380 )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(42,069 )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(19,055 )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23,014</w:t>
            </w: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-251460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-251460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23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Interest income, net, consisting of interest and accretion on investments net of amortization, increased by $6.5 million compared to the prior year primarily due to an increase in the underlying investments from the proceeds of the sale of 1% of our Tyvaso DPI royalties in December 2023 and higher yields on our securities portfolio.</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on liability for sale of future royalties was $16.2 million and $0.2 million for the years ended December 31, 2024 and 2023, respectively, and was attributable to imputed interest and amortization of debt issuance costs on the liability recorded in connection with the sale of 1% of our Tyvaso DPI royalties in December 2023. See Note 16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Interest expense on financing liability was $9.8 million for each of the years ended December 31, 2024 and 2023, and represented interest incurred on the sale lease-back transaction for our manufacturing facility in Danbury, CT.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Interest expense decreased by $3.2 million for the year ended December 31, 2024 compared to the prior year. The decrease was primarily due to repayment of the MidCap credit facility and Mann Group convertible note in April 2024. See Note 10 </w:t>
      </w:r>
      <w:r>
        <w:rPr>
          <w:rFonts w:ascii="Times New Roman" w:cs="Times New Roman" w:eastAsia="Times New Roman" w:hAnsi="Times New Roman"/>
          <w:sz w:val="18"/>
          <w:szCs w:val="18"/>
          <w:i w:val="1"/>
          <w:iCs w:val="1"/>
          <w:color w:val="auto"/>
        </w:rPr>
        <w:t>– Borrowings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Gain on bargain purchase of $5.3 million for the year ended December 31, 2024 was the result of the excess of net assets acquired over consideration paid in the Pulmatrix Transaction. See Note 3 – </w:t>
      </w:r>
      <w:r>
        <w:rPr>
          <w:rFonts w:ascii="Times New Roman" w:cs="Times New Roman" w:eastAsia="Times New Roman" w:hAnsi="Times New Roman"/>
          <w:sz w:val="18"/>
          <w:szCs w:val="18"/>
          <w:i w:val="1"/>
          <w:iCs w:val="1"/>
          <w:color w:val="auto"/>
        </w:rPr>
        <w:t>Pulmatrix Transaction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Loss on settlement of debt includes repayment of a portion of the senior convertible notes pursuant to private exchange agreements with certain note holders in December 2024, resulting in an inducement expense of $13.4 million. Additionally, in April 2024, a loss on early extinguishment of debt of $7.0 million was incurred for the year ended December 31, 2024 in connection with the repayment of the MidCap credit facility and Mann Group convertible note. See Note 10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Loss on available-for-sale securities for the year ended December 31, 2024 was $1.6 million as a result of modification of the Thirona investment. Loss on available-for-sale securities for the year ended December 31, 2023 was $0.2 million as a result of the change in the fair value of the investment that related to credit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under GAAP, we are presenting non-GAAP net income (loss) and non-GAAP net income (loss) per share - basic, which are non-GAAP financial measures. We are providing these non-GAAP financial measures to disclose additional information to facilitate the comparison of past and present operations, and they are among the indicators management uses as a basis for evaluating our financial performance. We believe that these non-GAAP financial measures, when considered together with our GAAP financial results, provide management and investors with an additional understanding of our business operating results, including underlying trends.</w:t>
      </w:r>
    </w:p>
    <w:p>
      <w:pPr>
        <w:spacing w:after="0" w:line="18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These non-GAAP financial measures are not meant to be considered in isolation or as a substitute for comparable GAAP measures; should be read in conjunction with our consolidated financial statements prepared in accordance with GAAP; have no standardized meaning prescribed by GAAP; and are not prepared under any comprehensive set of accounting rules or principles. In addition, from time to time in the future there may be other items that we may exclude for purposes of our non-GAAP financial measures; and we may in the future cease to exclude items that we have historically excluded for purposes of our non-GAAP financial measures. Likewise, we may determine to modify the nature of its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52" w:name="page53"/>
    <w:bookmarkEnd w:id="52"/>
    <w:p>
      <w:pPr>
        <w:ind w:right="140"/>
        <w:spacing w:after="0" w:line="266" w:lineRule="auto"/>
        <w:rPr>
          <w:sz w:val="20"/>
          <w:szCs w:val="20"/>
          <w:color w:val="auto"/>
        </w:rPr>
      </w:pPr>
      <w:r>
        <w:rPr>
          <w:rFonts w:ascii="Times New Roman" w:cs="Times New Roman" w:eastAsia="Times New Roman" w:hAnsi="Times New Roman"/>
          <w:sz w:val="18"/>
          <w:szCs w:val="18"/>
          <w:color w:val="auto"/>
        </w:rPr>
        <w:t>adjustments to arrive at our non-GAAP financial measures. Because of the non-standardized definitions of non-GAAP financial measures, the non-GAAP financial measures as used by us in this Annual Report on Form 10-K have limits in their usefulness to investors and may be calculated differently from, and therefore may not be directly comparable to, similarly titled measures used by other companies.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financial measures for net income (loss) and net income (loss) per share ("EPS") for basic weighted average shares as reported in our consolidated statement of operations to a non-GAAP presentation:</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8"/>
              </w:rPr>
              <w:t>Basic EPS</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8"/>
              </w:rPr>
              <w:t>Basic EPS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6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9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GAAP reported net income (loss)</w:t>
            </w:r>
          </w:p>
        </w:tc>
        <w:tc>
          <w:tcPr>
            <w:tcW w:w="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27,588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(11,938 )</w:t>
            </w:r>
          </w:p>
        </w:tc>
        <w:tc>
          <w:tcPr>
            <w:tcW w:w="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(0.04 )</w:t>
            </w:r>
          </w:p>
        </w:tc>
        <w:tc>
          <w:tcPr>
            <w:tcW w:w="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(87,400 )</w:t>
            </w:r>
          </w:p>
        </w:tc>
        <w:tc>
          <w:tcPr>
            <w:tcW w:w="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FF0FC"/>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(0.34 )</w:t>
            </w:r>
          </w:p>
        </w:tc>
        <w:tc>
          <w:tcPr>
            <w:tcW w:w="0" w:type="dxa"/>
            <w:vAlign w:val="bottom"/>
          </w:tcPr>
          <w:p>
            <w:pPr>
              <w:spacing w:after="0"/>
              <w:rPr>
                <w:sz w:val="1"/>
                <w:szCs w:val="1"/>
                <w:color w:val="auto"/>
              </w:rPr>
            </w:pPr>
          </w:p>
        </w:tc>
      </w:tr>
      <w:tr>
        <w:trPr>
          <w:trHeight w:val="135"/>
        </w:trPr>
        <w:tc>
          <w:tcPr>
            <w:tcW w:w="4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Non-GAAP adjustments:</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6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2"/>
                <w:szCs w:val="12"/>
                <w:color w:val="auto"/>
              </w:rPr>
              <w:t xml:space="preserve">Sold portion of royalty revenue </w:t>
            </w:r>
            <w:r>
              <w:rPr>
                <w:rFonts w:ascii="Times New Roman" w:cs="Times New Roman" w:eastAsia="Times New Roman" w:hAnsi="Times New Roman"/>
                <w:sz w:val="15"/>
                <w:szCs w:val="15"/>
                <w:color w:val="auto"/>
                <w:vertAlign w:val="superscript"/>
              </w:rPr>
              <w:t>(1)</w:t>
            </w: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(10,234 )</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(0.04 )</w:t>
            </w: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(2,103 )</w:t>
            </w: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(0.01 )</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96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Interest expense on liability for sale of future royalties</w:t>
            </w: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16,172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96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Stock compensation</w:t>
            </w: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21,358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17,649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13,447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6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(Gain) loss on foreign currency transaction</w:t>
            </w:r>
          </w:p>
        </w:tc>
        <w:tc>
          <w:tcPr>
            <w:tcW w:w="80" w:type="dxa"/>
            <w:vAlign w:val="bottom"/>
          </w:tcPr>
          <w:p>
            <w:pPr>
              <w:spacing w:after="0"/>
              <w:rPr>
                <w:sz w:val="11"/>
                <w:szCs w:val="11"/>
                <w:color w:val="auto"/>
              </w:rPr>
            </w:pP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(3,907 )</w:t>
            </w:r>
          </w:p>
        </w:tc>
        <w:tc>
          <w:tcPr>
            <w:tcW w:w="100" w:type="dxa"/>
            <w:vAlign w:val="bottom"/>
          </w:tcPr>
          <w:p>
            <w:pPr>
              <w:spacing w:after="0"/>
              <w:rPr>
                <w:sz w:val="11"/>
                <w:szCs w:val="11"/>
                <w:color w:val="auto"/>
              </w:rPr>
            </w:pPr>
          </w:p>
        </w:tc>
        <w:tc>
          <w:tcPr>
            <w:tcW w:w="96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(0.01 )</w:t>
            </w: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1,916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(4,811 )</w:t>
            </w:r>
          </w:p>
        </w:tc>
        <w:tc>
          <w:tcPr>
            <w:tcW w:w="80" w:type="dxa"/>
            <w:vAlign w:val="bottom"/>
          </w:tcPr>
          <w:p>
            <w:pPr>
              <w:spacing w:after="0"/>
              <w:rPr>
                <w:sz w:val="11"/>
                <w:szCs w:val="11"/>
                <w:color w:val="auto"/>
              </w:rPr>
            </w:pPr>
          </w:p>
        </w:tc>
        <w:tc>
          <w:tcPr>
            <w:tcW w:w="820" w:type="dxa"/>
            <w:vAlign w:val="bottom"/>
            <w:gridSpan w:val="2"/>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(0.02 )</w:t>
            </w:r>
          </w:p>
        </w:tc>
        <w:tc>
          <w:tcPr>
            <w:tcW w:w="0" w:type="dxa"/>
            <w:vAlign w:val="bottom"/>
          </w:tcPr>
          <w:p>
            <w:pPr>
              <w:spacing w:after="0"/>
              <w:rPr>
                <w:sz w:val="1"/>
                <w:szCs w:val="1"/>
                <w:color w:val="auto"/>
              </w:rPr>
            </w:pPr>
          </w:p>
        </w:tc>
      </w:tr>
      <w:tr>
        <w:trPr>
          <w:trHeight w:val="135"/>
        </w:trPr>
        <w:tc>
          <w:tcPr>
            <w:tcW w:w="496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Gain on bargain purchase</w:t>
            </w: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(5,259 )</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(0.02 )</w:t>
            </w: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96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Loss on settlement of debt</w:t>
            </w: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20,444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96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Loss on available-for-sale securities</w:t>
            </w: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1,550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932</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4960" w:type="dxa"/>
            <w:vAlign w:val="bottom"/>
            <w:tcBorders>
              <w:top w:val="single" w:sz="8" w:color="CFF0FC"/>
              <w:bottom w:val="single" w:sz="8" w:color="CFF0FC"/>
            </w:tcBorders>
          </w:tcPr>
          <w:p>
            <w:pPr>
              <w:ind w:left="160"/>
              <w:spacing w:after="0" w:line="129" w:lineRule="exact"/>
              <w:rPr>
                <w:sz w:val="20"/>
                <w:szCs w:val="20"/>
                <w:color w:val="auto"/>
              </w:rPr>
            </w:pPr>
            <w:r>
              <w:rPr>
                <w:rFonts w:ascii="Times New Roman" w:cs="Times New Roman" w:eastAsia="Times New Roman" w:hAnsi="Times New Roman"/>
                <w:sz w:val="13"/>
                <w:szCs w:val="13"/>
                <w:color w:val="auto"/>
              </w:rPr>
              <w:t>Non-GAAP adjusted net income (loss)</w:t>
            </w: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67,712</w:t>
            </w: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0.25</w:t>
            </w: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5,879</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0.03</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(77,832</w:t>
            </w:r>
          </w:p>
        </w:tc>
        <w:tc>
          <w:tcPr>
            <w:tcW w:w="220" w:type="dxa"/>
            <w:vAlign w:val="bottom"/>
            <w:tcBorders>
              <w:top w:val="single" w:sz="8" w:color="CFF0FC"/>
              <w:bottom w:val="single" w:sz="8" w:color="CFF0FC"/>
            </w:tcBorders>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(0.31</w:t>
            </w:r>
          </w:p>
        </w:tc>
        <w:tc>
          <w:tcPr>
            <w:tcW w:w="100" w:type="dxa"/>
            <w:vAlign w:val="bottom"/>
            <w:tcBorders>
              <w:top w:val="single" w:sz="8" w:color="CFF0FC"/>
              <w:bottom w:val="single" w:sz="8" w:color="CFF0FC"/>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auto"/>
              </w:rPr>
              <w:t>Weighted average shares used to compute net income (loss)</w:t>
            </w: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9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4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 share – basic</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274,415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267,014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257,092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-289560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-289560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-289560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-289560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-289560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-289560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3" w:lineRule="exact"/>
        <w:rPr>
          <w:sz w:val="20"/>
          <w:szCs w:val="20"/>
          <w:color w:val="auto"/>
        </w:rPr>
      </w:pPr>
    </w:p>
    <w:p>
      <w:pPr>
        <w:ind w:left="500" w:right="120" w:hanging="492"/>
        <w:spacing w:after="0" w:line="279" w:lineRule="auto"/>
        <w:tabs>
          <w:tab w:leader="none" w:pos="5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Represents the non-cash portion of the 1% royalty on net sales of Tyvaso DPI earned during the year ended December 31, 2024 and fourth quarter of 2023 which is remitted to the royalty purchaser and recognized as royalties from collaborations in our consolidated statements of operations. Our revenues from royalties from collaborations during the year ended December 31, 2024 and fourth quarter of 2023 totaled </w:t>
      </w:r>
      <w:r>
        <w:rPr>
          <w:rFonts w:ascii="Times New Roman" w:cs="Times New Roman" w:eastAsia="Times New Roman" w:hAnsi="Times New Roman"/>
          <w:sz w:val="17"/>
          <w:szCs w:val="17"/>
          <w:color w:val="auto"/>
        </w:rPr>
        <w:t>$102.3</w:t>
      </w:r>
      <w:r>
        <w:rPr>
          <w:rFonts w:ascii="Times New Roman" w:cs="Times New Roman" w:eastAsia="Times New Roman" w:hAnsi="Times New Roman"/>
          <w:sz w:val="16"/>
          <w:szCs w:val="16"/>
          <w:color w:val="auto"/>
        </w:rPr>
        <w:t xml:space="preserve"> million and $21.0 </w:t>
      </w:r>
      <w:r>
        <w:rPr>
          <w:rFonts w:ascii="Times New Roman" w:cs="Times New Roman" w:eastAsia="Times New Roman" w:hAnsi="Times New Roman"/>
          <w:sz w:val="17"/>
          <w:szCs w:val="17"/>
          <w:color w:val="auto"/>
        </w:rPr>
        <w:t>million, respectively</w:t>
      </w:r>
      <w:r>
        <w:rPr>
          <w:rFonts w:ascii="Times New Roman" w:cs="Times New Roman" w:eastAsia="Times New Roman" w:hAnsi="Times New Roman"/>
          <w:sz w:val="16"/>
          <w:szCs w:val="16"/>
          <w:color w:val="auto"/>
        </w:rPr>
        <w:t xml:space="preserve">, of which </w:t>
      </w:r>
      <w:r>
        <w:rPr>
          <w:rFonts w:ascii="Times New Roman" w:cs="Times New Roman" w:eastAsia="Times New Roman" w:hAnsi="Times New Roman"/>
          <w:sz w:val="17"/>
          <w:szCs w:val="17"/>
          <w:color w:val="auto"/>
        </w:rPr>
        <w:t>$10.2</w:t>
      </w:r>
      <w:r>
        <w:rPr>
          <w:rFonts w:ascii="Times New Roman" w:cs="Times New Roman" w:eastAsia="Times New Roman" w:hAnsi="Times New Roman"/>
          <w:sz w:val="16"/>
          <w:szCs w:val="16"/>
          <w:color w:val="auto"/>
        </w:rPr>
        <w:t xml:space="preserve"> million and $2.1 </w:t>
      </w:r>
      <w:r>
        <w:rPr>
          <w:rFonts w:ascii="Times New Roman" w:cs="Times New Roman" w:eastAsia="Times New Roman" w:hAnsi="Times New Roman"/>
          <w:sz w:val="17"/>
          <w:szCs w:val="17"/>
          <w:color w:val="auto"/>
        </w:rPr>
        <w:t>million, respectively, is</w:t>
      </w:r>
      <w:r>
        <w:rPr>
          <w:rFonts w:ascii="Times New Roman" w:cs="Times New Roman" w:eastAsia="Times New Roman" w:hAnsi="Times New Roman"/>
          <w:sz w:val="16"/>
          <w:szCs w:val="16"/>
          <w:color w:val="auto"/>
        </w:rPr>
        <w:t xml:space="preserve"> remitted to the royalty purchaser.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cash equivalents, and investments. Our primary uses of cash include the development of our product pipeline, the manufacturing and marketing of Afrezza and V-Go, manufacturing Tyvaso DPI, the funding of selling, general and administrative expenses, and principal and interest payments on our financing liability and debt.</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Historically, we have funded our operations primarily through the sale of equity and convertible debt securities, from the receipt of upfront and milestone payments from collaborations, from borrowings, from proceeds from the sale of certain assets and the sale of a portion of our future royalties that we receive from UT. More recently, sales of Afrezza and V-Go, and royalties and manufacturing revenue from UT, have become a more significant source of funding for our operations. In combination with our cash, cash equivalents and investments on hand, we believe that these sources of revenue, as well as the potential financing sources currently available to us, will allow us to meet our liquidity needs over the next 12 months and in the longer term.</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we will be able to meet our liquidity needs over the next 12 months, as well as longer-term needs, based on the balance of cash, cash equivalents and investments on hand, projected sales of Afrezza and V-Go, and projected royalties and manufacturing revenue from the production and sale of Tyvaso DPI. The following table presents our material cash requirements as of December 31, 2024 associated with contractual commitments for future periods (in thousands, except footnotes):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Financing liability</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15"/>
                <w:szCs w:val="15"/>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2026 - 2027</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2028 - 2029</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580" w:type="dxa"/>
            <w:vAlign w:val="bottom"/>
            <w:vMerge w:val="continue"/>
          </w:tcPr>
          <w:p>
            <w:pPr>
              <w:spacing w:after="0"/>
              <w:rPr>
                <w:sz w:val="13"/>
                <w:szCs w:val="13"/>
                <w:color w:val="auto"/>
              </w:rPr>
            </w:pPr>
          </w:p>
        </w:tc>
        <w:tc>
          <w:tcPr>
            <w:tcW w:w="300" w:type="dxa"/>
            <w:vAlign w:val="bottom"/>
            <w:tcBorders>
              <w:top w:val="single" w:sz="8" w:color="auto"/>
            </w:tcBorders>
          </w:tcPr>
          <w:p>
            <w:pPr>
              <w:jc w:val="right"/>
              <w:ind w:right="11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10,269</w:t>
            </w:r>
          </w:p>
        </w:tc>
        <w:tc>
          <w:tcPr>
            <w:tcW w:w="280" w:type="dxa"/>
            <w:vAlign w:val="bottom"/>
          </w:tcPr>
          <w:p>
            <w:pPr>
              <w:spacing w:after="0"/>
              <w:rPr>
                <w:sz w:val="13"/>
                <w:szCs w:val="13"/>
                <w:color w:val="auto"/>
              </w:rPr>
            </w:pPr>
          </w:p>
        </w:tc>
        <w:tc>
          <w:tcPr>
            <w:tcW w:w="200" w:type="dxa"/>
            <w:vAlign w:val="bottom"/>
            <w:tcBorders>
              <w:top w:val="single" w:sz="8" w:color="auto"/>
            </w:tcBorders>
          </w:tcPr>
          <w:p>
            <w:pPr>
              <w:jc w:val="right"/>
              <w:ind w:right="1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21,382</w:t>
            </w:r>
          </w:p>
        </w:tc>
        <w:tc>
          <w:tcPr>
            <w:tcW w:w="280" w:type="dxa"/>
            <w:vAlign w:val="bottom"/>
          </w:tcPr>
          <w:p>
            <w:pPr>
              <w:spacing w:after="0"/>
              <w:rPr>
                <w:sz w:val="13"/>
                <w:szCs w:val="13"/>
                <w:color w:val="auto"/>
              </w:rPr>
            </w:pPr>
          </w:p>
        </w:tc>
        <w:tc>
          <w:tcPr>
            <w:tcW w:w="200" w:type="dxa"/>
            <w:vAlign w:val="bottom"/>
            <w:tcBorders>
              <w:top w:val="single" w:sz="8" w:color="auto"/>
            </w:tcBorders>
          </w:tcPr>
          <w:p>
            <w:pPr>
              <w:jc w:val="right"/>
              <w:ind w:right="1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22,684</w:t>
            </w:r>
          </w:p>
        </w:tc>
        <w:tc>
          <w:tcPr>
            <w:tcW w:w="260" w:type="dxa"/>
            <w:vAlign w:val="bottom"/>
          </w:tcPr>
          <w:p>
            <w:pPr>
              <w:spacing w:after="0"/>
              <w:rPr>
                <w:sz w:val="13"/>
                <w:szCs w:val="13"/>
                <w:color w:val="auto"/>
              </w:rPr>
            </w:pPr>
          </w:p>
        </w:tc>
        <w:tc>
          <w:tcPr>
            <w:tcW w:w="220" w:type="dxa"/>
            <w:vAlign w:val="bottom"/>
            <w:tcBorders>
              <w:top w:val="single" w:sz="8" w:color="auto"/>
            </w:tcBorders>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165,769</w:t>
            </w:r>
          </w:p>
        </w:tc>
        <w:tc>
          <w:tcPr>
            <w:tcW w:w="200" w:type="dxa"/>
            <w:vAlign w:val="bottom"/>
          </w:tcPr>
          <w:p>
            <w:pPr>
              <w:spacing w:after="0"/>
              <w:rPr>
                <w:sz w:val="13"/>
                <w:szCs w:val="13"/>
                <w:color w:val="auto"/>
              </w:rPr>
            </w:pPr>
          </w:p>
        </w:tc>
        <w:tc>
          <w:tcPr>
            <w:tcW w:w="300" w:type="dxa"/>
            <w:vAlign w:val="bottom"/>
            <w:tcBorders>
              <w:top w:val="single" w:sz="8" w:color="auto"/>
            </w:tcBorders>
          </w:tcPr>
          <w:p>
            <w:pPr>
              <w:jc w:val="right"/>
              <w:ind w:right="9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220,104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Insulin purchase agreement</w:t>
            </w:r>
            <w:r>
              <w:rPr>
                <w:rFonts w:ascii="Times New Roman" w:cs="Times New Roman" w:eastAsia="Times New Roman" w:hAnsi="Times New Roman"/>
                <w:sz w:val="24"/>
                <w:szCs w:val="24"/>
                <w:color w:val="auto"/>
                <w:vertAlign w:val="superscript"/>
              </w:rPr>
              <w:t>(3)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Insulin purchase capacity fees</w:t>
            </w:r>
            <w:r>
              <w:rPr>
                <w:rFonts w:ascii="Times New Roman" w:cs="Times New Roman" w:eastAsia="Times New Roman" w:hAnsi="Times New Roman"/>
                <w:sz w:val="24"/>
                <w:szCs w:val="24"/>
                <w:color w:val="auto"/>
                <w:vertAlign w:val="superscript"/>
              </w:rPr>
              <w:t>(3)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358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Bedford, MA facility operating lease</w:t>
            </w:r>
            <w:r>
              <w:rPr>
                <w:rFonts w:ascii="Times New Roman" w:cs="Times New Roman" w:eastAsia="Times New Roman" w:hAnsi="Times New Roman"/>
                <w:sz w:val="24"/>
                <w:szCs w:val="24"/>
                <w:color w:val="auto"/>
                <w:vertAlign w:val="superscript"/>
              </w:rPr>
              <w:t>(4)</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material cash requirements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14,059</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74,503</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39,833</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209,667</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-936625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-662305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500" w:right="100" w:hanging="492"/>
        <w:spacing w:after="0" w:line="271" w:lineRule="auto"/>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$106.4 million principal amount of indebtedness under the Sale-Leaseback Transaction, plus $113.7 million of imputed interest. On November 8, 2021, we sold a portion of our manufacturing facility located in Danbury, CT to an affiliate of Creative Manufacturing Properties (the “Purchaser”) for a sales price of $102.3 million. We leased the property from the Purchaser for an initial term of 20 years, with four renewal options of five years each. The total annual rent under the lease started at approximately $9.5 million per year, subject to a 50% rent abatement during the first year of the lease, and increases annually by (i) 2.5% in the second through fifth year of the lease and (ii) 3% in the sixth and each subsequent year of the lease, including any renewal term. We are responsible for payment of operating expenses, property taxes and insurance for the leased property. Pursuant to the terms of the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ind w:left="500" w:right="200"/>
        <w:spacing w:after="0" w:line="298" w:lineRule="auto"/>
        <w:rPr>
          <w:sz w:val="20"/>
          <w:szCs w:val="20"/>
          <w:color w:val="auto"/>
        </w:rPr>
      </w:pPr>
      <w:r>
        <w:rPr>
          <w:rFonts w:ascii="Times New Roman" w:cs="Times New Roman" w:eastAsia="Times New Roman" w:hAnsi="Times New Roman"/>
          <w:sz w:val="16"/>
          <w:szCs w:val="16"/>
          <w:color w:val="auto"/>
        </w:rPr>
        <w:t>lease, we have four options to repurchase the property, in 2026, 2031, 2036 and 2041, for the greater of (i) $102.3 million or (ii) the fair market value of the leased property. Interest expense is calculated using an incremental borrowing rate of approximately 9.0%</w:t>
      </w:r>
    </w:p>
    <w:p>
      <w:pPr>
        <w:spacing w:after="0" w:line="56" w:lineRule="exact"/>
        <w:rPr>
          <w:sz w:val="20"/>
          <w:szCs w:val="20"/>
          <w:color w:val="auto"/>
        </w:rPr>
      </w:pPr>
    </w:p>
    <w:p>
      <w:pPr>
        <w:ind w:left="500" w:right="40" w:hanging="492"/>
        <w:spacing w:after="0" w:line="275" w:lineRule="auto"/>
        <w:tabs>
          <w:tab w:leader="none" w:pos="5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$36.3 million aggregate principal amount of senior convertible notes bearing interest at 2.50% payable semi-annually in arrears on March 1 and September 1 of each year, beginning on September 1, 2021 and maturing on March 1, 2026, unless earlier converted, redeemed or repurchased by us.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74" w:lineRule="exact"/>
        <w:rPr>
          <w:rFonts w:ascii="Times New Roman" w:cs="Times New Roman" w:eastAsia="Times New Roman" w:hAnsi="Times New Roman"/>
          <w:sz w:val="13"/>
          <w:szCs w:val="13"/>
          <w:color w:val="auto"/>
        </w:rPr>
      </w:pPr>
    </w:p>
    <w:p>
      <w:pPr>
        <w:ind w:left="500" w:right="40" w:hanging="492"/>
        <w:spacing w:after="0" w:line="275" w:lineRule="auto"/>
        <w:tabs>
          <w:tab w:leader="none" w:pos="5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The July 2014 Insulin Supply Agreement with Amphastar to manufacture and supply us certain quantities of recombinant human insulin for use in Afrezza was amended in May 2021 and again on December 22, 2023 to purchase certain minimum quantities over a term that currently extends through at least December 31, 2034. Unless terminated earlier, the agreement can be renewed for additional, successive two-year terms upon 12 months’ written notice given prior to the end of the initial term or any additional two-year term.</w:t>
      </w:r>
    </w:p>
    <w:p>
      <w:pPr>
        <w:spacing w:after="0" w:line="74" w:lineRule="exact"/>
        <w:rPr>
          <w:rFonts w:ascii="Times New Roman" w:cs="Times New Roman" w:eastAsia="Times New Roman" w:hAnsi="Times New Roman"/>
          <w:sz w:val="13"/>
          <w:szCs w:val="13"/>
          <w:color w:val="auto"/>
        </w:rPr>
      </w:pPr>
    </w:p>
    <w:p>
      <w:pPr>
        <w:ind w:left="500" w:right="80" w:hanging="492"/>
        <w:spacing w:after="0" w:line="272" w:lineRule="auto"/>
        <w:tabs>
          <w:tab w:leader="none" w:pos="5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$13.3 million remaining lease payments under an operating lease of a building located in Bedford, Massachusetts (the "Bedford Lease"). In July 2024, the Company assumed the Bedford Lease in connection with the Pulmatrix Transaction. The monthly base rent payments of $101,282 are subject to 3% annual increases, plus the estimated cost of maintaining the property and common areas by the landlord. The Company also assumed from Pulmatrix a $0.7 million obligation to repay landlord-funded tenant improvements at a rate of $6,000 per month through the end of the lease term in November 2033. The Company has the right to extend the lease term for an additional five-year term. Interest expense is calculated using an incremental borrowing rate of approximately 7.3%.</w:t>
      </w:r>
    </w:p>
    <w:p>
      <w:pPr>
        <w:spacing w:after="0" w:line="1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To date, we have been able to timely make our required interest payments on our indebtedness. If we fail to repay, repurchase or redeem our outstanding notes when required, we will be in default under the applicable instrument for such indebtedness, and may also suffer an event of default under the terms of other borrowing arrangements that we may enter into from time to time. Any of these events could have an adverse effect on our business, results of operations and financial condition. We may from time to time seek to retire or purchase our outstanding debt, including the remaining senior convertible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July 2013, we issued the Milestone Rights pursuant to the Milestone Rights Agreement to the Original Milestone Purchasers. The Milestone Rights were subsequently assigned the Milestone Purchasers. The Milestone Rights provide the Milestone Purchasers certain rights to receive payments of up to $90.0 million upon the occurrence of specified strategic and sales milestones, $50.0 million of which remain payable as of December 31, 2024. See Note 9 – </w:t>
      </w:r>
      <w:r>
        <w:rPr>
          <w:rFonts w:ascii="Times New Roman" w:cs="Times New Roman" w:eastAsia="Times New Roman" w:hAnsi="Times New Roman"/>
          <w:sz w:val="18"/>
          <w:szCs w:val="18"/>
          <w:i w:val="1"/>
          <w:iCs w:val="1"/>
          <w:color w:val="auto"/>
        </w:rPr>
        <w:t xml:space="preserve">Accrued Expenses and Other Current Liabilities </w:t>
      </w:r>
      <w:r>
        <w:rPr>
          <w:rFonts w:ascii="Times New Roman" w:cs="Times New Roman" w:eastAsia="Times New Roman" w:hAnsi="Times New Roman"/>
          <w:sz w:val="18"/>
          <w:szCs w:val="18"/>
          <w:color w:val="auto"/>
        </w:rPr>
        <w:t>and Note 16 –</w:t>
      </w:r>
      <w:r>
        <w:rPr>
          <w:rFonts w:ascii="Times New Roman" w:cs="Times New Roman" w:eastAsia="Times New Roman" w:hAnsi="Times New Roman"/>
          <w:sz w:val="18"/>
          <w:szCs w:val="18"/>
          <w:i w:val="1"/>
          <w:iCs w:val="1"/>
          <w:color w:val="auto"/>
        </w:rPr>
        <w:t xml:space="preserve"> Commitments and Contingencies </w:t>
      </w:r>
      <w:r>
        <w:rPr>
          <w:rFonts w:ascii="Times New Roman" w:cs="Times New Roman" w:eastAsia="Times New Roman" w:hAnsi="Times New Roman"/>
          <w:sz w:val="18"/>
          <w:szCs w:val="18"/>
          <w:color w:val="auto"/>
        </w:rPr>
        <w:t>for further information related to the Milestone Rights.</w:t>
      </w:r>
    </w:p>
    <w:p>
      <w:pPr>
        <w:spacing w:after="0" w:line="180"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In addition to the above, we also expect to have material cash requirements relating to paying our employees and consultants, professional services fees, marketing expenses, manufacturing expenditures, and clinical trial expenses. In addition, we make substantial and often long-term investments in our supply chain in order to ensure we have enough inventory and drug product to meet current and future revenue forecasts, as well as clinical trial needs.</w:t>
      </w:r>
    </w:p>
    <w:p>
      <w:pPr>
        <w:spacing w:after="0" w:line="15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February 2018, we entered into a controlled equity offering sales agreement (the “CF Sales Agreement”) with Cantor Fitzgerald &amp; Co. (“Cantor Fitzgerald”), as sales agent, pursuant to which we may offer and sell, from time to time, through Cantor Fitzgerald, shares of our common stock. Under the CF Sales Agreement, Cantor Fitzgerald may sell shares by any method deemed to be an “at-the-market offering” as defined in Rule 415 under the Securities Act of 1933, as amended. In February 2022, we filed a sales agreement prospectus under a registration statement on Form S-3 covering the sale of up to $50.0 million of our common stock through Cantor Fitzgerald under the CF Sales Agreement, of which $23.3 million remained available as of December 31, 2024. The foregoing registration statement expired on February 24, 2025. On February 27, 2025, we and Cantor Fitzgerald amended and restated the CF Sales Agreement.</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we generated $42.5 million of cash from our operating activities, which consisted primarily of $261.2 million in cash receipts from customers (net of approximately $14.1 million of non-cash collaborations and services revenue which was previously deferred, $10.2 million of non-cash revenue for the 1% sold portion of our royalties and $1.1 million in milestone revenue for which we had not received payment as of December 31, 2024), partially offset by $81.1 million of selling, general and administrative expenses, $78.7 million of cost of goods sold, $42.1 million of research and development and $14.2 million of net cash paid for interest.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generated $34.1 million of cash from our operating activities, which consisted primarily of $241.3 million in cash receipts from customers (net of approximately $40.0 million of non-cash collaborations and services revenue which was previously deferred), partially offset by $84.1 million of cost of goods sold, $80.1 million of selling, general and administrative expenses, $28.1 million of research and development and $18.3 million of net cash paid for interest.</w:t>
      </w:r>
    </w:p>
    <w:p>
      <w:pPr>
        <w:spacing w:after="0" w:line="18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of $96.6 million for the year ended December 31, 2024 was primarily due to the purchase of $273.8 million of held-to-maturity securities, $9.7 million of property and equipment and $7.0 of available-for-sale securities, partially offset by the maturity of $135.3 million of held-to-maturity debt securities and $58.1 million of available-for-sale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54" w:name="page55"/>
    <w:bookmarkEnd w:id="54"/>
    <w:p>
      <w:pPr>
        <w:ind w:right="46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of $2.0 million for the year ended December 31, 2023 was primarily due to the purchase of $79.1 million of held-to-maturity securities and $42.4 million of property and equipment, partially offset by the maturity of $119.2 million of held-to-maturity securities.</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of $137.3 million for the year ended December 31, 2024 was primarily due to principal and early extinguishment payments on the senior convertible notes of $87.7 million, MidCap credit facility of $36.6 million, and Mann Group convertible note of $8.9 million and $6.1 million of payments to taxing authorities from equity withheld upon vesting of RSUs and stock options, partially offset by $3.1 million in proceeds from the market price stock purchase plan ("MPSPP") and ESPP.</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of $136.6 million for the year ended December 31, 2023 was primarily due to proceeds of $150.0 million from the sale of a portion of our future royalties from net sales of Tyvaso DPI and net proceeds from at-the-market offerings of $6.8 million, partially offset by $10.2 million in payments for taxes related to net issuance of common stock associated with restricted stock units and stock options, and principal payments of $6.7 million on the MidCap credit facility.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Liquidity Needs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Although we have not generated net income or cash flows from operating activities on a consistent basis, we believe we will be able to meet our near-term liquidity needs based on our cash, cash equivalents and investments on hand, sales of Afrezza and V-Go, and royalties and manufacturing revenue from the production and sale of Tyvaso DPI as well as through debt or equity financing, if necessary, for our long-term liquidity needs. We expect to continue to incur expenditures for the foreseeable future in support of our manufacturing operations, sales and marketing costs for our products and development costs for other product candidates in our pipeline. As of December 31, 2024, we had cash, cash equivalents and investments of $202.7 million, which was comprised of capital resources of $46.3 million in cash and cash equivalents, $150.9 million in short-term investments and $5.5 million in long-term investments, and total principal amount of outstanding borrowings of $36.3 million.</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believe our resources will be sufficient to fund our operations for the next 12 months from the date of issuance of our consolidated financial statements included in Part II, Item 8 – Financial Statements and Supplementary Data.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 Summary of Significant Accounting Policies</w:t>
      </w:r>
      <w:r>
        <w:rPr>
          <w:rFonts w:ascii="Times New Roman" w:cs="Times New Roman" w:eastAsia="Times New Roman" w:hAnsi="Times New Roman"/>
          <w:sz w:val="18"/>
          <w:szCs w:val="18"/>
          <w:color w:val="auto"/>
        </w:rPr>
        <w:t xml:space="preserve"> of the Notes to Consolidated Financial Statements included in Part II, Item 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Financial Statements and Supplementary Data for information regarding new accounting standards that have been issued by the FASB but are not effective until after December 31,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The senior convertible notes have a fixed interest rate of 2.50% and therefore the interest expense associated with such debt is not exposed to changes in market interest rates. See Note 10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information about the principal amount of outstanding debt.</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were subject to interest rate risk pursuant to our MidCap credit facility which accrued interest at an annual rate equal to the lesser of (i) 8.25% and (ii) one month SOFR (subject to a one month SOFR floor of 1.00%) plus 6.25%. Our MidCap credit facility was repaid in April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incur and will continue to incur significant expenditures for insulin supply obligations under our Insulin Supply Agreement.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year ended December 31, 2024, we realized a $3.9 million currency gain, which was reflected as a gain on foreign currency transaction in the consolidated statements of operations.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Exchange rate fluctuations may adversely affect our expenses, results of operations, financial position and cash flows. If a change in the U.S. dollar to Euro exchange rate equal to 10% of the U.S. dollar to Euro exchange rate on December 31, 2024 were to have occurred, this change would have resulted in a foreign currency impact to our pre-tax income of approximately $5.8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included in Items 15(a) (1) and (2) of Part IV of this Annual Report on Form 10-K.</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ind w:right="39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 In designing and evaluating our disclosure controls and procedures, we and our management recognize that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desired control objectives. Additionally, in evaluating and implementing possible controls and procedures, our management was required to apply its reasonable judgment.</w:t>
      </w:r>
    </w:p>
    <w:p>
      <w:pPr>
        <w:spacing w:after="0" w:line="19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December 31, 2024.</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upon this evaluation, our Chief Executive Officer and Chief Financial Officer concluded that the design and operation of our disclosure controls and procedures were effective as of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Exchange Act. Because of its inherent limitations, internal control over financial reporting may not prevent or detect misstatements. Projections of any evaluation of effectiveness to future periods are subject to the risk that controls may not operate effectively because of changes in conditions such as replacing consulting resources with permanent personnel or that the degree of compliance with the policies or procedures may deteriorate. Our management assessed the effectiveness of our internal control over financial reporting as of December 31, 2024. In making this assessment, our management used the criteria set forth by the Committee of Sponsoring Organizations of the Treadway Commission (COSO) in the Internal Control-Integrated Framework (2013 Framework).</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Based on this assessment, our management concluded that, as of December 31, 2024, our internal control over financial reporting was effective based on those criteria.</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has been audited by Deloitte &amp; Touche LLP, an independent registered public accounting firm, as stated in their attestation report herein, which expresses an unqualified opinion on the effectiveness of our internal control over financial reporting as of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6" w:name="page57"/>
    <w:bookmarkEnd w:id="56"/>
    <w:p>
      <w:pPr>
        <w:ind w:left="3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MannKind Corporation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MannKind Corporation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26, 2025, expressed an unqualified opinion on those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r>
        <w:rPr>
          <w:rFonts w:ascii="Times New Roman" w:cs="Times New Roman" w:eastAsia="Times New Roman" w:hAnsi="Times New Roman"/>
          <w:sz w:val="19"/>
          <w:szCs w:val="19"/>
          <w:color w:val="auto"/>
        </w:rPr>
        <w:t>.</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5" w:right="1440" w:bottom="1440" w:gutter="0" w:footer="0" w:header="0"/>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required by this Item and not set forth below will be set forth in the sections headed “Proposal 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Election of Directors” and “Corporate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Governance Principles and Board and Committee Matters” in our definitive proxy statement for our 2025 Annual Meeting of Stockholders (the “Proxy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to be filed with the SEC on or before April 30, 2025, and is incorporated herein by reference.</w:t>
      </w:r>
    </w:p>
    <w:p>
      <w:pPr>
        <w:spacing w:after="0" w:line="97" w:lineRule="exact"/>
        <w:rPr>
          <w:sz w:val="20"/>
          <w:szCs w:val="20"/>
          <w:color w:val="auto"/>
        </w:rPr>
      </w:pPr>
    </w:p>
    <w:p>
      <w:pPr>
        <w:ind w:right="620" w:firstLine="8"/>
        <w:spacing w:after="0" w:line="284" w:lineRule="auto"/>
        <w:tabs>
          <w:tab w:leader="none" w:pos="2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Executive Officers — </w:t>
      </w:r>
      <w:r>
        <w:rPr>
          <w:rFonts w:ascii="Times New Roman" w:cs="Times New Roman" w:eastAsia="Times New Roman" w:hAnsi="Times New Roman"/>
          <w:sz w:val="18"/>
          <w:szCs w:val="18"/>
          <w:color w:val="auto"/>
        </w:rPr>
        <w:t>For information regarding the identification and business experience of our executive officers, see “Information about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in Part I, Item 1 of this Annual Report on Form 10-K.</w:t>
      </w:r>
    </w:p>
    <w:p>
      <w:pPr>
        <w:spacing w:after="0" w:line="5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Directors — </w:t>
      </w:r>
      <w:r>
        <w:rPr>
          <w:rFonts w:ascii="Times New Roman" w:cs="Times New Roman" w:eastAsia="Times New Roman" w:hAnsi="Times New Roman"/>
          <w:sz w:val="18"/>
          <w:szCs w:val="18"/>
          <w:color w:val="auto"/>
        </w:rPr>
        <w:t>Our board of directors consists of the following members:</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James S. Shannon, M.D. </w:t>
      </w:r>
      <w:r>
        <w:rPr>
          <w:rFonts w:ascii="Times New Roman" w:cs="Times New Roman" w:eastAsia="Times New Roman" w:hAnsi="Times New Roman"/>
          <w:sz w:val="18"/>
          <w:szCs w:val="18"/>
          <w:color w:val="auto"/>
        </w:rPr>
        <w:t>rejoined our board in May 2015 after previously serving as a director from February 2010 until April 2012. Dr. Shannon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Chairman of the Board of Directors in December 2020. From May 2012 until his retirement in April 2015, Dr. Shannon was the Chief Medical Officer of GSK plc. He formerly held the position of Global Head of Pharma Development at Novartis AG, based in Basel, Switzerland from 2005 until 2008. After joining Sandoz in 1994 as Head of Drug Regulatory Affairs, Dr. Shannon led the Integration Office for R&amp;D overseeing the creation of the Novartis R&amp;D group from those of Ciba-Geigy Ltd and Sandoz. Following the merger, he was appointed Head of the Cardiovascular Strategic Team and subsequently became Global Head of Project and Portfolio Management before being appointed Global Head of Clinical Development and Medical Affairs in 1999, a position that he held until 2005 when he was appointed to Head Pharma Development. Between 2008 and joining GSK, Dr. Shannon served on the boards of a number of companies, including Biotie, Circassia, Crucell and Endocyte. He also sat on the board of Cerimon Pharmaceuticals where he held the position of interim Chief Executive Officer and President from January 2009 until April 2010. Dr. Shannon served on the boards of Immodulon Therapeutics Limited from July 2015 until December 2021 and Horizon Therapeutics from August 2017 until October 2023. He is currently chairman of the board of Kyowa Kirin (NA) Inc. since July 2019, and has served on the boards of ProQR Therapeutics NV since June 2016 and Leyden Labs since September 2020. He first entered the pharmaceutical industry in 1987 joining Sterling Winthrop Inc., working initially in Europe and subsequently in the USA, where he held positions of increasing responsibility in the management of research and development ultimately serving as Senior Vice-President, Clinical Development. Dr. Shannon is trained in Medicine and Cardiology. He received his undergraduate and postgraduate degrees at Queen’s University of Belfast and is a Member of the Royal College of Physicians (UK).</w:t>
      </w:r>
    </w:p>
    <w:p>
      <w:pPr>
        <w:spacing w:after="0" w:line="19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Steven B. Binder </w:t>
      </w:r>
      <w:r>
        <w:rPr>
          <w:rFonts w:ascii="Times New Roman" w:cs="Times New Roman" w:eastAsia="Times New Roman" w:hAnsi="Times New Roman"/>
          <w:sz w:val="18"/>
          <w:szCs w:val="18"/>
          <w:color w:val="auto"/>
        </w:rPr>
        <w:t>joined the board in October 2024 and was our Chief Financial Officer from July 2017 to April 2024. Before joining us, since 2013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Binder served as Vice President and Chief Financial Officer of the International Group of Stryker Corporation, a leading global medical technology company, based in Singapore. Prior to Stryker, Mr. Binder served in a series of senior leadership roles at BMS. His last four positions at BMS were Vice President, Finance roles over different geographic operating units: United States (2012-2013), Europe (2008-2011), AsiaPacific (2005-2007), and Japan (2003-2005). Prior to his international experience, Mr. Binder served in three senior leadership roles for Oncology Therapeutics Network, a U.S. based independent subsidiary of BMS: Vice President, Strategic Development (2001-2003), Vice President, Customer Operations (2000-2001), and Chief Financial Officer (1997-2000). Before Oncology Therapeutics Network, Mr. Binder progressed through three finance and accounting roles for BMS Worldwide Medicines Group after joining the company in 1992. Before BMS, he worked for Deloitte &amp; Touche LLP in a series of auditing roles with increasing responsibility over an eight-year period beginning in 1984. Mr. Binder received a B.S. degree in Accounting and Business Administration from Muhlenberg College and is a Certified Public Accountant.</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Michael E. Castagna, Pharm.D. </w:t>
      </w:r>
      <w:r>
        <w:rPr>
          <w:rFonts w:ascii="Times New Roman" w:cs="Times New Roman" w:eastAsia="Times New Roman" w:hAnsi="Times New Roman"/>
          <w:sz w:val="18"/>
          <w:szCs w:val="18"/>
          <w:color w:val="auto"/>
        </w:rPr>
        <w:t>has served as our Chief Executive Officer and as one of our directors since May 2017. Mr. Castagna also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Vice President, Chief Commercial Officer from March 2016 until May 2017. From November 2012 until he joined us, Mr. Castagna was at Amgen, Inc., where he initially served as Vice President, Global Lifecycle Management and was most recently Vice President, Global Commercial Lead for Amgen’s Biosimilar Business Unit. From 2010 to 2012, he was Executive Director, Immunology, at Bristol-Myers Squibb Company (‘‘BMS’’). Before BMS, Mr. Castagna served as Vice President and Head, Biopharmaceuticals, North America, at Sandoz, a division of Novartis. Beginning in 1997, he held positions with commercial or medical affairs responsibilities at EMD (Merck) Serono, Pharmasset and DuPont Pharmaceuticals. He received his pharmacy degree from the University of the Sciences-Philadelphia College of Pharmacy, a Pharm.D. from Massachusetts College of Pharmacy &amp; Sciences and an MBA from The Wharton School of Business at the University of Pennsylvania.</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Ronald J. Consiglio </w:t>
      </w:r>
      <w:r>
        <w:rPr>
          <w:rFonts w:ascii="Times New Roman" w:cs="Times New Roman" w:eastAsia="Times New Roman" w:hAnsi="Times New Roman"/>
          <w:sz w:val="18"/>
          <w:szCs w:val="18"/>
          <w:color w:val="auto"/>
        </w:rPr>
        <w:t>has been one of our directors since October 2003. Since 1999, Mr. Consiglio has been the Managing Director of Synergy Trading,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securities-trading partnership. From 1999 to 2001, Mr. Consiglio was Executive Vice President and Chief Financial Officer of Trading Edge, Inc., a national automated bond-trading firm. From January 1993 to 1998 Mr. Consiglio served as Chief Executive Officer of Angeles Mortgage Investment Trust, a publicly traded Real Estate Investment Trust. His prior experience includes serving as Senior Vice President and Chief Financial Officer of Cantor Fitzgerald &amp; Co. and as a member of its board of directors. Mr. Consiglio has served as a member of the board of trustees for the Metropolitan West Funds since 2003. Mr. Consiglio served as a certified public accountant for over 17 years and was a partner in the international accounting firm of Deloitte, Haskins &amp; Sells. He holds a bachelor’s degree in accounting from California State University at Northridge.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9" w:name="page60"/>
    <w:bookmarkEnd w:id="59"/>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Michael A. Friedman, M.D. </w:t>
      </w:r>
      <w:r>
        <w:rPr>
          <w:rFonts w:ascii="Times New Roman" w:cs="Times New Roman" w:eastAsia="Times New Roman" w:hAnsi="Times New Roman"/>
          <w:sz w:val="18"/>
          <w:szCs w:val="18"/>
          <w:color w:val="auto"/>
        </w:rPr>
        <w:t>has been one of our directors since December 2003. In 2014, Dr. Friedman completed a decade of service as the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of the City of Hope National Medical Center. Previously, from September 2001 until April 2003, Dr. Friedman held the position of Senior Vice President of Research and Development, Medical and Public Policy, for Pharmacia Corporation and, from July 1999 until September 2001, was a Senior Vice President of Searle, a subsidiary of Monsanto Company. From 1995 until June 1999, Dr. Friedman served as Deputy Commissioner for Operations for the Food and Drug Administration, and was Acting Commissioner and Lead Deputy Commissioner from 1997 to 1998. He served on the board of Celgene Corporation from February 2011 to December 2019 and on the board of Smith &amp; Nephew plc from April 2013 to April 2019. Dr. Friedman received a Bachelor of Arts degree, magna cum laude, from Tulane University, New Orleans, Louisiana, and a doctorate in medicine from the University of Texas, Southwestern Medical School.</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Jennifer Grancio </w:t>
      </w:r>
      <w:r>
        <w:rPr>
          <w:rFonts w:ascii="Times New Roman" w:cs="Times New Roman" w:eastAsia="Times New Roman" w:hAnsi="Times New Roman"/>
          <w:sz w:val="18"/>
          <w:szCs w:val="18"/>
          <w:color w:val="auto"/>
        </w:rPr>
        <w:t>has been one of our directors since March 2020. Since October 2023, Ms. Grancio has been the Global Head of Wealth at the The TCW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From October 2020 until October 2023, Ms. Grancio served as the Chief Executive Officer of Engine No. 1, an impact investment firm. From November 2018 until October 2020, she consulted through Grancio Capital, where she worked with CEOs to accelerate high-growth company success. From 1999 to 2018, she served as a founder and executive with BlackRock’s iShares business, where she spearheaded the distribution of iShares in the United States and Europe and acted as the Global Head of Marketing and Partnerships for BlackRock’s index business. Prior to BlackRock, she was a senior associate with PricewaterhouseCoopers, a management consulting firm. Ms. Grancio serves as a board member for Ethic Inc., a sustainable investing firm, and for Harvest Savings &amp; Wealth Technologies, Inc. She is also on the advisory boards of Say Technologies LLC and m+ funds (from Alaia Capital, LLC). Ms. Grancio earned a bachelor’s degree in economics and international relations from Stanford University, and an MBA degree in strategy and finance from Columbia Business School.</w:t>
      </w:r>
    </w:p>
    <w:p>
      <w:pPr>
        <w:spacing w:after="0" w:line="18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Anthony Hooper </w:t>
      </w:r>
      <w:r>
        <w:rPr>
          <w:rFonts w:ascii="Times New Roman" w:cs="Times New Roman" w:eastAsia="Times New Roman" w:hAnsi="Times New Roman"/>
          <w:sz w:val="18"/>
          <w:szCs w:val="18"/>
          <w:color w:val="auto"/>
        </w:rPr>
        <w:t>has been one of our directors since January 2020. He is also a director of BeiGene, Ltd. and Amplity Health. Mr. Hooper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vice president of Global Commercial Operations for Amgen Inc. from Oct 2011 until August 2018. Prior to joining Amgen, Mr. Hooper spent more than 15 years at Bristol-Myers Squibb. His last role there was Senior Vice President, Global Commercial Operations and president of the company’s pharmaceutical business in the Americas, Japan and intercontinental regions. Previously, he was Assistant Vice President of Global Marketing for Wyeth Laboratories and led the international marketing group for Lederle International. Mr. Hooper earned law and MBA degrees from the University of South Africa.</w:t>
      </w:r>
    </w:p>
    <w:p>
      <w:pPr>
        <w:spacing w:after="0" w:line="18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Sabrina Kay, PhD </w:t>
      </w:r>
      <w:r>
        <w:rPr>
          <w:rFonts w:ascii="Times New Roman" w:cs="Times New Roman" w:eastAsia="Times New Roman" w:hAnsi="Times New Roman"/>
          <w:sz w:val="18"/>
          <w:szCs w:val="18"/>
          <w:color w:val="auto"/>
        </w:rPr>
        <w:t>has been a member of our Board of Directors since December 2020. Currently, Dr. Kay serves as Founder and CEO of Fremont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where she has led the operations and exits of several companies including The Art Institute of Hollywood (sold to Education Management Corp.), Premier Business Bank (sold to First Foundation Inc.), Fashion Umbrella, Fremont College, and Dale Carnegie of Los Angeles. Dr. Kay currently serves on the boards of East West Bank (NASDAQ: EWBC) and Hagerty (NYSE:HGTY). She is also a philanthropist, having served on more than 30 charitable and civic boards, including the Los Angeles Sports and Entertainment Commission, Petersen Automotive Museum, Portal Schools, the Leadership Council of International Medical Corps Leadership Council, the Board of Leaders of USC Marshall School and After-School All-Stars Los Angeles, which she chairs. Dr. Kay received Ed.D. and M.Sc. degrees in education from the University of Pennsylvania. She also holds an MBA from the University of Southern California.</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Christine Mundkur </w:t>
      </w:r>
      <w:r>
        <w:rPr>
          <w:rFonts w:ascii="Times New Roman" w:cs="Times New Roman" w:eastAsia="Times New Roman" w:hAnsi="Times New Roman"/>
          <w:sz w:val="18"/>
          <w:szCs w:val="18"/>
          <w:color w:val="auto"/>
        </w:rPr>
        <w:t>has been one of our directors since November 2018. Ms. Mundkur most recently served as Chief Executive Officer and non-voting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of Directors for Impopharma Inc., a developer of complex formulations focused on inhaled pharmaceutical products, from February 2013 to February 2017. While at Impopharma, Ms. Mundkur led the transition of the company from a successful clinical research organization into a generic pharmaceutical inhalation development company. Her work included the internal 8 development and filing of Abbreviated New Drug Applications for spray and inhalation products. Ms. Mundkur also previously served as President and Chief Executive Officer of the U.S. Division and Head of Commercial Operations for North America for Sandoz, Inc. from January 2009 to April 2010. She served as Chief Executive Officer of Barr Laboratories, Inc. from April 2008 to December 2008, where she started her career as quality and regulatory counsel in 1993. In addition, Ms. Mundkur has served as a strategic consultant advising several clients on global pharmaceutical business strategies. Ms. Mundkur currently serves on the board of directors of Cardinal Health and served on the board of directors of Lupin Limited from April 2019 through December 2022. Ms. Mundkur holds a J.D. from the St. Louis University School of Law and received her B.S. degree in chemistry from St. Louis University.</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adopted a Code of Business Conduct and Ethics Policy that applies to our directors and employees, including our principal executive officer, principal financial officer, principal accounting officer or controller, and have posted the text of the policy on our website (</w:t>
      </w:r>
      <w:r>
        <w:rPr>
          <w:rFonts w:ascii="Times New Roman" w:cs="Times New Roman" w:eastAsia="Times New Roman" w:hAnsi="Times New Roman"/>
          <w:sz w:val="18"/>
          <w:szCs w:val="18"/>
          <w:i w:val="1"/>
          <w:iCs w:val="1"/>
          <w:color w:val="auto"/>
        </w:rPr>
        <w:t>www.mannkindcorp.com</w:t>
      </w:r>
      <w:r>
        <w:rPr>
          <w:rFonts w:ascii="Times New Roman" w:cs="Times New Roman" w:eastAsia="Times New Roman" w:hAnsi="Times New Roman"/>
          <w:sz w:val="18"/>
          <w:szCs w:val="18"/>
          <w:color w:val="auto"/>
        </w:rPr>
        <w:t>) in connection with “Corporate Governance” materials. In addition, we intend to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to the extent any such waiver is required to be disclosed pursuant to the rules and regulations of the SEC.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“Executive Compensation,” “Compensation of Directors” and “Compensation Committee Report” in the Proxy Statement,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“Security Ownership of Certain Beneficial Owners and Management” and “Securities Authorized for Issuance under Equity Compensation Plans” in the Proxy Statement,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“Corporate Governance Principles and Board and Committee Matters” and “Related Party Transactions, Policy and Procedures” in the Proxy Statement,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“Principal Accounting Fees and Services” and “Pre-Approval Policies and Procedures” in the Proxy Statement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exception of the information specifically incorporated by reference from the Proxy Statement in this Annual Report on Form 10-K, the Proxy Statement shall not be deemed to be filed as part of this report. Without limiting the foregoing, the information under the captions “Report of the Audit Committee of the Board of Directors” in the Proxy Statement is not incorporated by reference.</w:t>
      </w:r>
    </w:p>
    <w:p>
      <w:pPr>
        <w:spacing w:after="0" w:line="17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305" w:right="69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21"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or incorporated by reference into, this Annual Report on Form 10-K:</w:t>
      </w:r>
    </w:p>
    <w:p>
      <w:pPr>
        <w:spacing w:after="0" w:line="117" w:lineRule="exact"/>
        <w:rPr>
          <w:rFonts w:ascii="Times New Roman" w:cs="Times New Roman" w:eastAsia="Times New Roman" w:hAnsi="Times New Roman"/>
          <w:sz w:val="18"/>
          <w:szCs w:val="18"/>
          <w:color w:val="auto"/>
        </w:rPr>
      </w:pPr>
    </w:p>
    <w:p>
      <w:pPr>
        <w:ind w:left="1020" w:right="3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63:</w:t>
      </w:r>
    </w:p>
    <w:p>
      <w:pPr>
        <w:spacing w:after="0" w:line="163" w:lineRule="exact"/>
        <w:rPr>
          <w:sz w:val="20"/>
          <w:szCs w:val="20"/>
          <w:color w:val="auto"/>
        </w:rPr>
      </w:pPr>
    </w:p>
    <w:tbl>
      <w:tblPr>
        <w:tblLayout w:type="fixed"/>
        <w:tblInd w:w="30" w:type="dxa"/>
        <w:tblCellMar>
          <w:top w:w="0" w:type="dxa"/>
          <w:left w:w="0" w:type="dxa"/>
          <w:bottom w:w="0" w:type="dxa"/>
          <w:right w:w="0" w:type="dxa"/>
        </w:tblCellMar>
      </w:tblPr>
      <w:tr>
        <w:trPr>
          <w:trHeight w:val="207"/>
        </w:trPr>
        <w:tc>
          <w:tcPr>
            <w:tcW w:w="83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96"/>
        </w:trPr>
        <w:tc>
          <w:tcPr>
            <w:tcW w:w="8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2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96"/>
        </w:trPr>
        <w:tc>
          <w:tcPr>
            <w:tcW w:w="8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2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96"/>
        </w:trPr>
        <w:tc>
          <w:tcPr>
            <w:tcW w:w="8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2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21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96"/>
        </w:trPr>
        <w:tc>
          <w:tcPr>
            <w:tcW w:w="8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Deficit</w:t>
            </w:r>
          </w:p>
        </w:tc>
        <w:tc>
          <w:tcPr>
            <w:tcW w:w="2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96"/>
        </w:trPr>
        <w:tc>
          <w:tcPr>
            <w:tcW w:w="8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2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96"/>
        </w:trPr>
        <w:tc>
          <w:tcPr>
            <w:tcW w:w="8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54" w:lineRule="exact"/>
        <w:rPr>
          <w:sz w:val="20"/>
          <w:szCs w:val="20"/>
          <w:color w:val="auto"/>
        </w:rPr>
      </w:pPr>
    </w:p>
    <w:p>
      <w:pPr>
        <w:ind w:left="1540" w:right="80" w:hanging="514"/>
        <w:spacing w:after="0" w:line="282"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under Item 15(b) hereof are filed or furnished with, or incorporated by reference into, this Annual Report on Form 10-K. Each management contract or compensatory plan or arrangement is identified separately in Item 15(b) 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exhibits are filed or furnished as part of, or incorporated by reference into, this Annual Report on Form 10-K:</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940" w:type="dxa"/>
            <w:vAlign w:val="bottom"/>
            <w:gridSpan w:val="1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940" w:type="dxa"/>
            <w:vAlign w:val="bottom"/>
            <w:tcBorders>
              <w:bottom w:val="single" w:sz="8" w:color="auto"/>
            </w:tcBorders>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Purchase Agreement, dated December 7, 2020 by and among the Company, the Acquired Company, the Sellers and the Securityholders’</w:t>
              </w:r>
            </w:hyperlink>
          </w:p>
        </w:tc>
        <w:tc>
          <w:tcPr>
            <w:tcW w:w="5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Representative (incorporated by reference to Exhibit 2.1 to MannKind’s Current Report on Form 8-K (File No. 000-50865), filed with the SEC</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102">
              <w:r>
                <w:rPr>
                  <w:rFonts w:ascii="Times New Roman" w:cs="Times New Roman" w:eastAsia="Times New Roman" w:hAnsi="Times New Roman"/>
                  <w:sz w:val="18"/>
                  <w:szCs w:val="18"/>
                  <w:color w:val="0000FF"/>
                  <w:w w:val="97"/>
                </w:rPr>
                <w:t>on December 7, 2020).</w:t>
              </w:r>
            </w:hyperlink>
          </w:p>
        </w:tc>
        <w:tc>
          <w:tcPr>
            <w:tcW w:w="20" w:type="dxa"/>
            <w:vAlign w:val="bottom"/>
            <w:tcBorders>
              <w:bottom w:val="single" w:sz="8" w:color="0000EE"/>
            </w:tcBorders>
          </w:tcPr>
          <w:p>
            <w:pPr>
              <w:spacing w:after="0"/>
              <w:rPr>
                <w:sz w:val="17"/>
                <w:szCs w:val="17"/>
                <w:color w:val="auto"/>
              </w:rPr>
            </w:pPr>
          </w:p>
        </w:tc>
        <w:tc>
          <w:tcPr>
            <w:tcW w:w="872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Amended and Restated Certificate of Incorporation (incorporated by reference to Exhibit 3.1 to MannKind’s Quarterly Report on Form 10-Q</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80" w:type="dxa"/>
            <w:vAlign w:val="bottom"/>
            <w:gridSpan w:val="31"/>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(File No. 000-50865), filed with the SEC on August 9, 2016).</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4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Exhibit 3.1 to MannKind’s Current Report on Form 8-K (File No. 000-50865), filed with the SEC on March 2, 2017).</w:t>
              </w:r>
            </w:hyperlink>
          </w:p>
        </w:tc>
        <w:tc>
          <w:tcPr>
            <w:tcW w:w="20" w:type="dxa"/>
            <w:vAlign w:val="bottom"/>
            <w:tcBorders>
              <w:bottom w:val="single" w:sz="8" w:color="0000EE"/>
            </w:tcBorders>
          </w:tcPr>
          <w:p>
            <w:pPr>
              <w:spacing w:after="0"/>
              <w:rPr>
                <w:sz w:val="17"/>
                <w:szCs w:val="17"/>
                <w:color w:val="auto"/>
              </w:rPr>
            </w:pPr>
          </w:p>
        </w:tc>
        <w:tc>
          <w:tcPr>
            <w:tcW w:w="18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4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Exhibit 3.1 to MannKind’s Current Report on Form 8-K (File No. 000-50865), filed with the SEC on December 13, 2017).</w:t>
              </w:r>
            </w:hyperlink>
          </w:p>
        </w:tc>
        <w:tc>
          <w:tcPr>
            <w:tcW w:w="20" w:type="dxa"/>
            <w:vAlign w:val="bottom"/>
            <w:tcBorders>
              <w:bottom w:val="single" w:sz="8" w:color="0000EE"/>
            </w:tcBorders>
          </w:tcPr>
          <w:p>
            <w:pPr>
              <w:spacing w:after="0"/>
              <w:rPr>
                <w:sz w:val="17"/>
                <w:szCs w:val="17"/>
                <w:color w:val="auto"/>
              </w:rPr>
            </w:pPr>
          </w:p>
        </w:tc>
        <w:tc>
          <w:tcPr>
            <w:tcW w:w="15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4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80" w:type="dxa"/>
            <w:vAlign w:val="bottom"/>
            <w:gridSpan w:val="31"/>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Exhibit 3.1 to MannKind’s Current Report on Form 8-K (File No. 000-50865), filed with the SEC on May 27, 2020).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140" w:type="dxa"/>
            <w:vAlign w:val="bottom"/>
            <w:tcBorders>
              <w:right w:val="single" w:sz="8" w:color="0000EE"/>
            </w:tcBorders>
            <w:gridSpan w:val="2"/>
            <w:shd w:val="clear" w:color="auto" w:fill="0000FF"/>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4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80" w:type="dxa"/>
            <w:vAlign w:val="bottom"/>
            <w:gridSpan w:val="31"/>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Exhibit 3.1 to MannKind’s Current Report on Form 8-K (File No. 000-50865), filed with the SEC on May 30, 2023).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140" w:type="dxa"/>
            <w:vAlign w:val="bottom"/>
            <w:tcBorders>
              <w:right w:val="single" w:sz="8" w:color="0000EE"/>
            </w:tcBorders>
            <w:gridSpan w:val="2"/>
            <w:shd w:val="clear" w:color="auto" w:fill="0000FF"/>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Amended and Restated Bylaws (incorporated by reference to Exhibit 3.2 to MannKind’s Current Report on Form 8-K (File No. 000-50865),</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108">
              <w:r>
                <w:rPr>
                  <w:rFonts w:ascii="Times New Roman" w:cs="Times New Roman" w:eastAsia="Times New Roman" w:hAnsi="Times New Roman"/>
                  <w:sz w:val="18"/>
                  <w:szCs w:val="18"/>
                  <w:color w:val="0000FF"/>
                  <w:w w:val="98"/>
                </w:rPr>
                <w:t>filed with the SEC on May 27, 2020).</w:t>
              </w:r>
            </w:hyperlink>
          </w:p>
        </w:tc>
        <w:tc>
          <w:tcPr>
            <w:tcW w:w="20" w:type="dxa"/>
            <w:vAlign w:val="bottom"/>
            <w:tcBorders>
              <w:bottom w:val="single" w:sz="8" w:color="0000EE"/>
            </w:tcBorders>
          </w:tcPr>
          <w:p>
            <w:pPr>
              <w:spacing w:after="0"/>
              <w:rPr>
                <w:sz w:val="17"/>
                <w:szCs w:val="17"/>
                <w:color w:val="auto"/>
              </w:rPr>
            </w:pPr>
          </w:p>
        </w:tc>
        <w:tc>
          <w:tcPr>
            <w:tcW w:w="76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80" w:type="dxa"/>
            <w:vAlign w:val="bottom"/>
            <w:gridSpan w:val="31"/>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103">
              <w:r>
                <w:rPr>
                  <w:rFonts w:ascii="Times New Roman" w:cs="Times New Roman" w:eastAsia="Times New Roman" w:hAnsi="Times New Roman"/>
                  <w:sz w:val="18"/>
                  <w:szCs w:val="18"/>
                  <w:color w:val="0000FF"/>
                </w:rPr>
                <w:t>3.1</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color w:val="0000FF"/>
                </w:rPr>
                <w:t>3.2</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color w:val="0000FF"/>
                </w:rPr>
                <w:t>3.3</w:t>
              </w:r>
            </w:hyperlink>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color w:val="0000FF"/>
                </w:rPr>
                <w:t>3.4</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color w:val="0000FF"/>
                </w:rPr>
                <w:t>3.5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108">
              <w:r>
                <w:rPr>
                  <w:rFonts w:ascii="Times New Roman" w:cs="Times New Roman" w:eastAsia="Times New Roman" w:hAnsi="Times New Roman"/>
                  <w:sz w:val="18"/>
                  <w:szCs w:val="18"/>
                  <w:color w:val="0000FF"/>
                </w:rPr>
                <w:t>3.6</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4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80" w:type="dxa"/>
            <w:vAlign w:val="bottom"/>
            <w:gridSpan w:val="31"/>
          </w:tcPr>
          <w:p>
            <w:pPr>
              <w:spacing w:after="0"/>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Form of common stock certificate (incorporated by reference to Exhibit 4.2 to MannKind’s Annual Report on Form 10-K (File No. 000-50865),</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filed with the SEC on March 16, 2017).</w:t>
              </w:r>
            </w:hyperlink>
          </w:p>
        </w:tc>
        <w:tc>
          <w:tcPr>
            <w:tcW w:w="7500" w:type="dxa"/>
            <w:vAlign w:val="bottom"/>
            <w:tcBorders>
              <w:top w:val="single" w:sz="8" w:color="0000FF"/>
            </w:tcBorders>
            <w:gridSpan w:val="2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Description of Common Stock (incorporated by reference to Exhibit 4.3 in MannKind's Annual Report on Form 10-K (File No. 000-50865),</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110">
              <w:r>
                <w:rPr>
                  <w:rFonts w:ascii="Times New Roman" w:cs="Times New Roman" w:eastAsia="Times New Roman" w:hAnsi="Times New Roman"/>
                  <w:sz w:val="18"/>
                  <w:szCs w:val="18"/>
                  <w:color w:val="0000FF"/>
                  <w:w w:val="98"/>
                </w:rPr>
                <w:t>filed with the SEC on February 27, 2024).</w:t>
              </w:r>
            </w:hyperlink>
          </w:p>
        </w:tc>
        <w:tc>
          <w:tcPr>
            <w:tcW w:w="40" w:type="dxa"/>
            <w:vAlign w:val="bottom"/>
            <w:tcBorders>
              <w:bottom w:val="single" w:sz="8" w:color="0000EE"/>
            </w:tcBorders>
          </w:tcPr>
          <w:p>
            <w:pPr>
              <w:spacing w:after="0"/>
              <w:rPr>
                <w:sz w:val="17"/>
                <w:szCs w:val="17"/>
                <w:color w:val="auto"/>
              </w:rPr>
            </w:pPr>
          </w:p>
        </w:tc>
        <w:tc>
          <w:tcPr>
            <w:tcW w:w="73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Milestone Rights Purchase Agreement, dated as of July 1, 2013, by and among MannKind, Deerfield Private Design Fund II, L.P. and Horizon</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Santé FLML SÁRL (incorporated by reference to Exhibit 99.3 to MannKind’s Current Report on Form 8-K (File No. 000-50865), filed with</w:t>
              </w:r>
            </w:hyperlink>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11">
              <w:r>
                <w:rPr>
                  <w:rFonts w:ascii="Times New Roman" w:cs="Times New Roman" w:eastAsia="Times New Roman" w:hAnsi="Times New Roman"/>
                  <w:sz w:val="18"/>
                  <w:szCs w:val="18"/>
                  <w:color w:val="0000FF"/>
                  <w:w w:val="98"/>
                </w:rPr>
                <w:t>the SEC on July 1, 2013).</w:t>
              </w:r>
            </w:hyperlink>
          </w:p>
        </w:tc>
        <w:tc>
          <w:tcPr>
            <w:tcW w:w="85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740" w:type="dxa"/>
            <w:vAlign w:val="bottom"/>
          </w:tcPr>
          <w:p>
            <w:pPr>
              <w:spacing w:after="0"/>
              <w:rPr>
                <w:sz w:val="24"/>
                <w:szCs w:val="24"/>
                <w:color w:val="auto"/>
              </w:rPr>
            </w:pPr>
          </w:p>
        </w:tc>
        <w:tc>
          <w:tcPr>
            <w:tcW w:w="8560" w:type="dxa"/>
            <w:vAlign w:val="bottom"/>
            <w:gridSpan w:val="21"/>
          </w:tcPr>
          <w:p>
            <w:pPr>
              <w:jc w:val="right"/>
              <w:ind w:right="3508"/>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20" w:type="dxa"/>
            <w:vAlign w:val="bottom"/>
            <w:gridSpan w:val="29"/>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120" w:type="dxa"/>
            <w:vAlign w:val="bottom"/>
            <w:tcBorders>
              <w:bottom w:val="single" w:sz="8" w:color="auto"/>
            </w:tcBorders>
            <w:gridSpan w:val="2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of Warrant to Purchase Stock issued to MidCap Financial Trust on August 6, 2019 (incorporated by reference to Exhibit 4.1 to</w:t>
              </w:r>
            </w:hyperlink>
          </w:p>
        </w:tc>
        <w:tc>
          <w:tcPr>
            <w:tcW w:w="82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20" w:type="dxa"/>
            <w:vAlign w:val="bottom"/>
            <w:gridSpan w:val="37"/>
          </w:tcPr>
          <w:p>
            <w:pPr>
              <w:spacing w:after="0" w:line="19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MannKind’s Current Report on Form 8-K (File No. 000-50865), filed with the SEC on August 7, 2019).</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Indenture, dated as of March 4, 2021, by and between MannKind Corporation and U.S. Bank National Association, as Trustee (incorporated by</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20" w:type="dxa"/>
            <w:vAlign w:val="bottom"/>
            <w:gridSpan w:val="37"/>
          </w:tcPr>
          <w:p>
            <w:pPr>
              <w:spacing w:after="0" w:line="19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reference to Exhibit 4.1 to MannKind’s Current Report on Form 8-K (File No. 000-50865), filed with the SEC on March 5, 2021).</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Global Note, representing MannKind Corporation’s 2.50% Convertible Senior Notes due 2026 (included as Exhibit A to the Indenture</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filed as Exhibit 4.15) (incorporated by reference to Exhibit 4.2 to MannKind’s Current Report on Form 8-K (File No. 000-50865),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SEC on March 5, 2021).</w:t>
              </w:r>
            </w:hyperlink>
          </w:p>
        </w:tc>
        <w:tc>
          <w:tcPr>
            <w:tcW w:w="20" w:type="dxa"/>
            <w:vAlign w:val="bottom"/>
            <w:tcBorders>
              <w:bottom w:val="single" w:sz="8" w:color="0000EE"/>
            </w:tcBorders>
          </w:tcPr>
          <w:p>
            <w:pPr>
              <w:spacing w:after="0"/>
              <w:rPr>
                <w:sz w:val="17"/>
                <w:szCs w:val="17"/>
                <w:color w:val="auto"/>
              </w:rPr>
            </w:pPr>
          </w:p>
        </w:tc>
        <w:tc>
          <w:tcPr>
            <w:tcW w:w="864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Offer Letter, dated March 25, 2024, by and between MannKind Corporation and Chris Prentiss (incorporated by reference to Exhibit 10.1 to</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MannKind's Current Report on Form 8-K (File No. 000-50865), filed with the SEC on March 26, 2024).</w:t>
              </w:r>
            </w:hyperlink>
          </w:p>
        </w:tc>
        <w:tc>
          <w:tcPr>
            <w:tcW w:w="29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Offer Letter, dated March 9, 2016, by and between MannKind and Michael E. Castagna (incorporated by reference to Exhibit 10.38 to</w:t>
              </w:r>
            </w:hyperlink>
          </w:p>
        </w:tc>
        <w:tc>
          <w:tcPr>
            <w:tcW w:w="7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MannKind’s Annual Report on Form 10-K (File No. 000-50865), filed with the SEC on March 15, 2016).</w:t>
              </w:r>
            </w:hyperlink>
          </w:p>
        </w:tc>
        <w:tc>
          <w:tcPr>
            <w:tcW w:w="20" w:type="dxa"/>
            <w:vAlign w:val="bottom"/>
            <w:tcBorders>
              <w:bottom w:val="single" w:sz="8" w:color="0000EE"/>
            </w:tcBorders>
          </w:tcPr>
          <w:p>
            <w:pPr>
              <w:spacing w:after="0"/>
              <w:rPr>
                <w:sz w:val="17"/>
                <w:szCs w:val="17"/>
                <w:color w:val="auto"/>
              </w:rPr>
            </w:pPr>
          </w:p>
        </w:tc>
        <w:tc>
          <w:tcPr>
            <w:tcW w:w="27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Offer Letter, dated December 22, 2016, by and between MannKind and Stuart Tross (incorporated by reference to Exhibit 10.36 to MannKind’s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Annual Report on Form 10-K (File No. 000-50865), filed with the SEC on March 16, 2017).</w:t>
              </w:r>
            </w:hyperlink>
          </w:p>
        </w:tc>
        <w:tc>
          <w:tcPr>
            <w:tcW w:w="37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Offer Letter, dated May 16, 2023, by and between MannKind Corporation and Sanjay Singh (incorporated by reference to Exhibit 10.4 to</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20" w:type="dxa"/>
            <w:vAlign w:val="bottom"/>
            <w:gridSpan w:val="37"/>
          </w:tcPr>
          <w:p>
            <w:pPr>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MannKind's Annual Report on Form 10-K (File No. 000-50865) filed with the SEC on February 27, 2024).</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Offer Letter, dated March 21, 2023, by and between MannKind Corporation and Lauren M. Sabella (incorporated by reference to Exhibit 10.1</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to MannKind’s Current Report on Form 8-K (File No. 000-50865), filed with the SEC on March 27, 2023).</w:t>
              </w:r>
            </w:hyperlink>
          </w:p>
        </w:tc>
        <w:tc>
          <w:tcPr>
            <w:tcW w:w="26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Offer Letter, dated September 19, 2022, by and between MannKind Corporation and Burkhard Blank (incorporated by reference to Exhibit 10.6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to MannKind's Annual Report on Form 10-K (File No. 000-50865), filed with the SEC on February 27, 2024).</w:t>
              </w:r>
            </w:hyperlink>
          </w:p>
        </w:tc>
        <w:tc>
          <w:tcPr>
            <w:tcW w:w="20" w:type="dxa"/>
            <w:vAlign w:val="bottom"/>
            <w:tcBorders>
              <w:bottom w:val="single" w:sz="8" w:color="0000EE"/>
            </w:tcBorders>
          </w:tcPr>
          <w:p>
            <w:pPr>
              <w:spacing w:after="0"/>
              <w:rPr>
                <w:sz w:val="17"/>
                <w:szCs w:val="17"/>
                <w:color w:val="auto"/>
              </w:rPr>
            </w:pPr>
          </w:p>
        </w:tc>
        <w:tc>
          <w:tcPr>
            <w:tcW w:w="24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Executive Severance Agreement, dated October 10, 2007, between MannKind and David Thomson (incorporated by reference to Exhibit 99.1</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to MannKind’s Current Report on Form 8-K (File No. 000-50865), as amended, filed with the SEC on October 17, 2007).</w:t>
              </w:r>
            </w:hyperlink>
          </w:p>
        </w:tc>
        <w:tc>
          <w:tcPr>
            <w:tcW w:w="16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Indemnity Agreement entered into between MannKind and each of its directors and officers (incorporated by reference to Exhibit 10.1</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to MannKind’s Registration Statement on Form S-1 (File No. 333-115020), filed with the SEC on April 30, 2004, as amended).</w:t>
              </w:r>
            </w:hyperlink>
          </w:p>
        </w:tc>
        <w:tc>
          <w:tcPr>
            <w:tcW w:w="20" w:type="dxa"/>
            <w:vAlign w:val="bottom"/>
            <w:tcBorders>
              <w:bottom w:val="single" w:sz="8" w:color="0000EE"/>
            </w:tcBorders>
          </w:tcPr>
          <w:p>
            <w:pPr>
              <w:spacing w:after="0"/>
              <w:rPr>
                <w:sz w:val="17"/>
                <w:szCs w:val="17"/>
                <w:color w:val="auto"/>
              </w:rPr>
            </w:pPr>
          </w:p>
        </w:tc>
        <w:tc>
          <w:tcPr>
            <w:tcW w:w="12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Change of Control Agreement (incorporated by reference to Exhibit 99.1 to MannKind’s Current Report on Form 8-K (File No. 000-</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50865)</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filed with the SEC on April 7, 2017).</w:t>
              </w:r>
            </w:hyperlink>
          </w:p>
        </w:tc>
        <w:tc>
          <w:tcPr>
            <w:tcW w:w="20" w:type="dxa"/>
            <w:vAlign w:val="bottom"/>
            <w:tcBorders>
              <w:top w:val="single" w:sz="8" w:color="0000FF"/>
              <w:bottom w:val="single" w:sz="8" w:color="0000EE"/>
            </w:tcBorders>
          </w:tcPr>
          <w:p>
            <w:pPr>
              <w:spacing w:after="0"/>
              <w:rPr>
                <w:sz w:val="17"/>
                <w:szCs w:val="17"/>
                <w:color w:val="auto"/>
              </w:rPr>
            </w:pPr>
          </w:p>
        </w:tc>
        <w:tc>
          <w:tcPr>
            <w:tcW w:w="6900" w:type="dxa"/>
            <w:vAlign w:val="bottom"/>
            <w:tcBorders>
              <w:top w:val="single" w:sz="8" w:color="0000FF"/>
            </w:tcBorders>
            <w:gridSpan w:val="25"/>
          </w:tcPr>
          <w:p>
            <w:pPr>
              <w:spacing w:after="0"/>
              <w:rPr>
                <w:sz w:val="17"/>
                <w:szCs w:val="17"/>
                <w:color w:val="auto"/>
              </w:rPr>
            </w:pPr>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Non-Employee Director Compensation Program (incorporated by reference to Exhibit 10.15 to MannKind’s Annual Report on Form 10-K (File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No. 000-50865), filed with the SEC on February 26, 2019).</w:t>
              </w:r>
            </w:hyperlink>
          </w:p>
        </w:tc>
        <w:tc>
          <w:tcPr>
            <w:tcW w:w="20" w:type="dxa"/>
            <w:vAlign w:val="bottom"/>
            <w:tcBorders>
              <w:bottom w:val="single" w:sz="8" w:color="0000EE"/>
            </w:tcBorders>
          </w:tcPr>
          <w:p>
            <w:pPr>
              <w:spacing w:after="0"/>
              <w:rPr>
                <w:sz w:val="17"/>
                <w:szCs w:val="17"/>
                <w:color w:val="auto"/>
              </w:rPr>
            </w:pPr>
          </w:p>
        </w:tc>
        <w:tc>
          <w:tcPr>
            <w:tcW w:w="612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MannKind Corporation 2013 Equity Incentive Plan, as amended (incorporated by reference to Exhibit 10.1 to MannKind’s Quarterly Report on</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20" w:type="dxa"/>
            <w:vAlign w:val="bottom"/>
            <w:gridSpan w:val="37"/>
          </w:tcPr>
          <w:p>
            <w:pPr>
              <w:spacing w:after="0" w:line="19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10-Q (File No. 000-50865), filed with the SEC on August 9, 2016).</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7"/>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Stock Option Grant Notice, Stock Option Agreement and Notice of Exercise under the MannKind 2013 Equity Incentive Plan</w:t>
              </w:r>
            </w:hyperlink>
          </w:p>
        </w:tc>
        <w:tc>
          <w:tcPr>
            <w:tcW w:w="6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(incorporated by reference to Exhibit 99.2 to MannKind’s registration statement on Form S-8 (File No. 000-188790), filed with the SEC on</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20" w:type="dxa"/>
            <w:vAlign w:val="bottom"/>
            <w:gridSpan w:val="37"/>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May 23, 2013).</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3440" w:type="dxa"/>
            <w:vAlign w:val="bottom"/>
            <w:gridSpan w:val="1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Restricted Stock Unit Grant Notice and Restricted Stock Unit Award Agreement under the MannKind 2013 Equity Incentive Plan</w:t>
              </w:r>
            </w:hyperlink>
          </w:p>
        </w:tc>
        <w:tc>
          <w:tcPr>
            <w:tcW w:w="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(incorporated by reference to Exhibit 99.3 to MannKind’s registration statement on Form S-8 (File No. 000-188790), filed with the SEC on</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20" w:type="dxa"/>
            <w:vAlign w:val="bottom"/>
            <w:gridSpan w:val="37"/>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May 23, 2013).</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3440" w:type="dxa"/>
            <w:vAlign w:val="bottom"/>
            <w:gridSpan w:val="16"/>
          </w:tcPr>
          <w:p>
            <w:pPr>
              <w:spacing w:after="0" w:line="20" w:lineRule="exact"/>
              <w:rPr>
                <w:sz w:val="1"/>
                <w:szCs w:val="1"/>
                <w:color w:val="auto"/>
              </w:rPr>
            </w:pPr>
          </w:p>
        </w:tc>
        <w:tc>
          <w:tcPr>
            <w:tcW w:w="6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MannKind Corporation 2018 Equity Incentive Plan, as amended (incorporated by reference to Exhibit 99.1 to MannKind’s registration</w:t>
              </w:r>
            </w:hyperlink>
          </w:p>
        </w:tc>
        <w:tc>
          <w:tcPr>
            <w:tcW w:w="6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20" w:type="dxa"/>
            <w:vAlign w:val="bottom"/>
            <w:gridSpan w:val="37"/>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statement on Form S-8 (File No. 333-274176), filed with the SEC on August 23, 2023).</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5100" w:type="dxa"/>
            <w:vAlign w:val="bottom"/>
            <w:tcBorders>
              <w:right w:val="single" w:sz="8" w:color="0000EE"/>
            </w:tcBorders>
            <w:gridSpan w:val="8"/>
            <w:shd w:val="clear" w:color="auto" w:fill="0000FF"/>
          </w:tcPr>
          <w:p>
            <w:pPr>
              <w:spacing w:after="0" w:line="20" w:lineRule="exact"/>
              <w:rPr>
                <w:sz w:val="1"/>
                <w:szCs w:val="1"/>
                <w:color w:val="auto"/>
              </w:rPr>
            </w:pPr>
          </w:p>
        </w:tc>
        <w:tc>
          <w:tcPr>
            <w:tcW w:w="410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Stock Option Grant Notice, Stock Option Agreement and Notice of Exercise under the MannKind 2018 Equity Incentive Plan</w:t>
              </w:r>
            </w:hyperlink>
          </w:p>
        </w:tc>
        <w:tc>
          <w:tcPr>
            <w:tcW w:w="6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(incorporated by reference to Exhibit 99.2 to MannKind’s registration statement on Form S-8 (File No. 333-226648), filed with the SEC on</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20" w:type="dxa"/>
            <w:vAlign w:val="bottom"/>
            <w:gridSpan w:val="37"/>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August 7, 2018).</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FF"/>
          </w:tcPr>
          <w:p>
            <w:pPr>
              <w:spacing w:after="0" w:line="20" w:lineRule="exact"/>
              <w:rPr>
                <w:sz w:val="1"/>
                <w:szCs w:val="1"/>
                <w:color w:val="auto"/>
              </w:rPr>
            </w:pPr>
          </w:p>
        </w:tc>
        <w:tc>
          <w:tcPr>
            <w:tcW w:w="9200" w:type="dxa"/>
            <w:vAlign w:val="bottom"/>
            <w:gridSpan w:val="3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Restricted Stock Unit Grant Notice and Restricted Stock Unit Award Agreement under the MannKind 2018 Equity Incentive Plan</w:t>
              </w:r>
            </w:hyperlink>
          </w:p>
        </w:tc>
        <w:tc>
          <w:tcPr>
            <w:tcW w:w="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(incorporated by reference to Exhibit 99.3 to MannKind’s registration statement on Form S-8 (File No. 333-226648), filed with the SEC on</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20" w:type="dxa"/>
            <w:vAlign w:val="bottom"/>
            <w:gridSpan w:val="37"/>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August 7, 2018).</w:t>
              </w:r>
            </w:hyperlink>
          </w:p>
        </w:tc>
        <w:tc>
          <w:tcPr>
            <w:tcW w:w="0" w:type="dxa"/>
            <w:vAlign w:val="bottom"/>
          </w:tcPr>
          <w:p>
            <w:pPr>
              <w:spacing w:after="0"/>
              <w:rPr>
                <w:sz w:val="1"/>
                <w:szCs w:val="1"/>
                <w:color w:val="auto"/>
              </w:rPr>
            </w:pPr>
          </w:p>
        </w:tc>
      </w:tr>
      <w:tr>
        <w:trPr>
          <w:trHeight w:val="453"/>
        </w:trPr>
        <w:tc>
          <w:tcPr>
            <w:tcW w:w="7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220" w:type="dxa"/>
            <w:vAlign w:val="bottom"/>
            <w:tcBorders>
              <w:top w:val="single" w:sz="8" w:color="0000FF"/>
            </w:tcBorders>
            <w:gridSpan w:val="2"/>
          </w:tcPr>
          <w:p>
            <w:pPr>
              <w:spacing w:after="0"/>
              <w:rPr>
                <w:sz w:val="24"/>
                <w:szCs w:val="24"/>
                <w:color w:val="auto"/>
              </w:rPr>
            </w:pPr>
          </w:p>
        </w:tc>
        <w:tc>
          <w:tcPr>
            <w:tcW w:w="4060" w:type="dxa"/>
            <w:vAlign w:val="bottom"/>
            <w:gridSpan w:val="7"/>
          </w:tcPr>
          <w:p>
            <w:pPr>
              <w:jc w:val="right"/>
              <w:ind w:right="308"/>
              <w:spacing w:after="0"/>
              <w:rPr>
                <w:sz w:val="20"/>
                <w:szCs w:val="20"/>
                <w:color w:val="auto"/>
              </w:rPr>
            </w:pPr>
            <w:r>
              <w:rPr>
                <w:rFonts w:ascii="Times New Roman" w:cs="Times New Roman" w:eastAsia="Times New Roman" w:hAnsi="Times New Roman"/>
                <w:sz w:val="18"/>
                <w:szCs w:val="18"/>
                <w:color w:val="auto"/>
              </w:rPr>
              <w:t>63</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20" w:type="dxa"/>
            <w:vAlign w:val="bottom"/>
            <w:gridSpan w:val="30"/>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920" w:type="dxa"/>
            <w:vAlign w:val="bottom"/>
            <w:tcBorders>
              <w:bottom w:val="single" w:sz="8" w:color="auto"/>
            </w:tcBorders>
            <w:gridSpan w:val="3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MannKind Corporation 2004 Employee Stock Purchase Plan, as amended (incorporated by reference to Exhibit 99.2 to MannKind’s</w:t>
              </w:r>
            </w:hyperlink>
          </w:p>
        </w:tc>
        <w:tc>
          <w:tcPr>
            <w:tcW w:w="8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registration statement on Form S-8 (File No. 333-274176), filed with the SEC on August 23, 2023).</w:t>
              </w:r>
            </w:hyperlink>
          </w:p>
        </w:tc>
        <w:tc>
          <w:tcPr>
            <w:tcW w:w="20" w:type="dxa"/>
            <w:vAlign w:val="bottom"/>
            <w:tcBorders>
              <w:bottom w:val="single" w:sz="8" w:color="0000EE"/>
            </w:tcBorders>
          </w:tcPr>
          <w:p>
            <w:pPr>
              <w:spacing w:after="0"/>
              <w:rPr>
                <w:sz w:val="17"/>
                <w:szCs w:val="17"/>
                <w:color w:val="auto"/>
              </w:rPr>
            </w:pPr>
          </w:p>
        </w:tc>
        <w:tc>
          <w:tcPr>
            <w:tcW w:w="32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MannKind Corporation Market Price Stock Purchase Plan (incorporated by reference to Exhibit 99.1 to MannKind’s registration statement</w:t>
              </w:r>
            </w:hyperlink>
          </w:p>
        </w:tc>
        <w:tc>
          <w:tcPr>
            <w:tcW w:w="3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Form S-8 (File No. 333-225428), filed with the SEC on June 5, 2018).</w:t>
              </w:r>
            </w:hyperlink>
          </w:p>
        </w:tc>
        <w:tc>
          <w:tcPr>
            <w:tcW w:w="20" w:type="dxa"/>
            <w:vAlign w:val="bottom"/>
            <w:tcBorders>
              <w:bottom w:val="single" w:sz="8" w:color="0000EE"/>
            </w:tcBorders>
          </w:tcPr>
          <w:p>
            <w:pPr>
              <w:spacing w:after="0"/>
              <w:rPr>
                <w:sz w:val="17"/>
                <w:szCs w:val="17"/>
                <w:color w:val="auto"/>
              </w:rPr>
            </w:pPr>
          </w:p>
        </w:tc>
        <w:tc>
          <w:tcPr>
            <w:tcW w:w="53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Supply Agreement, dated as of July 31, 2014, by and between MannKind and Amphastar France Pharmaceuticals S.A.S. (incorporated by</w:t>
              </w:r>
            </w:hyperlink>
          </w:p>
        </w:tc>
        <w:tc>
          <w:tcPr>
            <w:tcW w:w="4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80" w:type="dxa"/>
            <w:vAlign w:val="bottom"/>
            <w:gridSpan w:val="37"/>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reference to Exhibit 10.23 to MannKind’s Annual Report on Form 10-K (File No. 000-50865), filed with the SEC on February 25, 2021)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2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First Amendment to Supply Agreement, dated October 31, 2014, by and between MannKind and Amphastar France Pharmaceuticals, S.A.S.</w:t>
              </w:r>
            </w:hyperlink>
          </w:p>
        </w:tc>
        <w:tc>
          <w:tcPr>
            <w:tcW w:w="2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and Amphastar Pharmaceuticals, Inc. (incorporated by reference to Exhibit 10.32 to MannKind’s Annual Report on Form 10-K (File No. 000-</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50865)</w:t>
              </w:r>
              <w:r>
                <w:rPr>
                  <w:rFonts w:ascii="Times New Roman" w:cs="Times New Roman" w:eastAsia="Times New Roman" w:hAnsi="Times New Roman"/>
                  <w:sz w:val="18"/>
                  <w:szCs w:val="18"/>
                  <w:u w:val="single" w:color="auto"/>
                  <w:color w:val="0000FF"/>
                  <w:w w:val="98"/>
                </w:rPr>
                <w:t>,</w:t>
              </w:r>
              <w:r>
                <w:rPr>
                  <w:rFonts w:ascii="Times New Roman" w:cs="Times New Roman" w:eastAsia="Times New Roman" w:hAnsi="Times New Roman"/>
                  <w:sz w:val="18"/>
                  <w:szCs w:val="18"/>
                  <w:color w:val="0000FF"/>
                  <w:w w:val="98"/>
                </w:rPr>
                <w:t xml:space="preserve"> filed with the SEC on March 16, 2017).</w:t>
              </w:r>
            </w:hyperlink>
          </w:p>
        </w:tc>
        <w:tc>
          <w:tcPr>
            <w:tcW w:w="20" w:type="dxa"/>
            <w:vAlign w:val="bottom"/>
            <w:tcBorders>
              <w:bottom w:val="single" w:sz="8" w:color="0000EE"/>
            </w:tcBorders>
          </w:tcPr>
          <w:p>
            <w:pPr>
              <w:spacing w:after="0"/>
              <w:rPr>
                <w:sz w:val="17"/>
                <w:szCs w:val="17"/>
                <w:color w:val="auto"/>
              </w:rPr>
            </w:pPr>
          </w:p>
        </w:tc>
        <w:tc>
          <w:tcPr>
            <w:tcW w:w="692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Second Amendment to Supply Agreement, dated November 9, 2016, by and between MannKind and Amphastar Pharmaceuticals, Inc.</w:t>
              </w:r>
            </w:hyperlink>
          </w:p>
        </w:tc>
        <w:tc>
          <w:tcPr>
            <w:tcW w:w="66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(incorporated by reference to Exhibit 10.1 to MannKind’s Quarterly Report on Form 10-Q (File No. 000-50865), filed with the SEC on</w:t>
              </w:r>
            </w:hyperlink>
          </w:p>
        </w:tc>
        <w:tc>
          <w:tcPr>
            <w:tcW w:w="6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November 7, 2024).</w:t>
              </w:r>
            </w:hyperlink>
          </w:p>
        </w:tc>
        <w:tc>
          <w:tcPr>
            <w:tcW w:w="20" w:type="dxa"/>
            <w:vAlign w:val="bottom"/>
            <w:tcBorders>
              <w:bottom w:val="single" w:sz="8" w:color="0000EE"/>
            </w:tcBorders>
          </w:tcPr>
          <w:p>
            <w:pPr>
              <w:spacing w:after="0"/>
              <w:rPr>
                <w:sz w:val="17"/>
                <w:szCs w:val="17"/>
                <w:color w:val="auto"/>
              </w:rPr>
            </w:pPr>
          </w:p>
        </w:tc>
        <w:tc>
          <w:tcPr>
            <w:tcW w:w="892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Third Amendment to Supply Agreement, dated April 11, 2018, by and between MannKind and Amphastar Pharmaceuticals, Inc. (incorporated</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80" w:type="dxa"/>
            <w:vAlign w:val="bottom"/>
            <w:gridSpan w:val="37"/>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by reference to Exhibit 10.2 to MannKind’s Quarterly Report on Form 10-Q (File No. 000-50865), filed with the SEC on November 7, 2024).</w:t>
              </w:r>
            </w:hyperlink>
          </w:p>
        </w:tc>
        <w:tc>
          <w:tcPr>
            <w:tcW w:w="0" w:type="dxa"/>
            <w:vAlign w:val="bottom"/>
          </w:tcPr>
          <w:p>
            <w:pPr>
              <w:spacing w:after="0"/>
              <w:rPr>
                <w:sz w:val="1"/>
                <w:szCs w:val="1"/>
                <w:color w:val="auto"/>
              </w:rPr>
            </w:pPr>
          </w:p>
        </w:tc>
      </w:tr>
      <w:tr>
        <w:trPr>
          <w:trHeight w:val="31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top w:val="single" w:sz="8" w:color="0000FF"/>
              <w:bottom w:val="single" w:sz="8" w:color="0000FF"/>
            </w:tcBorders>
            <w:gridSpan w:val="19"/>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Fourth Amendment to Supply Agreement, dated December 24, 2018, by and between MannKind and Amphastar Pharmaceuticals, Inc.</w:t>
              </w:r>
            </w:hyperlink>
          </w:p>
        </w:tc>
        <w:tc>
          <w:tcPr>
            <w:tcW w:w="460" w:type="dxa"/>
            <w:vAlign w:val="bottom"/>
            <w:tcBorders>
              <w:top w:val="single" w:sz="8" w:color="0000FF"/>
            </w:tcBorders>
            <w:gridSpan w:val="10"/>
          </w:tcPr>
          <w:p>
            <w:pPr>
              <w:spacing w:after="0"/>
              <w:rPr>
                <w:sz w:val="24"/>
                <w:szCs w:val="24"/>
                <w:color w:val="auto"/>
              </w:rPr>
            </w:pPr>
          </w:p>
        </w:tc>
        <w:tc>
          <w:tcPr>
            <w:tcW w:w="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6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(incorporated by reference to Exhibit 10.50 to MannKind’s Annual Report on Form 10-K (File No. 000-50865), filed with the SEC on February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60" w:type="dxa"/>
            <w:vAlign w:val="bottom"/>
            <w:gridSpan w:val="4"/>
          </w:tcPr>
          <w:p>
            <w:pPr>
              <w:ind w:left="100"/>
              <w:spacing w:after="0" w:line="196" w:lineRule="exact"/>
              <w:rPr>
                <w:rFonts w:ascii="Times New Roman" w:cs="Times New Roman" w:eastAsia="Times New Roman" w:hAnsi="Times New Roman"/>
                <w:sz w:val="18"/>
                <w:szCs w:val="18"/>
                <w:color w:val="0000FF"/>
                <w:w w:val="97"/>
              </w:rPr>
            </w:pPr>
            <w:hyperlink r:id="rId141">
              <w:r>
                <w:rPr>
                  <w:rFonts w:ascii="Times New Roman" w:cs="Times New Roman" w:eastAsia="Times New Roman" w:hAnsi="Times New Roman"/>
                  <w:sz w:val="18"/>
                  <w:szCs w:val="18"/>
                  <w:color w:val="0000FF"/>
                  <w:w w:val="97"/>
                </w:rPr>
                <w:t>26, 2019).</w:t>
              </w:r>
            </w:hyperlink>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Fifth Amendment to Supply Agreement, dated August 2, 2019, by and between MannKind Corporation and Amphastar Pharmaceuticals, Inc.</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(incorporated by reference to Exhibit 99.5 to MannKind’s Current Report on Form 8-K (File No. 000-50865), filed with the SEC on August 7,</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580" w:type="dxa"/>
            <w:vAlign w:val="bottom"/>
            <w:gridSpan w:val="3"/>
          </w:tcPr>
          <w:p>
            <w:pPr>
              <w:ind w:left="100"/>
              <w:spacing w:after="0" w:line="196" w:lineRule="exact"/>
              <w:rPr>
                <w:rFonts w:ascii="Times New Roman" w:cs="Times New Roman" w:eastAsia="Times New Roman" w:hAnsi="Times New Roman"/>
                <w:sz w:val="18"/>
                <w:szCs w:val="18"/>
                <w:color w:val="0000FF"/>
                <w:w w:val="94"/>
              </w:rPr>
            </w:pPr>
            <w:hyperlink r:id="rId142">
              <w:r>
                <w:rPr>
                  <w:rFonts w:ascii="Times New Roman" w:cs="Times New Roman" w:eastAsia="Times New Roman" w:hAnsi="Times New Roman"/>
                  <w:sz w:val="18"/>
                  <w:szCs w:val="18"/>
                  <w:color w:val="0000FF"/>
                  <w:w w:val="94"/>
                </w:rPr>
                <w:t>2019).</w:t>
              </w:r>
            </w:hyperlink>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Sixth Amendment to Supply Agreement, dated May 24, 2021, by and between MannKind Corporation and Amphastar Pharmaceuticals, Inc.</w:t>
              </w:r>
            </w:hyperlink>
          </w:p>
        </w:tc>
        <w:tc>
          <w:tcPr>
            <w:tcW w:w="2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(incorporated by reference to Exhibit 99.1 to MannKind’s Current Report on Form 8-K (File No. 000-50865), filed with the SEC on May 25,</w:t>
              </w:r>
            </w:hyperlink>
          </w:p>
        </w:tc>
        <w:tc>
          <w:tcPr>
            <w:tcW w:w="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580" w:type="dxa"/>
            <w:vAlign w:val="bottom"/>
            <w:gridSpan w:val="3"/>
          </w:tcPr>
          <w:p>
            <w:pPr>
              <w:ind w:left="100"/>
              <w:spacing w:after="0" w:line="196" w:lineRule="exact"/>
              <w:rPr>
                <w:rFonts w:ascii="Times New Roman" w:cs="Times New Roman" w:eastAsia="Times New Roman" w:hAnsi="Times New Roman"/>
                <w:sz w:val="18"/>
                <w:szCs w:val="18"/>
                <w:color w:val="0000FF"/>
                <w:w w:val="94"/>
              </w:rPr>
            </w:pPr>
            <w:hyperlink r:id="rId143">
              <w:r>
                <w:rPr>
                  <w:rFonts w:ascii="Times New Roman" w:cs="Times New Roman" w:eastAsia="Times New Roman" w:hAnsi="Times New Roman"/>
                  <w:sz w:val="18"/>
                  <w:szCs w:val="18"/>
                  <w:color w:val="0000FF"/>
                  <w:w w:val="94"/>
                </w:rPr>
                <w:t>2021).</w:t>
              </w:r>
            </w:hyperlink>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Seventh Amendment to Supply Agreement, dated December 22, 2023, by and between MannKind Corporation and Amphastar</w:t>
              </w:r>
            </w:hyperlink>
          </w:p>
        </w:tc>
        <w:tc>
          <w:tcPr>
            <w:tcW w:w="122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Pharmaceuticals, Inc. (incorporated by reference to Exhibit 99.1 to MannKind’s Current Report on Form 8-K (File No. 000-50865), filed with</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80" w:type="dxa"/>
            <w:vAlign w:val="bottom"/>
            <w:gridSpan w:val="37"/>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the SEC on December 27, 2023).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Office Lease, dated May 5 2017, by and between MannKind and Russell Ranch Road II LLC. (incorporated by reference to Exhibit 10.3 to</w:t>
              </w:r>
            </w:hyperlink>
          </w:p>
        </w:tc>
        <w:tc>
          <w:tcPr>
            <w:tcW w:w="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MannKind’s Quarterly Report on Form 10-Q (File No. 000-50865), filed with the SEC on August 7, 2017).</w:t>
              </w:r>
            </w:hyperlink>
          </w:p>
        </w:tc>
        <w:tc>
          <w:tcPr>
            <w:tcW w:w="26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Third Amendment to Office Lease, dated April 8, 2022, between MannKind Corporation and Russell Ranch Road II LLC (incorporated by</w:t>
              </w:r>
            </w:hyperlink>
          </w:p>
        </w:tc>
        <w:tc>
          <w:tcPr>
            <w:tcW w:w="3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80" w:type="dxa"/>
            <w:vAlign w:val="bottom"/>
            <w:gridSpan w:val="37"/>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reference to Exhibit 10.1 to MannKind's Quarterly Report on Form 10-Q (File No. 000-50865), filed with the SEC on May 5, 2022).</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80" w:type="dxa"/>
            <w:vAlign w:val="bottom"/>
            <w:gridSpan w:val="13"/>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License and Collaboration Agreement, dated September 3, 2018 by and between MannKind and United Therapeutics (incorporated by</w:t>
              </w:r>
            </w:hyperlink>
          </w:p>
        </w:tc>
        <w:tc>
          <w:tcPr>
            <w:tcW w:w="6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80" w:type="dxa"/>
            <w:vAlign w:val="bottom"/>
            <w:gridSpan w:val="37"/>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reference to Exhibit 10.29 to MannKind's Annual Report on Form 10-K (File No. 000-50865), filed with the SEC on February 27, 2024).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80" w:type="dxa"/>
            <w:vAlign w:val="bottom"/>
            <w:gridSpan w:val="13"/>
            <w:shd w:val="clear" w:color="auto" w:fill="0000FF"/>
          </w:tcPr>
          <w:p>
            <w:pPr>
              <w:spacing w:after="0" w:line="20" w:lineRule="exact"/>
              <w:rPr>
                <w:sz w:val="1"/>
                <w:szCs w:val="1"/>
                <w:color w:val="auto"/>
              </w:rPr>
            </w:pPr>
          </w:p>
        </w:tc>
        <w:tc>
          <w:tcPr>
            <w:tcW w:w="780" w:type="dxa"/>
            <w:vAlign w:val="bottom"/>
            <w:tcBorders>
              <w:right w:val="single" w:sz="8" w:color="0000FF"/>
            </w:tcBorders>
            <w:gridSpan w:val="8"/>
            <w:shd w:val="clear" w:color="auto" w:fill="0000FF"/>
          </w:tcPr>
          <w:p>
            <w:pPr>
              <w:spacing w:after="0" w:line="20" w:lineRule="exact"/>
              <w:rPr>
                <w:sz w:val="1"/>
                <w:szCs w:val="1"/>
                <w:color w:val="auto"/>
              </w:rPr>
            </w:pPr>
          </w:p>
        </w:tc>
        <w:tc>
          <w:tcPr>
            <w:tcW w:w="420" w:type="dxa"/>
            <w:vAlign w:val="bottom"/>
            <w:tcBorders>
              <w:left w:val="single" w:sz="8" w:color="0000EE"/>
            </w:tcBorders>
            <w:gridSpan w:val="1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Research Agreement, dated September 3, 2018 by and between MannKind and United Therapeutics Corporation (incorporated by reference to</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80" w:type="dxa"/>
            <w:vAlign w:val="bottom"/>
            <w:gridSpan w:val="37"/>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Exhibit 10.3 to MannKind’s Quarterly Report on Form 10-Q (File No. 000-50865), filed with the SEC on November 7, 2024).</w:t>
              </w:r>
            </w:hyperlink>
          </w:p>
        </w:tc>
        <w:tc>
          <w:tcPr>
            <w:tcW w:w="0" w:type="dxa"/>
            <w:vAlign w:val="bottom"/>
          </w:tcPr>
          <w:p>
            <w:pPr>
              <w:spacing w:after="0"/>
              <w:rPr>
                <w:sz w:val="1"/>
                <w:szCs w:val="1"/>
                <w:color w:val="auto"/>
              </w:rPr>
            </w:pPr>
          </w:p>
        </w:tc>
      </w:tr>
      <w:tr>
        <w:trPr>
          <w:trHeight w:val="453"/>
        </w:trPr>
        <w:tc>
          <w:tcPr>
            <w:tcW w:w="7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5060" w:type="dxa"/>
            <w:vAlign w:val="bottom"/>
            <w:tcBorders>
              <w:top w:val="single" w:sz="8" w:color="0000FF"/>
            </w:tcBorders>
            <w:gridSpan w:val="8"/>
          </w:tcPr>
          <w:p>
            <w:pPr>
              <w:jc w:val="right"/>
              <w:ind w:right="128"/>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top w:val="single" w:sz="8" w:color="0000FF"/>
            </w:tcBorders>
          </w:tcPr>
          <w:p>
            <w:pPr>
              <w:spacing w:after="0"/>
              <w:rPr>
                <w:sz w:val="24"/>
                <w:szCs w:val="24"/>
                <w:color w:val="auto"/>
              </w:rPr>
            </w:pPr>
          </w:p>
        </w:tc>
        <w:tc>
          <w:tcPr>
            <w:tcW w:w="20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gridSpan w:val="3"/>
            <w:vMerge w:val="restart"/>
          </w:tcPr>
          <w:p>
            <w:pPr>
              <w:ind w:left="30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9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4"/>
                <w:szCs w:val="14"/>
                <w:color w:val="auto"/>
              </w:rPr>
            </w:pPr>
          </w:p>
        </w:tc>
        <w:tc>
          <w:tcPr>
            <w:tcW w:w="974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Commercial Supply Agreement, dated August 12, 2021, by and between MannKind Corporation and United Therapeutics Corporation</w:t>
              </w:r>
            </w:hyperlink>
          </w:p>
        </w:tc>
        <w:tc>
          <w:tcPr>
            <w:tcW w:w="6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(incorporated by reference to Exhibit 10.1 to MannKind’s Quarterly Report on Form 10-Q (File No. 000-50865), filed with the SEC on</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November 9, 2021).</w:t>
              </w:r>
            </w:hyperlink>
          </w:p>
        </w:tc>
        <w:tc>
          <w:tcPr>
            <w:tcW w:w="20" w:type="dxa"/>
            <w:vAlign w:val="bottom"/>
            <w:tcBorders>
              <w:bottom w:val="single" w:sz="8" w:color="0000EE"/>
            </w:tcBorders>
          </w:tcPr>
          <w:p>
            <w:pPr>
              <w:spacing w:after="0"/>
              <w:rPr>
                <w:sz w:val="17"/>
                <w:szCs w:val="17"/>
                <w:color w:val="auto"/>
              </w:rPr>
            </w:pPr>
          </w:p>
        </w:tc>
        <w:tc>
          <w:tcPr>
            <w:tcW w:w="89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840" w:right="60" w:hanging="823"/>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52">
        <w:r>
          <w:rPr>
            <w:rFonts w:ascii="Times New Roman" w:cs="Times New Roman" w:eastAsia="Times New Roman" w:hAnsi="Times New Roman"/>
            <w:sz w:val="18"/>
            <w:szCs w:val="18"/>
            <w:u w:val="single" w:color="auto"/>
            <w:color w:val="0000FF"/>
          </w:rPr>
          <w:t>First Amendment to Commercial Supply Agreement, dated October 16, 2021, by and between MannKind Corporation and United Therapeutics</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Corporation (incorporated by reference to Exhibit 10.2 to MannKind’s Quarterly Report on Form 10-Q (File No. 000-50865), filed with the</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SEC on November 9,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536575</wp:posOffset>
            </wp:positionH>
            <wp:positionV relativeFrom="paragraph">
              <wp:posOffset>-313055</wp:posOffset>
            </wp:positionV>
            <wp:extent cx="65900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3">
                      <a:extLst>
                        <a:ext uri="{28A0092B-C50C-407E-A947-70E740481C1C}"/>
                      </a:extLst>
                    </a:blip>
                    <a:srcRect/>
                    <a:stretch>
                      <a:fillRect/>
                    </a:stretch>
                  </pic:blipFill>
                  <pic:spPr bwMode="auto">
                    <a:xfrm>
                      <a:off x="0" y="0"/>
                      <a:ext cx="659003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-175895</wp:posOffset>
            </wp:positionV>
            <wp:extent cx="64128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4">
                      <a:extLst>
                        <a:ext uri="{28A0092B-C50C-407E-A947-70E740481C1C}"/>
                      </a:extLst>
                    </a:blip>
                    <a:srcRect/>
                    <a:stretch>
                      <a:fillRect/>
                    </a:stretch>
                  </pic:blipFill>
                  <pic:spPr bwMode="auto">
                    <a:xfrm>
                      <a:off x="0" y="0"/>
                      <a:ext cx="6412865"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-38735</wp:posOffset>
            </wp:positionV>
            <wp:extent cx="13011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840" w:right="20" w:hanging="823"/>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156">
        <w:r>
          <w:rPr>
            <w:rFonts w:ascii="Times New Roman" w:cs="Times New Roman" w:eastAsia="Times New Roman" w:hAnsi="Times New Roman"/>
            <w:sz w:val="18"/>
            <w:szCs w:val="18"/>
            <w:u w:val="single" w:color="auto"/>
            <w:color w:val="0000FF"/>
          </w:rPr>
          <w:t>Second Amendment to Commercial Supply Agreement, dated June 15, 2022, by and between MannKind Corporation and United Therapeutics</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Corporation (incorporated by reference to Exhibit 10.49 to MannKind's Annual Report on Form 10-K (File No. 000-50865,), filed with the SEC</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on February 23,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536575</wp:posOffset>
            </wp:positionH>
            <wp:positionV relativeFrom="paragraph">
              <wp:posOffset>-313055</wp:posOffset>
            </wp:positionV>
            <wp:extent cx="65582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655828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-175895</wp:posOffset>
            </wp:positionV>
            <wp:extent cx="65919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-38735</wp:posOffset>
            </wp:positionV>
            <wp:extent cx="1050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840" w:right="60" w:hanging="823"/>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60">
        <w:r>
          <w:rPr>
            <w:rFonts w:ascii="Times New Roman" w:cs="Times New Roman" w:eastAsia="Times New Roman" w:hAnsi="Times New Roman"/>
            <w:sz w:val="18"/>
            <w:szCs w:val="18"/>
            <w:u w:val="single" w:color="auto"/>
            <w:color w:val="0000FF"/>
          </w:rPr>
          <w:t>Third Amendment to Commercial Supply Agreement, dated August 31, 2022, by and between MannKind Corporation and United Therapeutics</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Corporation (incorporated by reference to Exhibit 10.50 to MannKind's Annual Report on Form 10-K (File No. 000-50865), filed with the SEC</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on February 23,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536575</wp:posOffset>
            </wp:positionH>
            <wp:positionV relativeFrom="paragraph">
              <wp:posOffset>-313055</wp:posOffset>
            </wp:positionV>
            <wp:extent cx="65919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1">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-175895</wp:posOffset>
            </wp:positionV>
            <wp:extent cx="65887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2">
                      <a:extLst>
                        <a:ext uri="{28A0092B-C50C-407E-A947-70E740481C1C}"/>
                      </a:extLst>
                    </a:blip>
                    <a:srcRect/>
                    <a:stretch>
                      <a:fillRect/>
                    </a:stretch>
                  </pic:blipFill>
                  <pic:spPr bwMode="auto">
                    <a:xfrm>
                      <a:off x="0" y="0"/>
                      <a:ext cx="658876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-38735</wp:posOffset>
            </wp:positionV>
            <wp:extent cx="10502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3">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840" w:right="100" w:hanging="823"/>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64">
        <w:r>
          <w:rPr>
            <w:rFonts w:ascii="Times New Roman" w:cs="Times New Roman" w:eastAsia="Times New Roman" w:hAnsi="Times New Roman"/>
            <w:sz w:val="18"/>
            <w:szCs w:val="18"/>
            <w:u w:val="single" w:color="auto"/>
            <w:color w:val="0000FF"/>
          </w:rPr>
          <w:t>Fourth Amendment to Commercial Supply Agreement, dated December 22, 2022, by and between MannKind Corporation and United</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Therapeutics Corporation (incorporated by reference to Exhibit 10.51 to MannKind's Annual Report on Form 10-K (File No. 000-50865), filed</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with the SEC on February 23,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536575</wp:posOffset>
            </wp:positionH>
            <wp:positionV relativeFrom="paragraph">
              <wp:posOffset>-313055</wp:posOffset>
            </wp:positionV>
            <wp:extent cx="61683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5">
                      <a:extLst>
                        <a:ext uri="{28A0092B-C50C-407E-A947-70E740481C1C}"/>
                      </a:extLst>
                    </a:blip>
                    <a:srcRect/>
                    <a:stretch>
                      <a:fillRect/>
                    </a:stretch>
                  </pic:blipFill>
                  <pic:spPr bwMode="auto">
                    <a:xfrm>
                      <a:off x="0" y="0"/>
                      <a:ext cx="61683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-175895</wp:posOffset>
            </wp:positionV>
            <wp:extent cx="65697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6">
                      <a:extLst>
                        <a:ext uri="{28A0092B-C50C-407E-A947-70E740481C1C}"/>
                      </a:extLst>
                    </a:blip>
                    <a:srcRect/>
                    <a:stretch>
                      <a:fillRect/>
                    </a:stretch>
                  </pic:blipFill>
                  <pic:spPr bwMode="auto">
                    <a:xfrm>
                      <a:off x="0" y="0"/>
                      <a:ext cx="656971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-38735</wp:posOffset>
            </wp:positionV>
            <wp:extent cx="16884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7">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840" w:right="400" w:hanging="823"/>
        <w:spacing w:after="0" w:line="282"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168">
        <w:r>
          <w:rPr>
            <w:rFonts w:ascii="Times New Roman" w:cs="Times New Roman" w:eastAsia="Times New Roman" w:hAnsi="Times New Roman"/>
            <w:sz w:val="18"/>
            <w:szCs w:val="18"/>
            <w:u w:val="single" w:color="auto"/>
            <w:color w:val="0000FF"/>
          </w:rPr>
          <w:t>Purchase and Sale Agreement, dated September 23, 2021, by and between MannKind Corporation and 1 Casper, LLC (incorporated by</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reference to Exhibit 10.3 to MannKind’s Quarterly Report on Form 10-Q (File No. 000-50865), filed with the SEC on November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-185420</wp:posOffset>
            </wp:positionV>
            <wp:extent cx="62090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9">
                      <a:extLst>
                        <a:ext uri="{28A0092B-C50C-407E-A947-70E740481C1C}"/>
                      </a:extLst>
                    </a:blip>
                    <a:srcRect/>
                    <a:stretch>
                      <a:fillRect/>
                    </a:stretch>
                  </pic:blipFill>
                  <pic:spPr bwMode="auto">
                    <a:xfrm>
                      <a:off x="0" y="0"/>
                      <a:ext cx="620903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-48260</wp:posOffset>
            </wp:positionV>
            <wp:extent cx="63461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0">
                      <a:extLst>
                        <a:ext uri="{28A0092B-C50C-407E-A947-70E740481C1C}"/>
                      </a:extLst>
                    </a:blip>
                    <a:srcRect/>
                    <a:stretch>
                      <a:fillRect/>
                    </a:stretch>
                  </pic:blipFill>
                  <pic:spPr bwMode="auto">
                    <a:xfrm>
                      <a:off x="0" y="0"/>
                      <a:ext cx="6346190" cy="8255"/>
                    </a:xfrm>
                    <a:prstGeom prst="rect">
                      <a:avLst/>
                    </a:prstGeom>
                    <a:noFill/>
                  </pic:spPr>
                </pic:pic>
              </a:graphicData>
            </a:graphic>
          </wp:anchor>
        </w:drawing>
      </w:r>
    </w:p>
    <w:p>
      <w:pPr>
        <w:spacing w:after="0" w:line="47" w:lineRule="exact"/>
        <w:rPr>
          <w:sz w:val="20"/>
          <w:szCs w:val="20"/>
          <w:color w:val="auto"/>
        </w:rPr>
      </w:pPr>
    </w:p>
    <w:p>
      <w:pPr>
        <w:ind w:left="840" w:right="220" w:hanging="823"/>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10.37**#</w:t>
      </w:r>
      <w:r>
        <w:rPr>
          <w:sz w:val="20"/>
          <w:szCs w:val="20"/>
          <w:color w:val="auto"/>
        </w:rPr>
        <w:tab/>
      </w:r>
      <w:hyperlink r:id="rId171">
        <w:r>
          <w:rPr>
            <w:rFonts w:ascii="Times New Roman" w:cs="Times New Roman" w:eastAsia="Times New Roman" w:hAnsi="Times New Roman"/>
            <w:sz w:val="18"/>
            <w:szCs w:val="18"/>
            <w:u w:val="single" w:color="auto"/>
            <w:color w:val="0000FF"/>
          </w:rPr>
          <w:t>Purchase and Sale Agreement, dated December 27, 2023, by and between MannKind Corporation and Sagard Healthcare Funding Partners</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Borrower 2 SPE, LP (incorporated by reference to Exhibit 99.1 to MannKind’s Current Report on Form 8-K (File No. 000-50865), filed with</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the SEC on January 2,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536575</wp:posOffset>
            </wp:positionH>
            <wp:positionV relativeFrom="paragraph">
              <wp:posOffset>-313055</wp:posOffset>
            </wp:positionV>
            <wp:extent cx="63804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2">
                      <a:extLst>
                        <a:ext uri="{28A0092B-C50C-407E-A947-70E740481C1C}"/>
                      </a:extLst>
                    </a:blip>
                    <a:srcRect/>
                    <a:stretch>
                      <a:fillRect/>
                    </a:stretch>
                  </pic:blipFill>
                  <pic:spPr bwMode="auto">
                    <a:xfrm>
                      <a:off x="0" y="0"/>
                      <a:ext cx="638048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-175895</wp:posOffset>
            </wp:positionV>
            <wp:extent cx="6485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3">
                      <a:extLst>
                        <a:ext uri="{28A0092B-C50C-407E-A947-70E740481C1C}"/>
                      </a:extLst>
                    </a:blip>
                    <a:srcRect/>
                    <a:stretch>
                      <a:fillRect/>
                    </a:stretch>
                  </pic:blipFill>
                  <pic:spPr bwMode="auto">
                    <a:xfrm>
                      <a:off x="0" y="0"/>
                      <a:ext cx="6485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-38735</wp:posOffset>
            </wp:positionV>
            <wp:extent cx="13423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840" w:right="340" w:hanging="823"/>
        <w:spacing w:after="0" w:line="282"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10.38</w:t>
      </w:r>
      <w:r>
        <w:rPr>
          <w:sz w:val="20"/>
          <w:szCs w:val="20"/>
          <w:color w:val="auto"/>
        </w:rPr>
        <w:tab/>
      </w:r>
      <w:hyperlink r:id="rId175">
        <w:r>
          <w:rPr>
            <w:rFonts w:ascii="Times New Roman" w:cs="Times New Roman" w:eastAsia="Times New Roman" w:hAnsi="Times New Roman"/>
            <w:sz w:val="18"/>
            <w:szCs w:val="18"/>
            <w:u w:val="single" w:color="auto"/>
            <w:color w:val="0000FF"/>
          </w:rPr>
          <w:t>Office Lease, dated May 10, 2017, by and between Valeritas, Inc. and RFP Lincoln 293 LLC (incorporated by reference to Exhibit 10.52 to</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MannKind’s Annual Report on Form 10-K (File No. 000-50865), filed with the SEC on February 23,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-185420</wp:posOffset>
            </wp:positionV>
            <wp:extent cx="64122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6">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-48260</wp:posOffset>
            </wp:positionV>
            <wp:extent cx="49504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line="47" w:lineRule="exact"/>
        <w:rPr>
          <w:sz w:val="20"/>
          <w:szCs w:val="20"/>
          <w:color w:val="auto"/>
        </w:rPr>
      </w:pPr>
    </w:p>
    <w:p>
      <w:pPr>
        <w:ind w:left="840" w:right="100" w:hanging="823"/>
        <w:spacing w:after="0" w:line="282"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10.39</w:t>
      </w:r>
      <w:r>
        <w:rPr>
          <w:sz w:val="20"/>
          <w:szCs w:val="20"/>
          <w:color w:val="auto"/>
        </w:rPr>
        <w:tab/>
      </w:r>
      <w:hyperlink r:id="rId178">
        <w:r>
          <w:rPr>
            <w:rFonts w:ascii="Times New Roman" w:cs="Times New Roman" w:eastAsia="Times New Roman" w:hAnsi="Times New Roman"/>
            <w:sz w:val="18"/>
            <w:szCs w:val="18"/>
            <w:u w:val="single" w:color="auto"/>
            <w:color w:val="0000FF"/>
          </w:rPr>
          <w:t>First Amendment to Office Lease, date February 11, 2019, by and between Valeritas, Inc. and BRP 293 Equity Partners, LLC (incorporated by</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reference to Exhibit 10.53 to MannKind’s Annual Report on Form 10-K (File No. 000-50865), filed with the SEC on February 23,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-185420</wp:posOffset>
            </wp:positionV>
            <wp:extent cx="65614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6561455"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-48260</wp:posOffset>
            </wp:positionV>
            <wp:extent cx="62896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6289675" cy="825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u w:val="single" w:color="auto"/>
          <w:color w:val="0000FF"/>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-7620</wp:posOffset>
            </wp:positionV>
            <wp:extent cx="10566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111"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-7620</wp:posOffset>
            </wp:positionV>
            <wp:extent cx="2769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2769870" cy="8255"/>
                    </a:xfrm>
                    <a:prstGeom prst="rect">
                      <a:avLst/>
                    </a:prstGeom>
                    <a:noFill/>
                  </pic:spPr>
                </pic:pic>
              </a:graphicData>
            </a:graphic>
          </wp:anchor>
        </w:drawing>
      </w:r>
    </w:p>
    <w:p>
      <w:pPr>
        <w:spacing w:after="0" w:line="111"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the Chief Executive Officer pursuant to Rules 13a-14(a) and 15d-14(a)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-7620</wp:posOffset>
            </wp:positionV>
            <wp:extent cx="64147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11"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the Chief Financial Officer pursuant to Rules 13a-14(a) and 15d-14(a)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-7620</wp:posOffset>
            </wp:positionV>
            <wp:extent cx="63836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6383655" cy="8890"/>
                    </a:xfrm>
                    <a:prstGeom prst="rect">
                      <a:avLst/>
                    </a:prstGeom>
                    <a:noFill/>
                  </pic:spPr>
                </pic:pic>
              </a:graphicData>
            </a:graphic>
          </wp:anchor>
        </w:drawing>
      </w:r>
    </w:p>
    <w:p>
      <w:pPr>
        <w:spacing w:after="0" w:line="111" w:lineRule="exact"/>
        <w:rPr>
          <w:sz w:val="20"/>
          <w:szCs w:val="20"/>
          <w:color w:val="auto"/>
        </w:rPr>
      </w:pPr>
    </w:p>
    <w:p>
      <w:pPr>
        <w:ind w:left="840" w:right="280" w:hanging="823"/>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the Chief Executive Officer pursuant to Rules 13a-14(b) and 15d-14(b) of the Securities Exchange Act of 1934, as amended, and Section 1350 of Chapter 63 of Title 18 of the United States Code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-185420</wp:posOffset>
            </wp:positionV>
            <wp:extent cx="64566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645668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-48260</wp:posOffset>
            </wp:positionV>
            <wp:extent cx="40614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4061460" cy="8255"/>
                    </a:xfrm>
                    <a:prstGeom prst="rect">
                      <a:avLst/>
                    </a:prstGeom>
                    <a:noFill/>
                  </pic:spPr>
                </pic:pic>
              </a:graphicData>
            </a:graphic>
          </wp:anchor>
        </w:drawing>
      </w:r>
    </w:p>
    <w:p>
      <w:pPr>
        <w:spacing w:after="0" w:line="47" w:lineRule="exact"/>
        <w:rPr>
          <w:sz w:val="20"/>
          <w:szCs w:val="20"/>
          <w:color w:val="auto"/>
        </w:rPr>
      </w:pPr>
    </w:p>
    <w:p>
      <w:pPr>
        <w:ind w:left="840" w:right="20" w:hanging="823"/>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the Chief Financial Officer pursuant to Rules 13a-14(b) and 15d-14(b) of the Securities Exchange Act of 1934, as amended, and Section 1350 of Chapter 63 of Title 18 of the United States Code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-185420</wp:posOffset>
            </wp:positionV>
            <wp:extent cx="65919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-48260</wp:posOffset>
            </wp:positionV>
            <wp:extent cx="38684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3868420" cy="8255"/>
                    </a:xfrm>
                    <a:prstGeom prst="rect">
                      <a:avLst/>
                    </a:prstGeom>
                    <a:noFill/>
                  </pic:spPr>
                </pic:pic>
              </a:graphicData>
            </a:graphic>
          </wp:anchor>
        </w:drawing>
      </w:r>
    </w:p>
    <w:p>
      <w:pPr>
        <w:spacing w:after="0" w:line="47" w:lineRule="exact"/>
        <w:rPr>
          <w:sz w:val="20"/>
          <w:szCs w:val="20"/>
          <w:color w:val="auto"/>
        </w:rPr>
      </w:pPr>
    </w:p>
    <w:p>
      <w:pPr>
        <w:ind w:left="840" w:right="20" w:hanging="819"/>
        <w:spacing w:after="0" w:line="282" w:lineRule="auto"/>
        <w:tabs>
          <w:tab w:leader="none" w:pos="840" w:val="left"/>
        </w:tabs>
        <w:numPr>
          <w:ilvl w:val="0"/>
          <w:numId w:val="35"/>
        </w:numPr>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Dodd-Frank Clawback Policy (incorporated by reference to Exhibit 97 to MannKind's Annual Report on Form 10-K (File No. 000-80865), filed</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with the SEC on February 27, 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536575</wp:posOffset>
            </wp:positionH>
            <wp:positionV relativeFrom="paragraph">
              <wp:posOffset>-185420</wp:posOffset>
            </wp:positionV>
            <wp:extent cx="65919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-48260</wp:posOffset>
            </wp:positionV>
            <wp:extent cx="16884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47" w:lineRule="exact"/>
        <w:rPr>
          <w:rFonts w:ascii="Times New Roman" w:cs="Times New Roman" w:eastAsia="Times New Roman" w:hAnsi="Times New Roman"/>
          <w:sz w:val="18"/>
          <w:szCs w:val="18"/>
          <w:color w:val="auto"/>
        </w:rPr>
      </w:pPr>
    </w:p>
    <w:p>
      <w:pPr>
        <w:ind w:left="840" w:hanging="819"/>
        <w:spacing w:after="0"/>
        <w:tabs>
          <w:tab w:leader="none" w:pos="8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Interactive Data Files pursuant to Rule 405 of Regulation S-T.</w:t>
      </w:r>
    </w:p>
    <w:p>
      <w:pPr>
        <w:spacing w:after="0" w:line="130" w:lineRule="exact"/>
        <w:rPr>
          <w:rFonts w:ascii="Times New Roman" w:cs="Times New Roman" w:eastAsia="Times New Roman" w:hAnsi="Times New Roman"/>
          <w:sz w:val="18"/>
          <w:szCs w:val="18"/>
          <w:color w:val="auto"/>
        </w:rPr>
      </w:pPr>
    </w:p>
    <w:p>
      <w:pPr>
        <w:ind w:right="6660" w:firstLine="21"/>
        <w:spacing w:after="0" w:line="433" w:lineRule="auto"/>
        <w:tabs>
          <w:tab w:leader="none" w:pos="83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has been formatted in Inline XBRL. * Indicates management contract or compensatory plan.</w:t>
      </w:r>
    </w:p>
    <w:p>
      <w:pPr>
        <w:spacing w:after="0" w:line="1" w:lineRule="exact"/>
        <w:rPr>
          <w:rFonts w:ascii="Times New Roman" w:cs="Times New Roman" w:eastAsia="Times New Roman" w:hAnsi="Times New Roman"/>
          <w:sz w:val="17"/>
          <w:szCs w:val="17"/>
          <w:color w:val="auto"/>
        </w:rPr>
      </w:pPr>
    </w:p>
    <w:p>
      <w:pPr>
        <w:ind w:left="240" w:hanging="232"/>
        <w:spacing w:after="0"/>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Item 601(b)(10)(iv) of Regulation S-K.</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have been omitted pursuant to Item 601(a)(5) of Regulation S-K.</w:t>
      </w:r>
    </w:p>
    <w:p>
      <w:pPr>
        <w:spacing w:after="0" w:line="12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3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MANNKIND CORPORATION</w:t>
      </w:r>
    </w:p>
    <w:p>
      <w:pPr>
        <w:spacing w:after="0" w:line="252" w:lineRule="exact"/>
        <w:rPr>
          <w:sz w:val="20"/>
          <w:szCs w:val="20"/>
          <w:color w:val="auto"/>
        </w:rPr>
      </w:pPr>
    </w:p>
    <w:p>
      <w:pPr>
        <w:ind w:left="6120"/>
        <w:spacing w:after="0"/>
        <w:tabs>
          <w:tab w:leader="none" w:pos="6560" w:val="left"/>
          <w:tab w:leader="none" w:pos="692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Dated: February 26, 2025</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Michael E. Castagna and David Thomson, and each of them, as his true and lawful attorneys-in-fact and agents, with full power of substitution and resubstitution, for him and in his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 or substituted, may lawfully do or cause to be done by virtue hereof.</w:t>
      </w:r>
    </w:p>
    <w:p>
      <w:pPr>
        <w:spacing w:after="0" w:line="8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0" w:type="dxa"/>
            <w:vAlign w:val="bottom"/>
          </w:tcPr>
          <w:p>
            <w:pPr>
              <w:spacing w:after="0"/>
              <w:rPr>
                <w:sz w:val="15"/>
                <w:szCs w:val="15"/>
                <w:color w:val="auto"/>
              </w:rPr>
            </w:pP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52"/>
        </w:trPr>
        <w:tc>
          <w:tcPr>
            <w:tcW w:w="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E. Castagna</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8"/>
        </w:trPr>
        <w:tc>
          <w:tcPr>
            <w:tcW w:w="20" w:type="dxa"/>
            <w:vAlign w:val="bottom"/>
          </w:tcPr>
          <w:p>
            <w:pPr>
              <w:spacing w:after="0"/>
              <w:rPr>
                <w:sz w:val="19"/>
                <w:szCs w:val="19"/>
                <w:color w:val="auto"/>
              </w:rPr>
            </w:pPr>
          </w:p>
        </w:tc>
        <w:tc>
          <w:tcPr>
            <w:tcW w:w="3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E. Castagna</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Christopher B. Prentiss</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8"/>
        </w:trPr>
        <w:tc>
          <w:tcPr>
            <w:tcW w:w="20" w:type="dxa"/>
            <w:vAlign w:val="bottom"/>
          </w:tcPr>
          <w:p>
            <w:pPr>
              <w:spacing w:after="0"/>
              <w:rPr>
                <w:sz w:val="19"/>
                <w:szCs w:val="19"/>
                <w:color w:val="auto"/>
              </w:rPr>
            </w:pPr>
          </w:p>
        </w:tc>
        <w:tc>
          <w:tcPr>
            <w:tcW w:w="3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Christopher B. Prentiss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48"/>
        </w:trPr>
        <w:tc>
          <w:tcPr>
            <w:tcW w:w="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S. Shannon</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4"/>
        </w:trPr>
        <w:tc>
          <w:tcPr>
            <w:tcW w:w="20" w:type="dxa"/>
            <w:vAlign w:val="bottom"/>
          </w:tcPr>
          <w:p>
            <w:pPr>
              <w:spacing w:after="0"/>
              <w:rPr>
                <w:sz w:val="20"/>
                <w:szCs w:val="20"/>
                <w:color w:val="auto"/>
              </w:rPr>
            </w:pPr>
          </w:p>
        </w:tc>
        <w:tc>
          <w:tcPr>
            <w:tcW w:w="3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S. Shannon, M.D., MRCP (UK)</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Steven B. Binder</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8"/>
        </w:trPr>
        <w:tc>
          <w:tcPr>
            <w:tcW w:w="20" w:type="dxa"/>
            <w:vAlign w:val="bottom"/>
          </w:tcPr>
          <w:p>
            <w:pPr>
              <w:spacing w:after="0"/>
              <w:rPr>
                <w:sz w:val="19"/>
                <w:szCs w:val="19"/>
                <w:color w:val="auto"/>
              </w:rPr>
            </w:pPr>
          </w:p>
        </w:tc>
        <w:tc>
          <w:tcPr>
            <w:tcW w:w="3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B. Binder</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Ronald J. Consiglio</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8"/>
        </w:trPr>
        <w:tc>
          <w:tcPr>
            <w:tcW w:w="20" w:type="dxa"/>
            <w:vAlign w:val="bottom"/>
          </w:tcPr>
          <w:p>
            <w:pPr>
              <w:spacing w:after="0"/>
              <w:rPr>
                <w:sz w:val="19"/>
                <w:szCs w:val="19"/>
                <w:color w:val="auto"/>
              </w:rPr>
            </w:pPr>
          </w:p>
        </w:tc>
        <w:tc>
          <w:tcPr>
            <w:tcW w:w="3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Ronald J. Consiglio</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48"/>
        </w:trPr>
        <w:tc>
          <w:tcPr>
            <w:tcW w:w="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Friedman, M.D.</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4"/>
        </w:trPr>
        <w:tc>
          <w:tcPr>
            <w:tcW w:w="20" w:type="dxa"/>
            <w:vAlign w:val="bottom"/>
          </w:tcPr>
          <w:p>
            <w:pPr>
              <w:spacing w:after="0"/>
              <w:rPr>
                <w:sz w:val="20"/>
                <w:szCs w:val="20"/>
                <w:color w:val="auto"/>
              </w:rPr>
            </w:pPr>
          </w:p>
        </w:tc>
        <w:tc>
          <w:tcPr>
            <w:tcW w:w="3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Friedman, M.D.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Jennifer Grancio</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8"/>
        </w:trPr>
        <w:tc>
          <w:tcPr>
            <w:tcW w:w="20" w:type="dxa"/>
            <w:vAlign w:val="bottom"/>
          </w:tcPr>
          <w:p>
            <w:pPr>
              <w:spacing w:after="0"/>
              <w:rPr>
                <w:sz w:val="19"/>
                <w:szCs w:val="19"/>
                <w:color w:val="auto"/>
              </w:rPr>
            </w:pPr>
          </w:p>
        </w:tc>
        <w:tc>
          <w:tcPr>
            <w:tcW w:w="3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Jennifer Grancio</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Anthony C. Hooper</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7"/>
        </w:trPr>
        <w:tc>
          <w:tcPr>
            <w:tcW w:w="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C. Hooper</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68"/>
        </w:trPr>
        <w:tc>
          <w:tcPr>
            <w:tcW w:w="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Sabrina Kay, PhD</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8"/>
        </w:trPr>
        <w:tc>
          <w:tcPr>
            <w:tcW w:w="20" w:type="dxa"/>
            <w:vAlign w:val="bottom"/>
          </w:tcPr>
          <w:p>
            <w:pPr>
              <w:spacing w:after="0"/>
              <w:rPr>
                <w:sz w:val="19"/>
                <w:szCs w:val="19"/>
                <w:color w:val="auto"/>
              </w:rPr>
            </w:pPr>
          </w:p>
        </w:tc>
        <w:tc>
          <w:tcPr>
            <w:tcW w:w="3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Sabrina Kay, PhD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Christine Mundkur</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7"/>
        </w:trPr>
        <w:tc>
          <w:tcPr>
            <w:tcW w:w="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Mundkur</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657"/>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2"/>
          </w:tcPr>
          <w:p>
            <w:pPr>
              <w:jc w:val="right"/>
              <w:ind w:right="3191"/>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24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660" w:type="dxa"/>
            <w:vAlign w:val="bottom"/>
            <w:gridSpan w:val="2"/>
          </w:tcPr>
          <w:p>
            <w:pPr>
              <w:spacing w:after="0"/>
              <w:rPr>
                <w:sz w:val="17"/>
                <w:szCs w:val="17"/>
                <w:color w:val="auto"/>
              </w:rPr>
            </w:pP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196"/>
        </w:trPr>
        <w:tc>
          <w:tcPr>
            <w:tcW w:w="284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0" w:type="dxa"/>
            <w:vAlign w:val="bottom"/>
            <w:tcBorders>
              <w:bottom w:val="single" w:sz="8" w:color="0000EE"/>
            </w:tcBorders>
          </w:tcPr>
          <w:p>
            <w:pPr>
              <w:spacing w:after="0"/>
              <w:rPr>
                <w:sz w:val="17"/>
                <w:szCs w:val="17"/>
                <w:color w:val="auto"/>
              </w:rPr>
            </w:pPr>
          </w:p>
        </w:tc>
        <w:tc>
          <w:tcPr>
            <w:tcW w:w="2040" w:type="dxa"/>
            <w:vAlign w:val="bottom"/>
            <w:gridSpan w:val="6"/>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490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6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4260" w:type="dxa"/>
            <w:vAlign w:val="bottom"/>
            <w:tcBorders>
              <w:top w:val="single" w:sz="8" w:color="0000FF"/>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640" w:type="dxa"/>
            <w:vAlign w:val="bottom"/>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196"/>
        </w:trPr>
        <w:tc>
          <w:tcPr>
            <w:tcW w:w="490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Deficit</w:t>
            </w:r>
          </w:p>
        </w:tc>
        <w:tc>
          <w:tcPr>
            <w:tcW w:w="6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2900" w:type="dxa"/>
            <w:vAlign w:val="bottom"/>
            <w:tcBorders>
              <w:top w:val="single" w:sz="8" w:color="0000FF"/>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80" w:type="dxa"/>
            <w:vAlign w:val="bottom"/>
            <w:tcBorders>
              <w:top w:val="single" w:sz="8" w:color="0000FF"/>
            </w:tcBorders>
            <w:gridSpan w:val="2"/>
          </w:tcPr>
          <w:p>
            <w:pPr>
              <w:spacing w:after="0"/>
              <w:rPr>
                <w:sz w:val="17"/>
                <w:szCs w:val="17"/>
                <w:color w:val="auto"/>
              </w:rPr>
            </w:pPr>
          </w:p>
        </w:tc>
        <w:tc>
          <w:tcPr>
            <w:tcW w:w="1320" w:type="dxa"/>
            <w:vAlign w:val="bottom"/>
            <w:gridSpan w:val="3"/>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490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668"/>
        </w:trPr>
        <w:tc>
          <w:tcPr>
            <w:tcW w:w="21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3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67</w:t>
            </w:r>
          </w:p>
        </w:tc>
      </w:tr>
      <w:tr>
        <w:trPr>
          <w:trHeight w:val="763"/>
        </w:trPr>
        <w:tc>
          <w:tcPr>
            <w:tcW w:w="2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MannKind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MannKind Corporation and subsidiaries (the "Company") as of December 31, 2024 and 2023, and the related consolidated statements of operations, comprehensive income (loss), stockholders’ deficit,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Internal Control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Integrated Framework (2013) issued by the Committee of Sponsoring Organizations of the Treadway Commission and our report dated February 26, 2025,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 Collaborations and Services – Revenue Forecast – Refer to Note 1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With respect to the Company's significant collaboration and service agreement that includes a long-term commercial supply agreement, the Company has identified three distinct performance obligations: (1) the license, supply of product to be used in clinical development, and continued development and approval support for Tyvaso DPI; (2) development activities for the next generation of the product; and (3) a material right associated with current and future manufacturing and supply of product (“Manufacturing Services”).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Manufacturing Services performance obligation is recognized as control of manufactured products is transferred to the customer. Revenue is recognized based on the measurement of progress as the performance obligation is satisfied. Consideration received that does not meet the requirements to satisfy the revenue recognition criteria is recorded as deferred revenue.</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Significant management judgment is required in determining the level of effort required and the period over which the Company is expected to complete its performance obligations under this arrangement, which in turn is utilized to estimate the amount of Manufacturing Services that should be recognized, as control of manufactured products is transferred to the customer. This estimation utilizes the Company’s actual product revenue, as well as the forecasted product revenue related to the delivery of its performance obligations.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identified the forecasted revenue associated with collaboration and services revenue as a critical audit matter because of the judgments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spacing w:after="0" w:line="266" w:lineRule="auto"/>
        <w:rPr>
          <w:sz w:val="20"/>
          <w:szCs w:val="20"/>
          <w:color w:val="auto"/>
        </w:rPr>
      </w:pPr>
      <w:r>
        <w:rPr>
          <w:rFonts w:ascii="Times New Roman" w:cs="Times New Roman" w:eastAsia="Times New Roman" w:hAnsi="Times New Roman"/>
          <w:sz w:val="18"/>
          <w:szCs w:val="18"/>
          <w:color w:val="auto"/>
        </w:rPr>
        <w:t>necessary for management to estimate the projected development plan. Given the complexity involved in determining the significant assumptions and judgments used in estimating the forecasted product revenue over the contract term, auditing such estimates required a high degree of auditor judgment and increased extent of audit effort.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management’s estimates of the forecasted revenue, included the following, among others:</w:t>
      </w:r>
    </w:p>
    <w:p>
      <w:pPr>
        <w:spacing w:after="0" w:line="117" w:lineRule="exact"/>
        <w:rPr>
          <w:sz w:val="20"/>
          <w:szCs w:val="20"/>
          <w:color w:val="auto"/>
        </w:rPr>
      </w:pPr>
    </w:p>
    <w:p>
      <w:pPr>
        <w:ind w:left="1020" w:right="3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processes to assess and evaluate the reasonableness of the forecasted product revenue.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the following procedures to evaluate the significant assumptions and judgments used by management to develop the revenue forecast:</w:t>
      </w:r>
    </w:p>
    <w:p>
      <w:pPr>
        <w:spacing w:after="0" w:line="53" w:lineRule="exact"/>
        <w:rPr>
          <w:rFonts w:ascii="Times New Roman" w:cs="Times New Roman" w:eastAsia="Times New Roman" w:hAnsi="Times New Roman"/>
          <w:sz w:val="18"/>
          <w:szCs w:val="18"/>
          <w:color w:val="auto"/>
        </w:rPr>
      </w:pPr>
    </w:p>
    <w:p>
      <w:pPr>
        <w:ind w:left="1540" w:right="1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oEvaluated the appropriateness of the method used by the Company to generate the estimate based on our understanding of the nature of the contract.</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Evaluated management’s ability to estimate total forecasted revenue by comparing actuals to management’s historical estimates.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Tested the mathematical accuracy of the Company’s calculations used.</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Evaluated the accuracy and completeness of data used by management to generate the estimate.</w:t>
      </w:r>
    </w:p>
    <w:p>
      <w:pPr>
        <w:spacing w:after="0" w:line="117" w:lineRule="exact"/>
        <w:rPr>
          <w:rFonts w:ascii="Times New Roman" w:cs="Times New Roman" w:eastAsia="Times New Roman" w:hAnsi="Times New Roman"/>
          <w:sz w:val="18"/>
          <w:szCs w:val="18"/>
          <w:color w:val="auto"/>
        </w:rPr>
      </w:pPr>
    </w:p>
    <w:p>
      <w:pPr>
        <w:ind w:left="1540" w:right="1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oEvaluated the reasonableness of the estimate by performing a sensitivity analysis to evaluate the potential financial statement impact as result of management’s assumptions.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9" w:name="page70"/>
    <w:bookmarkEnd w:id="69"/>
    <w:p>
      <w:pPr>
        <w:ind w:left="3520"/>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2220" w:type="dxa"/>
            <w:vAlign w:val="bottom"/>
            <w:gridSpan w:val="6"/>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 per share data)</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product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82,329</w:t>
            </w: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74,029</w:t>
            </w:r>
          </w:p>
        </w:tc>
        <w:tc>
          <w:tcPr>
            <w:tcW w:w="26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Collaborations and services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100,840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52,954</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Royalties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71,979</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285,504</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198,962</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loss on foreign currency transaction</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(3,907 )</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(4,811 )</w:t>
            </w:r>
          </w:p>
        </w:tc>
        <w:tc>
          <w:tcPr>
            <w:tcW w:w="0" w:type="dxa"/>
            <w:vAlign w:val="bottom"/>
          </w:tcPr>
          <w:p>
            <w:pPr>
              <w:spacing w:after="0"/>
              <w:rPr>
                <w:sz w:val="1"/>
                <w:szCs w:val="1"/>
                <w:color w:val="auto"/>
              </w:rPr>
            </w:pPr>
          </w:p>
        </w:tc>
      </w:tr>
      <w:tr>
        <w:trPr>
          <w:trHeight w:val="209"/>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190,284</w:t>
            </w:r>
          </w:p>
        </w:tc>
        <w:tc>
          <w:tcPr>
            <w:tcW w:w="2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72,587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(64,110 )</w:t>
            </w:r>
          </w:p>
        </w:tc>
        <w:tc>
          <w:tcPr>
            <w:tcW w:w="0" w:type="dxa"/>
            <w:vAlign w:val="bottom"/>
          </w:tcPr>
          <w:p>
            <w:pPr>
              <w:spacing w:after="0"/>
              <w:rPr>
                <w:sz w:val="1"/>
                <w:szCs w:val="1"/>
                <w:color w:val="auto"/>
              </w:rPr>
            </w:pPr>
          </w:p>
        </w:tc>
      </w:tr>
      <w:tr>
        <w:trPr>
          <w:trHeight w:val="209"/>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on liability for sale of future royalties</w:t>
            </w:r>
          </w:p>
        </w:tc>
        <w:tc>
          <w:tcPr>
            <w:tcW w:w="3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(16,172 )</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(185 )</w:t>
            </w:r>
          </w:p>
        </w:tc>
        <w:tc>
          <w:tcPr>
            <w:tcW w:w="3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(9,828 )</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(9,825 )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(9,758 )</w:t>
            </w:r>
          </w:p>
        </w:tc>
        <w:tc>
          <w:tcPr>
            <w:tcW w:w="0" w:type="dxa"/>
            <w:vAlign w:val="bottom"/>
          </w:tcPr>
          <w:p>
            <w:pPr>
              <w:spacing w:after="0"/>
              <w:rPr>
                <w:sz w:val="1"/>
                <w:szCs w:val="1"/>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(11,981 )</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(15,151 )</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(15,011 )</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bargain purchase</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settlement of debt</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(20,444 )</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available-for-sale securities</w:t>
            </w:r>
          </w:p>
        </w:tc>
        <w:tc>
          <w:tcPr>
            <w:tcW w:w="3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(1,550 )</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(170 )</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(932 )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(42,069 )</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(19,055 )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(23,290 )</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(10,377 )</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(87,400 )</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27,588</w:t>
            </w: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(11,938 )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(87,400 )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 – basic</w:t>
            </w: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(0.04 )</w:t>
            </w:r>
          </w:p>
        </w:tc>
        <w:tc>
          <w:tcPr>
            <w:tcW w:w="360" w:type="dxa"/>
            <w:vAlign w:val="bottom"/>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(0.34 )</w:t>
            </w:r>
          </w:p>
        </w:tc>
        <w:tc>
          <w:tcPr>
            <w:tcW w:w="0" w:type="dxa"/>
            <w:vAlign w:val="bottom"/>
          </w:tcPr>
          <w:p>
            <w:pPr>
              <w:spacing w:after="0"/>
              <w:rPr>
                <w:sz w:val="1"/>
                <w:szCs w:val="1"/>
                <w:color w:val="auto"/>
              </w:rPr>
            </w:pPr>
          </w:p>
        </w:tc>
      </w:tr>
      <w:tr>
        <w:trPr>
          <w:trHeight w:val="178"/>
        </w:trPr>
        <w:tc>
          <w:tcPr>
            <w:tcW w:w="662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 average shares used to compute net income (loss)</w:t>
            </w: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274,415</w:t>
            </w: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267,014</w:t>
            </w:r>
          </w:p>
        </w:tc>
        <w:tc>
          <w:tcPr>
            <w:tcW w:w="26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257,092</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6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per share – basic</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 – diluted</w:t>
            </w: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(0.04 )</w:t>
            </w:r>
          </w:p>
        </w:tc>
        <w:tc>
          <w:tcPr>
            <w:tcW w:w="360" w:type="dxa"/>
            <w:vAlign w:val="bottom"/>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(0.34 )</w:t>
            </w:r>
          </w:p>
        </w:tc>
        <w:tc>
          <w:tcPr>
            <w:tcW w:w="0" w:type="dxa"/>
            <w:vAlign w:val="bottom"/>
          </w:tcPr>
          <w:p>
            <w:pPr>
              <w:spacing w:after="0"/>
              <w:rPr>
                <w:sz w:val="1"/>
                <w:szCs w:val="1"/>
                <w:color w:val="auto"/>
              </w:rPr>
            </w:pPr>
          </w:p>
        </w:tc>
      </w:tr>
      <w:tr>
        <w:trPr>
          <w:trHeight w:val="178"/>
        </w:trPr>
        <w:tc>
          <w:tcPr>
            <w:tcW w:w="662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 average shares used to compute net income (loss)</w:t>
            </w: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283,844</w:t>
            </w: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267,014</w:t>
            </w:r>
          </w:p>
        </w:tc>
        <w:tc>
          <w:tcPr>
            <w:tcW w:w="26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257,092</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6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per share – diluted</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-3839845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-3839845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5033010</wp:posOffset>
            </wp:positionH>
            <wp:positionV relativeFrom="paragraph">
              <wp:posOffset>-3020695</wp:posOffset>
            </wp:positionV>
            <wp:extent cx="9398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-3020695</wp:posOffset>
            </wp:positionV>
            <wp:extent cx="93980"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-3020695</wp:posOffset>
            </wp:positionV>
            <wp:extent cx="9398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-2716530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-2716530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-1328420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-1328420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-1045210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-1045210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-736600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-719455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-736600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-719455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-299720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-281940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-299720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-281940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27,588</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(11,938 )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(87,400 )</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8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28,697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(11,938 )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(87,400 )</w:t>
            </w:r>
          </w:p>
        </w:tc>
      </w:tr>
      <w:tr>
        <w:trPr>
          <w:trHeight w:val="20"/>
        </w:trPr>
        <w:tc>
          <w:tcPr>
            <w:tcW w:w="6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117"/>
        </w:trPr>
        <w:tc>
          <w:tcPr>
            <w:tcW w:w="7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180" w:type="dxa"/>
            <w:vAlign w:val="bottom"/>
            <w:gridSpan w:val="3"/>
          </w:tcPr>
          <w:p>
            <w:pPr>
              <w:jc w:val="right"/>
              <w:ind w:right="1150"/>
              <w:spacing w:after="0" w:line="118" w:lineRule="exact"/>
              <w:rPr>
                <w:sz w:val="20"/>
                <w:szCs w:val="20"/>
                <w:color w:val="auto"/>
              </w:rPr>
            </w:pPr>
            <w:r>
              <w:rPr>
                <w:rFonts w:ascii="Times New Roman" w:cs="Times New Roman" w:eastAsia="Times New Roman" w:hAnsi="Times New Roman"/>
                <w:sz w:val="13"/>
                <w:szCs w:val="13"/>
                <w:b w:val="1"/>
                <w:bCs w:val="1"/>
                <w:color w:val="auto"/>
              </w:rPr>
              <w:t>except share</w:t>
            </w:r>
          </w:p>
        </w:tc>
        <w:tc>
          <w:tcPr>
            <w:tcW w:w="100" w:type="dxa"/>
            <w:vAlign w:val="bottom"/>
          </w:tcPr>
          <w:p>
            <w:pPr>
              <w:spacing w:after="0"/>
              <w:rPr>
                <w:sz w:val="10"/>
                <w:szCs w:val="10"/>
                <w:color w:val="auto"/>
              </w:rPr>
            </w:pPr>
          </w:p>
        </w:tc>
      </w:tr>
      <w:tr>
        <w:trPr>
          <w:trHeight w:val="173"/>
        </w:trPr>
        <w:tc>
          <w:tcPr>
            <w:tcW w:w="7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80" w:type="dxa"/>
            <w:vAlign w:val="bottom"/>
            <w:gridSpan w:val="5"/>
          </w:tcPr>
          <w:p>
            <w:pPr>
              <w:jc w:val="right"/>
              <w:ind w:right="1540"/>
              <w:spacing w:after="0"/>
              <w:rPr>
                <w:sz w:val="20"/>
                <w:szCs w:val="20"/>
                <w:color w:val="auto"/>
              </w:rPr>
            </w:pPr>
            <w:r>
              <w:rPr>
                <w:rFonts w:ascii="Times New Roman" w:cs="Times New Roman" w:eastAsia="Times New Roman" w:hAnsi="Times New Roman"/>
                <w:sz w:val="14"/>
                <w:szCs w:val="14"/>
                <w:b w:val="1"/>
                <w:bCs w:val="1"/>
                <w:color w:val="auto"/>
              </w:rPr>
              <w:t>and per share data)</w:t>
            </w:r>
          </w:p>
        </w:tc>
      </w:tr>
      <w:tr>
        <w:trPr>
          <w:trHeight w:val="216"/>
        </w:trPr>
        <w:tc>
          <w:tcPr>
            <w:tcW w:w="706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46,339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238,480</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56,619</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28,545</w:t>
            </w:r>
          </w:p>
        </w:tc>
        <w:tc>
          <w:tcPr>
            <w:tcW w:w="100" w:type="dxa"/>
            <w:vAlign w:val="bottom"/>
          </w:tcPr>
          <w:p>
            <w:pPr>
              <w:spacing w:after="0"/>
              <w:rPr>
                <w:sz w:val="18"/>
                <w:szCs w:val="18"/>
                <w:color w:val="auto"/>
              </w:rPr>
            </w:pPr>
          </w:p>
        </w:tc>
      </w:tr>
      <w:tr>
        <w:trPr>
          <w:trHeight w:val="216"/>
        </w:trPr>
        <w:tc>
          <w:tcPr>
            <w:tcW w:w="7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268,306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373,393</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85,365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84,220</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26,757</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Pr>
          <w:p>
            <w:pPr>
              <w:spacing w:after="0"/>
              <w:rPr>
                <w:sz w:val="18"/>
                <w:szCs w:val="18"/>
                <w:color w:val="auto"/>
              </w:rPr>
            </w:pPr>
          </w:p>
        </w:tc>
      </w:tr>
      <w:tr>
        <w:trPr>
          <w:trHeight w:val="250"/>
        </w:trPr>
        <w:tc>
          <w:tcPr>
            <w:tcW w:w="70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393,843</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475,198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60" w:type="dxa"/>
            <w:vAlign w:val="bottom"/>
            <w:shd w:val="clear" w:color="auto" w:fill="CFF0FC"/>
          </w:tcPr>
          <w:p>
            <w:pPr>
              <w:ind w:left="14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42,036</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Liability for sale of future royalties – current</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liability – current</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Recognized loss on purchase commitments – current</w:t>
            </w:r>
          </w:p>
        </w:tc>
        <w:tc>
          <w:tcPr>
            <w:tcW w:w="300" w:type="dxa"/>
            <w:vAlign w:val="bottom"/>
          </w:tcPr>
          <w:p>
            <w:pPr>
              <w:spacing w:after="0"/>
              <w:rPr>
                <w:sz w:val="18"/>
                <w:szCs w:val="18"/>
                <w:color w:val="auto"/>
              </w:rPr>
            </w:pPr>
          </w:p>
        </w:tc>
        <w:tc>
          <w:tcPr>
            <w:tcW w:w="188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Midcap credit facility – current</w:t>
            </w:r>
          </w:p>
        </w:tc>
        <w:tc>
          <w:tcPr>
            <w:tcW w:w="3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FF0FC"/>
          </w:tcPr>
          <w:p>
            <w:pPr>
              <w:spacing w:after="0"/>
              <w:rPr>
                <w:sz w:val="18"/>
                <w:szCs w:val="18"/>
                <w:color w:val="auto"/>
              </w:rPr>
            </w:pPr>
          </w:p>
        </w:tc>
      </w:tr>
      <w:tr>
        <w:trPr>
          <w:trHeight w:val="210"/>
        </w:trPr>
        <w:tc>
          <w:tcPr>
            <w:tcW w:w="70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81,837</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104,125</w:t>
            </w:r>
          </w:p>
        </w:tc>
        <w:tc>
          <w:tcPr>
            <w:tcW w:w="100" w:type="dxa"/>
            <w:vAlign w:val="bottom"/>
            <w:tcBorders>
              <w:top w:val="single" w:sz="8" w:color="CFF0FC"/>
            </w:tcBorders>
          </w:tcPr>
          <w:p>
            <w:pPr>
              <w:spacing w:after="0"/>
              <w:rPr>
                <w:sz w:val="18"/>
                <w:szCs w:val="18"/>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convertible notes</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226,851</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sale of future royalties – long term</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137,362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136,054</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liability – long term</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93,877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94,319</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long term</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69,794</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loss on purchase commitments – long term</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60,942</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Milestone liabilities</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Midcap credit facility – long term</w:t>
            </w:r>
          </w:p>
        </w:tc>
        <w:tc>
          <w:tcPr>
            <w:tcW w:w="300" w:type="dxa"/>
            <w:vAlign w:val="bottom"/>
          </w:tcPr>
          <w:p>
            <w:pPr>
              <w:spacing w:after="0"/>
              <w:rPr>
                <w:sz w:val="18"/>
                <w:szCs w:val="18"/>
                <w:color w:val="auto"/>
              </w:rPr>
            </w:pPr>
          </w:p>
        </w:tc>
        <w:tc>
          <w:tcPr>
            <w:tcW w:w="188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Mann Group convertible note</w:t>
            </w:r>
          </w:p>
        </w:tc>
        <w:tc>
          <w:tcPr>
            <w:tcW w:w="3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 Mann Group convertible note</w:t>
            </w:r>
          </w:p>
        </w:tc>
        <w:tc>
          <w:tcPr>
            <w:tcW w:w="300" w:type="dxa"/>
            <w:vAlign w:val="bottom"/>
          </w:tcPr>
          <w:p>
            <w:pPr>
              <w:spacing w:after="0"/>
              <w:rPr>
                <w:sz w:val="18"/>
                <w:szCs w:val="18"/>
                <w:color w:val="auto"/>
              </w:rPr>
            </w:pPr>
          </w:p>
        </w:tc>
        <w:tc>
          <w:tcPr>
            <w:tcW w:w="188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r>
      <w:tr>
        <w:trPr>
          <w:trHeight w:val="210"/>
        </w:trPr>
        <w:tc>
          <w:tcPr>
            <w:tcW w:w="706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472,659</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721,366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Undesignated preferred stock, $0.01 par value – 10,000,000 shares authorized;</w:t>
            </w: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shares issued or outstanding as of December 31, 2024 or 2023</w:t>
            </w:r>
          </w:p>
        </w:tc>
        <w:tc>
          <w:tcPr>
            <w:tcW w:w="300" w:type="dxa"/>
            <w:vAlign w:val="bottom"/>
          </w:tcPr>
          <w:p>
            <w:pPr>
              <w:spacing w:after="0"/>
              <w:rPr>
                <w:sz w:val="20"/>
                <w:szCs w:val="20"/>
                <w:color w:val="auto"/>
              </w:rPr>
            </w:pPr>
          </w:p>
        </w:tc>
        <w:tc>
          <w:tcPr>
            <w:tcW w:w="188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0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$0.01 par value – 800,000,000 shares authorized;</w:t>
            </w:r>
          </w:p>
        </w:tc>
        <w:tc>
          <w:tcPr>
            <w:tcW w:w="3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302,959,782 and 270,034,495 shares issued and outstanding as of</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3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FF0FC"/>
          </w:tcPr>
          <w:p>
            <w:pPr>
              <w:spacing w:after="0"/>
              <w:rPr>
                <w:sz w:val="20"/>
                <w:szCs w:val="20"/>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3,118,865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2,980,539</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88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(3,201,819 )</w:t>
            </w: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(3,229,407 )</w:t>
            </w:r>
          </w:p>
        </w:tc>
      </w:tr>
      <w:tr>
        <w:trPr>
          <w:trHeight w:val="20"/>
        </w:trPr>
        <w:tc>
          <w:tcPr>
            <w:tcW w:w="7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(78,816 )</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(246,168 )</w:t>
            </w:r>
          </w:p>
        </w:tc>
      </w:tr>
      <w:tr>
        <w:trPr>
          <w:trHeight w:val="209"/>
        </w:trPr>
        <w:tc>
          <w:tcPr>
            <w:tcW w:w="70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393,843</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475,198</w:t>
            </w:r>
          </w:p>
        </w:tc>
        <w:tc>
          <w:tcPr>
            <w:tcW w:w="100" w:type="dxa"/>
            <w:vAlign w:val="bottom"/>
            <w:tcBorders>
              <w:top w:val="single" w:sz="8" w:color="CFF0FC"/>
            </w:tcBorders>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7360" w:type="dxa"/>
            <w:vAlign w:val="bottom"/>
            <w:gridSpan w:val="2"/>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4"/>
        </w:trPr>
        <w:tc>
          <w:tcPr>
            <w:tcW w:w="70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-6779895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-6779895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-5665470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-5648325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-5665470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-5648325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-4268470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-4268470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-2763520</wp:posOffset>
            </wp:positionV>
            <wp:extent cx="93980"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-2763520</wp:posOffset>
            </wp:positionV>
            <wp:extent cx="93980"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-1079500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2100" w:type="dxa"/>
            <w:vAlign w:val="bottom"/>
            <w:gridSpan w:val="4"/>
            <w:vMerge w:val="restart"/>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80" w:type="dxa"/>
            <w:vAlign w:val="bottom"/>
          </w:tcPr>
          <w:p>
            <w:pPr>
              <w:spacing w:after="0"/>
              <w:rPr>
                <w:sz w:val="12"/>
                <w:szCs w:val="12"/>
                <w:color w:val="auto"/>
              </w:rPr>
            </w:pPr>
          </w:p>
        </w:tc>
        <w:tc>
          <w:tcPr>
            <w:tcW w:w="2100" w:type="dxa"/>
            <w:vAlign w:val="bottom"/>
            <w:tcBorders>
              <w:bottom w:val="single" w:sz="8" w:color="auto"/>
            </w:tcBorders>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17"/>
              <w:spacing w:after="0" w:line="14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40" w:type="dxa"/>
            <w:vAlign w:val="bottom"/>
          </w:tcPr>
          <w:p>
            <w:pPr>
              <w:spacing w:after="0"/>
              <w:rPr>
                <w:sz w:val="12"/>
                <w:szCs w:val="12"/>
                <w:color w:val="auto"/>
              </w:rPr>
            </w:pPr>
          </w:p>
        </w:tc>
        <w:tc>
          <w:tcPr>
            <w:tcW w:w="660" w:type="dxa"/>
            <w:vAlign w:val="bottom"/>
          </w:tcPr>
          <w:p>
            <w:pPr>
              <w:jc w:val="center"/>
              <w:ind w:right="197"/>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0" w:type="dxa"/>
            <w:vAlign w:val="bottom"/>
          </w:tcPr>
          <w:p>
            <w:pPr>
              <w:spacing w:after="0"/>
              <w:rPr>
                <w:sz w:val="9"/>
                <w:szCs w:val="9"/>
                <w:color w:val="auto"/>
              </w:rPr>
            </w:pPr>
          </w:p>
        </w:tc>
        <w:tc>
          <w:tcPr>
            <w:tcW w:w="1120" w:type="dxa"/>
            <w:vAlign w:val="bottom"/>
            <w:gridSpan w:val="3"/>
          </w:tcPr>
          <w:p>
            <w:pPr>
              <w:jc w:val="right"/>
              <w:ind w:right="257"/>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9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Paid-in Capital</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4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72"/>
              </w:rPr>
              <w:t>thousands)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BALANCE, JANUARY 1, 2022</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251,478</w:t>
            </w:r>
          </w:p>
        </w:tc>
        <w:tc>
          <w:tcPr>
            <w:tcW w:w="400" w:type="dxa"/>
            <w:vAlign w:val="bottom"/>
            <w:gridSpan w:val="2"/>
            <w:shd w:val="clear" w:color="auto" w:fill="CFF0FC"/>
          </w:tcPr>
          <w:p>
            <w:pPr>
              <w:jc w:val="right"/>
              <w:ind w:right="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2,515</w:t>
            </w:r>
          </w:p>
        </w:tc>
        <w:tc>
          <w:tcPr>
            <w:tcW w:w="340" w:type="dxa"/>
            <w:vAlign w:val="bottom"/>
            <w:gridSpan w:val="2"/>
            <w:shd w:val="clear" w:color="auto" w:fill="CFF0FC"/>
          </w:tcPr>
          <w:p>
            <w:pPr>
              <w:jc w:val="right"/>
              <w:ind w:right="5"/>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2,918,205</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FF0FC"/>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(3,130,069 )</w:t>
            </w:r>
          </w:p>
        </w:tc>
        <w:tc>
          <w:tcPr>
            <w:tcW w:w="2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FF0FC"/>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(209,349 )</w:t>
            </w:r>
          </w:p>
        </w:tc>
        <w:tc>
          <w:tcPr>
            <w:tcW w:w="0" w:type="dxa"/>
            <w:vAlign w:val="bottom"/>
          </w:tcPr>
          <w:p>
            <w:pPr>
              <w:spacing w:after="0"/>
              <w:rPr>
                <w:sz w:val="1"/>
                <w:szCs w:val="1"/>
                <w:color w:val="auto"/>
              </w:rPr>
            </w:pPr>
          </w:p>
        </w:tc>
      </w:tr>
      <w:tr>
        <w:trPr>
          <w:trHeight w:val="117"/>
        </w:trPr>
        <w:tc>
          <w:tcPr>
            <w:tcW w:w="458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with restricted stock units and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conversion of Mann Group convertible note principal</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3,838</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9,557</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9,596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conversion of Mann Group convertible note interest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Issuance of at-the-market offering</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5,060</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19,739</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19,790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Issuance costs associated with at-the-market offering</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(381 )</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20" w:type="dxa"/>
            <w:vAlign w:val="bottom"/>
            <w:gridSpan w:val="2"/>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(381 )</w:t>
            </w: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stock purchase plan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2,076</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price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13,447</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13,447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(87,400 )</w:t>
            </w:r>
          </w:p>
        </w:tc>
        <w:tc>
          <w:tcPr>
            <w:tcW w:w="200" w:type="dxa"/>
            <w:vAlign w:val="bottom"/>
          </w:tcPr>
          <w:p>
            <w:pPr>
              <w:spacing w:after="0"/>
              <w:rPr>
                <w:sz w:val="11"/>
                <w:szCs w:val="11"/>
                <w:color w:val="auto"/>
              </w:rPr>
            </w:pPr>
          </w:p>
        </w:tc>
        <w:tc>
          <w:tcPr>
            <w:tcW w:w="820" w:type="dxa"/>
            <w:vAlign w:val="bottom"/>
            <w:gridSpan w:val="2"/>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(87,400 )</w:t>
            </w:r>
          </w:p>
        </w:tc>
        <w:tc>
          <w:tcPr>
            <w:tcW w:w="0" w:type="dxa"/>
            <w:vAlign w:val="bottom"/>
          </w:tcPr>
          <w:p>
            <w:pPr>
              <w:spacing w:after="0"/>
              <w:rPr>
                <w:sz w:val="1"/>
                <w:szCs w:val="1"/>
                <w:color w:val="auto"/>
              </w:rPr>
            </w:pPr>
          </w:p>
        </w:tc>
      </w:tr>
      <w:tr>
        <w:trPr>
          <w:trHeight w:val="169"/>
        </w:trPr>
        <w:tc>
          <w:tcPr>
            <w:tcW w:w="458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2022</w:t>
            </w:r>
          </w:p>
        </w:tc>
        <w:tc>
          <w:tcPr>
            <w:tcW w:w="9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263,793</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2,638</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2,964,293</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38"/>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(3,217,469</w:t>
            </w:r>
          </w:p>
        </w:tc>
        <w:tc>
          <w:tcPr>
            <w:tcW w:w="220" w:type="dxa"/>
            <w:vAlign w:val="bottom"/>
            <w:tcBorders>
              <w:bottom w:val="single" w:sz="8" w:color="CFF0FC"/>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(250,538</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97"/>
        </w:trPr>
        <w:tc>
          <w:tcPr>
            <w:tcW w:w="4580" w:type="dxa"/>
            <w:vAlign w:val="bottom"/>
          </w:tcPr>
          <w:p>
            <w:pPr>
              <w:ind w:left="160"/>
              <w:spacing w:after="0" w:line="98" w:lineRule="exact"/>
              <w:rPr>
                <w:sz w:val="20"/>
                <w:szCs w:val="20"/>
                <w:color w:val="auto"/>
              </w:rPr>
            </w:pPr>
            <w:r>
              <w:rPr>
                <w:rFonts w:ascii="Times New Roman" w:cs="Times New Roman" w:eastAsia="Times New Roman" w:hAnsi="Times New Roman"/>
                <w:sz w:val="10"/>
                <w:szCs w:val="10"/>
                <w:color w:val="auto"/>
              </w:rPr>
              <w:t>Net issuance of common stock associated</w:t>
            </w: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with restricted stock units and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(10,203 )</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(10,162 )</w:t>
            </w: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conversion of Mann Group convertible note interest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Issuance of at-the-market offering</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1,478</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6,872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Issuance costs associated with at-the-market offering</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(108 )</w:t>
            </w: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(108 )</w:t>
            </w:r>
          </w:p>
        </w:tc>
        <w:tc>
          <w:tcPr>
            <w:tcW w:w="0" w:type="dxa"/>
            <w:vAlign w:val="bottom"/>
          </w:tcPr>
          <w:p>
            <w:pPr>
              <w:spacing w:after="0"/>
              <w:rPr>
                <w:sz w:val="1"/>
                <w:szCs w:val="1"/>
                <w:color w:val="auto"/>
              </w:rPr>
            </w:pPr>
          </w:p>
        </w:tc>
      </w:tr>
      <w:tr>
        <w:trPr>
          <w:trHeight w:val="117"/>
        </w:trPr>
        <w:tc>
          <w:tcPr>
            <w:tcW w:w="458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price stock purchase plan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17,649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17,649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(11,938 )</w:t>
            </w:r>
          </w:p>
        </w:tc>
        <w:tc>
          <w:tcPr>
            <w:tcW w:w="2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(11,938 )</w:t>
            </w:r>
          </w:p>
        </w:tc>
        <w:tc>
          <w:tcPr>
            <w:tcW w:w="0" w:type="dxa"/>
            <w:vAlign w:val="bottom"/>
          </w:tcPr>
          <w:p>
            <w:pPr>
              <w:spacing w:after="0"/>
              <w:rPr>
                <w:sz w:val="1"/>
                <w:szCs w:val="1"/>
                <w:color w:val="auto"/>
              </w:rPr>
            </w:pPr>
          </w:p>
        </w:tc>
      </w:tr>
      <w:tr>
        <w:trPr>
          <w:trHeight w:val="128"/>
        </w:trPr>
        <w:tc>
          <w:tcPr>
            <w:tcW w:w="4580" w:type="dxa"/>
            <w:vAlign w:val="bottom"/>
            <w:tcBorders>
              <w:top w:val="single" w:sz="8" w:color="CFF0FC"/>
              <w:bottom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2023</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270,034</w:t>
            </w:r>
          </w:p>
        </w:tc>
        <w:tc>
          <w:tcPr>
            <w:tcW w:w="26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2,700</w:t>
            </w:r>
          </w:p>
        </w:tc>
        <w:tc>
          <w:tcPr>
            <w:tcW w:w="220" w:type="dxa"/>
            <w:vAlign w:val="bottom"/>
            <w:tcBorders>
              <w:top w:val="single" w:sz="8" w:color="CFF0FC"/>
              <w:bottom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2,980,539</w:t>
            </w:r>
          </w:p>
        </w:tc>
        <w:tc>
          <w:tcPr>
            <w:tcW w:w="220" w:type="dxa"/>
            <w:vAlign w:val="bottom"/>
            <w:tcBorders>
              <w:top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38"/>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(3,229,407</w:t>
            </w:r>
          </w:p>
        </w:tc>
        <w:tc>
          <w:tcPr>
            <w:tcW w:w="220" w:type="dxa"/>
            <w:vAlign w:val="bottom"/>
            <w:tcBorders>
              <w:top w:val="single" w:sz="8" w:color="CFF0FC"/>
              <w:bottom w:val="single" w:sz="8" w:color="CFF0FC"/>
            </w:tcBorders>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(246,168</w:t>
            </w:r>
          </w:p>
        </w:tc>
        <w:tc>
          <w:tcPr>
            <w:tcW w:w="100" w:type="dxa"/>
            <w:vAlign w:val="bottom"/>
            <w:tcBorders>
              <w:top w:val="single" w:sz="8" w:color="CFF0FC"/>
              <w:bottom w:val="single" w:sz="8" w:color="CFF0FC"/>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580" w:type="dxa"/>
            <w:vAlign w:val="bottom"/>
            <w:shd w:val="clear" w:color="auto" w:fill="CFF0FC"/>
          </w:tcPr>
          <w:p>
            <w:pPr>
              <w:ind w:left="160"/>
              <w:spacing w:after="0" w:line="98" w:lineRule="exact"/>
              <w:rPr>
                <w:sz w:val="20"/>
                <w:szCs w:val="20"/>
                <w:color w:val="auto"/>
              </w:rPr>
            </w:pPr>
            <w:r>
              <w:rPr>
                <w:rFonts w:ascii="Times New Roman" w:cs="Times New Roman" w:eastAsia="Times New Roman" w:hAnsi="Times New Roman"/>
                <w:sz w:val="10"/>
                <w:szCs w:val="10"/>
                <w:color w:val="auto"/>
              </w:rPr>
              <w:t>Net issuance of common stock associated</w:t>
            </w:r>
          </w:p>
        </w:tc>
        <w:tc>
          <w:tcPr>
            <w:tcW w:w="9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with restricted stock units and stock options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3,746</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(6,125 )</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(6,087 )</w:t>
            </w:r>
          </w:p>
        </w:tc>
        <w:tc>
          <w:tcPr>
            <w:tcW w:w="0" w:type="dxa"/>
            <w:vAlign w:val="bottom"/>
          </w:tcPr>
          <w:p>
            <w:pPr>
              <w:spacing w:after="0"/>
              <w:rPr>
                <w:sz w:val="1"/>
                <w:szCs w:val="1"/>
                <w:color w:val="auto"/>
              </w:rPr>
            </w:pPr>
          </w:p>
        </w:tc>
      </w:tr>
      <w:tr>
        <w:trPr>
          <w:trHeight w:val="117"/>
        </w:trPr>
        <w:tc>
          <w:tcPr>
            <w:tcW w:w="458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conversion of Mann Group convertible note principal</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conversion of Mann Group convertible note interest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conversion of senior convertible note principal</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26,750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116,172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116,439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stock purchase plan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1,773</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price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21,358</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21,358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Unrealized gain on available-for-sale securities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27,588</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27,588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580" w:type="dxa"/>
            <w:vAlign w:val="bottom"/>
            <w:tcBorders>
              <w:top w:val="single" w:sz="8" w:color="CFF0FC"/>
              <w:bottom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2024</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302,960</w:t>
            </w:r>
          </w:p>
        </w:tc>
        <w:tc>
          <w:tcPr>
            <w:tcW w:w="26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3,029</w:t>
            </w:r>
          </w:p>
        </w:tc>
        <w:tc>
          <w:tcPr>
            <w:tcW w:w="220" w:type="dxa"/>
            <w:vAlign w:val="bottom"/>
            <w:tcBorders>
              <w:top w:val="single" w:sz="8" w:color="CFF0FC"/>
              <w:bottom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3,118,865</w:t>
            </w:r>
          </w:p>
        </w:tc>
        <w:tc>
          <w:tcPr>
            <w:tcW w:w="220" w:type="dxa"/>
            <w:vAlign w:val="bottom"/>
            <w:tcBorders>
              <w:top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1,109</w:t>
            </w:r>
          </w:p>
        </w:tc>
        <w:tc>
          <w:tcPr>
            <w:tcW w:w="200" w:type="dxa"/>
            <w:vAlign w:val="bottom"/>
            <w:tcBorders>
              <w:top w:val="single" w:sz="8" w:color="CFF0FC"/>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38"/>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(3,201,819</w:t>
            </w:r>
          </w:p>
        </w:tc>
        <w:tc>
          <w:tcPr>
            <w:tcW w:w="220" w:type="dxa"/>
            <w:vAlign w:val="bottom"/>
            <w:tcBorders>
              <w:top w:val="single" w:sz="8" w:color="CFF0FC"/>
              <w:bottom w:val="single" w:sz="8" w:color="CFF0FC"/>
            </w:tcBorders>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(78,816</w:t>
            </w:r>
          </w:p>
        </w:tc>
        <w:tc>
          <w:tcPr>
            <w:tcW w:w="100" w:type="dxa"/>
            <w:vAlign w:val="bottom"/>
            <w:tcBorders>
              <w:top w:val="single" w:sz="8" w:color="CFF0FC"/>
              <w:bottom w:val="single" w:sz="8" w:color="CFF0FC"/>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-2579370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-2562225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-2579370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-2562225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-2579370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-2562225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-2579370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-2562225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-2579370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-2562225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-1525270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-1525270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-1525270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-1525270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-1525270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-119380</wp:posOffset>
            </wp:positionV>
            <wp:extent cx="768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-119380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-119380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-119380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-119380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ind w:left="3520"/>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6600" w:type="dxa"/>
            <w:vAlign w:val="bottom"/>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97"/>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1"/>
                <w:szCs w:val="11"/>
                <w:color w:val="auto"/>
              </w:rPr>
            </w:pPr>
          </w:p>
        </w:tc>
      </w:tr>
      <w:tr>
        <w:trPr>
          <w:trHeight w:val="128"/>
        </w:trPr>
        <w:tc>
          <w:tcPr>
            <w:tcW w:w="6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66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tcPr>
          <w:p>
            <w:pPr>
              <w:jc w:val="right"/>
              <w:ind w:right="69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27,588</w:t>
            </w:r>
          </w:p>
        </w:tc>
        <w:tc>
          <w:tcPr>
            <w:tcW w:w="140" w:type="dxa"/>
            <w:vAlign w:val="bottom"/>
          </w:tcPr>
          <w:p>
            <w:pPr>
              <w:spacing w:after="0"/>
              <w:rPr>
                <w:sz w:val="12"/>
                <w:szCs w:val="12"/>
                <w:color w:val="auto"/>
              </w:rPr>
            </w:pPr>
          </w:p>
        </w:tc>
        <w:tc>
          <w:tcPr>
            <w:tcW w:w="3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(11,938 )</w:t>
            </w:r>
          </w:p>
        </w:tc>
        <w:tc>
          <w:tcPr>
            <w:tcW w:w="4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(87,400 )</w:t>
            </w:r>
          </w:p>
        </w:tc>
      </w:tr>
      <w:tr>
        <w:trPr>
          <w:trHeight w:val="126"/>
        </w:trPr>
        <w:tc>
          <w:tcPr>
            <w:tcW w:w="660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w:t>
            </w:r>
          </w:p>
        </w:tc>
        <w:tc>
          <w:tcPr>
            <w:tcW w:w="8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71"/>
        </w:trPr>
        <w:tc>
          <w:tcPr>
            <w:tcW w:w="6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operating activities:</w:t>
            </w: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8"/>
        </w:trPr>
        <w:tc>
          <w:tcPr>
            <w:tcW w:w="6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13,447</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Loss on settlement of debt</w:t>
            </w: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20,444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Interest on liability for sale of future royalties</w:t>
            </w:r>
          </w:p>
        </w:tc>
        <w:tc>
          <w:tcPr>
            <w:tcW w:w="8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6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7,371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4,535</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3,325</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Write-off of inventory</w:t>
            </w:r>
          </w:p>
        </w:tc>
        <w:tc>
          <w:tcPr>
            <w:tcW w:w="8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2,202</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Amortization of right-of-use assets</w:t>
            </w: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2,987</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8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Loss on available-for-sale securities</w:t>
            </w: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100" w:type="dxa"/>
            <w:vAlign w:val="bottom"/>
            <w:shd w:val="clear" w:color="auto" w:fill="CFF0FC"/>
          </w:tcPr>
          <w:p>
            <w:pPr>
              <w:spacing w:after="0"/>
              <w:rPr>
                <w:sz w:val="12"/>
                <w:szCs w:val="12"/>
                <w:color w:val="auto"/>
              </w:rPr>
            </w:pPr>
          </w:p>
        </w:tc>
      </w:tr>
      <w:tr>
        <w:trPr>
          <w:trHeight w:val="149"/>
        </w:trPr>
        <w:tc>
          <w:tcPr>
            <w:tcW w:w="6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Loss on estimated returns of acquired product</w:t>
            </w:r>
          </w:p>
        </w:tc>
        <w:tc>
          <w:tcPr>
            <w:tcW w:w="8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Loss on disposal of fixed assets</w:t>
            </w: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Interest on Mann Group convertible note</w:t>
            </w:r>
          </w:p>
        </w:tc>
        <w:tc>
          <w:tcPr>
            <w:tcW w:w="8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Sold portion of royalty revenue</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(10,234 )</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(2,103 )</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Gain on bargain purchase</w:t>
            </w:r>
          </w:p>
        </w:tc>
        <w:tc>
          <w:tcPr>
            <w:tcW w:w="8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(5,259 )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Net (accretion) amortization of investments</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(5,092 )</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(925 )</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100" w:type="dxa"/>
            <w:vAlign w:val="bottom"/>
            <w:shd w:val="clear" w:color="auto" w:fill="CFF0FC"/>
          </w:tcPr>
          <w:p>
            <w:pPr>
              <w:spacing w:after="0"/>
              <w:rPr>
                <w:sz w:val="12"/>
                <w:szCs w:val="12"/>
                <w:color w:val="auto"/>
              </w:rPr>
            </w:pPr>
          </w:p>
        </w:tc>
      </w:tr>
      <w:tr>
        <w:trPr>
          <w:trHeight w:val="149"/>
        </w:trPr>
        <w:tc>
          <w:tcPr>
            <w:tcW w:w="6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(Gain) loss on foreign currency transaction</w:t>
            </w:r>
          </w:p>
        </w:tc>
        <w:tc>
          <w:tcPr>
            <w:tcW w:w="8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(3,907 )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(4,811 )</w:t>
            </w:r>
          </w:p>
        </w:tc>
      </w:tr>
      <w:tr>
        <w:trPr>
          <w:trHeight w:val="148"/>
        </w:trPr>
        <w:tc>
          <w:tcPr>
            <w:tcW w:w="66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(241 )</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(339 )</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Interest accretion on financing liability</w:t>
            </w:r>
          </w:p>
        </w:tc>
        <w:tc>
          <w:tcPr>
            <w:tcW w:w="84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9,552</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(11,807 )</w:t>
            </w:r>
          </w:p>
        </w:tc>
      </w:tr>
      <w:tr>
        <w:trPr>
          <w:trHeight w:val="149"/>
        </w:trPr>
        <w:tc>
          <w:tcPr>
            <w:tcW w:w="660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(3,196 )</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(11,347 )</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(5,670 )</w:t>
            </w:r>
          </w:p>
        </w:tc>
      </w:tr>
      <w:tr>
        <w:trPr>
          <w:trHeight w:val="148"/>
        </w:trPr>
        <w:tc>
          <w:tcPr>
            <w:tcW w:w="66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(6,574 )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(7,318 )</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(15,552 )</w:t>
            </w:r>
          </w:p>
        </w:tc>
      </w:tr>
      <w:tr>
        <w:trPr>
          <w:trHeight w:val="148"/>
        </w:trPr>
        <w:tc>
          <w:tcPr>
            <w:tcW w:w="660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(3,570 )</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(2,788 )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(1,473 )</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4,096</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(2,703 )</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6,606</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(723 )</w:t>
            </w:r>
          </w:p>
        </w:tc>
      </w:tr>
      <w:tr>
        <w:trPr>
          <w:trHeight w:val="149"/>
        </w:trPr>
        <w:tc>
          <w:tcPr>
            <w:tcW w:w="66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8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(15,312 )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39,462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19,047</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rPr>
              <w:t>Recognized loss on purchase commitments</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(2,690 )</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(9,424 )</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(5,709 )</w:t>
            </w:r>
          </w:p>
        </w:tc>
      </w:tr>
      <w:tr>
        <w:trPr>
          <w:trHeight w:val="149"/>
        </w:trPr>
        <w:tc>
          <w:tcPr>
            <w:tcW w:w="66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8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(2,292 )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(2,385 )</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(3,309 )</w:t>
            </w:r>
          </w:p>
        </w:tc>
      </w:tr>
      <w:tr>
        <w:trPr>
          <w:trHeight w:val="135"/>
        </w:trPr>
        <w:tc>
          <w:tcPr>
            <w:tcW w:w="6600" w:type="dxa"/>
            <w:vAlign w:val="bottom"/>
            <w:shd w:val="clear" w:color="auto" w:fill="CFF0FC"/>
          </w:tcPr>
          <w:p>
            <w:pPr>
              <w:ind w:left="560"/>
              <w:spacing w:after="0" w:line="135" w:lineRule="exact"/>
              <w:rPr>
                <w:sz w:val="20"/>
                <w:szCs w:val="20"/>
                <w:color w:val="auto"/>
              </w:rPr>
            </w:pPr>
            <w:r>
              <w:rPr>
                <w:rFonts w:ascii="Times New Roman" w:cs="Times New Roman" w:eastAsia="Times New Roman" w:hAnsi="Times New Roman"/>
                <w:sz w:val="14"/>
                <w:szCs w:val="14"/>
                <w:color w:val="auto"/>
              </w:rPr>
              <w:t>Deposits from customer</w:t>
            </w:r>
          </w:p>
        </w:tc>
        <w:tc>
          <w:tcPr>
            <w:tcW w:w="84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(4,950 )</w:t>
            </w:r>
          </w:p>
        </w:tc>
      </w:tr>
      <w:tr>
        <w:trPr>
          <w:trHeight w:val="20"/>
        </w:trPr>
        <w:tc>
          <w:tcPr>
            <w:tcW w:w="66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8"/>
        </w:trPr>
        <w:tc>
          <w:tcPr>
            <w:tcW w:w="6600" w:type="dxa"/>
            <w:vAlign w:val="bottom"/>
          </w:tcPr>
          <w:p>
            <w:pPr>
              <w:ind w:left="740"/>
              <w:spacing w:after="0" w:line="129"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8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42,511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34,094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(80,679 )</w:t>
            </w:r>
          </w:p>
        </w:tc>
      </w:tr>
      <w:tr>
        <w:trPr>
          <w:trHeight w:val="142"/>
        </w:trPr>
        <w:tc>
          <w:tcPr>
            <w:tcW w:w="66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84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 of held-to-maturity securities</w:t>
            </w:r>
          </w:p>
        </w:tc>
        <w:tc>
          <w:tcPr>
            <w:tcW w:w="8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9"/>
              </w:rPr>
              <w:t>(273,789 )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(79,095 )</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(74,536 )</w:t>
            </w:r>
          </w:p>
        </w:tc>
      </w:tr>
      <w:tr>
        <w:trPr>
          <w:trHeight w:val="149"/>
        </w:trPr>
        <w:tc>
          <w:tcPr>
            <w:tcW w:w="66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maturities of held-to-maturity securities</w:t>
            </w: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135,317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119,166</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107,340</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 of available-for-sale securities</w:t>
            </w:r>
          </w:p>
        </w:tc>
        <w:tc>
          <w:tcPr>
            <w:tcW w:w="8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(7,006 )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(5,000 )</w:t>
            </w:r>
          </w:p>
        </w:tc>
      </w:tr>
      <w:tr>
        <w:trPr>
          <w:trHeight w:val="148"/>
        </w:trPr>
        <w:tc>
          <w:tcPr>
            <w:tcW w:w="66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maturities of available-for-sale securities</w:t>
            </w: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58,126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8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(9,693 )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(42,441 )</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(7,589 )</w:t>
            </w:r>
          </w:p>
        </w:tc>
      </w:tr>
      <w:tr>
        <w:trPr>
          <w:trHeight w:val="148"/>
        </w:trPr>
        <w:tc>
          <w:tcPr>
            <w:tcW w:w="66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Acquisition of V-Go</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(15,341 )</w:t>
            </w:r>
          </w:p>
        </w:tc>
      </w:tr>
      <w:tr>
        <w:trPr>
          <w:trHeight w:val="135"/>
        </w:trPr>
        <w:tc>
          <w:tcPr>
            <w:tcW w:w="6600" w:type="dxa"/>
            <w:vAlign w:val="bottom"/>
          </w:tcPr>
          <w:p>
            <w:pPr>
              <w:ind w:left="200"/>
              <w:spacing w:after="0" w:line="135" w:lineRule="exact"/>
              <w:rPr>
                <w:sz w:val="20"/>
                <w:szCs w:val="20"/>
                <w:color w:val="auto"/>
              </w:rPr>
            </w:pPr>
            <w:r>
              <w:rPr>
                <w:rFonts w:ascii="Times New Roman" w:cs="Times New Roman" w:eastAsia="Times New Roman" w:hAnsi="Times New Roman"/>
                <w:sz w:val="14"/>
                <w:szCs w:val="14"/>
                <w:color w:val="auto"/>
              </w:rPr>
              <w:t>Proceeds from insurance claim</w:t>
            </w:r>
          </w:p>
        </w:tc>
        <w:tc>
          <w:tcPr>
            <w:tcW w:w="8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396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382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r>
      <w:tr>
        <w:trPr>
          <w:trHeight w:val="128"/>
        </w:trPr>
        <w:tc>
          <w:tcPr>
            <w:tcW w:w="6600" w:type="dxa"/>
            <w:vAlign w:val="bottom"/>
            <w:shd w:val="clear" w:color="auto" w:fill="CFF0FC"/>
          </w:tcPr>
          <w:p>
            <w:pPr>
              <w:ind w:left="740"/>
              <w:spacing w:after="0" w:line="129"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8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(96,649 )</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(1,988 )</w:t>
            </w: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4,874</w:t>
            </w:r>
          </w:p>
        </w:tc>
        <w:tc>
          <w:tcPr>
            <w:tcW w:w="100" w:type="dxa"/>
            <w:vAlign w:val="bottom"/>
            <w:shd w:val="clear" w:color="auto" w:fill="CFF0FC"/>
          </w:tcPr>
          <w:p>
            <w:pPr>
              <w:spacing w:after="0"/>
              <w:rPr>
                <w:sz w:val="11"/>
                <w:szCs w:val="11"/>
                <w:color w:val="auto"/>
              </w:rPr>
            </w:pPr>
          </w:p>
        </w:tc>
      </w:tr>
      <w:tr>
        <w:trPr>
          <w:trHeight w:val="142"/>
        </w:trPr>
        <w:tc>
          <w:tcPr>
            <w:tcW w:w="660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8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9"/>
        </w:trPr>
        <w:tc>
          <w:tcPr>
            <w:tcW w:w="66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sale of future royalties</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costs associated with sale of future royalties</w:t>
            </w:r>
          </w:p>
        </w:tc>
        <w:tc>
          <w:tcPr>
            <w:tcW w:w="84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(4,050 )</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Principal and early extinguishment payments on senior convertible notes</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(87,697 )</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Principal and early extinguishment payments on MidCap credit facility</w:t>
            </w:r>
          </w:p>
        </w:tc>
        <w:tc>
          <w:tcPr>
            <w:tcW w:w="8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(36,617 )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(6,667 )</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Principal and early extinguishment payments on Mann Group convertible note</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(8,854 )</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26"/>
        </w:trPr>
        <w:tc>
          <w:tcPr>
            <w:tcW w:w="660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Payments for taxes related to net issuance of common stock associated with</w:t>
            </w: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6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restricted stock units and stock options</w:t>
            </w:r>
          </w:p>
        </w:tc>
        <w:tc>
          <w:tcPr>
            <w:tcW w:w="8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(6,087 )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(10,162 )</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100" w:type="dxa"/>
            <w:vAlign w:val="bottom"/>
          </w:tcPr>
          <w:p>
            <w:pPr>
              <w:spacing w:after="0"/>
              <w:rPr>
                <w:sz w:val="14"/>
                <w:szCs w:val="14"/>
                <w:color w:val="auto"/>
              </w:rPr>
            </w:pPr>
          </w:p>
        </w:tc>
      </w:tr>
      <w:tr>
        <w:trPr>
          <w:trHeight w:val="148"/>
        </w:trPr>
        <w:tc>
          <w:tcPr>
            <w:tcW w:w="66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market price stock purchase plan and employee stock purchase plan</w:t>
            </w: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2,766</w:t>
            </w:r>
          </w:p>
        </w:tc>
        <w:tc>
          <w:tcPr>
            <w:tcW w:w="100" w:type="dxa"/>
            <w:vAlign w:val="bottom"/>
            <w:shd w:val="clear" w:color="auto" w:fill="CFF0FC"/>
          </w:tcPr>
          <w:p>
            <w:pPr>
              <w:spacing w:after="0"/>
              <w:rPr>
                <w:sz w:val="12"/>
                <w:szCs w:val="12"/>
                <w:color w:val="auto"/>
              </w:rPr>
            </w:pPr>
          </w:p>
        </w:tc>
      </w:tr>
      <w:tr>
        <w:trPr>
          <w:trHeight w:val="149"/>
        </w:trPr>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Milestone payment</w:t>
            </w:r>
          </w:p>
        </w:tc>
        <w:tc>
          <w:tcPr>
            <w:tcW w:w="8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(752 )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(924 )</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(1,088 )</w:t>
            </w:r>
          </w:p>
        </w:tc>
      </w:tr>
      <w:tr>
        <w:trPr>
          <w:trHeight w:val="148"/>
        </w:trPr>
        <w:tc>
          <w:tcPr>
            <w:tcW w:w="66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Principal payments on financing liability</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(398 )</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(189 )</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(18 )</w:t>
            </w:r>
          </w:p>
        </w:tc>
      </w:tr>
      <w:tr>
        <w:trPr>
          <w:trHeight w:val="148"/>
        </w:trPr>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at-the-market offering</w:t>
            </w:r>
          </w:p>
        </w:tc>
        <w:tc>
          <w:tcPr>
            <w:tcW w:w="84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19,790</w:t>
            </w:r>
          </w:p>
        </w:tc>
        <w:tc>
          <w:tcPr>
            <w:tcW w:w="100" w:type="dxa"/>
            <w:vAlign w:val="bottom"/>
          </w:tcPr>
          <w:p>
            <w:pPr>
              <w:spacing w:after="0"/>
              <w:rPr>
                <w:sz w:val="12"/>
                <w:szCs w:val="12"/>
                <w:color w:val="auto"/>
              </w:rPr>
            </w:pPr>
          </w:p>
        </w:tc>
      </w:tr>
      <w:tr>
        <w:trPr>
          <w:trHeight w:val="135"/>
        </w:trPr>
        <w:tc>
          <w:tcPr>
            <w:tcW w:w="660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4"/>
                <w:szCs w:val="14"/>
                <w:color w:val="auto"/>
              </w:rPr>
              <w:t>Issuance costs associated with at-the-market offering</w:t>
            </w:r>
          </w:p>
        </w:tc>
        <w:tc>
          <w:tcPr>
            <w:tcW w:w="84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(108 )</w:t>
            </w: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(381 )</w:t>
            </w:r>
          </w:p>
        </w:tc>
      </w:tr>
      <w:tr>
        <w:trPr>
          <w:trHeight w:val="20"/>
        </w:trPr>
        <w:tc>
          <w:tcPr>
            <w:tcW w:w="66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9"/>
        </w:trPr>
        <w:tc>
          <w:tcPr>
            <w:tcW w:w="6600" w:type="dxa"/>
            <w:vAlign w:val="bottom"/>
          </w:tcPr>
          <w:p>
            <w:pPr>
              <w:ind w:left="740"/>
              <w:spacing w:after="0" w:line="129"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840" w:type="dxa"/>
            <w:vAlign w:val="bottom"/>
          </w:tcPr>
          <w:p>
            <w:pPr>
              <w:spacing w:after="0"/>
              <w:rPr>
                <w:sz w:val="11"/>
                <w:szCs w:val="11"/>
                <w:color w:val="auto"/>
              </w:rPr>
            </w:pPr>
          </w:p>
        </w:tc>
        <w:tc>
          <w:tcPr>
            <w:tcW w:w="6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w w:val="99"/>
              </w:rPr>
              <w:t>(137,266 )</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136,607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21,388</w:t>
            </w:r>
          </w:p>
        </w:tc>
        <w:tc>
          <w:tcPr>
            <w:tcW w:w="100" w:type="dxa"/>
            <w:vAlign w:val="bottom"/>
          </w:tcPr>
          <w:p>
            <w:pPr>
              <w:spacing w:after="0"/>
              <w:rPr>
                <w:sz w:val="11"/>
                <w:szCs w:val="11"/>
                <w:color w:val="auto"/>
              </w:rPr>
            </w:pPr>
          </w:p>
        </w:tc>
      </w:tr>
      <w:tr>
        <w:trPr>
          <w:trHeight w:val="20"/>
        </w:trPr>
        <w:tc>
          <w:tcPr>
            <w:tcW w:w="6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8"/>
        </w:trPr>
        <w:tc>
          <w:tcPr>
            <w:tcW w:w="660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NET (DECREASE) INCREASE IN CASH, CASH EQUIVALENTS AND RESTRICTED CASH</w:t>
            </w:r>
          </w:p>
        </w:tc>
        <w:tc>
          <w:tcPr>
            <w:tcW w:w="8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w w:val="99"/>
              </w:rPr>
              <w:t>(191,404 )</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168,713</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(54,417 )</w:t>
            </w:r>
          </w:p>
        </w:tc>
      </w:tr>
      <w:tr>
        <w:trPr>
          <w:trHeight w:val="128"/>
        </w:trPr>
        <w:tc>
          <w:tcPr>
            <w:tcW w:w="660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PERIOD</w:t>
            </w:r>
          </w:p>
        </w:tc>
        <w:tc>
          <w:tcPr>
            <w:tcW w:w="8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238,480</w:t>
            </w: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69,767</w:t>
            </w: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124,184</w:t>
            </w:r>
          </w:p>
        </w:tc>
        <w:tc>
          <w:tcPr>
            <w:tcW w:w="100" w:type="dxa"/>
            <w:vAlign w:val="bottom"/>
            <w:tcBorders>
              <w:top w:val="single" w:sz="8" w:color="CFF0FC"/>
            </w:tcBorders>
          </w:tcPr>
          <w:p>
            <w:pPr>
              <w:spacing w:after="0"/>
              <w:rPr>
                <w:sz w:val="11"/>
                <w:szCs w:val="11"/>
                <w:color w:val="auto"/>
              </w:rPr>
            </w:pPr>
          </w:p>
        </w:tc>
      </w:tr>
      <w:tr>
        <w:trPr>
          <w:trHeight w:val="169"/>
        </w:trPr>
        <w:tc>
          <w:tcPr>
            <w:tcW w:w="660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840" w:type="dxa"/>
            <w:vAlign w:val="bottom"/>
            <w:tcBorders>
              <w:bottom w:val="single" w:sz="8" w:color="auto"/>
            </w:tcBorders>
            <w:shd w:val="clear" w:color="auto" w:fill="CFF0FC"/>
          </w:tcPr>
          <w:p>
            <w:pPr>
              <w:jc w:val="right"/>
              <w:ind w:right="6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47,076</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238,480</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17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69,767</w:t>
            </w:r>
          </w:p>
        </w:tc>
        <w:tc>
          <w:tcPr>
            <w:tcW w:w="10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-2571115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-2571115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-1628140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-1628140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-402590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-402590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-213995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-213995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8"/>
        </w:trPr>
        <w:tc>
          <w:tcPr>
            <w:tcW w:w="6660" w:type="dxa"/>
            <w:vAlign w:val="bottom"/>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77"/>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1"/>
                <w:szCs w:val="11"/>
                <w:color w:val="auto"/>
              </w:rPr>
            </w:pPr>
          </w:p>
        </w:tc>
      </w:tr>
      <w:tr>
        <w:trPr>
          <w:trHeight w:val="142"/>
        </w:trPr>
        <w:tc>
          <w:tcPr>
            <w:tcW w:w="6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17"/>
              <w:spacing w:after="0" w:line="142" w:lineRule="exact"/>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6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CASH FLOWS DISCLOSURES:</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35"/>
        </w:trPr>
        <w:tc>
          <w:tcPr>
            <w:tcW w:w="666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Interest paid in cash</w:t>
            </w:r>
          </w:p>
        </w:tc>
        <w:tc>
          <w:tcPr>
            <w:tcW w:w="840" w:type="dxa"/>
            <w:vAlign w:val="bottom"/>
            <w:tcBorders>
              <w:bottom w:val="single" w:sz="8" w:color="auto"/>
            </w:tcBorders>
          </w:tcPr>
          <w:p>
            <w:pPr>
              <w:jc w:val="right"/>
              <w:ind w:right="69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17,506</w:t>
            </w:r>
          </w:p>
        </w:tc>
        <w:tc>
          <w:tcPr>
            <w:tcW w:w="24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18,279</w:t>
            </w:r>
          </w:p>
        </w:tc>
        <w:tc>
          <w:tcPr>
            <w:tcW w:w="220" w:type="dxa"/>
            <w:vAlign w:val="bottom"/>
            <w:gridSpan w:val="2"/>
          </w:tcPr>
          <w:p>
            <w:pPr>
              <w:spacing w:after="0"/>
              <w:rPr>
                <w:sz w:val="11"/>
                <w:szCs w:val="11"/>
                <w:color w:val="auto"/>
              </w:rPr>
            </w:pPr>
          </w:p>
        </w:tc>
        <w:tc>
          <w:tcPr>
            <w:tcW w:w="320" w:type="dxa"/>
            <w:vAlign w:val="bottom"/>
            <w:tcBorders>
              <w:bottom w:val="single" w:sz="8" w:color="auto"/>
            </w:tcBorders>
          </w:tcPr>
          <w:p>
            <w:pPr>
              <w:jc w:val="right"/>
              <w:ind w:right="17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8,852</w:t>
            </w:r>
          </w:p>
        </w:tc>
        <w:tc>
          <w:tcPr>
            <w:tcW w:w="120" w:type="dxa"/>
            <w:vAlign w:val="bottom"/>
          </w:tcPr>
          <w:p>
            <w:pPr>
              <w:spacing w:after="0"/>
              <w:rPr>
                <w:sz w:val="11"/>
                <w:szCs w:val="11"/>
                <w:color w:val="auto"/>
              </w:rPr>
            </w:pPr>
          </w:p>
        </w:tc>
      </w:tr>
      <w:tr>
        <w:trPr>
          <w:trHeight w:val="20"/>
        </w:trPr>
        <w:tc>
          <w:tcPr>
            <w:tcW w:w="6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5"/>
        </w:trPr>
        <w:tc>
          <w:tcPr>
            <w:tcW w:w="6660" w:type="dxa"/>
            <w:vAlign w:val="bottom"/>
            <w:tcBorders>
              <w:bottom w:val="single" w:sz="8" w:color="CFF0FC"/>
            </w:tcBorders>
            <w:shd w:val="clear" w:color="auto" w:fill="CFF0FC"/>
          </w:tcPr>
          <w:p>
            <w:pPr>
              <w:ind w:left="120"/>
              <w:spacing w:after="0" w:line="129" w:lineRule="exact"/>
              <w:rPr>
                <w:sz w:val="20"/>
                <w:szCs w:val="20"/>
                <w:color w:val="auto"/>
              </w:rPr>
            </w:pPr>
            <w:r>
              <w:rPr>
                <w:rFonts w:ascii="Times New Roman" w:cs="Times New Roman" w:eastAsia="Times New Roman" w:hAnsi="Times New Roman"/>
                <w:sz w:val="14"/>
                <w:szCs w:val="14"/>
                <w:color w:val="auto"/>
              </w:rPr>
              <w:t>Income taxes paid in cash</w:t>
            </w:r>
          </w:p>
        </w:tc>
        <w:tc>
          <w:tcPr>
            <w:tcW w:w="840" w:type="dxa"/>
            <w:vAlign w:val="bottom"/>
            <w:tcBorders>
              <w:bottom w:val="single" w:sz="8" w:color="auto"/>
            </w:tcBorders>
            <w:shd w:val="clear" w:color="auto" w:fill="CFF0FC"/>
          </w:tcPr>
          <w:p>
            <w:pPr>
              <w:jc w:val="right"/>
              <w:ind w:right="69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4,262</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ind w:right="17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29"/>
        </w:trPr>
        <w:tc>
          <w:tcPr>
            <w:tcW w:w="66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66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of senior convertible note principal through common stock issuances</w:t>
            </w:r>
          </w:p>
        </w:tc>
        <w:tc>
          <w:tcPr>
            <w:tcW w:w="840" w:type="dxa"/>
            <w:vAlign w:val="bottom"/>
            <w:shd w:val="clear" w:color="auto" w:fill="CFF0FC"/>
          </w:tcPr>
          <w:p>
            <w:pPr>
              <w:jc w:val="right"/>
              <w:ind w:right="69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116,439</w:t>
            </w:r>
          </w:p>
        </w:tc>
        <w:tc>
          <w:tcPr>
            <w:tcW w:w="4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3"/>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Assumption of right-of-use-asset and operating lease liability</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acquisition of intangible asset</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of Mann Group principal and interest through common stock issuances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10,270</w:t>
            </w:r>
          </w:p>
        </w:tc>
        <w:tc>
          <w:tcPr>
            <w:tcW w:w="120" w:type="dxa"/>
            <w:vAlign w:val="bottom"/>
          </w:tcPr>
          <w:p>
            <w:pPr>
              <w:spacing w:after="0"/>
              <w:rPr>
                <w:sz w:val="12"/>
                <w:szCs w:val="12"/>
                <w:color w:val="auto"/>
              </w:rPr>
            </w:pPr>
          </w:p>
        </w:tc>
      </w:tr>
      <w:tr>
        <w:trPr>
          <w:trHeight w:val="148"/>
        </w:trPr>
        <w:tc>
          <w:tcPr>
            <w:tcW w:w="66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liability for sale of future royalties</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3,605</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construction-in-progress, property and equipment</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120" w:type="dxa"/>
            <w:vAlign w:val="bottom"/>
          </w:tcPr>
          <w:p>
            <w:pPr>
              <w:spacing w:after="0"/>
              <w:rPr>
                <w:sz w:val="12"/>
                <w:szCs w:val="12"/>
                <w:color w:val="auto"/>
              </w:rPr>
            </w:pPr>
          </w:p>
        </w:tc>
      </w:tr>
      <w:tr>
        <w:trPr>
          <w:trHeight w:val="148"/>
        </w:trPr>
        <w:tc>
          <w:tcPr>
            <w:tcW w:w="66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acquisition of property and equipment</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959</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Addition of right-of-use-asset and lease liability</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1,812</w:t>
            </w:r>
          </w:p>
        </w:tc>
        <w:tc>
          <w:tcPr>
            <w:tcW w:w="120" w:type="dxa"/>
            <w:vAlign w:val="bottom"/>
          </w:tcPr>
          <w:p>
            <w:pPr>
              <w:spacing w:after="0"/>
              <w:rPr>
                <w:sz w:val="12"/>
                <w:szCs w:val="12"/>
                <w:color w:val="auto"/>
              </w:rPr>
            </w:pPr>
          </w:p>
        </w:tc>
      </w:tr>
      <w:tr>
        <w:trPr>
          <w:trHeight w:val="149"/>
        </w:trPr>
        <w:tc>
          <w:tcPr>
            <w:tcW w:w="66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Right-of-use asset modification</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3,793</w:t>
            </w:r>
          </w:p>
        </w:tc>
        <w:tc>
          <w:tcPr>
            <w:tcW w:w="120" w:type="dxa"/>
            <w:vAlign w:val="bottom"/>
            <w:shd w:val="clear" w:color="auto" w:fill="CFF0FC"/>
          </w:tcPr>
          <w:p>
            <w:pPr>
              <w:spacing w:after="0"/>
              <w:rPr>
                <w:sz w:val="12"/>
                <w:szCs w:val="12"/>
                <w:color w:val="auto"/>
              </w:rPr>
            </w:pPr>
          </w:p>
        </w:tc>
      </w:tr>
      <w:tr>
        <w:trPr>
          <w:trHeight w:val="148"/>
        </w:trPr>
        <w:tc>
          <w:tcPr>
            <w:tcW w:w="6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Goodwill adjustment for a net reduction in liabilities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Receivable for insurance claim on damaged equipment</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issuance costs associated with liability for sale of future royalties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Contingent milestone liability</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2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-1344930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-1328420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-1344930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-1328420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-1344930</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-1328420</wp:posOffset>
            </wp:positionV>
            <wp:extent cx="774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 MannKind Corporation and its subsidiaries (the “Company”) is a biopharmaceutical company focused on the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commercialization of innovative therapeutic products and devices to address serious unmet medical needs for those living with endocrine and orphan lung diseases. The Company’s signature technologies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Technosphere dry-powder formulations and Dreamboat inhalation devices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offer rapid and convenient delivery of medicines to the deep lung where they can exert an effect locally or enter the systemic circulation. The Company is currently commercializing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the orphan lung disease pipeline, Tyvaso DPI (treprostinil) inhalation powder, received approval from the U.S. Food and Drug Administration (“FDA”) in May 2022 for the treatment of pulmonary arterial hypertension ("PAH") and for the treatment of pulmonary hypertension associated with interstitial lung disease ("PH-ILD"). The Company's development and marketing partner, United Therapeutics ("UT") began commercializing Tyvaso DPI in June 2022 and is obligated to pay a 10% royalty on net sales of the product, of which 9% is allocated to the Company and 1% to another party as detailed in Note 16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The Company also receives a margin on supplies of Tyvaso DPI that it manufactures for UT.</w:t>
      </w:r>
    </w:p>
    <w:p>
      <w:pPr>
        <w:spacing w:after="0" w:line="17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 The consolidated financial statements have been prepared in accordance with accounting principles generally accepted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of America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the Company and its wholly-owned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balances and transactions have been eliminated.</w:t>
      </w:r>
    </w:p>
    <w:p>
      <w:pPr>
        <w:spacing w:after="0" w:line="2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 Certain amounts reported in prior years have been reclassified to conform with the current year presentation.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selling expenses with general and administrative expenses as selling, general and administrative expenses in the consolidated statements of operations. Additionally, the Company has segregated the sold portion of royalty revenue from change in prepaid expenses and other current assets in the consolidated statements of cash flows.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 Operating segments are identified as components of an enterprise which engage in business activities that result in revenue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for which separate discrete financial information is available for evaluation by the chief operating decision-maker (the “CODM”) in making decisions regarding resource allocation and assessing performance on a regular basis. The CODM is comprised of the Company's CEO and CFO. To date, the Company has viewed its operations and manages its business as a single reportable segment operating in the United States of America.</w:t>
      </w:r>
    </w:p>
    <w:p>
      <w:pPr>
        <w:spacing w:after="0" w:line="18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The Company manufactures products using the Technosphere technology for commercial distribution and continues to pursue other product candidates through collaboration and internal research and development of its pipeline. The business and accounting policies of the Company's single reportable segment are the same as those described in Note 1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and Note 2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The measure of segment assets is reported as total assets in the consolidated balance sheets. No intra-entity sales or transfers are transacted within the Company.</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key metric utilized by the CODM to assess resource allocation and performance is the Company’s segment net income (loss), which is the same as the consolidated net income (loss) reported in the consolidated statements of operations. The CODM also analyzes the Company's consolidated net income (loss) to evaluate its return on segment assets and to establish budgets and forecasts. The table below shows the details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76" w:name="page77"/>
    <w:bookmarkEnd w:id="76"/>
    <w:p>
      <w:pPr>
        <w:ind w:right="280"/>
        <w:spacing w:after="0" w:line="282" w:lineRule="auto"/>
        <w:rPr>
          <w:sz w:val="20"/>
          <w:szCs w:val="20"/>
          <w:color w:val="auto"/>
        </w:rPr>
      </w:pPr>
      <w:r>
        <w:rPr>
          <w:rFonts w:ascii="Times New Roman" w:cs="Times New Roman" w:eastAsia="Times New Roman" w:hAnsi="Times New Roman"/>
          <w:sz w:val="18"/>
          <w:szCs w:val="18"/>
          <w:color w:val="auto"/>
        </w:rPr>
        <w:t>of the Company’s segment revenues and significant expense categories regularly provided to and reviewed by the CODM and other significant segment items included in consolidated net income (loss) in the consolidated statements of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Afrezza</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64,041</w:t>
            </w:r>
          </w:p>
        </w:tc>
        <w:tc>
          <w:tcPr>
            <w:tcW w:w="1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54,914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V-Go</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Collaborations and services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100,840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52,954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Royalties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71,979</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285,504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198,962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significant segment expenses (income):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 – commercial</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(12,615 )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(6,154 )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(2,513 )</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settlement of debt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(4,718 )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(3,777 )</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(11,938 )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(87,400 )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0" w:lineRule="exact"/>
        <w:rPr>
          <w:sz w:val="20"/>
          <w:szCs w:val="20"/>
          <w:color w:val="auto"/>
        </w:rPr>
      </w:pPr>
    </w:p>
    <w:p>
      <w:pPr>
        <w:ind w:left="1020" w:right="280" w:hanging="503"/>
        <w:spacing w:after="0" w:line="298" w:lineRule="auto"/>
        <w:tabs>
          <w:tab w:leader="none" w:pos="102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Includes primarily (gain) loss on foreign currency transaction and gain on bargain purchase, offset by loss on available-for-sale securities and income tax expense.</w:t>
      </w:r>
    </w:p>
    <w:p>
      <w:pPr>
        <w:spacing w:after="0" w:line="263" w:lineRule="exact"/>
        <w:rPr>
          <w:rFonts w:ascii="Times New Roman" w:cs="Times New Roman" w:eastAsia="Times New Roman" w:hAnsi="Times New Roman"/>
          <w:sz w:val="13"/>
          <w:szCs w:val="13"/>
          <w:color w:val="auto"/>
        </w:rPr>
      </w:pPr>
    </w:p>
    <w:p>
      <w:pPr>
        <w:ind w:left="180" w:hanging="172"/>
        <w:spacing w:after="0"/>
        <w:tabs>
          <w:tab w:leader="none" w:pos="1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Financial Statement Estimates </w:t>
      </w:r>
      <w:r>
        <w:rPr>
          <w:rFonts w:ascii="Times New Roman" w:cs="Times New Roman" w:eastAsia="Times New Roman" w:hAnsi="Times New Roman"/>
          <w:sz w:val="18"/>
          <w:szCs w:val="18"/>
          <w:color w:val="auto"/>
        </w:rPr>
        <w:t>— The preparation of financial statements in conformity with GAAP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affect the amounts reported in the financial statements and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These effects could have a material impact on the estimates and assumptions used in the preparation of the consolidated financial statements. The more significant estimates include revenue recognition, including gross-to-net adjustments, stand-alone selling price considerations for recognition of collaboration revenue, assessing long-lived assets for impairment, clinical trial expenses, inventory costing, interest expense on liability for sale of future royalties, stock-based compensation, the determination of the provision for income taxes and corresponding deferred tax assets and liabilities, the valuation allowance recorded against net deferred tax assets, and expected cash flows from royalties received in connection with UT's net revenue for the sale of Tyvaso DPI.</w:t>
      </w:r>
    </w:p>
    <w:p>
      <w:pPr>
        <w:spacing w:after="0" w:line="18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The Company recognizes revenue when its customers obtain control of promised goods or services, in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which the Company expects to be entitled in exchange for those goods or services.</w:t>
      </w:r>
    </w:p>
    <w:p>
      <w:pPr>
        <w:spacing w:after="0" w:line="15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To determine revenue recognition for arrangements that are within the scope of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the Company performs the following five steps: (i) identify the contract(s) with a customer, (ii) identify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to which it is entitled in exchange for the goods or services it transfers to the customer.</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durable medical equipment suppliers ("DMEs") and (ii) collaboration arrangements.</w:t>
      </w:r>
    </w:p>
    <w:p>
      <w:pPr>
        <w:spacing w:after="0" w:line="16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i w:val="1"/>
          <w:iCs w:val="1"/>
          <w:color w:val="auto"/>
        </w:rPr>
        <w:t xml:space="preserve"> Net Revenue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i w:val="1"/>
          <w:iCs w:val="1"/>
          <w:color w:val="auto"/>
        </w:rPr>
        <w:t xml:space="preserve"> Commercial Product Sales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sells its products to a limited number of wholesale distributors,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specialty and retail pharmacies, and DMEs in the U.S.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The Company transfers control and recognizes revenue upon delivery of product to wholesale distributors and specialty pharmacies. The Company transfers control and recognizes revenue on product sales to a retail pharmacy as the product is dispensed to patients. Product revenues are recorded net of applicable reserves, including discounts, allowances, rebates, returns and other incentives. See </w:t>
      </w:r>
      <w:r>
        <w:rPr>
          <w:rFonts w:ascii="Times New Roman" w:cs="Times New Roman" w:eastAsia="Times New Roman" w:hAnsi="Times New Roman"/>
          <w:sz w:val="18"/>
          <w:szCs w:val="18"/>
          <w:i w:val="1"/>
          <w:iCs w:val="1"/>
          <w:color w:val="auto"/>
        </w:rPr>
        <w:t>Reserves for Variable Consideration</w:t>
      </w:r>
      <w:r>
        <w:rPr>
          <w:rFonts w:ascii="Times New Roman" w:cs="Times New Roman" w:eastAsia="Times New Roman" w:hAnsi="Times New Roman"/>
          <w:sz w:val="18"/>
          <w:szCs w:val="18"/>
          <w:color w:val="auto"/>
        </w:rPr>
        <w:t xml:space="preserve"> below.</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Reserves for Variable Consideration </w:t>
      </w:r>
      <w:r>
        <w:rPr>
          <w:rFonts w:ascii="Times New Roman" w:cs="Times New Roman" w:eastAsia="Times New Roman" w:hAnsi="Times New Roman"/>
          <w:sz w:val="18"/>
          <w:szCs w:val="18"/>
          <w:color w:val="auto"/>
        </w:rPr>
        <w:t>— Revenues from product sales are recorded at the net sales price (transaction price), which includes estimates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 is required in estimating gross-to-net adjustments, including historical experience, payer channel mix, current contract prices under applicable programs, unbilled claims, claim submission time lags and inventory levels in the distribution channel.</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current period estimates of gross-to-net adjustments and, therefore, the transaction price was not reduced further during the current period. Actual amounts of consideration ultimately received may differ from the Company’s estimates. If actual results in the future vary from the Company’s estimates, the Company will adjust these estimates, which would affect net revenue from commercial product sales and earnings in the period such variances become known.</w:t>
      </w:r>
    </w:p>
    <w:p>
      <w:pPr>
        <w:spacing w:after="0" w:line="187"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 The Company generally provides Customers with discounts which include incentives, such as prompt pay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 Consistent with industry practice, the Company generally offers Customers a right of return for unopened product that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 digits. Adjustments to the returns reserve are made when changes in the Company's assumptions result in revised estimates to the Company’s assumptions.</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Provider Chargebacks and Discounts </w:t>
      </w:r>
      <w:r>
        <w:rPr>
          <w:rFonts w:ascii="Times New Roman" w:cs="Times New Roman" w:eastAsia="Times New Roman" w:hAnsi="Times New Roman"/>
          <w:sz w:val="18"/>
          <w:szCs w:val="18"/>
          <w:color w:val="auto"/>
        </w:rPr>
        <w:t>— 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to qualified healthcare providers at prices lower than the list prices charged to Customers who directly purchase products from the Company. Customers charge the Company for the difference between what they pay for products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88"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 The Company is subject to discount obligations under Medicare and state Medicaid programs. These reserves are recorded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Afrezza,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been received, estimates of claims for the current quarter, and estimated future claims that will be made for products that have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spacing w:after="0" w:line="17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Payer Rebates </w:t>
      </w:r>
      <w:r>
        <w:rPr>
          <w:rFonts w:ascii="Times New Roman" w:cs="Times New Roman" w:eastAsia="Times New Roman" w:hAnsi="Times New Roman"/>
          <w:sz w:val="18"/>
          <w:szCs w:val="18"/>
          <w:color w:val="auto"/>
        </w:rPr>
        <w:t>— The Company contracts with certain private payer organizations, primarily insurance companies and pharmacy benefit managers,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spacing w:after="0" w:line="1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 Other incentives which the Company offers include voluntary patient support programs, such as the Company's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co-payments required by payers. The calculation of the accrual for co-pay assistance is based on an estimate of claims and the cost per claim that the Company expects to receive associated with the products that have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8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Revenue Recognition – Collaborations and Services — </w:t>
      </w:r>
      <w:r>
        <w:rPr>
          <w:rFonts w:ascii="Times New Roman" w:cs="Times New Roman" w:eastAsia="Times New Roman" w:hAnsi="Times New Roman"/>
          <w:sz w:val="18"/>
          <w:szCs w:val="18"/>
          <w:color w:val="auto"/>
        </w:rPr>
        <w:t>The Company enters into licensing, research or other agreements under which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commercial manufacturing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With respect to the Company's significant collaboration and service agreement with UT that includes a long-term commercial supply agreement (as amended, the “CSA”), the Company has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current and future manufacturing and supply of product (“Manufacturing Services”). Pre-production activities under the CSA, such as facility expansion services and other administrative services, were considered bundled services under the Manufacturing Services performance obligation as required by ASC 606. Following the FDA’s approval of Tyvaso DPI, UT began issuing purchase orders for the supply of product, which represents distinct contracts and performance obligations under ASC 606. Revenue is recognized for the supply of product at a point in time, once control is transferred to UT. See Note 11 – </w:t>
      </w:r>
      <w:r>
        <w:rPr>
          <w:rFonts w:ascii="Times New Roman" w:cs="Times New Roman" w:eastAsia="Times New Roman" w:hAnsi="Times New Roman"/>
          <w:sz w:val="18"/>
          <w:szCs w:val="18"/>
          <w:i w:val="1"/>
          <w:iCs w:val="1"/>
          <w:color w:val="auto"/>
        </w:rPr>
        <w:t>Collaborations, Licensing and Other Arrangements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11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Collaborations, Licensing and Other Arrangements.</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ind w:right="20"/>
        <w:spacing w:after="0" w:line="256" w:lineRule="auto"/>
        <w:rPr>
          <w:sz w:val="20"/>
          <w:szCs w:val="20"/>
          <w:color w:val="auto"/>
        </w:rPr>
      </w:pPr>
      <w:r>
        <w:rPr>
          <w:rFonts w:ascii="Times New Roman" w:cs="Times New Roman" w:eastAsia="Times New Roman" w:hAnsi="Times New Roman"/>
          <w:sz w:val="18"/>
          <w:szCs w:val="18"/>
          <w:color w:val="auto"/>
        </w:rPr>
        <w:t>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 obligations have been delivered, the Company will recognize the milestone payment as revenue in its entirety in the period the milestone was achieved.</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collaboration agreements, for accounting purposes, represent contracts with customers and therefore are not subject to accounting literature on collaboration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collaboration agreements must generally be accounted for pursuant to ASC 606.</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The Company assessed the CSA agreement with UT and determined that a material right existed for the manufacturing services performance obligation. The transaction price is allocated to the material right as well as the remaining performance obligations in accordance with ASC 606. The Company also evaluates grants of additional licensing rights upon option exercises to determine whether such should be accounted for as separate contracts.</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Recognition – Royalties — </w:t>
      </w:r>
      <w:r>
        <w:rPr>
          <w:rFonts w:ascii="Times New Roman" w:cs="Times New Roman" w:eastAsia="Times New Roman" w:hAnsi="Times New Roman"/>
          <w:sz w:val="18"/>
          <w:szCs w:val="18"/>
          <w:color w:val="auto"/>
        </w:rPr>
        <w:t>The Company recognizes royalty revenue for a sales-based or usage-based royalty if it is promised in exchange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intellectual property license. The royalty revenue is recognized as the latter of the subsequent sale of the product occurs or if the performance obligation to which the royalty has been allocated has been satisfied or partially satisfied. The Company’s UT License Agreement (as defined in Note 11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Collaborations, Licensing and Other Arrangements</w:t>
      </w:r>
      <w:r>
        <w:rPr>
          <w:rFonts w:ascii="Times New Roman" w:cs="Times New Roman" w:eastAsia="Times New Roman" w:hAnsi="Times New Roman"/>
          <w:sz w:val="18"/>
          <w:szCs w:val="18"/>
          <w:color w:val="auto"/>
        </w:rPr>
        <w:t>) entitles it to receive a 10% royalty on net sales of Tyvaso DPI for the license of the Company’s IP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was considered to be interdependent with the development activities that supported the approval of Tyvaso DPI. Although the Company recognizes a 10% royalty on net revenue from the sale of Tyvaso DPI as revenue, it only collects 9% of future royalties due to its sale in December 2023 of 1% of future royalties as detailed in Note 16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Company’s net revenue and cost of revenue and goods sold as shown on the consolidated statement of operations is comprised of revenue generated from product sales, services and royalties as shown below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6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Product revenue </w:t>
            </w:r>
            <w:r>
              <w:rPr>
                <w:rFonts w:ascii="Times New Roman" w:cs="Times New Roman" w:eastAsia="Times New Roman" w:hAnsi="Times New Roman"/>
                <w:sz w:val="24"/>
                <w:szCs w:val="24"/>
                <w:color w:val="auto"/>
                <w:vertAlign w:val="superscript"/>
              </w:rPr>
              <w:t>(1)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178,557</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126,054</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Services </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600" w:type="dxa"/>
            <w:vAlign w:val="bottom"/>
          </w:tcPr>
          <w:p>
            <w:pPr>
              <w:ind w:left="200"/>
              <w:spacing w:after="0" w:line="267" w:lineRule="exact"/>
              <w:rPr>
                <w:sz w:val="20"/>
                <w:szCs w:val="20"/>
                <w:color w:val="auto"/>
              </w:rPr>
            </w:pPr>
            <w:r>
              <w:rPr>
                <w:rFonts w:ascii="Times New Roman" w:cs="Times New Roman" w:eastAsia="Times New Roman" w:hAnsi="Times New Roman"/>
                <w:sz w:val="18"/>
                <w:szCs w:val="18"/>
                <w:color w:val="auto"/>
              </w:rPr>
              <w:t xml:space="preserve">Royalties </w:t>
            </w:r>
            <w:r>
              <w:rPr>
                <w:rFonts w:ascii="Times New Roman" w:cs="Times New Roman" w:eastAsia="Times New Roman" w:hAnsi="Times New Roman"/>
                <w:sz w:val="24"/>
                <w:szCs w:val="24"/>
                <w:color w:val="auto"/>
                <w:vertAlign w:val="superscript"/>
              </w:rPr>
              <w:t>(3)</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102,335</w:t>
            </w:r>
          </w:p>
        </w:tc>
        <w:tc>
          <w:tcPr>
            <w:tcW w:w="2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71,979</w:t>
            </w:r>
          </w:p>
        </w:tc>
        <w:tc>
          <w:tcPr>
            <w:tcW w:w="2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285,504</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198,962</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1323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540" w:hanging="532"/>
        <w:spacing w:after="0"/>
        <w:tabs>
          <w:tab w:leader="none" w:pos="5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the revenue from Afrezza and V-Go sales to wholesalers and specialty pharmacies and Tyvaso DPI to UT.</w:t>
      </w:r>
    </w:p>
    <w:p>
      <w:pPr>
        <w:spacing w:after="0" w:line="8" w:lineRule="exact"/>
        <w:rPr>
          <w:rFonts w:ascii="Times New Roman" w:cs="Times New Roman" w:eastAsia="Times New Roman" w:hAnsi="Times New Roman"/>
          <w:sz w:val="13"/>
          <w:szCs w:val="13"/>
          <w:color w:val="auto"/>
        </w:rPr>
      </w:pPr>
    </w:p>
    <w:p>
      <w:pPr>
        <w:ind w:left="540" w:right="20" w:hanging="532"/>
        <w:spacing w:after="0" w:line="264" w:lineRule="auto"/>
        <w:tabs>
          <w:tab w:leader="none" w:pos="5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Amounts represent revenue generated from the Company’s collaboration arrangements, including Next-Gen R&amp;D Services (as defined in Note 11) for UT as well as arrangements with other collaboration partners. See Note 11 – </w:t>
      </w:r>
      <w:r>
        <w:rPr>
          <w:rFonts w:ascii="Times New Roman" w:cs="Times New Roman" w:eastAsia="Times New Roman" w:hAnsi="Times New Roman"/>
          <w:sz w:val="16"/>
          <w:szCs w:val="16"/>
          <w:i w:val="1"/>
          <w:iCs w:val="1"/>
          <w:color w:val="auto"/>
        </w:rPr>
        <w:t>Collaborations, Licensing and Other Arrangements</w:t>
      </w:r>
      <w:r>
        <w:rPr>
          <w:rFonts w:ascii="Times New Roman" w:cs="Times New Roman" w:eastAsia="Times New Roman" w:hAnsi="Times New Roman"/>
          <w:sz w:val="16"/>
          <w:szCs w:val="16"/>
          <w:color w:val="auto"/>
        </w:rPr>
        <w:t>.</w:t>
      </w:r>
    </w:p>
    <w:p>
      <w:pPr>
        <w:ind w:left="540" w:hanging="532"/>
        <w:spacing w:after="0"/>
        <w:tabs>
          <w:tab w:leader="none" w:pos="5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royalties on UT’s net revenue from Tyvaso DPI sales.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 and cost of revenue:</w:t>
            </w: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73,737</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61,989</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55,071</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8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goods sold and cost of revenue</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76,602</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62,771</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57,497</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follows accounting guidance in measuring revenue and certain judgments affect the application of its revenue policy. For example, in connection with its existing collaboration agreements, the Company has recorded short-term and long-term deferred revenue on its consolidated balance sheets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revenue over the next 12-month period.</w:t>
      </w:r>
    </w:p>
    <w:p>
      <w:pPr>
        <w:spacing w:after="0" w:line="22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At the inception of each arrangement that includes development milestone payments,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18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Cost of goods sold includes material, labor costs and manufacturing overhead. Cost of goods sold also includes a component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period manufacturing costs in excess of costs capitalized into inventory (“excess capacity costs”). These costs, in addition to the impact of the revaluation of inventory for standard costing, and write-offs of inventory are recorded as expenses in the period in which they are incurred, rather than as a portion of inventory costs. Cost of goods sold excludes the cost of insulin purchased under the Company’s Insulin Supply Agreement (the “Insulin Supply Agreement”) with Amphastar Pharmaceuticals, Inc. (“Amphastar”). All insulin inventory on hand was written off and the full purchase commitment contract to purchase future insulin was accrued as a recognized loss on purchase commitments in prior years.</w:t>
      </w:r>
    </w:p>
    <w:p>
      <w:pPr>
        <w:spacing w:after="0" w:line="18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Revenues – Collaborations and Services </w:t>
      </w:r>
      <w:r>
        <w:rPr>
          <w:rFonts w:ascii="Times New Roman" w:cs="Times New Roman" w:eastAsia="Times New Roman" w:hAnsi="Times New Roman"/>
          <w:sz w:val="18"/>
          <w:szCs w:val="18"/>
          <w:color w:val="auto"/>
        </w:rPr>
        <w:t>— Cost of revenues for collaborations and services includes material, labor costs, manufacturing overhead,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excess capacity costs. These costs, in addition to the write-offs of inventory are recorded as expenses in the period in which they are incurred, rather than as a portion of inventory costs. Cost of revenues for collaborations and services also includes the cost of product development.</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 </w:t>
      </w:r>
      <w:r>
        <w:rPr>
          <w:rFonts w:ascii="Times New Roman" w:cs="Times New Roman" w:eastAsia="Times New Roman" w:hAnsi="Times New Roman"/>
          <w:sz w:val="18"/>
          <w:szCs w:val="18"/>
          <w:color w:val="auto"/>
        </w:rPr>
        <w:t>Clinical trial expenses result from obligations under contracts with vendors, consultants and clinical 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in addition to internal costs associated with conducting clinical trials. R&amp;D costs are expensed as incurred. Clinical study and certain research costs are recognized over the service periods specified in the contracts and adjusted as necessary based upon an ongoing review of the level of effort and costs actually incurred. Nonrefundable advance payments for services to be received in the future for use in R&amp;D activities are recorded as prepaid assets and expensed in the period when the services are performed.</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Restricted Cash </w:t>
      </w:r>
      <w:r>
        <w:rPr>
          <w:rFonts w:ascii="Times New Roman" w:cs="Times New Roman" w:eastAsia="Times New Roman" w:hAnsi="Times New Roman"/>
          <w:sz w:val="18"/>
          <w:szCs w:val="18"/>
          <w:color w:val="auto"/>
        </w:rPr>
        <w:t>— The Company considers all highly liquid investments with original or remaining maturities of 90 days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at the time of purchase, that are readily convertible into cash to be cash equivalents. As of December 31, 2024 and 2023, cash equivalents were comprised of money market funds, U.S. Treasury Securities, corporate bonds and commercial paper with original maturities less than 90 days from the date of purchase.</w:t>
      </w:r>
    </w:p>
    <w:p>
      <w:pPr>
        <w:spacing w:after="0" w:line="18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records restricted cash when cash and cash equivalents are restricted as to withdrawal or usage. Restricted cash under a letter of credit issued in connection with a facility lease assumed by the Company that will not be available for use in the Company’s operations within 12 months of the reporting date is presented in non-current assets. See Note 3 </w:t>
      </w:r>
      <w:r>
        <w:rPr>
          <w:rFonts w:ascii="Times New Roman" w:cs="Times New Roman" w:eastAsia="Times New Roman" w:hAnsi="Times New Roman"/>
          <w:sz w:val="18"/>
          <w:szCs w:val="18"/>
          <w:i w:val="1"/>
          <w:iCs w:val="1"/>
          <w:color w:val="auto"/>
        </w:rPr>
        <w:t>– Pulmatrix Transaction</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Held-to-Maturity Investments </w:t>
      </w:r>
      <w:r>
        <w:rPr>
          <w:rFonts w:ascii="Times New Roman" w:cs="Times New Roman" w:eastAsia="Times New Roman" w:hAnsi="Times New Roman"/>
          <w:sz w:val="18"/>
          <w:szCs w:val="18"/>
          <w:color w:val="auto"/>
        </w:rPr>
        <w:t>— The Company’s held-to-maturity investments generally consist of commercial paper, corporate notes or bonds and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Treasury securities. These investments with maturities less than 12 months are included in short-term investments and investments with maturities in excess of 12 months are included in long-term investments in the consolidated balance sheets. The accretion of these investments, net of amortization, is recognized as interest income in the consolidated statements of operations. The Company periodically assesses its ability to hold these investments to maturity, whether it has any intention to sell these investments, determines the fair value of these investments using level 3 inputs and assesses whether there were other-than-temporary impairments associated with these investments. The Company historically has had the intent to hold its investments until maturity; therefore, these investments were stated at amortized cost as of December 31, 2023. Effective October 1, 2024, the Company reclassified its held-to-maturity investments to available-for-sale to align with potential business needs, and not as a result of a change in the Company's ability to hold the investments to maturity. See Note 4 </w:t>
      </w:r>
      <w:r>
        <w:rPr>
          <w:rFonts w:ascii="Times New Roman" w:cs="Times New Roman" w:eastAsia="Times New Roman" w:hAnsi="Times New Roman"/>
          <w:sz w:val="18"/>
          <w:szCs w:val="18"/>
          <w:i w:val="1"/>
          <w:iCs w:val="1"/>
          <w:color w:val="auto"/>
        </w:rPr>
        <w:t>– Investments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Investments </w:t>
      </w:r>
      <w:r>
        <w:rPr>
          <w:rFonts w:ascii="Times New Roman" w:cs="Times New Roman" w:eastAsia="Times New Roman" w:hAnsi="Times New Roman"/>
          <w:sz w:val="18"/>
          <w:szCs w:val="18"/>
          <w:color w:val="auto"/>
        </w:rPr>
        <w:t>— The Company's available-for-sale investments consist primarily of highly liquid money market funds, commercial bonds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paper, and U.S. Treasury securities that are intended to facilitate liquidity and capital preservation. Additionally, the Company has two convertible promissory notes issued by Thirona Bio, Inc. ("Thirona") which it classifies as an available-for-sale investment. Available-for-sale investments are measured at fair value with realized gains and losses and unrealized losses related to credit risk reported in other income (expense) in the consolidated statements of operations. Unrealized holding gains and losses are excluded from earnings and reported in other comprehensive income (loss) until realized. These investments with maturities less than 12 months are included in short-term investments and investments with maturities in excess of 12 months are included in long-term investments in the consolidated balance sheets. The accretion of these investments, net of amortization, is recognized as interest income in the consolidated statements of operations. The Company periodically assesses whether it has any intention to sell these investments, determines the fair value of these investments using level 3 inputs and assesses whether there were other-than-temporary impairments associated with these investments. See Note 4 </w:t>
      </w:r>
      <w:r>
        <w:rPr>
          <w:rFonts w:ascii="Times New Roman" w:cs="Times New Roman" w:eastAsia="Times New Roman" w:hAnsi="Times New Roman"/>
          <w:sz w:val="18"/>
          <w:szCs w:val="18"/>
          <w:i w:val="1"/>
          <w:iCs w:val="1"/>
          <w:color w:val="auto"/>
        </w:rPr>
        <w:t>– Investments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ind w:right="2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Concentration of Credit Risk </w:t>
      </w:r>
      <w:r>
        <w:rPr>
          <w:rFonts w:ascii="Times New Roman" w:cs="Times New Roman" w:eastAsia="Times New Roman" w:hAnsi="Times New Roman"/>
          <w:sz w:val="17"/>
          <w:szCs w:val="17"/>
          <w:color w:val="auto"/>
        </w:rPr>
        <w:t>— Financial instruments that potentially subject the Company to concentration of credit risk consisted of cash and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equivalents and investments. Cash and cash equivalents are held in high credit quality institutions. Cash equivalents consisted of interest-bearing money market funds and U.S. Treasury securities with original or remaining maturities of 90 days or less at the time of purchase. Investments generally consisted of commercial paper, corporate notes or bonds and U.S. Treasury securities. The cash equivalents and investments are regularly monitored by management.</w:t>
      </w:r>
    </w:p>
    <w:p>
      <w:pPr>
        <w:spacing w:after="0" w:line="16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Accounts Receivable and Allowance for Credit Losses </w:t>
      </w:r>
      <w:r>
        <w:rPr>
          <w:rFonts w:ascii="Times New Roman" w:cs="Times New Roman" w:eastAsia="Times New Roman" w:hAnsi="Times New Roman"/>
          <w:sz w:val="18"/>
          <w:szCs w:val="18"/>
          <w:color w:val="auto"/>
        </w:rPr>
        <w:t>— Accounts receivable are recorded at the invoiced amount and are not interest bearing.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spacing w:after="0" w:line="18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Pre-Launch Inventory </w:t>
      </w:r>
      <w:r>
        <w:rPr>
          <w:rFonts w:ascii="Times New Roman" w:cs="Times New Roman" w:eastAsia="Times New Roman" w:hAnsi="Times New Roman"/>
          <w:sz w:val="18"/>
          <w:szCs w:val="18"/>
          <w:color w:val="auto"/>
        </w:rPr>
        <w:t>— An improvement to the manufacturing process for the Company’s primary excipient, fumaryl diketopiperazine (“FDKP”),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demonstrated to be viable and management expects to realize an economic benefit in the future as a result of such process improvement. Accordingly, the Company is required to assess whether to capitalize inventory costs related to such excipient prior to validation of the improved manufacturing process and adoption of the new supplier. In doing so, management must consider a number of factors in order to determine the amount of inventory to be capitalized, including the historical experience of modifying the Company’s manufacturing processes, feedback from technical experts and regulatory agencies on the changes being effected and the amount of inventory that is likely to be used in commercial production. The shelf life of the excipient will be determined as part of the validation process; in the interim, the Company must assess the available stability data to determine whether there is likely to be adequate shelf life to support anticipated future sales occurring beyond the expected adoption date of the new raw material. If management is aware of any specific material risks or contingencies other than the normal regulatory reporting process, or if the criteria for capitalizing inventory produced prior to regulatory approval are otherwise not met, the Company would not capitalize such inventory costs, choosing instead to recognize such costs as R&amp;D expense in the period incurred. See Note 6 </w:t>
      </w:r>
      <w:r>
        <w:rPr>
          <w:rFonts w:ascii="Times New Roman" w:cs="Times New Roman" w:eastAsia="Times New Roman" w:hAnsi="Times New Roman"/>
          <w:sz w:val="18"/>
          <w:szCs w:val="18"/>
          <w:i w:val="1"/>
          <w:iCs w:val="1"/>
          <w:color w:val="auto"/>
        </w:rPr>
        <w:t>– Inventories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stated at the lower of cost or net realizable value. The Company determines the cost of inventory using the first-in, first-out,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FIFO, method. The Company capitalizes inventory costs associated with the Company’s products based on management’s judgment that future economic benefits are expected to be realized; otherwise, such costs are expensed as incurred as cost of goods sold. The Company uses a contract manufacturing organization outside of the U.S. for certain stages of V-Go inventory.</w:t>
      </w:r>
    </w:p>
    <w:p>
      <w:pPr>
        <w:spacing w:after="0" w:line="18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74"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is recorded at historical cost, net of accumulated depreciation. Depreciation expense is recorded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assets’ useful lives on a straight-line basis and included in cost of goods sold, research and development, and selling, general and administrative expense in the consolidated statements of operations. See Note 7 </w:t>
      </w:r>
      <w:r>
        <w:rPr>
          <w:rFonts w:ascii="Times New Roman" w:cs="Times New Roman" w:eastAsia="Times New Roman" w:hAnsi="Times New Roman"/>
          <w:sz w:val="18"/>
          <w:szCs w:val="18"/>
          <w:i w:val="1"/>
          <w:iCs w:val="1"/>
          <w:color w:val="auto"/>
        </w:rPr>
        <w:t>– Property and Equipment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Long-lived assets include property and equipment, operating lease right-of-use assets and other intangible assets.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evaluates long-lived assets for impairment whenever events or changes in circumstances indicate that the carrying value of an asset may not be recoverable. Assets are considered to be impaired if the carrying value is considered to be unrecoverable.</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The Company first determines whether a set of assets acquired constitute a business and should be accounted for as a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assets acquired do not constitute a business, the Company accounts for the transaction as an asset acquisition. Business combinations are accounted for by means of the acquisition method of accounting. Under the acquisition method, assets acquired, including in-process R&amp;D (“IPR&amp;D”), and liabilities assumed are recorded at their respective fair values as of the acquisition date in the Company’s consolidated financial statements. Leases are recorded at the net present value of the remaining lease payments. The excess of the fair value 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82" w:name="page83"/>
    <w:bookmarkEnd w:id="82"/>
    <w:p>
      <w:pPr>
        <w:ind w:right="40"/>
        <w:spacing w:after="0" w:line="258" w:lineRule="auto"/>
        <w:rPr>
          <w:sz w:val="20"/>
          <w:szCs w:val="20"/>
          <w:color w:val="auto"/>
        </w:rPr>
      </w:pPr>
      <w:r>
        <w:rPr>
          <w:rFonts w:ascii="Times New Roman" w:cs="Times New Roman" w:eastAsia="Times New Roman" w:hAnsi="Times New Roman"/>
          <w:sz w:val="18"/>
          <w:szCs w:val="18"/>
          <w:color w:val="auto"/>
        </w:rPr>
        <w:t>consideration transferred over the fair value of the net assets acquired is recorded as goodwill. A gain on bargain purchase is recorded if the fair value of the net assets acquired exceeds the fair value of the consideration transferred. Contingent consideration obligations incurred in connection with a business combination (including the assumption of an acquiree’s liability arising from an acquisition it consummated prior to the Company’s acquisition) are recorded at their fair values on the acquisition date and remeasured at their fair values each subsequent reporting period until the related contingencies have been resolved. The resulting changes in fair values are recorded in earnings.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 See Note 3 </w:t>
      </w:r>
      <w:r>
        <w:rPr>
          <w:rFonts w:ascii="Times New Roman" w:cs="Times New Roman" w:eastAsia="Times New Roman" w:hAnsi="Times New Roman"/>
          <w:sz w:val="18"/>
          <w:szCs w:val="18"/>
          <w:i w:val="1"/>
          <w:iCs w:val="1"/>
          <w:color w:val="auto"/>
        </w:rPr>
        <w:t>– Pulmatrix Transaction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 </w:t>
      </w:r>
      <w:r>
        <w:rPr>
          <w:rFonts w:ascii="Times New Roman" w:cs="Times New Roman" w:eastAsia="Times New Roman" w:hAnsi="Times New Roman"/>
          <w:sz w:val="18"/>
          <w:szCs w:val="18"/>
          <w:color w:val="auto"/>
        </w:rPr>
        <w:t>The fair value of acquired intangible assets is determined using either a cost approach or an income approach.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approach establishes fair value based on the cost of reproducing or replacing the asset, less depreciation for functional or economic obsolescence. The income approach, referred to as the excess earnings method, utilizes Level 3 fair value inputs to determine the present value of future economic benefits to be derived from ownership of the intangible asset. Market participant valuations assume a global view considering all potential jurisdictions and indications based on discounted after-tax cash flow projections, risk adjusted for estimated probability of technical and regulatory success.</w:t>
      </w:r>
    </w:p>
    <w:p>
      <w:pPr>
        <w:spacing w:after="0" w:line="1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tests for impairment annually on a reporting unit basis, at the beginning of the Company’s fourth fiscal quarter and between annual tests if events and circumstances indicate it is more likely than not that the fair value of a reporting unit is less than its carrying amount. To the extent the carrying amount of a reporting unit is less than its estimated fair value, an impairment charge will be recorded.</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Finite-lived intangible assets are amortized on a straight-line basis over the estimated useful life. Estimated useful lives are determined considering the period assets are expected to contribute to future cash flows. Finite-lived intangible assets are tested for impairment when facts or circumstances suggest that the carrying value of the asset may not be recoverable. If the carrying value exceeds the projected undiscounted pretax cash flows of the intangible asset, an impairment loss equal to the excess of the carrying value over the estimated fair value (discounted after-tax cash flows) is recognized.</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IPR&amp;D acquired in a business combination is considered an indefinite-lived intangible asset until the completion or abandonment of the associated R&amp;D efforts. During the R&amp;D period, the asset is not amortized but rather is tested for impairment when facts or circumstances suggest that the carrying value of the asset may not be recoverable. Once the R&amp;D efforts are completed, the Company accounts for the resulting asset as a finite-lived intangible asset. If the R&amp;D efforts are abandoned, the asset balance is written off to R&amp;D expense.</w:t>
      </w:r>
    </w:p>
    <w:p>
      <w:pPr>
        <w:spacing w:after="0" w:line="17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Recognized Loss on Purchase Commitments — </w:t>
      </w:r>
      <w:r>
        <w:rPr>
          <w:rFonts w:ascii="Times New Roman" w:cs="Times New Roman" w:eastAsia="Times New Roman" w:hAnsi="Times New Roman"/>
          <w:sz w:val="18"/>
          <w:szCs w:val="18"/>
          <w:color w:val="auto"/>
        </w:rPr>
        <w:t>The Company reviews the terms of the long-term supply agreements and assesses the need for any accrual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estimated losses, such as lower of cost or net realizable value, that will not be recovered by future product sales. The recognized loss on purchase commitments is reduced as inventory items are received or as the liability is extinguished. See Note 16 – </w:t>
      </w:r>
      <w:r>
        <w:rPr>
          <w:rFonts w:ascii="Times New Roman" w:cs="Times New Roman" w:eastAsia="Times New Roman" w:hAnsi="Times New Roman"/>
          <w:sz w:val="18"/>
          <w:szCs w:val="18"/>
          <w:i w:val="1"/>
          <w:iCs w:val="1"/>
          <w:color w:val="auto"/>
        </w:rPr>
        <w:t>Commitments and Contingencies.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In July 2013, in conjunction with the execution of a (now repaid) loan agreement with Deerfield Private Design Fund II, 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Deerfield Private Design International II, L.P. (collectively, “Deerfield”), the Company entered into a Milestone Rights Purchase Agreement (the “Milestone Rights Agreement”) pursuant to which the Company issued certain milestone rights to Deerfield Private Design Fund II, L.P. and Horizon Santé FLML SÀRL, (the “Original Milestone Purchasers”). The foregoing milestone rights provided the Original Milestone Purchasers certain rights to receive payments of up to $90.0 million upon the occurrence of specified strategic and Afrezza sales milestones, $50.0 million of which remains payable as of December 31, 2024, upon achievement of such milestones (collectively, the “Milestone Rights”). In December 2021, the Milestone Rights were purchased by Barings Global Special Situations Credit Fund 4 (Delaware), L.P. and Barings Global Special Situations Credit 4 (LUX) S.ar.l. (together the “Milestone Purchasers”). As a result, the Milestone Purchasers have assumed the obligations of the Original Milestone Purchasers and are now entitled to all rights under the Milestone Rights Agreement. The Milestone Rights liability is reported at fair value at the date of the agreement which is periodically offset against payments. See Note 12 –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is remeasured as the specified milestone events are achieved. Specifically, as each milestone event is achieved, the portion of the initially recorded Milestone Rights liability that pertains to the milestone event being achieved, is remeasured to the amount of the specified related milestone payment. The resulting change in the balance of the Milestone Rights liability due to remeasurement is recorded in the Company’s consolidated statements of operations as interest expense. Furthermore, the Milestone Rights liability is reduced upon the settlement of each milestone payment. As a result, each milestone payment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 xml:space="preserve">would be effectively allocated between a reduction of the recorded Milestone Rights liability and an expense representing a return on a portion of the Milestone Rights liability paid to the investor for the achievement of the related milestone event. See Note 9 – </w:t>
      </w:r>
      <w:r>
        <w:rPr>
          <w:rFonts w:ascii="Times New Roman" w:cs="Times New Roman" w:eastAsia="Times New Roman" w:hAnsi="Times New Roman"/>
          <w:sz w:val="18"/>
          <w:szCs w:val="18"/>
          <w:i w:val="1"/>
          <w:iCs w:val="1"/>
          <w:color w:val="auto"/>
        </w:rPr>
        <w:t>Accrued Expenses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and Note 16 –</w:t>
      </w:r>
      <w:r>
        <w:rPr>
          <w:rFonts w:ascii="Times New Roman" w:cs="Times New Roman" w:eastAsia="Times New Roman" w:hAnsi="Times New Roman"/>
          <w:sz w:val="18"/>
          <w:szCs w:val="18"/>
          <w:i w:val="1"/>
          <w:iCs w:val="1"/>
          <w:color w:val="auto"/>
        </w:rPr>
        <w:t xml:space="preserve"> Commitments and Contingencies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—The Company applies various valuation approaches in determining the fair value of its financial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17"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provisions for federal, foreign, state and local income taxes are calculated on pre-tax income based on current tax law and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p>
    <w:p>
      <w:pPr>
        <w:spacing w:after="0" w:line="1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The Company records a loss contingency for a liability when it is both probable that a liability has been incurred and the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Share-based payments to employees, including grants of restricted stock units (“RSUs”), performance-based non-qualified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awards (“PNQs”), restricted stock units with market conditions (“Market RSUs”), options and the compensatory elements of employee stock purchase plans, are recognized in the consolidated statements of operations based upon the fair value of the awards at the grant date.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 The Company uses the Black-Scholes option valuation model to estimate the grant date fair value of employee stock options and the compensatory elements of employee stock purchase plans.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Income (Loss) Per Share of Common Stock </w:t>
      </w:r>
      <w:r>
        <w:rPr>
          <w:rFonts w:ascii="Times New Roman" w:cs="Times New Roman" w:eastAsia="Times New Roman" w:hAnsi="Times New Roman"/>
          <w:sz w:val="18"/>
          <w:szCs w:val="18"/>
          <w:color w:val="auto"/>
        </w:rPr>
        <w:t>— Basic net income or loss per share ("EPS") is computed by dividing net income or loss by the weighted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number of common shares outstanding for the period. Diluted EPS reflects the effect of potential common stock issuances resulting from assumed stock option exercises and vesting of restricted stock units, unless the effect is anti-dilutive, when applying the treasury stock method, as well as potential dilution under the if-converted method for convertible debt securities. For periods where the Company has presented a net loss, potentially dilutive securities are excluded from the computation of diluted EPS as they would be anti-dilutive.</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w:t>
      </w:r>
      <w:r>
        <w:rPr>
          <w:rFonts w:ascii="Times New Roman" w:cs="Times New Roman" w:eastAsia="Times New Roman" w:hAnsi="Times New Roman"/>
          <w:sz w:val="18"/>
          <w:szCs w:val="18"/>
          <w:color w:val="auto"/>
        </w:rPr>
        <w:t>— In November 2023, the FASB issued ASU No. 2023-07,</w:t>
      </w:r>
      <w:r>
        <w:rPr>
          <w:rFonts w:ascii="Times New Roman" w:cs="Times New Roman" w:eastAsia="Times New Roman" w:hAnsi="Times New Roman"/>
          <w:sz w:val="18"/>
          <w:szCs w:val="18"/>
          <w:i w:val="1"/>
          <w:iCs w:val="1"/>
          <w:color w:val="auto"/>
        </w:rPr>
        <w:t xml:space="preserve"> Segment Reporting (Topic 280) – Improvements to Reportable Segment Disclosures, </w:t>
      </w:r>
      <w:r>
        <w:rPr>
          <w:rFonts w:ascii="Times New Roman" w:cs="Times New Roman" w:eastAsia="Times New Roman" w:hAnsi="Times New Roman"/>
          <w:sz w:val="18"/>
          <w:szCs w:val="18"/>
          <w:color w:val="auto"/>
        </w:rPr>
        <w:t>which requires incremental disclosure of segment information on an interim and annual basis. This ASU is effective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entities for fiscal years beginning after December 15, 2023, and interim periods within fiscal years beginning after December 15, 2024. Retrospective application to all prior periods presented in the financial statements is required for public entities. The Company has adopted this ASU for the year ended December 31, 2024 and included disclosures required thereunder in Note 1 –</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Description of Business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Segment Information. </w:t>
      </w:r>
      <w:r>
        <w:rPr>
          <w:rFonts w:ascii="Times New Roman" w:cs="Times New Roman" w:eastAsia="Times New Roman" w:hAnsi="Times New Roman"/>
          <w:sz w:val="18"/>
          <w:szCs w:val="18"/>
          <w:color w:val="auto"/>
        </w:rPr>
        <w:t>Adoption of this ASU did not have a material impact on the Company's financial position or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w:t>
      </w:r>
    </w:p>
    <w:p>
      <w:pPr>
        <w:spacing w:after="0" w:line="15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This ASU requires disaggregated information about a public entity’s effective tax rate reconciliation as well as additional information on income taxes paid. This ASU is effective on a prospective basis for annual periods beginning after December 15, 2024. Early adoption is permitted for annual financial statements that have not yet been issued or made available for issuance. The Company does not anticipate that adoption of this ASU will have a material impact on the Company's financial position or results of operations.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which amends ASC 220-40,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(Subtopic 220-40)</w:t>
      </w:r>
      <w:r>
        <w:rPr>
          <w:rFonts w:ascii="Times New Roman" w:cs="Times New Roman" w:eastAsia="Times New Roman" w:hAnsi="Times New Roman"/>
          <w:sz w:val="18"/>
          <w:szCs w:val="18"/>
          <w:color w:val="auto"/>
        </w:rPr>
        <w:t>, to require disaggregated disclosure of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for public entities. This ASU does not change the expense captions an entity presents on the face of the income statement; rather, it requires disaggregation of certain expense captions into specified categories in disclosures within the footnotes to the financial statements. The objective of this ASU is to address requests from investors for more detailed information about the types of expenses included in commonly presented expense captions. This ASU is effective for all public entities for fiscal years beginning after December 15, 2026, and interim periods within fiscal years beginning after December 15, 2027. Early adoption is permitted. The Company does not anticipate that adoption of this ASU will have a material impact on the Company's financial position or results of operations.</w:t>
      </w:r>
    </w:p>
    <w:p>
      <w:pPr>
        <w:spacing w:after="0" w:line="1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2024-04, </w:t>
      </w:r>
      <w:r>
        <w:rPr>
          <w:rFonts w:ascii="Times New Roman" w:cs="Times New Roman" w:eastAsia="Times New Roman" w:hAnsi="Times New Roman"/>
          <w:sz w:val="18"/>
          <w:szCs w:val="18"/>
          <w:i w:val="1"/>
          <w:iCs w:val="1"/>
          <w:color w:val="auto"/>
        </w:rPr>
        <w:t>Induced Conversions of Convertible Debt Instruments</w:t>
      </w:r>
      <w:r>
        <w:rPr>
          <w:rFonts w:ascii="Times New Roman" w:cs="Times New Roman" w:eastAsia="Times New Roman" w:hAnsi="Times New Roman"/>
          <w:sz w:val="18"/>
          <w:szCs w:val="18"/>
          <w:color w:val="auto"/>
        </w:rPr>
        <w:t xml:space="preserve">, which amends ASC 470-20, </w:t>
      </w:r>
      <w:r>
        <w:rPr>
          <w:rFonts w:ascii="Times New Roman" w:cs="Times New Roman" w:eastAsia="Times New Roman" w:hAnsi="Times New Roman"/>
          <w:sz w:val="18"/>
          <w:szCs w:val="18"/>
          <w:i w:val="1"/>
          <w:iCs w:val="1"/>
          <w:color w:val="auto"/>
        </w:rPr>
        <w:t>Debt –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Conversion and Other Options (Subtopic 470-20), </w:t>
      </w:r>
      <w:r>
        <w:rPr>
          <w:rFonts w:ascii="Times New Roman" w:cs="Times New Roman" w:eastAsia="Times New Roman" w:hAnsi="Times New Roman"/>
          <w:sz w:val="18"/>
          <w:szCs w:val="18"/>
          <w:color w:val="auto"/>
        </w:rPr>
        <w:t>to clarify the requirements related to accounting for the settlement of a debt instrument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induced conversion. This ASU is intended to improve the relevance and consistency in application of the induced conversion guidance in Subtopic 470-20 for (a) convertible debt instruments with cash conversion features and (b) debt instruments that are not currently convertible. For all entities, the amendments in this ASU are effective for annual reporting periods beginning after December 15, 2025 and interim reporting periods within those annual reporting periods. Early adoption is permitted as of the beginning of a reporting period if the entity has also adopted ASU No. 2020-06,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Instruments and Contracts in an Entity's Own Equity</w:t>
      </w:r>
      <w:r>
        <w:rPr>
          <w:rFonts w:ascii="Times New Roman" w:cs="Times New Roman" w:eastAsia="Times New Roman" w:hAnsi="Times New Roman"/>
          <w:sz w:val="18"/>
          <w:szCs w:val="18"/>
          <w:color w:val="auto"/>
        </w:rPr>
        <w:t>, for that period. The Company has previously adopted ASU No. 2020-06, and elected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early-adopt ASU No. 2024-04 prospectively for the year ended December 31, 2024 in the induced conversion of its senior convertible notes. There was no impact to accumulated deficit or net income (loss) as a result of the Company's adoption of ASU No. 2024-04. See Note 10 – </w:t>
      </w:r>
      <w:r>
        <w:rPr>
          <w:rFonts w:ascii="Times New Roman" w:cs="Times New Roman" w:eastAsia="Times New Roman" w:hAnsi="Times New Roman"/>
          <w:sz w:val="18"/>
          <w:szCs w:val="18"/>
          <w:i w:val="1"/>
          <w:iCs w:val="1"/>
          <w:color w:val="auto"/>
        </w:rPr>
        <w:t>Borrowings.</w:t>
      </w:r>
    </w:p>
    <w:p>
      <w:pPr>
        <w:spacing w:after="0" w:line="19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position or results of operations upon adoption.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Pulmatrix Transaction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May 28, 2024, the Company executed a bill of sale and assignment agreement with Pulmatrix, Inc. ("Pulmatrix") whereby the Company acquired from Pulmatrix certain lab assets and assumed certain liabilities, including the lease for an R&amp;D facility in Bedford, Massachusetts. Concurrently, the Company and Pulmatrix entered into a cross-license agreement (the "Cross License Agreement") and a master service agreement. The parties and the landlord also entered into an amendment to lease and consent to assignment of the lease. Each of these agreements became effective upon the closing of the collective transaction (the "Pulmatrix Transaction") on July 8, 2024 (the "Effective Date"). The Company also entered into employment agreements with 13 Pulmatrix R&amp;D employees who began employment with the Company on the Effective Date.</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the Cross License Agreement, the Company granted to Pulmatrix certain exclusive and non-exclusive rights to develop, use, manufacture, market, offer and sell its single-use disposable dry powder inhaler (the "Cricket Device") for the inhaled delivery of dihydroergotamine in any formulation whatsoever (including Pulmatrix's PUR3100 treatment of acute migraine), and the inhaled delivery of one or more active pharmaceutical ingredients formulated with iSPERSE for the treatment of neurological disease in humans (collectively, the “Cricket License”).</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return, Pulmatrix granted to the Company certain exclusive and non-exclusive rights to develop, use, manufacture, market, offer and sell iSPERSE formulations of clofazimine and insulin, and formulations of iSPERSE with one or more active pharmaceutical ingredients for the treatment of nontuberculous mycobacteria lung disease in humans, endocrine disease in humans, and interstitial lung diseases in humans (collectively, the “iSPERSE License”).</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may also provide certain development services to Pulmatrix under the Master Services Agreement, including but not limited to, activities to develop a dry powder formulation of the active pharmaceutical ingredient that Pulmatrix provides to the Company for oral inhalation using iSPERSE.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Pulmatrix Transaction was accounted for as a business combination using the acquisition method of accounting, which requires, among other things, the assets acquired and liabilities assumed to be recognized at their respective fair values as of the Effective Date. The excess of the fair value of the net assets acquired over the purchase price in this non-cash transaction was recorded as a gain on bargain purchase.</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fair values of identifiable assets acquired and liabilities assumed by the Company from Pulmatrix as of the Effective Date are reflected below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iSPERSE License – IPR&amp;D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18"/>
                <w:szCs w:val="18"/>
                <w:color w:val="auto"/>
              </w:rPr>
            </w:pPr>
          </w:p>
        </w:tc>
      </w:tr>
      <w:tr>
        <w:trPr>
          <w:trHeight w:val="216"/>
        </w:trPr>
        <w:tc>
          <w:tcPr>
            <w:tcW w:w="9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 – Bedford R&amp;D facility</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8"/>
                <w:szCs w:val="18"/>
                <w:color w:val="auto"/>
              </w:rPr>
            </w:pPr>
          </w:p>
        </w:tc>
      </w:tr>
      <w:tr>
        <w:trPr>
          <w:trHeight w:val="209"/>
        </w:trPr>
        <w:tc>
          <w:tcPr>
            <w:tcW w:w="94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 – Bedford R&amp;D facility</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tcPr>
          <w:p>
            <w:pPr>
              <w:spacing w:after="0"/>
              <w:rPr>
                <w:sz w:val="18"/>
                <w:szCs w:val="18"/>
                <w:color w:val="auto"/>
              </w:rPr>
            </w:pPr>
          </w:p>
        </w:tc>
      </w:tr>
      <w:tr>
        <w:trPr>
          <w:trHeight w:val="250"/>
        </w:trPr>
        <w:tc>
          <w:tcPr>
            <w:tcW w:w="9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 – Gain on bargain purchase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the Cricket License transferred to Pulmatrix was determined to be immaterial based on the current market availability of numerous third party single-dose dry powder inhalers and the significant time, cost, and risk required to potentially commercialize the Cricket Device. </w:t>
      </w:r>
      <w:r>
        <w:rPr>
          <w:rFonts w:ascii="Times New Roman" w:cs="Times New Roman" w:eastAsia="Times New Roman" w:hAnsi="Times New Roman"/>
          <w:sz w:val="18"/>
          <w:szCs w:val="18"/>
          <w:color w:val="212529"/>
        </w:rPr>
        <w:t>The transfer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Cricket License was within the scope of ASC 606 as a sale of functional intellectual property, however, since no value was attributed to the Cricket License, no revenue was recognized by the Company.</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12529"/>
        </w:rPr>
        <w:t>The fair value of the iSPERSE License was determined by applying a cost approach, which assesses current replacement cost to acquire or construct a substitute asset of comparable utility as of the Effective Date. The iSPERSE License was deemed to have a fair value of $4.3 million based on the estimate of internal and external costs to recreate the underlying technology, which are inputs not observable in the market and therefore considered Level 3 measurements. The iSPERSE technology is being utilized in the Company's continuing R&amp;D efforts and accounted for as IPR&amp;D.</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fair values of the right-of-use asset and lease liability for the assumed R&amp;D facility operating lease were assessed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based on discounted cash flows from future lease payments, utilizing the Company’s incremental borrowing rate of 7.25%. In June 2024,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anticipation of the facility lease assumption on the Effective Date, the Company transferred $0.7 million to a depository account at a financial institution to collateralize a conditional stand-by letter of credit as required under the lease. This amount is reflected as long-term restricted cash as of December 31, 2024. The lease term extends from the Effective Date through November 30, 2033 with monthly payments of $0.1 million increasing 3% annually starting on December 1, 2024. See Note 16 – </w:t>
      </w:r>
      <w:r>
        <w:rPr>
          <w:rFonts w:ascii="Times New Roman" w:cs="Times New Roman" w:eastAsia="Times New Roman" w:hAnsi="Times New Roman"/>
          <w:sz w:val="18"/>
          <w:szCs w:val="18"/>
          <w:i w:val="1"/>
          <w:iCs w:val="1"/>
          <w:color w:val="auto"/>
        </w:rPr>
        <w:t>Commitments and Contingencies.</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Property and equipment were assessed for monetary benefit, remaining economic life, and relative risk based on the Company's industry knowledge and analysis of sales of comparable equipment to arrive at fair value.</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Transaction costs totaling $0.1 million were expensed as incurred and reflected in the consolidated statements of operations for the year ended December 31, 2024.</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Pro forma results of operation for the Transaction have not been presented, as the effects of the Transaction were not material to the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22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Cash equivalents consist of highly liquid investments with original or remaining maturities of 90 days or less at the time of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readily convertible into cash.</w:t>
      </w:r>
    </w:p>
    <w:p>
      <w:pPr>
        <w:spacing w:after="0" w:line="15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Investments Portfolio </w:t>
      </w:r>
      <w:r>
        <w:rPr>
          <w:rFonts w:ascii="Times New Roman" w:cs="Times New Roman" w:eastAsia="Times New Roman" w:hAnsi="Times New Roman"/>
          <w:sz w:val="18"/>
          <w:szCs w:val="18"/>
          <w:color w:val="auto"/>
        </w:rPr>
        <w:t>—The Company's investments portfolio consists of highly liquid money market funds, commercial bonds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paper, and U.S. Treasury securities (collectively, the "Investments") for which the Company has historically accounted as held-to-maturity. Effective October 1, 2024, the Company has reclassified its held-to-maturity investments to available-for-sale to align with potential business needs. Cumulative unrealized gains were recorded in other comprehensive income.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86" w:name="page87"/>
    <w:bookmarkEnd w:id="86"/>
    <w:p>
      <w:pPr>
        <w:ind w:right="160"/>
        <w:spacing w:after="0" w:line="282" w:lineRule="auto"/>
        <w:rPr>
          <w:sz w:val="20"/>
          <w:szCs w:val="20"/>
          <w:color w:val="auto"/>
        </w:rPr>
      </w:pPr>
      <w:r>
        <w:rPr>
          <w:rFonts w:ascii="Times New Roman" w:cs="Times New Roman" w:eastAsia="Times New Roman" w:hAnsi="Times New Roman"/>
          <w:sz w:val="18"/>
          <w:szCs w:val="18"/>
          <w:color w:val="auto"/>
        </w:rPr>
        <w:t>The amortized cost basis, net unrealized gains transferred to accumulated other comprehensive income, and resulting fair market value of the Investments as of the October 1, 2024 reclassification date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1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Money market funds and other</w:t>
            </w: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5"/>
                <w:szCs w:val="15"/>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4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960" w:type="dxa"/>
            <w:vAlign w:val="bottom"/>
            <w:vMerge w:val="continue"/>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18"/>
                <w:szCs w:val="18"/>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31,298</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57,477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247,593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equivalents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(41,582 )</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(41,582 )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Investments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the Investments are summarized below (in thousands):</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Due in one year or less</w:t>
      </w:r>
      <w:r>
        <w:rPr>
          <w:rFonts w:ascii="Times New Roman" w:cs="Times New Roman" w:eastAsia="Times New Roman" w:hAnsi="Times New Roman"/>
          <w:sz w:val="24"/>
          <w:szCs w:val="24"/>
          <w:color w:val="auto"/>
          <w:vertAlign w:val="superscript"/>
        </w:rPr>
        <w:t>(1)</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Due after one year through five years</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1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Available-for-Sale Investments</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Held-to-Maturity Investments</w:t>
            </w:r>
          </w:p>
        </w:tc>
      </w:tr>
      <w:tr>
        <w:trPr>
          <w:trHeight w:val="117"/>
        </w:trPr>
        <w:tc>
          <w:tcPr>
            <w:tcW w:w="180" w:type="dxa"/>
            <w:vAlign w:val="bottom"/>
          </w:tcPr>
          <w:p>
            <w:pPr>
              <w:spacing w:after="0"/>
              <w:rPr>
                <w:sz w:val="10"/>
                <w:szCs w:val="10"/>
                <w:color w:val="auto"/>
              </w:rPr>
            </w:pPr>
          </w:p>
        </w:tc>
        <w:tc>
          <w:tcPr>
            <w:tcW w:w="960" w:type="dxa"/>
            <w:vAlign w:val="bottom"/>
          </w:tcPr>
          <w:p>
            <w:pPr>
              <w:jc w:val="right"/>
              <w:ind w:right="161"/>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ind w:right="161"/>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r>
      <w:tr>
        <w:trPr>
          <w:trHeight w:val="173"/>
        </w:trPr>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165,466</w:t>
            </w:r>
          </w:p>
        </w:tc>
        <w:tc>
          <w:tcPr>
            <w:tcW w:w="24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165,662</w:t>
            </w:r>
          </w:p>
        </w:tc>
        <w:tc>
          <w:tcPr>
            <w:tcW w:w="24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115,263</w:t>
            </w:r>
          </w:p>
        </w:tc>
        <w:tc>
          <w:tcPr>
            <w:tcW w:w="26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115,374</w:t>
            </w:r>
          </w:p>
        </w:tc>
      </w:tr>
      <w:tr>
        <w:trPr>
          <w:trHeight w:val="254"/>
        </w:trPr>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w:t>
            </w:r>
          </w:p>
        </w:tc>
      </w:tr>
      <w:tr>
        <w:trPr>
          <w:trHeight w:val="203"/>
        </w:trPr>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170,964</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171,144</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122,418</w:t>
            </w:r>
          </w:p>
        </w:tc>
        <w:tc>
          <w:tcPr>
            <w:tcW w:w="2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122,571</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-453390</wp:posOffset>
            </wp:positionV>
            <wp:extent cx="713232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-170815</wp:posOffset>
            </wp:positionV>
            <wp:extent cx="713232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5080" w:space="720"/>
            <w:col w:w="5440"/>
          </w:cols>
          <w:pgMar w:left="320" w:top="1201" w:right="339" w:bottom="1440" w:gutter="0" w:footer="0" w:header="0"/>
          <w:type w:val="continuous"/>
        </w:sectPr>
      </w:pPr>
    </w:p>
    <w:p>
      <w:pPr>
        <w:ind w:left="520" w:hanging="512"/>
        <w:spacing w:after="0"/>
        <w:tabs>
          <w:tab w:leader="none" w:pos="5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The investments due in one year or less include cash equivalents of $14.7 million as of December 31, 2024 and $58.6 million as of December 31,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Investments are disclosed below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1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98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Available-for-Sale Investments</w:t>
            </w:r>
          </w:p>
        </w:tc>
        <w:tc>
          <w:tcPr>
            <w:tcW w:w="140" w:type="dxa"/>
            <w:vAlign w:val="bottom"/>
            <w:vMerge w:val="restart"/>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20" w:type="dxa"/>
            <w:vAlign w:val="bottom"/>
            <w:gridSpan w:val="2"/>
          </w:tcPr>
          <w:p>
            <w:pPr>
              <w:spacing w:after="0"/>
              <w:rPr>
                <w:sz w:val="15"/>
                <w:szCs w:val="15"/>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 and other</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112,074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cash equivalents</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(14,745 )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(14,745 )</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Investments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1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980" w:type="dxa"/>
            <w:vAlign w:val="bottom"/>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Held-to-Maturity Investments</w:t>
            </w:r>
          </w:p>
        </w:tc>
        <w:tc>
          <w:tcPr>
            <w:tcW w:w="140" w:type="dxa"/>
            <w:vAlign w:val="bottom"/>
            <w:vMerge w:val="restart"/>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20" w:type="dxa"/>
            <w:vAlign w:val="bottom"/>
            <w:gridSpan w:val="2"/>
          </w:tcPr>
          <w:p>
            <w:pPr>
              <w:spacing w:after="0"/>
              <w:rPr>
                <w:sz w:val="15"/>
                <w:szCs w:val="15"/>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69,611</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cash equivalents</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(58,644 )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(58,644 )</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Investments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-2022475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-2022475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-2022475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-1739265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-1739265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-1739265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-453390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-453390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-453390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-170815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accretion of the Investments, net of amortization, was recognized as interest income in the consolidated statements of operations and was approximately $7.3 million, $1.6 million, and $0.7 million for the years ended December 31, 2024, 2023, and 2022, respectively. As of December 31, 2024 and 2023, there was $1.0 million and $0.5 million, respectively, of accrued interest receivable on the Investments included in prepaid expense and other current assets in the Company's consolidated balance sheets. No allowance for credit losses on the Investments was required as of December 31, 2024 or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87" w:name="page88"/>
    <w:bookmarkEnd w:id="87"/>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i w:val="1"/>
          <w:iCs w:val="1"/>
          <w:color w:val="auto"/>
        </w:rPr>
        <w:t xml:space="preserve"> Thirona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June 2021, the Company purchased a $3.0 million convertible promissory note issued by Thirona.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2022, the Company purchased an additional $5.0 million convertible promissory note issued by Thirona (the "Thirona convertible notes"). The Thirona convertible notes are general unsecured obligations of Thirona and initially accrued interest at a rate of 6% per annum. Unless earlier converted into conversion shares pursuant to the note purchase agreement, the aggregate principal of $8.0 million and accrued interest shall be due and payable by Thirona on demand by the Company at any time after the maturity date. The Thirona convertible notes were amended in February 2023 to extend the maturity date from December 31, 2022 to June 30, 2024, and again on June 27, 2024 to extend the maturity date to June 30, 2026 and increase the interest rate to 10% per annum. The Thirona convertible notes were included in other assets as of December 31, 2024 and prepaid expenses and other current assets as of December 31, 2023 in the consolidated balance sheets.</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evaluates the fair value of its investment in Thirona by applying a scenario based model with hypothetical yield of 28.0% and 35.0%, and volatility of 70.0% and 90.0% at December 31, 2024 and 2023, respectively. As of December 31, 2024 and 2023, the fair value of the Company's investment in Thirona was $6.3 million and $6.9 million, respectively. For the year ended December 31, 2024, the Company recorded an unrealized holding gain of $0.9 million. Additionally, for the year ended December 31, 2024, the Company recognized a loss of $1.6 million on its investment in Thirona as a result of modification of the Thirona convertible notes. For the years ended December 31, 2023 and 2022, the Company determined that there were credit losses on the investment of $0.2 million and $0.9 million, respectively, which were recognized in the consolidated statements of operations. No unrealized holding gains or losses were recognized in accumulated other comprehensive income (loss) during the years ended December 31, 2023 or 2022. No interest income on the Company's investment in Thirona was recognized for the year ended December 31, 2024. For each of the years ended December 31, 2023 and 2022, the Company recognized $0.5 million of interest income on investment.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 commercial</w:t>
            </w: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22,879</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Wholesaler distribution fees and prompt pay discounts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(4,186 )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(2,469 )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 for returns</w:t>
            </w: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(8,858 )</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(6,215 )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(157 )</w:t>
            </w:r>
          </w:p>
        </w:tc>
      </w:tr>
      <w:tr>
        <w:trPr>
          <w:trHeight w:val="158"/>
        </w:trPr>
        <w:tc>
          <w:tcPr>
            <w:tcW w:w="7720" w:type="dxa"/>
            <w:vAlign w:val="bottom"/>
            <w:tcBorders>
              <w:top w:val="single" w:sz="8" w:color="CFF0FC"/>
            </w:tcBorders>
          </w:tcPr>
          <w:p>
            <w:pPr>
              <w:ind w:left="380"/>
              <w:spacing w:after="0" w:line="157" w:lineRule="exact"/>
              <w:rPr>
                <w:sz w:val="20"/>
                <w:szCs w:val="20"/>
                <w:color w:val="auto"/>
              </w:rPr>
            </w:pPr>
            <w:r>
              <w:rPr>
                <w:rFonts w:ascii="Times New Roman" w:cs="Times New Roman" w:eastAsia="Times New Roman" w:hAnsi="Times New Roman"/>
                <w:sz w:val="18"/>
                <w:szCs w:val="18"/>
                <w:color w:val="auto"/>
              </w:rPr>
              <w:t>Total accounts receivable – commercial, net</w:t>
            </w: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9,835</w:t>
            </w:r>
          </w:p>
        </w:tc>
        <w:tc>
          <w:tcPr>
            <w:tcW w:w="28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11,358</w:t>
            </w:r>
          </w:p>
        </w:tc>
        <w:tc>
          <w:tcPr>
            <w:tcW w:w="100" w:type="dxa"/>
            <w:vAlign w:val="bottom"/>
            <w:tcBorders>
              <w:top w:val="single" w:sz="8" w:color="CFF0FC"/>
            </w:tcBorders>
          </w:tcPr>
          <w:p>
            <w:pPr>
              <w:spacing w:after="0"/>
              <w:rPr>
                <w:sz w:val="13"/>
                <w:szCs w:val="13"/>
                <w:color w:val="auto"/>
              </w:rPr>
            </w:pPr>
          </w:p>
        </w:tc>
      </w:tr>
      <w:tr>
        <w:trPr>
          <w:trHeight w:val="268"/>
        </w:trPr>
        <w:tc>
          <w:tcPr>
            <w:tcW w:w="772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Accounts receivable – collaborations and services</w:t>
            </w:r>
            <w:r>
              <w:rPr>
                <w:rFonts w:ascii="Times New Roman" w:cs="Times New Roman" w:eastAsia="Times New Roman" w:hAnsi="Times New Roman"/>
                <w:sz w:val="24"/>
                <w:szCs w:val="24"/>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tcPr>
          <w:p>
            <w:pPr>
              <w:spacing w:after="0"/>
              <w:rPr>
                <w:sz w:val="23"/>
                <w:szCs w:val="23"/>
                <w:color w:val="auto"/>
              </w:rPr>
            </w:pPr>
          </w:p>
        </w:tc>
      </w:tr>
      <w:tr>
        <w:trPr>
          <w:trHeight w:val="228"/>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-439420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-10795</wp:posOffset>
            </wp:positionV>
            <wp:extent cx="21685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-79375</wp:posOffset>
            </wp:positionV>
            <wp:extent cx="21685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ind w:left="520" w:right="100" w:hanging="512"/>
        <w:spacing w:after="0" w:line="315" w:lineRule="auto"/>
        <w:tabs>
          <w:tab w:leader="none" w:pos="52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Includes the $1.1 million regulatory milestone payment receivable from Cipla. See Note 11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Collaborations, Licensing and Other Arrangements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i w:val="1"/>
          <w:iCs w:val="1"/>
          <w:color w:val="auto"/>
        </w:rPr>
        <w:t>– Cipla License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i w:val="1"/>
          <w:iCs w:val="1"/>
          <w:color w:val="auto"/>
        </w:rPr>
        <w:t>and Distribution Agreement.</w:t>
      </w:r>
    </w:p>
    <w:p>
      <w:pPr>
        <w:spacing w:after="0" w:line="13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December 31, 2024 , there was no allowance for credit losses and doubtful accounts for commercial accounts receivable. As of December 31, 2023, the allowance for credit losses and doubtful accounts for commercial accounts receivable of $0.2 million was related to accounts receivable for Zealand Pharma US, Inc. As of December 31, 2024, the Company had three wholesale distributors representing approximately 73% of gross sales and 88% of commercial accounts receivable.</w:t>
      </w:r>
    </w:p>
    <w:p>
      <w:pPr>
        <w:spacing w:after="0" w:line="180"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there was no allowance for credit losses for accounts receivable for collaborations and services. The Company's collaboration partners, UT and Cipla, comprised 50% each of the collaboration and services net accounts receivable as of December 31, 2024. The December 31, 2023 balance was comprised 100% of UT. Approximately 98% of gross revenue from collaborations and services for the years ended December 31, 2024 and 2023 was attributable to UT.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revenue net of gross-to-net adjustments. The activities and ending reserve balance consists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1"/>
        </w:trPr>
        <w:tc>
          <w:tcPr>
            <w:tcW w:w="54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Prompt Pay Discount Reserve, Allowance for Wholesale Distribution Fees</w:t>
            </w:r>
          </w:p>
        </w:tc>
        <w:tc>
          <w:tcPr>
            <w:tcW w:w="22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40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Reserves for Returns:</w:t>
            </w:r>
          </w:p>
        </w:tc>
        <w:tc>
          <w:tcPr>
            <w:tcW w:w="2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Beginning balance</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Provisions</w:t>
            </w:r>
          </w:p>
        </w:tc>
        <w:tc>
          <w:tcPr>
            <w:tcW w:w="2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20,336</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18,977</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Deductions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(16,133 )</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(16,780 )</w:t>
            </w:r>
          </w:p>
        </w:tc>
      </w:tr>
      <w:tr>
        <w:trPr>
          <w:trHeight w:val="249"/>
        </w:trPr>
        <w:tc>
          <w:tcPr>
            <w:tcW w:w="5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Ending balance</w:t>
            </w:r>
          </w:p>
        </w:tc>
        <w:tc>
          <w:tcPr>
            <w:tcW w:w="2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5460" w:type="dxa"/>
            <w:vAlign w:val="bottom"/>
          </w:tcPr>
          <w:p>
            <w:pPr>
              <w:spacing w:after="0"/>
              <w:rPr>
                <w:sz w:val="24"/>
                <w:szCs w:val="24"/>
                <w:color w:val="auto"/>
              </w:rPr>
            </w:pPr>
          </w:p>
        </w:tc>
        <w:tc>
          <w:tcPr>
            <w:tcW w:w="224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-933450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-916305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27,886</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28,545</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Work-in-process and finished goods as of December 31, 2024 and 2023 include conversion costs and exclude the cost of insulin. All insulin inventory on hand was written off and the projected loss on the purchase commitment contract to purchase future insulin was accrued in prior years. Raw materials inventory included $0.8 million of pre-launch inventory as of December 31, 2024 and 2023, which consisted of FDKP received in November 2019.</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as of December 31, 2024 and 2023. Inventory that did not meet acceptable standards or was forecasted to become obsolete due to expiration is reserved for inventory obsolescence in the consolidated balance sheets and recorded in costs of goods sold in the consolidated statements of operations. As a result of these assessments there were inventory write-offs of $3.9 million and $4.6 million for the years ended December 31, 2024 and 2023,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(dollars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28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vMerge w:val="restart"/>
          </w:tcPr>
          <w:p>
            <w:pPr>
              <w:spacing w:after="0"/>
              <w:rPr>
                <w:sz w:val="13"/>
                <w:szCs w:val="13"/>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80" w:type="dxa"/>
            <w:vAlign w:val="bottom"/>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Building improvements</w:t>
            </w:r>
            <w:r>
              <w:rPr>
                <w:rFonts w:ascii="Times New Roman" w:cs="Times New Roman" w:eastAsia="Times New Roman" w:hAnsi="Times New Roman"/>
                <w:sz w:val="24"/>
                <w:szCs w:val="24"/>
                <w:color w:val="auto"/>
                <w:vertAlign w:val="superscript"/>
              </w:rPr>
              <w:t>(1)</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90,813</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Construction in progress</w:t>
            </w:r>
            <w:r>
              <w:rPr>
                <w:rFonts w:ascii="Times New Roman" w:cs="Times New Roman" w:eastAsia="Times New Roman" w:hAnsi="Times New Roman"/>
                <w:sz w:val="24"/>
                <w:szCs w:val="24"/>
                <w:color w:val="auto"/>
                <w:vertAlign w:val="superscript"/>
              </w:rPr>
              <w:t>(1)</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(106,676 )</w:t>
            </w: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(101,536 )</w:t>
            </w:r>
          </w:p>
        </w:tc>
        <w:tc>
          <w:tcPr>
            <w:tcW w:w="0" w:type="dxa"/>
            <w:vAlign w:val="bottom"/>
          </w:tcPr>
          <w:p>
            <w:pPr>
              <w:spacing w:after="0"/>
              <w:rPr>
                <w:sz w:val="1"/>
                <w:szCs w:val="1"/>
                <w:color w:val="auto"/>
              </w:rPr>
            </w:pPr>
          </w:p>
        </w:tc>
      </w:tr>
      <w:tr>
        <w:trPr>
          <w:trHeight w:val="210"/>
        </w:trPr>
        <w:tc>
          <w:tcPr>
            <w:tcW w:w="65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38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85,365</w:t>
            </w:r>
          </w:p>
        </w:tc>
        <w:tc>
          <w:tcPr>
            <w:tcW w:w="26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84,220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-453390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22" w:lineRule="exact"/>
        <w:rPr>
          <w:sz w:val="20"/>
          <w:szCs w:val="20"/>
          <w:color w:val="auto"/>
        </w:rPr>
      </w:pPr>
    </w:p>
    <w:p>
      <w:pPr>
        <w:ind w:left="520" w:right="420" w:hanging="512"/>
        <w:spacing w:after="0" w:line="298" w:lineRule="auto"/>
        <w:tabs>
          <w:tab w:leader="none" w:pos="52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During the year ended December 31, 2024, the Company transferred $43.5 million from construction in progress to building improvements for assets placed in service related to the expansion of the Company's manufacturing facility.</w:t>
      </w:r>
    </w:p>
    <w:p>
      <w:pPr>
        <w:spacing w:after="0" w:line="16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Depreciation expense related to property and equipment for the years ended December 31, 2024, 2023 and 2022 was $7.3 million, $4.5 million and $3.3 million, respectively. During the years ended December 31, 2024 and 2023, the Company retired $2.2 million and $2.1 million, respectively of manufacturing equipment, computer hardware and software, computer equipment, lab equipment, and building improvements, as it was no longer in service. The net book value for the disposed assets during the years ended December 31, 2024 and 2023 was $0.1 million and $0.6 million,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represents the excess of the purchase price over the identifiable tangible and intangible assets acquired plus liabilities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arising from business combinations. The balance of goodwill was $1.9 million as of December 31, 2024 and 2023, as a result of the Company's acquisition of V-Go in May 2022. Goodwill is tested at least annually for impairment by assessing qualitative factors in determining whether it is more likely than not that the fair value of net assets is below their carrying amounts. See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 xml:space="preserve">Other Intangible Assets </w:t>
      </w:r>
      <w:r>
        <w:rPr>
          <w:rFonts w:ascii="Times New Roman" w:cs="Times New Roman" w:eastAsia="Times New Roman" w:hAnsi="Times New Roman"/>
          <w:sz w:val="18"/>
          <w:szCs w:val="18"/>
          <w:color w:val="auto"/>
        </w:rPr>
        <w:t>— Other intangible assets consisted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40" w:type="dxa"/>
            <w:vAlign w:val="bottom"/>
          </w:tcPr>
          <w:p>
            <w:pPr>
              <w:spacing w:after="0"/>
              <w:rPr>
                <w:sz w:val="10"/>
                <w:szCs w:val="10"/>
                <w:color w:val="auto"/>
              </w:rPr>
            </w:pPr>
          </w:p>
        </w:tc>
        <w:tc>
          <w:tcPr>
            <w:tcW w:w="11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Useful</w:t>
            </w:r>
          </w:p>
        </w:tc>
        <w:tc>
          <w:tcPr>
            <w:tcW w:w="160" w:type="dxa"/>
            <w:vAlign w:val="bottom"/>
          </w:tcPr>
          <w:p>
            <w:pPr>
              <w:spacing w:after="0"/>
              <w:rPr>
                <w:sz w:val="10"/>
                <w:szCs w:val="10"/>
                <w:color w:val="auto"/>
              </w:rPr>
            </w:pPr>
          </w:p>
        </w:tc>
        <w:tc>
          <w:tcPr>
            <w:tcW w:w="60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0"/>
                <w:szCs w:val="10"/>
                <w:color w:val="auto"/>
              </w:rPr>
            </w:pPr>
          </w:p>
        </w:tc>
        <w:tc>
          <w:tcPr>
            <w:tcW w:w="1220" w:type="dxa"/>
            <w:vAlign w:val="bottom"/>
            <w:gridSpan w:val="3"/>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60" w:type="dxa"/>
            <w:vAlign w:val="bottom"/>
            <w:gridSpan w:val="2"/>
          </w:tcPr>
          <w:p>
            <w:pPr>
              <w:jc w:val="right"/>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0"/>
                <w:szCs w:val="10"/>
                <w:color w:val="auto"/>
              </w:rPr>
            </w:pPr>
          </w:p>
        </w:tc>
        <w:tc>
          <w:tcPr>
            <w:tcW w:w="1220" w:type="dxa"/>
            <w:vAlign w:val="bottom"/>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780" w:type="dxa"/>
            <w:vAlign w:val="bottom"/>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60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600" w:type="dxa"/>
            <w:vAlign w:val="bottom"/>
            <w:gridSpan w:val="2"/>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iSPERSE License – IPR&amp;D</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600" w:type="dxa"/>
            <w:vAlign w:val="bottom"/>
            <w:gridSpan w:val="2"/>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-25400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-25400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Amortization expense related to the developed technology was $0.1 million and $0.1 million for the years ended December 31, 2024 and 2023, respectively. The estimated annual amortization expense for the developed technology will be approximately $0.2 million per year for the years ended December 31, 2025 through 2029.</w:t>
      </w:r>
    </w:p>
    <w:p>
      <w:pPr>
        <w:spacing w:after="0" w:line="17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iSPERSE License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IPR&amp;D is an indefinite-lived intangible asset, and as such is not amortized but rather is tested for impairment when facts or circumstances indicate the carrying value of the asset may not be recoverable. Upon completion of the underlying R&amp;D efforts, the intangible asset will be accounted for as a finite-lived intangible asset. If the R&amp;D efforts are abandoned, the IPR&amp;D asset balance will be written off to R&amp;D expense. The iSPERSE License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IPR&amp;D was acquired from Pulmatrix in July 2024. See Note 3 – </w:t>
      </w:r>
      <w:r>
        <w:rPr>
          <w:rFonts w:ascii="Times New Roman" w:cs="Times New Roman" w:eastAsia="Times New Roman" w:hAnsi="Times New Roman"/>
          <w:sz w:val="18"/>
          <w:szCs w:val="18"/>
          <w:i w:val="1"/>
          <w:iCs w:val="1"/>
          <w:color w:val="auto"/>
        </w:rPr>
        <w:t>Pulmatrix Transaction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The Company evaluates its other intangible assets for potential impairment when events or changes in circumstances indicate that the carrying amount of an asset or asset group may not be recoverable. </w:t>
      </w:r>
      <w:r>
        <w:rPr>
          <w:rFonts w:ascii="Times New Roman" w:cs="Times New Roman" w:eastAsia="Times New Roman" w:hAnsi="Times New Roman"/>
          <w:sz w:val="18"/>
          <w:szCs w:val="18"/>
          <w:i w:val="1"/>
          <w:iCs w:val="1"/>
          <w:color w:val="auto"/>
        </w:rPr>
        <w:t>See Note 2 – Summary of Significant Accounting Policies</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were comprised of the following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Salary and related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20,570</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Discounts and allowances for commercial product sales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lease liability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Current portion of milestone rights liability</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Returns reserve for acquired product</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liability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42,036</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15"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See Note 16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under </w:t>
      </w:r>
      <w:r>
        <w:rPr>
          <w:rFonts w:ascii="Times New Roman" w:cs="Times New Roman" w:eastAsia="Times New Roman" w:hAnsi="Times New Roman"/>
          <w:sz w:val="16"/>
          <w:szCs w:val="16"/>
          <w:i w:val="1"/>
          <w:iCs w:val="1"/>
          <w:color w:val="auto"/>
        </w:rPr>
        <w:t>Contingencies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Milestone Rights.</w:t>
      </w:r>
    </w:p>
    <w:p>
      <w:pPr>
        <w:spacing w:after="0" w:line="61" w:lineRule="exact"/>
        <w:rPr>
          <w:rFonts w:ascii="Times New Roman" w:cs="Times New Roman" w:eastAsia="Times New Roman" w:hAnsi="Times New Roman"/>
          <w:sz w:val="13"/>
          <w:szCs w:val="13"/>
          <w:color w:val="auto"/>
        </w:rPr>
      </w:pPr>
    </w:p>
    <w:p>
      <w:pPr>
        <w:ind w:left="520" w:hanging="512"/>
        <w:spacing w:after="0"/>
        <w:tabs>
          <w:tab w:leader="none" w:pos="5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See Note 16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under </w:t>
      </w:r>
      <w:r>
        <w:rPr>
          <w:rFonts w:ascii="Times New Roman" w:cs="Times New Roman" w:eastAsia="Times New Roman" w:hAnsi="Times New Roman"/>
          <w:sz w:val="16"/>
          <w:szCs w:val="16"/>
          <w:i w:val="1"/>
          <w:iCs w:val="1"/>
          <w:color w:val="auto"/>
        </w:rPr>
        <w:t>Loss Contingencies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Returns Reserve for Acquired Product.</w:t>
      </w:r>
    </w:p>
    <w:p>
      <w:pPr>
        <w:spacing w:after="0" w:line="23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provision for discounts and allowances for commercial product sales is reflected as a component of net revenues. The activities and ending balances consisted of the following (in thousands):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Discounts and allowances for commercial product sales:</w:t>
            </w:r>
          </w:p>
        </w:tc>
        <w:tc>
          <w:tcPr>
            <w:tcW w:w="29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Beginning balance</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Provisions</w:t>
            </w:r>
          </w:p>
        </w:tc>
        <w:tc>
          <w:tcPr>
            <w:tcW w:w="2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33,462</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34,980</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Deductions</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(33,610 )</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(33,943 )</w:t>
            </w:r>
          </w:p>
        </w:tc>
      </w:tr>
      <w:tr>
        <w:trPr>
          <w:trHeight w:val="249"/>
        </w:trPr>
        <w:tc>
          <w:tcPr>
            <w:tcW w:w="480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Ending balance</w:t>
            </w:r>
          </w:p>
        </w:tc>
        <w:tc>
          <w:tcPr>
            <w:tcW w:w="290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30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629"/>
        </w:trPr>
        <w:tc>
          <w:tcPr>
            <w:tcW w:w="4800" w:type="dxa"/>
            <w:vAlign w:val="bottom"/>
          </w:tcPr>
          <w:p>
            <w:pPr>
              <w:spacing w:after="0"/>
              <w:rPr>
                <w:sz w:val="24"/>
                <w:szCs w:val="24"/>
                <w:color w:val="auto"/>
              </w:rPr>
            </w:pPr>
          </w:p>
        </w:tc>
        <w:tc>
          <w:tcPr>
            <w:tcW w:w="29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8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-933450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-916305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-1079500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10. Borrowings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amount of the Company’s borrowings consisted of the following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convertible notes</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MidCap credit facility</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Mann Group convertible note</w:t>
            </w:r>
          </w:p>
        </w:tc>
        <w:tc>
          <w:tcPr>
            <w:tcW w:w="2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debt – net carrying amount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gridSpan w:val="3"/>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36,051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principal balance of debt and key terms:</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Terms</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20" w:type="dxa"/>
            <w:vAlign w:val="bottom"/>
          </w:tcPr>
          <w:p>
            <w:pPr>
              <w:spacing w:after="0"/>
              <w:rPr>
                <w:sz w:val="10"/>
                <w:szCs w:val="10"/>
                <w:color w:val="auto"/>
              </w:rPr>
            </w:pPr>
          </w:p>
        </w:tc>
        <w:tc>
          <w:tcPr>
            <w:tcW w:w="10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0"/>
                <w:szCs w:val="10"/>
                <w:color w:val="auto"/>
              </w:rPr>
            </w:pPr>
          </w:p>
        </w:tc>
        <w:tc>
          <w:tcPr>
            <w:tcW w:w="10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Annual Interest</w:t>
            </w:r>
          </w:p>
        </w:tc>
        <w:tc>
          <w:tcPr>
            <w:tcW w:w="200" w:type="dxa"/>
            <w:vAlign w:val="bottom"/>
          </w:tcPr>
          <w:p>
            <w:pPr>
              <w:spacing w:after="0"/>
              <w:rPr>
                <w:sz w:val="10"/>
                <w:szCs w:val="10"/>
                <w:color w:val="auto"/>
              </w:rPr>
            </w:pPr>
          </w:p>
        </w:tc>
        <w:tc>
          <w:tcPr>
            <w:tcW w:w="10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00" w:type="dxa"/>
            <w:vAlign w:val="bottom"/>
          </w:tcPr>
          <w:p>
            <w:pPr>
              <w:spacing w:after="0"/>
              <w:rPr>
                <w:sz w:val="10"/>
                <w:szCs w:val="10"/>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Conversion Price</w:t>
            </w:r>
          </w:p>
        </w:tc>
        <w:tc>
          <w:tcPr>
            <w:tcW w:w="0" w:type="dxa"/>
            <w:vAlign w:val="bottom"/>
          </w:tcPr>
          <w:p>
            <w:pPr>
              <w:spacing w:after="0"/>
              <w:rPr>
                <w:sz w:val="1"/>
                <w:szCs w:val="1"/>
                <w:color w:val="auto"/>
              </w:rPr>
            </w:pPr>
          </w:p>
        </w:tc>
      </w:tr>
      <w:tr>
        <w:trPr>
          <w:trHeight w:val="17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5"/>
                <w:szCs w:val="15"/>
                <w:color w:val="auto"/>
              </w:rPr>
            </w:pPr>
          </w:p>
        </w:tc>
        <w:tc>
          <w:tcPr>
            <w:tcW w:w="7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8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Rate</w:t>
            </w:r>
          </w:p>
        </w:tc>
        <w:tc>
          <w:tcPr>
            <w:tcW w:w="200" w:type="dxa"/>
            <w:vAlign w:val="bottom"/>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20" w:type="dxa"/>
            <w:vAlign w:val="bottom"/>
            <w:vMerge w:val="continue"/>
          </w:tcPr>
          <w:p>
            <w:pPr>
              <w:spacing w:after="0"/>
              <w:rPr>
                <w:sz w:val="16"/>
                <w:szCs w:val="16"/>
                <w:color w:val="auto"/>
              </w:rPr>
            </w:pPr>
          </w:p>
        </w:tc>
        <w:tc>
          <w:tcPr>
            <w:tcW w:w="100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$36.3 millio</w:t>
            </w:r>
          </w:p>
        </w:tc>
        <w:tc>
          <w:tcPr>
            <w:tcW w:w="30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$230.0 millio</w:t>
            </w:r>
          </w:p>
        </w:tc>
        <w:tc>
          <w:tcPr>
            <w:tcW w:w="180" w:type="dxa"/>
            <w:vAlign w:val="bottom"/>
          </w:tcPr>
          <w:p>
            <w:pPr>
              <w:spacing w:after="0"/>
              <w:rPr>
                <w:sz w:val="16"/>
                <w:szCs w:val="16"/>
                <w:color w:val="auto"/>
              </w:rPr>
            </w:pPr>
          </w:p>
        </w:tc>
        <w:tc>
          <w:tcPr>
            <w:tcW w:w="108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6"/>
                <w:szCs w:val="16"/>
                <w:color w:val="auto"/>
              </w:rPr>
            </w:pPr>
          </w:p>
        </w:tc>
        <w:tc>
          <w:tcPr>
            <w:tcW w:w="1080" w:type="dxa"/>
            <w:vAlign w:val="bottom"/>
            <w:tcBorders>
              <w:top w:val="single" w:sz="8" w:color="auto"/>
            </w:tcBorders>
            <w:gridSpan w:val="4"/>
          </w:tcPr>
          <w:p>
            <w:pPr>
              <w:jc w:val="center"/>
              <w:spacing w:after="0" w:line="191" w:lineRule="exact"/>
              <w:rPr>
                <w:sz w:val="20"/>
                <w:szCs w:val="20"/>
                <w:color w:val="auto"/>
              </w:rPr>
            </w:pPr>
            <w:r>
              <w:rPr>
                <w:rFonts w:ascii="Times New Roman" w:cs="Times New Roman" w:eastAsia="Times New Roman" w:hAnsi="Times New Roman"/>
                <w:sz w:val="18"/>
                <w:szCs w:val="18"/>
                <w:color w:val="auto"/>
              </w:rPr>
              <w:t>March 2026</w:t>
            </w:r>
          </w:p>
        </w:tc>
        <w:tc>
          <w:tcPr>
            <w:tcW w:w="2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$5.21</w:t>
            </w: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MidCap credit facility</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20"/>
                <w:szCs w:val="20"/>
                <w:color w:val="auto"/>
              </w:rPr>
            </w:pPr>
          </w:p>
        </w:tc>
        <w:tc>
          <w:tcPr>
            <w:tcW w:w="760" w:type="dxa"/>
            <w:vAlign w:val="bottom"/>
          </w:tcPr>
          <w:p>
            <w:pPr>
              <w:jc w:val="center"/>
              <w:ind w:right="157"/>
              <w:spacing w:after="0"/>
              <w:rPr>
                <w:sz w:val="20"/>
                <w:szCs w:val="20"/>
                <w:color w:val="auto"/>
              </w:rPr>
            </w:pPr>
            <w:r>
              <w:rPr>
                <w:rFonts w:ascii="Times New Roman" w:cs="Times New Roman" w:eastAsia="Times New Roman" w:hAnsi="Times New Roman"/>
                <w:sz w:val="18"/>
                <w:szCs w:val="18"/>
                <w:color w:val="auto"/>
                <w:w w:val="88"/>
              </w:rPr>
              <w:t>n</w:t>
            </w:r>
          </w:p>
        </w:tc>
        <w:tc>
          <w:tcPr>
            <w:tcW w:w="3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0" w:type="dxa"/>
            <w:vAlign w:val="bottom"/>
          </w:tcPr>
          <w:p>
            <w:pPr>
              <w:spacing w:after="0"/>
              <w:rPr>
                <w:sz w:val="1"/>
                <w:szCs w:val="1"/>
                <w:color w:val="auto"/>
              </w:rPr>
            </w:pPr>
          </w:p>
        </w:tc>
      </w:tr>
      <w:tr>
        <w:trPr>
          <w:trHeight w:val="198"/>
        </w:trPr>
        <w:tc>
          <w:tcPr>
            <w:tcW w:w="5020" w:type="dxa"/>
            <w:vAlign w:val="bottom"/>
            <w:vMerge w:val="continue"/>
          </w:tcPr>
          <w:p>
            <w:pPr>
              <w:spacing w:after="0"/>
              <w:rPr>
                <w:sz w:val="17"/>
                <w:szCs w:val="17"/>
                <w:color w:val="auto"/>
              </w:rPr>
            </w:pPr>
          </w:p>
        </w:tc>
        <w:tc>
          <w:tcPr>
            <w:tcW w:w="240" w:type="dxa"/>
            <w:vAlign w:val="bottom"/>
          </w:tcPr>
          <w:p>
            <w:pPr>
              <w:jc w:val="right"/>
              <w:ind w:right="36"/>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6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 million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17"/>
              <w:spacing w:after="0" w:line="198" w:lineRule="exact"/>
              <w:rPr>
                <w:sz w:val="20"/>
                <w:szCs w:val="20"/>
                <w:color w:val="auto"/>
              </w:rPr>
            </w:pPr>
            <w:r>
              <w:rPr>
                <w:rFonts w:ascii="Times New Roman" w:cs="Times New Roman" w:eastAsia="Times New Roman" w:hAnsi="Times New Roman"/>
                <w:sz w:val="18"/>
                <w:szCs w:val="18"/>
                <w:color w:val="auto"/>
                <w:w w:val="99"/>
              </w:rPr>
              <w:t>one-month</w:t>
            </w:r>
          </w:p>
        </w:tc>
        <w:tc>
          <w:tcPr>
            <w:tcW w:w="200" w:type="dxa"/>
            <w:vAlign w:val="bottom"/>
          </w:tcPr>
          <w:p>
            <w:pPr>
              <w:spacing w:after="0"/>
              <w:rPr>
                <w:sz w:val="17"/>
                <w:szCs w:val="17"/>
                <w:color w:val="auto"/>
              </w:rPr>
            </w:pPr>
          </w:p>
        </w:tc>
        <w:tc>
          <w:tcPr>
            <w:tcW w:w="1080" w:type="dxa"/>
            <w:vAlign w:val="bottom"/>
            <w:gridSpan w:val="4"/>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August 2025</w:t>
            </w:r>
          </w:p>
        </w:tc>
        <w:tc>
          <w:tcPr>
            <w:tcW w:w="200" w:type="dxa"/>
            <w:vAlign w:val="bottom"/>
          </w:tcPr>
          <w:p>
            <w:pPr>
              <w:spacing w:after="0"/>
              <w:rPr>
                <w:sz w:val="17"/>
                <w:szCs w:val="17"/>
                <w:color w:val="auto"/>
              </w:rPr>
            </w:pPr>
          </w:p>
        </w:tc>
        <w:tc>
          <w:tcPr>
            <w:tcW w:w="110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7"/>
              </w:rPr>
              <w:t>SOFR</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rPr>
              <w:t>(1% floor)</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plus 6.25%;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Mann Group convertible note</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cap of 8.25%</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020" w:type="dxa"/>
            <w:vAlign w:val="bottom"/>
            <w:vMerge w:val="continue"/>
          </w:tcPr>
          <w:p>
            <w:pPr>
              <w:spacing w:after="0"/>
              <w:rPr>
                <w:sz w:val="17"/>
                <w:szCs w:val="17"/>
                <w:color w:val="auto"/>
              </w:rPr>
            </w:pPr>
          </w:p>
        </w:tc>
        <w:tc>
          <w:tcPr>
            <w:tcW w:w="240" w:type="dxa"/>
            <w:vAlign w:val="bottom"/>
          </w:tcPr>
          <w:p>
            <w:pPr>
              <w:jc w:val="right"/>
              <w:ind w:right="36"/>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6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$8.8 million</w:t>
            </w:r>
          </w:p>
        </w:tc>
        <w:tc>
          <w:tcPr>
            <w:tcW w:w="1260" w:type="dxa"/>
            <w:vAlign w:val="bottom"/>
            <w:gridSpan w:val="3"/>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7"/>
                <w:szCs w:val="17"/>
                <w:color w:val="auto"/>
              </w:rPr>
            </w:pPr>
          </w:p>
        </w:tc>
        <w:tc>
          <w:tcPr>
            <w:tcW w:w="1080" w:type="dxa"/>
            <w:vAlign w:val="bottom"/>
            <w:gridSpan w:val="4"/>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December</w:t>
            </w:r>
          </w:p>
        </w:tc>
        <w:tc>
          <w:tcPr>
            <w:tcW w:w="1200" w:type="dxa"/>
            <w:vAlign w:val="bottom"/>
            <w:gridSpan w:val="2"/>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w w:val="98"/>
              </w:rPr>
              <w:t>$2.50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auto"/>
                <w:w w:val="99"/>
              </w:rPr>
              <w:t>2025</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0" w:type="dxa"/>
            <w:vAlign w:val="bottom"/>
          </w:tcPr>
          <w:p>
            <w:pPr>
              <w:spacing w:after="0"/>
              <w:rPr>
                <w:sz w:val="1"/>
                <w:szCs w:val="1"/>
                <w:color w:val="auto"/>
              </w:rPr>
            </w:pPr>
          </w:p>
        </w:tc>
      </w:tr>
      <w:tr>
        <w:trPr>
          <w:trHeight w:val="126"/>
        </w:trPr>
        <w:tc>
          <w:tcPr>
            <w:tcW w:w="5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-2230755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-2230755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-1313815</wp:posOffset>
            </wp:positionV>
            <wp:extent cx="7132320" cy="2743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2743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20" w:hanging="512"/>
        <w:spacing w:after="0"/>
        <w:tabs>
          <w:tab w:leader="none" w:pos="52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Partial exchange in December 2024.</w:t>
      </w:r>
    </w:p>
    <w:p>
      <w:pPr>
        <w:spacing w:after="0" w:line="8" w:lineRule="exact"/>
        <w:rPr>
          <w:rFonts w:ascii="Times New Roman" w:cs="Times New Roman" w:eastAsia="Times New Roman" w:hAnsi="Times New Roman"/>
          <w:sz w:val="13"/>
          <w:szCs w:val="13"/>
          <w:color w:val="auto"/>
        </w:rPr>
      </w:pPr>
    </w:p>
    <w:p>
      <w:pPr>
        <w:ind w:left="520" w:hanging="512"/>
        <w:spacing w:after="0"/>
        <w:tabs>
          <w:tab w:leader="none" w:pos="52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Extinguished in April 2024.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the Company’s borrowings as of December 31, 2024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 w:type="dxa"/>
            <w:vAlign w:val="bottom"/>
          </w:tcPr>
          <w:p>
            <w:pPr>
              <w:spacing w:after="0"/>
              <w:rPr>
                <w:sz w:val="16"/>
                <w:szCs w:val="16"/>
                <w:color w:val="auto"/>
              </w:rPr>
            </w:pPr>
          </w:p>
        </w:tc>
      </w:tr>
      <w:tr>
        <w:trPr>
          <w:trHeight w:val="215"/>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36,319</w:t>
            </w:r>
          </w:p>
        </w:tc>
        <w:tc>
          <w:tcPr>
            <w:tcW w:w="100" w:type="dxa"/>
            <w:vAlign w:val="bottom"/>
            <w:tcBorders>
              <w:bottom w:val="single" w:sz="8" w:color="CFF0FC"/>
            </w:tcBorders>
          </w:tcPr>
          <w:p>
            <w:pPr>
              <w:spacing w:after="0"/>
              <w:rPr>
                <w:sz w:val="18"/>
                <w:szCs w:val="18"/>
                <w:color w:val="auto"/>
              </w:rPr>
            </w:pPr>
          </w:p>
        </w:tc>
      </w:tr>
      <w:tr>
        <w:trPr>
          <w:trHeight w:val="210"/>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principal payments</w:t>
            </w:r>
          </w:p>
        </w:tc>
        <w:tc>
          <w:tcPr>
            <w:tcW w:w="4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36,319</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40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(268 )</w:t>
            </w:r>
          </w:p>
        </w:tc>
      </w:tr>
      <w:tr>
        <w:trPr>
          <w:trHeight w:val="249"/>
        </w:trPr>
        <w:tc>
          <w:tcPr>
            <w:tcW w:w="9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Senior convertible notes – </w:t>
      </w:r>
      <w:r>
        <w:rPr>
          <w:rFonts w:ascii="Times New Roman" w:cs="Times New Roman" w:eastAsia="Times New Roman" w:hAnsi="Times New Roman"/>
          <w:sz w:val="18"/>
          <w:szCs w:val="18"/>
          <w:color w:val="auto"/>
        </w:rPr>
        <w:t>In March 2021, the Company issued $230.0 million aggregate principal amount of senior convertible notes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notes”) in a private offering. The senior convertible notes were issued pursuant to an indenture, dated March 4, 2021 (the “Indenture”), between the Company and U.S. Bank National Association, as trustee.</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senior convertible notes are general unsecured obligations of the Company and will mature on March 1, 2026, unless earlier converted, redeemed or repurchased by the Company. The senior convertible notes bear cash interest from March 4, 2021 at an annual rate of 2.50% payable semi-annually in arrears on March 1 and September 1 of each year, beginning on September 1, 2021. 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 trading days (whether or not consecutive) during a period of 30 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 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1" w:name="page92"/>
    <w:bookmarkEnd w:id="91"/>
    <w:p>
      <w:pPr>
        <w:ind w:right="120"/>
        <w:spacing w:after="0" w:line="254" w:lineRule="auto"/>
        <w:rPr>
          <w:sz w:val="20"/>
          <w:szCs w:val="20"/>
          <w:color w:val="auto"/>
        </w:rPr>
      </w:pPr>
      <w:r>
        <w:rPr>
          <w:rFonts w:ascii="Times New Roman" w:cs="Times New Roman" w:eastAsia="Times New Roman" w:hAnsi="Times New Roman"/>
          <w:sz w:val="18"/>
          <w:szCs w:val="18"/>
          <w:color w:val="auto"/>
        </w:rPr>
        <w:t>The initial conversion rate is 191.8281 shares of common stock per $1,000 principal amount of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senior convertible notes in connection with such a corporate event or convert its Notes called for redemption during the related redemption period (as defined in the Indenture), as the case may be.</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 million aggregate principal amount of senior convertible notes must be outstanding and not subject to redemption as of the relevant redemption notice date. No sinking fund is provided for the senior convertible notes.</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senior convertible notes to be repurchased, plus accrued and unpaid interest to, but excluding, the fundamental change repurchase date.</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Indenture includes customary covenants and sets forth certain events of default after which the senior convertible notes may be declared immediately due and payable.</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net proceeds from the March 2021 offering were approximately $222.7 million, after deducting the initial purchasers’ discounts and commissions and the estimated offering expenses payable by the Company. As of December 31, 2024 and 2023, the unamortized debt issuance cost was $0.3 million and $3.1 million, respectively.</w:t>
      </w:r>
    </w:p>
    <w:p>
      <w:pPr>
        <w:spacing w:after="0" w:line="6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212529"/>
        </w:rPr>
        <w:t xml:space="preserve">On December 17, 2024, the Company entered into separate, privately negotiated exchange agreements (the "Exchange Agreements") with certain holders (the “Holders”) of the senior convertible notes. Under the terms of the Exchange Agreements, the Holders agreed to exchange an aggregate principal amount of approximately $193.7 million of the senior convertible notes in exchange for an aggregate of 26,749,559 shares of the Company’s common stock. In addition, pursuant to the exchange agreements, the Company made an aggregate cash payment of approximately $89.2 million to the Holders for additional exchange consideration. Immediately following the exchange, approximately $36.3 million in aggregate principal amount of the senior convertible notes remained outstanding. The exchange of the senior convertible notes </w:t>
      </w:r>
      <w:r>
        <w:rPr>
          <w:rFonts w:ascii="Times New Roman" w:cs="Times New Roman" w:eastAsia="Times New Roman" w:hAnsi="Times New Roman"/>
          <w:sz w:val="18"/>
          <w:szCs w:val="18"/>
          <w:color w:val="000000"/>
        </w:rPr>
        <w:t>resulted in an inducement loss of $13.4 million included in loss 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settlement of debt in the consolidated statements of operations for the year ended December 31, 2024.</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2" w:name="page93"/>
    <w:bookmarkEnd w:id="92"/>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MidCap credit facility </w:t>
      </w:r>
      <w:r>
        <w:rPr>
          <w:rFonts w:ascii="Times New Roman" w:cs="Times New Roman" w:eastAsia="Times New Roman" w:hAnsi="Times New Roman"/>
          <w:sz w:val="18"/>
          <w:szCs w:val="18"/>
          <w:color w:val="auto"/>
        </w:rPr>
        <w:t>— In August 2019, the Company entered into the MidCap credit facility and borrowed the first advance of $40.0 million (“Tranche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in August 2019 and the second advance of $10.0 million (“Tranche 2”) in December 2020. In April 2021, $10.0 million was prepaid.</w:t>
      </w:r>
    </w:p>
    <w:p>
      <w:pPr>
        <w:spacing w:after="0" w:line="16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Tranche 1 and Tranche 2 accrued interest at an annual rate equal to the lesser of (i) 8.25% and (ii) the one-month Secured Overnight Financing Rate ("SOFR") (subject to a one-month floor of 1.00%) plus 6.25%. Interest on each term loan advance was due and payable monthly in arrears. Principal on each term loan advance under Tranche 1 and Tranche 2 was payable in 24 equal monthly installments that began September 1, 2023.</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2024, the Company made $5.0 million in principal payments on the MidCap credit facility. On April 1, 2024, the Company exercised its option to prepay in full all outstanding indebtedness, consisting of $28.3 million in principal and $0.2 million in accrued interest, and terminated all commitments and obligations under the MidCap credit facility that would have matured on August 1, 2025 in exchange for a payment of $31.6 million, including an exit fee of $2.8 million which is 7.00% of the initial Tranche 1 balance of $40.0 million, and a prepayment fee of $0.3 million which is 1.00% of principal prepaid. Additionally, unamortized debt discount and capitalized prepayment fees totaling $0.2 million were written off, resulting in a loss on early extinguishment of debt of $3.3 million included in loss on settlement of debt in the consolidated statements of operations. In connection with the repayment of outstanding indebtedness by the Company, all liens, mortgages and security interests in any assets or property securing the obligations under the MidCap credit facility were automatically terminated and released and the Company was automatically released from all guarantees.</w:t>
      </w:r>
    </w:p>
    <w:p>
      <w:pPr>
        <w:spacing w:after="0" w:line="186"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Mann Group convertible note </w:t>
      </w:r>
      <w:r>
        <w:rPr>
          <w:rFonts w:ascii="Times New Roman" w:cs="Times New Roman" w:eastAsia="Times New Roman" w:hAnsi="Times New Roman"/>
          <w:sz w:val="18"/>
          <w:szCs w:val="18"/>
          <w:color w:val="auto"/>
        </w:rPr>
        <w:t>— In August 2019, the Company issued a $35.0 million note that was convertible into shares of the Company’s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$2.50 per share (the “Mann Group convertible note”) as part of a restructuring of its then existing indebtedness to Mann Group.</w:t>
      </w:r>
    </w:p>
    <w:p>
      <w:pPr>
        <w:spacing w:after="0" w:line="16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Mann Group convertible note accrued interest at the rate of 2.5% per year on the principal amount, payable quarterly in arrears on the first day of each calendar quarter, with a maturity date of December 31, 2025.</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principal and any accrued and unpaid interest under the Mann Group convertible was convertible, at the option of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Interest on the convertible note was payable in kind by adding the amount thereof to the principal amount; provided that with respect to interest accruing from and after January 1, 2021, the Company had the option to pay any such interest on any interest payment date, if certain conditions were met, in shares of the Company’s common stock at a price per share equal to the last reported sale price on the trading day immediately prior to the payment date.</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Pursuant to the terms of the Mann Group convertible note, Mann Group converted $3.0 million of accrued interest and $7.0 million of principal into 1.2 million shares and 2.8 million shares, respectively, of the Company’s common stock in the fourth quarter of 2020. During the year ended December 31, 2021, Mann Group converted $0.4 million of interest and $9.6 million of principal into 4,000,000 shares of common stock. During the year ended December 31, 2022, Mann Group converted $10.0 million of principal and capitalized interest into 4,000,000 shares of common stock. In addition, the Company paid $0.3 million of interest by issuing the Mann Group 75,487 shares of common stock during the year ended December 31, 2022. During the year ended December 31, 2023, Mann Group converted $0.2 million of interest into 50,844 shares of common stock. During the year ended December 31, 2024, Mann Group converted $0.1 million of interest into 15,285 shares of common stock.</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2, 2024, the Company and Mann Group agreed to discharge and terminate the Mann Group convertible note. As of April 2, 2024, the outstanding principal balance of the Mann Group convertible note plus accrued interest was $8.9 million and was convertible at Mann Group’s option into 3,554,198 shares of common stock of the Company. The Company and Mann Group agreed to terminate all outstanding indebtedness, rights and obligations under the Mann Group convertible note in exchange for (i) the Company’s issuance to Mann Group of 1,500,000 shares of the Company’s common stock converted at the contractual rate of $2.50 per share and (ii) the Company’s payment to Mann Group of $8.9 million, which represented the market value of 2,054,198 shares of common stock of the Company on April 2, 2024 to settle the remaining principal and interest of $5.1 million, after the conversion noted in (i) above. Termination of the Mann Group convertible note resulted in a loss on early extinguishment of debt of $3.7 million included in loss on settlement of debt in the consolidated statements of operations.</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Amortization of the premium and accretion of debt issuance costs related to all borrowings for the years ended December 31, 2024, 2023 and 2022 were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 and prepayment fee</w:t>
            </w:r>
          </w:p>
        </w:tc>
        <w:tc>
          <w:tcPr>
            <w:tcW w:w="286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FF0FC"/>
          </w:tcPr>
          <w:p>
            <w:pPr>
              <w:spacing w:after="0"/>
              <w:rPr>
                <w:sz w:val="18"/>
                <w:szCs w:val="18"/>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2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Pr>
          <w:p>
            <w:pPr>
              <w:spacing w:after="0"/>
              <w:rPr>
                <w:sz w:val="20"/>
                <w:szCs w:val="20"/>
                <w:color w:val="auto"/>
              </w:rPr>
            </w:pPr>
          </w:p>
        </w:tc>
      </w:tr>
      <w:tr>
        <w:trPr>
          <w:trHeight w:val="630"/>
        </w:trPr>
        <w:tc>
          <w:tcPr>
            <w:tcW w:w="4600" w:type="dxa"/>
            <w:vAlign w:val="bottom"/>
          </w:tcPr>
          <w:p>
            <w:pPr>
              <w:spacing w:after="0"/>
              <w:rPr>
                <w:sz w:val="24"/>
                <w:szCs w:val="24"/>
                <w:color w:val="auto"/>
              </w:rPr>
            </w:pPr>
          </w:p>
        </w:tc>
        <w:tc>
          <w:tcPr>
            <w:tcW w:w="2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93</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6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93" w:name="page94"/>
    <w:bookmarkEnd w:id="93"/>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Collaborations, Licensing and Other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collaborations and services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UT CSA</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600" w:type="dxa"/>
            <w:vAlign w:val="bottom"/>
            <w:vMerge w:val="continue"/>
          </w:tcPr>
          <w:p>
            <w:pPr>
              <w:spacing w:after="0"/>
              <w:rPr>
                <w:sz w:val="13"/>
                <w:szCs w:val="13"/>
                <w:color w:val="auto"/>
              </w:rPr>
            </w:pPr>
          </w:p>
        </w:tc>
        <w:tc>
          <w:tcPr>
            <w:tcW w:w="320" w:type="dxa"/>
            <w:vAlign w:val="bottom"/>
          </w:tcPr>
          <w:p>
            <w:pPr>
              <w:jc w:val="right"/>
              <w:ind w:right="11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96,228</w:t>
            </w:r>
          </w:p>
        </w:tc>
        <w:tc>
          <w:tcPr>
            <w:tcW w:w="260" w:type="dxa"/>
            <w:vAlign w:val="bottom"/>
          </w:tcPr>
          <w:p>
            <w:pPr>
              <w:spacing w:after="0"/>
              <w:rPr>
                <w:sz w:val="13"/>
                <w:szCs w:val="13"/>
                <w:color w:val="auto"/>
              </w:rPr>
            </w:pPr>
          </w:p>
        </w:tc>
        <w:tc>
          <w:tcPr>
            <w:tcW w:w="320" w:type="dxa"/>
            <w:vAlign w:val="bottom"/>
          </w:tcPr>
          <w:p>
            <w:pPr>
              <w:jc w:val="right"/>
              <w:ind w:right="13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52,025</w:t>
            </w:r>
          </w:p>
        </w:tc>
        <w:tc>
          <w:tcPr>
            <w:tcW w:w="280" w:type="dxa"/>
            <w:vAlign w:val="bottom"/>
          </w:tcPr>
          <w:p>
            <w:pPr>
              <w:spacing w:after="0"/>
              <w:rPr>
                <w:sz w:val="13"/>
                <w:szCs w:val="13"/>
                <w:color w:val="auto"/>
              </w:rPr>
            </w:pPr>
          </w:p>
        </w:tc>
        <w:tc>
          <w:tcPr>
            <w:tcW w:w="300" w:type="dxa"/>
            <w:vAlign w:val="bottom"/>
          </w:tcPr>
          <w:p>
            <w:pPr>
              <w:jc w:val="right"/>
              <w:ind w:right="11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24,826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660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UT License Agreement </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Cipla License and Distribution Agreement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Amphastar co-promotion agreement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 from collaborations and services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100,840</w:t>
            </w:r>
          </w:p>
        </w:tc>
        <w:tc>
          <w:tcPr>
            <w:tcW w:w="26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52,954</w:t>
            </w:r>
          </w:p>
        </w:tc>
        <w:tc>
          <w:tcPr>
            <w:tcW w:w="28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-842645</wp:posOffset>
            </wp:positionV>
            <wp:extent cx="7132320" cy="1371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-10795</wp:posOffset>
            </wp:positionV>
            <wp:extent cx="2871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0">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-79375</wp:posOffset>
            </wp:positionV>
            <wp:extent cx="2871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1">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consist of revenue recognized for Manufacturing Services to UT for the periods presented.</w:t>
      </w:r>
    </w:p>
    <w:p>
      <w:pPr>
        <w:spacing w:after="0" w:line="59" w:lineRule="exact"/>
        <w:rPr>
          <w:rFonts w:ascii="Times New Roman" w:cs="Times New Roman" w:eastAsia="Times New Roman" w:hAnsi="Times New Roman"/>
          <w:sz w:val="13"/>
          <w:szCs w:val="13"/>
          <w:color w:val="auto"/>
        </w:rPr>
      </w:pPr>
    </w:p>
    <w:p>
      <w:pPr>
        <w:ind w:left="520" w:hanging="512"/>
        <w:spacing w:after="0"/>
        <w:tabs>
          <w:tab w:leader="none" w:pos="5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consist of revenue recognized for Next-Gen R&amp;D Services and R&amp;D Services and License for the periods presented.</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related to deferred revenue and the related revenue recognized for collaborations and services is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78,879</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39,417</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85,528</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92,416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Collaborations and services revenue</w:t>
            </w:r>
          </w:p>
        </w:tc>
        <w:tc>
          <w:tcPr>
            <w:tcW w:w="16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(100,840 )</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(52,954 )</w:t>
            </w:r>
          </w:p>
        </w:tc>
      </w:tr>
      <w:tr>
        <w:trPr>
          <w:trHeight w:val="250"/>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63,567</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78,879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United Therapeutics License Agreement </w:t>
      </w:r>
      <w:r>
        <w:rPr>
          <w:rFonts w:ascii="Times New Roman" w:cs="Times New Roman" w:eastAsia="Times New Roman" w:hAnsi="Times New Roman"/>
          <w:sz w:val="18"/>
          <w:szCs w:val="18"/>
          <w:color w:val="auto"/>
        </w:rPr>
        <w:t>— In September 2018, the Company and UT entered into an exclusive global license and collaboration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“UT License Agreement”), pursuant to which UT is responsible for global development, regulatory and commercial activities with respect to Tyvaso DPI.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from UT was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UT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 CSA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96,228</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52,025</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24,826</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UT License Agreement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Royalties</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102,335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71,979</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100" w:type="dxa"/>
            <w:vAlign w:val="bottom"/>
          </w:tcPr>
          <w:p>
            <w:pPr>
              <w:spacing w:after="0"/>
              <w:rPr>
                <w:sz w:val="18"/>
                <w:szCs w:val="18"/>
                <w:color w:val="auto"/>
              </w:rPr>
            </w:pPr>
          </w:p>
        </w:tc>
      </w:tr>
      <w:tr>
        <w:trPr>
          <w:trHeight w:val="22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 from UT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201,428</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124,786</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35"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consist of royalties associated with the UT License Agreement. The contract asset related to the royalties receivable of $24.3 million, $21.7 million and</w:t>
      </w:r>
    </w:p>
    <w:p>
      <w:pPr>
        <w:spacing w:after="0" w:line="26" w:lineRule="exact"/>
        <w:rPr>
          <w:rFonts w:ascii="Times New Roman" w:cs="Times New Roman" w:eastAsia="Times New Roman" w:hAnsi="Times New Roman"/>
          <w:sz w:val="13"/>
          <w:szCs w:val="13"/>
          <w:color w:val="auto"/>
        </w:rPr>
      </w:pPr>
    </w:p>
    <w:p>
      <w:pPr>
        <w:ind w:left="520" w:right="100"/>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$9.1 million as of December 31, 2024, 2023 and 2022, respectively, was included in prepaid expense and other current assets in the consolidated balance sheets and collected in the following quarter.</w:t>
      </w:r>
    </w:p>
    <w:p>
      <w:pPr>
        <w:spacing w:after="0" w:line="16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Pursuant to the UT License Agreement, the Company receives a 10% royalty on net sales of Tyvaso DPI. In December 2023, the Company sold a 1% royalty on future net sales of Tyvaso DPI to a royalty purchaser, with the Company retaining a 9% royalty. In August 2021, the Company and UT entered into the CSA, pursuant to which the Company is responsible for manufacturing and supplying to UT, and UT is responsible for purchasing from the Company on a cost-plus basis. In addition, UT is responsible for supplying treprostinil at its expense in quantities necessary to enable the Company to manufacture Tyvaso DPI as required by the CSA.</w:t>
      </w:r>
    </w:p>
    <w:p>
      <w:pPr>
        <w:spacing w:after="0" w:line="183"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The activities and deliverables under the CSA and UT License Agreement resulted in distinct performance obligations which include the: (1) R&amp;D Services and License, (2) Next-Gen R&amp;D Services, and (3) Manufacturing Services. The Manufacturing Services performance obligation will be recognized as control of manufactured products is transferred to UT. The Company will sell product to UT under individual purchase orders which represent distinct performance obligations and is recognized upon transfer of control.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ind w:right="20"/>
        <w:spacing w:after="0" w:line="256" w:lineRule="auto"/>
        <w:rPr>
          <w:sz w:val="20"/>
          <w:szCs w:val="20"/>
          <w:color w:val="auto"/>
        </w:rPr>
      </w:pPr>
      <w:r>
        <w:rPr>
          <w:rFonts w:ascii="Times New Roman" w:cs="Times New Roman" w:eastAsia="Times New Roman" w:hAnsi="Times New Roman"/>
          <w:sz w:val="18"/>
          <w:szCs w:val="18"/>
          <w:color w:val="auto"/>
        </w:rPr>
        <w:t>There have been various amendments to the UT License Agreement and the CSA since inception. As amended, the term of the CSA continues until December 31, 2031 (unless earlier terminated) and is thereafter renewed automatically for additional, successive two-year terms unless (i) UT provides notice to the Company at least 24 months in advance of such renewal that UT does not wish to renew the CSA or (ii) the Company provides notice to UT at least 48 months in advance of such renewal that the Company does not wish to renew the CSA. The Company and UT each have normal and customary termination rights, including termination for material breach that is not cured within a specific timeframe or in the event of liquidation, bankruptcy or insolvency of the other party.</w:t>
      </w:r>
    </w:p>
    <w:p>
      <w:pPr>
        <w:spacing w:after="0" w:line="18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The Company accounted for the December 2024 contract amendment as if it were part of the existing contract. The effect of the modification on the transaction price and the measure of progress towards completion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Therefore, the modification did not result in a change in the activities and deliverables under the CSA.</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2024, the Company also entered into additional agreements for individual performance obligations which are accounted for separately as they are distinct from Manufacturing Services and offered at a standalone selling price. Revenue is recognized at a point in time as services are rendered. Also during 2024, the Company and UT concluded the Next-Gen R&amp;D Services performance obligation, which resulted in the recognition of $2.9 million of deferred revenue.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2024, deferred revenue from UT consisted of $62.4 million, of which $12.3 million was classified as current and $50.1 million was classified as long-term on the consolidated balance sheet. As of December 31, 2023, deferred revenue consisted of $77.5 million, of which $8.9 million was classified as current and $68.6 million was classified as long-term on the consolidated balance sheet. The Company determined that the revenue recognition associated with the facility expansion should be combined with the Manufacturing Services performance obligation.</w:t>
      </w:r>
    </w:p>
    <w:p>
      <w:pPr>
        <w:spacing w:after="0" w:line="17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Thirona Collaboration Agreement </w:t>
      </w:r>
      <w:r>
        <w:rPr>
          <w:rFonts w:ascii="Times New Roman" w:cs="Times New Roman" w:eastAsia="Times New Roman" w:hAnsi="Times New Roman"/>
          <w:sz w:val="18"/>
          <w:szCs w:val="18"/>
          <w:color w:val="auto"/>
        </w:rPr>
        <w:t>— In June 2021, the Company and Thirona entered into a collaboration agreement to evaluate the therapeutic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Thirona’s compound for the treatment of fibrotic pulmonary diseases. If initial studies are promising, the Company can exercise certain rights to seek a full license to the compound for clinical development and commercialization. The parties will perform their respective obligations and provide reasonable support for research, clinical development and regulatory strategy. The collaboration agreement was accounted for under ASC 808, </w:t>
      </w:r>
      <w:r>
        <w:rPr>
          <w:rFonts w:ascii="Times New Roman" w:cs="Times New Roman" w:eastAsia="Times New Roman" w:hAnsi="Times New Roman"/>
          <w:sz w:val="18"/>
          <w:szCs w:val="18"/>
          <w:i w:val="1"/>
          <w:iCs w:val="1"/>
          <w:color w:val="auto"/>
        </w:rPr>
        <w:t>Collaborative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however, no consideration was exchanged between the parties. The costs incurred by the Company were expensed as R&amp;D 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operations. On February 28, 2023, the collaboration agreement was amended to extend the term through June 2024. In accordance with the amendment, the Company agreed to fund a minimum of $1.1 million to be expended on a revised development plan prepared by Thirona, of which $1.1 million had been funded through December 31, 2024.</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Biomm Supply and Distribution Agreement </w:t>
      </w:r>
      <w:r>
        <w:rPr>
          <w:rFonts w:ascii="Times New Roman" w:cs="Times New Roman" w:eastAsia="Times New Roman" w:hAnsi="Times New Roman"/>
          <w:sz w:val="18"/>
          <w:szCs w:val="18"/>
          <w:color w:val="auto"/>
        </w:rPr>
        <w:t>— In May 2017, the Company and Biomm S.A. (“Biomm”) entered into a supply and distribution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were received. Biomm commenced product sales in January 2020. No shipments of product were made to Biomm during the year ended December 31, 2024, 2023 or 2022.</w:t>
      </w:r>
    </w:p>
    <w:p>
      <w:pPr>
        <w:spacing w:after="0" w:line="18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Cipla License and Distribution Agreement </w:t>
      </w:r>
      <w:r>
        <w:rPr>
          <w:rFonts w:ascii="Times New Roman" w:cs="Times New Roman" w:eastAsia="Times New Roman" w:hAnsi="Times New Roman"/>
          <w:sz w:val="18"/>
          <w:szCs w:val="18"/>
          <w:color w:val="auto"/>
        </w:rPr>
        <w:t>— In May 2018, the Company and Cipla Ltd. (“Cipla”) entered into an exclusive agreement for the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distribution of Afrezza in India and the Company received a $2.2 million nonrefundable license fee. Under the terms of the agreement, Cipla is responsible for obtaining regulatory approvals to distribute Afrezza in India and for all marketing and sales activities of Afrezza in India. The Company is responsible for supplying Afrezza to Cipla. The Company is entitled to an additional regulatory milestone payment, minimum purchase commitment revenue and royalties on Afrezza sales in India once cumulative gross sales have reached a specified threshold. In December 2024, the Central Drugs Standard Control Organisation ("CDSCO") in India approved Afrezza for adults and, accordingly, the Company was entitled to the regulatory milestone payment from Cipla totaling $1.1 million, which was included in accounts receivable, net, in the consolidated balance sheets at December 31, 2024 and collaborations and services revenue in the consolidated statements of operations for the year then ended. The payment was received in the first quarter of 2025. The Company expects to ship product once Cipla obtains the registration certificate and import license.</w:t>
      </w:r>
    </w:p>
    <w:p>
      <w:pPr>
        <w:spacing w:after="0" w:line="18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initial $2.2 million nonrefundable licensing fee was recorded in deferred revenue and is being recognized in net revenue – collaborations over 15 years, representing the estimated period to satisfy the performance obligation.</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2024, the deferred revenue balance was $1.2 million, of which $0.1 million was classified as current and $1.1 million was classified as long term in the consolidated balance sheets. As of December 31, 2023, the deferred revenue balance was $1.4 million, of which $0.2 million is classified as current and $1.2 million is classified as long term in the consolidated balance sheets.</w:t>
      </w:r>
    </w:p>
    <w:p>
      <w:pPr>
        <w:spacing w:after="0" w:line="17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Amphastar </w:t>
      </w:r>
      <w:r>
        <w:rPr>
          <w:rFonts w:ascii="Times New Roman" w:cs="Times New Roman" w:eastAsia="Times New Roman" w:hAnsi="Times New Roman"/>
          <w:sz w:val="18"/>
          <w:szCs w:val="18"/>
          <w:color w:val="auto"/>
        </w:rPr>
        <w:t>— During the quarter ended December 31, 2024, the Company entered into a co-promotion agreement which provides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which Amphastar is marketing Baqsimi (glucagon) nasal powder and the Company's sales force shall promote Baqsimi to designated health care professionals where the Company currently promotes Afrezza. Amphastar is obligated to pay fixed quarterly payments to the Company through December 2025 (the "contract term"). Either party may terminate the agreement or suspend performance upon written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5" w:name="page96"/>
    <w:bookmarkEnd w:id="95"/>
    <w:p>
      <w:pPr>
        <w:ind w:right="460"/>
        <w:spacing w:after="0" w:line="282" w:lineRule="auto"/>
        <w:rPr>
          <w:sz w:val="20"/>
          <w:szCs w:val="20"/>
          <w:color w:val="auto"/>
        </w:rPr>
      </w:pPr>
      <w:r>
        <w:rPr>
          <w:rFonts w:ascii="Times New Roman" w:cs="Times New Roman" w:eastAsia="Times New Roman" w:hAnsi="Times New Roman"/>
          <w:sz w:val="18"/>
          <w:szCs w:val="18"/>
          <w:color w:val="auto"/>
        </w:rPr>
        <w:t>notice to the other party at any time during the contract term. The co-promotion agreement may be renewed or extended only upon the mutual written agreement of both parties.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identified a single performance obligation that the Company will satisfy over time. The total transaction price of $2.5 million is considered fixed consideration of which $0.5 million was recognized as revenue from collaborations and services in our consolidated statement of operations for the year ended December 31, 2024. The remaining $2.0 million will be recognized based on the measurement of progress as the performance obligation is satisfied through the end of the contract term.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of Financial Instruments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 Inputs used in the valuation techniques to derive fair values are classified based on a three-level hierarchy, as follows: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225"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consolidated financial statements for cash, accounts receivable, accounts payable, and accrued expenses and other current liabilities (excluding the Milestone Rights liability) approximate their fair value due to their relatively short maturities. The fair value of the senior convertible notes, MidCap credit facility, Mann Group convertible note, Milestone Rights liability, Contingent milestone liability, Financing liability and Liability for sale of future royalties are disclosed below.</w:t>
      </w:r>
    </w:p>
    <w:p>
      <w:pPr>
        <w:spacing w:after="0" w:line="178"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Financial Liabilities </w:t>
      </w:r>
      <w:r>
        <w:rPr>
          <w:rFonts w:ascii="Times New Roman" w:cs="Times New Roman" w:eastAsia="Times New Roman" w:hAnsi="Times New Roman"/>
          <w:sz w:val="18"/>
          <w:szCs w:val="18"/>
          <w:color w:val="auto"/>
        </w:rPr>
        <w:t>— The following tables set forth the fair value of the Company’s financial instruments (Level 3 in the fair value hierarchy)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24"/>
                <w:szCs w:val="24"/>
                <w:color w:val="auto"/>
                <w:vertAlign w:val="superscript"/>
              </w:rPr>
              <w:t>(2)</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Financing liability</w:t>
            </w:r>
            <w:r>
              <w:rPr>
                <w:rFonts w:ascii="Times New Roman" w:cs="Times New Roman" w:eastAsia="Times New Roman" w:hAnsi="Times New Roman"/>
                <w:sz w:val="24"/>
                <w:szCs w:val="24"/>
                <w:color w:val="auto"/>
                <w:vertAlign w:val="superscript"/>
              </w:rPr>
              <w:t>(3)</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Liability for sale of future royalties</w:t>
            </w:r>
            <w:r>
              <w:rPr>
                <w:rFonts w:ascii="Times New Roman" w:cs="Times New Roman" w:eastAsia="Times New Roman" w:hAnsi="Times New Roman"/>
                <w:sz w:val="24"/>
                <w:szCs w:val="24"/>
                <w:color w:val="auto"/>
                <w:vertAlign w:val="superscript"/>
              </w:rPr>
              <w:t>(4)</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2" w:lineRule="exact"/>
        <w:rPr>
          <w:sz w:val="20"/>
          <w:szCs w:val="20"/>
          <w:color w:val="auto"/>
        </w:rPr>
      </w:pPr>
    </w:p>
    <w:p>
      <w:pPr>
        <w:ind w:left="520" w:right="120" w:hanging="512"/>
        <w:spacing w:after="0" w:line="290" w:lineRule="auto"/>
        <w:tabs>
          <w:tab w:leader="none" w:pos="52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to the straight note with a hypothetical yield of 7.5%, volatility of 49.5% and a Monte Carlo simulation for the value of the conversion feature. A change in yield of + or – 2% would result in a fair value of $46.2 million and $47.6 million, respectively.</w:t>
      </w:r>
    </w:p>
    <w:p>
      <w:pPr>
        <w:ind w:left="520" w:right="540" w:hanging="512"/>
        <w:spacing w:after="0" w:line="281" w:lineRule="auto"/>
        <w:tabs>
          <w:tab w:leader="none" w:pos="52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4.5%, dividend yield of 0%, volatility of 45.0%, period of 7 years and credit risk of 11.0%.</w:t>
      </w:r>
    </w:p>
    <w:p>
      <w:pPr>
        <w:spacing w:after="0" w:line="1" w:lineRule="exact"/>
        <w:rPr>
          <w:rFonts w:ascii="Times New Roman" w:cs="Times New Roman" w:eastAsia="Times New Roman" w:hAnsi="Times New Roman"/>
          <w:sz w:val="13"/>
          <w:szCs w:val="13"/>
          <w:color w:val="auto"/>
        </w:rPr>
      </w:pPr>
    </w:p>
    <w:p>
      <w:pPr>
        <w:ind w:left="520" w:right="40" w:hanging="512"/>
        <w:spacing w:after="0" w:line="281" w:lineRule="auto"/>
        <w:tabs>
          <w:tab w:leader="none" w:pos="52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8.0%. A change in yield of + or – 2% would result in a fair value of $103.1 million and $135.2 million, respectively.</w:t>
      </w:r>
    </w:p>
    <w:p>
      <w:pPr>
        <w:spacing w:after="0" w:line="1" w:lineRule="exact"/>
        <w:rPr>
          <w:rFonts w:ascii="Times New Roman" w:cs="Times New Roman" w:eastAsia="Times New Roman" w:hAnsi="Times New Roman"/>
          <w:sz w:val="13"/>
          <w:szCs w:val="13"/>
          <w:color w:val="auto"/>
        </w:rPr>
      </w:pPr>
    </w:p>
    <w:p>
      <w:pPr>
        <w:ind w:left="520" w:right="40" w:hanging="512"/>
        <w:spacing w:after="0" w:line="298" w:lineRule="auto"/>
        <w:tabs>
          <w:tab w:leader="none" w:pos="52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9.0%. A change in yield of + or – 2% would result in a fair value of $137.9 million and $180.0 million, respectively.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center"/>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jc w:val="center"/>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MidCap credit facility</w:t>
            </w:r>
            <w:r>
              <w:rPr>
                <w:rFonts w:ascii="Times New Roman" w:cs="Times New Roman" w:eastAsia="Times New Roman" w:hAnsi="Times New Roman"/>
                <w:sz w:val="24"/>
                <w:szCs w:val="24"/>
                <w:color w:val="auto"/>
                <w:vertAlign w:val="superscript"/>
              </w:rPr>
              <w:t>(2)</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Mann Group convertible note</w:t>
            </w:r>
            <w:r>
              <w:rPr>
                <w:rFonts w:ascii="Times New Roman" w:cs="Times New Roman" w:eastAsia="Times New Roman" w:hAnsi="Times New Roman"/>
                <w:sz w:val="24"/>
                <w:szCs w:val="24"/>
                <w:color w:val="auto"/>
                <w:vertAlign w:val="superscript"/>
              </w:rPr>
              <w:t>(3)</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24"/>
                <w:szCs w:val="24"/>
                <w:color w:val="auto"/>
                <w:vertAlign w:val="superscript"/>
              </w:rPr>
              <w:t>(4)</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700" w:type="dxa"/>
            <w:vAlign w:val="bottom"/>
          </w:tcPr>
          <w:p>
            <w:pPr>
              <w:ind w:left="200"/>
              <w:spacing w:after="0" w:line="178" w:lineRule="exact"/>
              <w:rPr>
                <w:sz w:val="20"/>
                <w:szCs w:val="20"/>
                <w:color w:val="auto"/>
              </w:rPr>
            </w:pPr>
            <w:r>
              <w:rPr>
                <w:rFonts w:ascii="Times New Roman" w:cs="Times New Roman" w:eastAsia="Times New Roman" w:hAnsi="Times New Roman"/>
                <w:sz w:val="15"/>
                <w:szCs w:val="15"/>
                <w:color w:val="auto"/>
              </w:rPr>
              <w:t>Contingent milestone liability</w:t>
            </w:r>
            <w:r>
              <w:rPr>
                <w:rFonts w:ascii="Times New Roman" w:cs="Times New Roman" w:eastAsia="Times New Roman" w:hAnsi="Times New Roman"/>
                <w:sz w:val="20"/>
                <w:szCs w:val="20"/>
                <w:color w:val="auto"/>
                <w:vertAlign w:val="superscript"/>
              </w:rPr>
              <w:t>(5)</w:t>
            </w:r>
          </w:p>
        </w:tc>
        <w:tc>
          <w:tcPr>
            <w:tcW w:w="200" w:type="dxa"/>
            <w:vAlign w:val="bottom"/>
          </w:tcPr>
          <w:p>
            <w:pPr>
              <w:spacing w:after="0"/>
              <w:rPr>
                <w:sz w:val="15"/>
                <w:szCs w:val="15"/>
                <w:color w:val="auto"/>
              </w:rPr>
            </w:pPr>
          </w:p>
        </w:tc>
        <w:tc>
          <w:tcPr>
            <w:tcW w:w="13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700" w:type="dxa"/>
            <w:vAlign w:val="bottom"/>
          </w:tcPr>
          <w:p>
            <w:pPr>
              <w:ind w:left="200"/>
              <w:spacing w:after="0" w:line="252" w:lineRule="exact"/>
              <w:rPr>
                <w:sz w:val="20"/>
                <w:szCs w:val="20"/>
                <w:color w:val="auto"/>
              </w:rPr>
            </w:pPr>
            <w:r>
              <w:rPr>
                <w:rFonts w:ascii="Times New Roman" w:cs="Times New Roman" w:eastAsia="Times New Roman" w:hAnsi="Times New Roman"/>
                <w:sz w:val="18"/>
                <w:szCs w:val="18"/>
                <w:color w:val="auto"/>
              </w:rPr>
              <w:t>Financing liability</w:t>
            </w:r>
            <w:r>
              <w:rPr>
                <w:rFonts w:ascii="Times New Roman" w:cs="Times New Roman" w:eastAsia="Times New Roman" w:hAnsi="Times New Roman"/>
                <w:sz w:val="24"/>
                <w:szCs w:val="24"/>
                <w:color w:val="auto"/>
                <w:vertAlign w:val="superscript"/>
              </w:rPr>
              <w:t>(6)</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23" w:lineRule="exact"/>
        <w:rPr>
          <w:sz w:val="20"/>
          <w:szCs w:val="20"/>
          <w:color w:val="auto"/>
        </w:rPr>
      </w:pPr>
    </w:p>
    <w:p>
      <w:pPr>
        <w:ind w:left="520" w:right="160" w:hanging="512"/>
        <w:spacing w:after="0" w:line="281" w:lineRule="auto"/>
        <w:tabs>
          <w:tab w:leader="none" w:pos="5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to the straight note with a hypothetical yield of 11%, volatility of 62.7% and a Monte Carlo simulation for the value of the conversion feature. A change in yield of + or – 2% would result in a fair value of $224.1 million and $238.9 million, respectively.</w:t>
      </w:r>
    </w:p>
    <w:p>
      <w:pPr>
        <w:spacing w:after="0" w:line="1" w:lineRule="exact"/>
        <w:rPr>
          <w:rFonts w:ascii="Times New Roman" w:cs="Times New Roman" w:eastAsia="Times New Roman" w:hAnsi="Times New Roman"/>
          <w:sz w:val="13"/>
          <w:szCs w:val="13"/>
          <w:color w:val="auto"/>
        </w:rPr>
      </w:pPr>
    </w:p>
    <w:p>
      <w:pPr>
        <w:ind w:left="520" w:right="80" w:hanging="512"/>
        <w:spacing w:after="0" w:line="290" w:lineRule="auto"/>
        <w:tabs>
          <w:tab w:leader="none" w:pos="5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12%. A change in yield of + or – 2% would result in a fair value of $35.0 million and $36.0 million, respectively.</w:t>
      </w:r>
    </w:p>
    <w:p>
      <w:pPr>
        <w:ind w:left="520" w:right="160" w:hanging="512"/>
        <w:spacing w:after="0" w:line="281" w:lineRule="auto"/>
        <w:tabs>
          <w:tab w:leader="none" w:pos="5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13% and volatility of 62.7% to the straight note and a binomial option pricing model for the value of the conversion feature. A change in yield of + or – 2% would result in a fair value of $14.2 million and $14.7 million, respectively.</w:t>
      </w:r>
    </w:p>
    <w:p>
      <w:pPr>
        <w:spacing w:after="0" w:line="1" w:lineRule="exact"/>
        <w:rPr>
          <w:rFonts w:ascii="Times New Roman" w:cs="Times New Roman" w:eastAsia="Times New Roman" w:hAnsi="Times New Roman"/>
          <w:sz w:val="13"/>
          <w:szCs w:val="13"/>
          <w:color w:val="auto"/>
        </w:rPr>
      </w:pPr>
    </w:p>
    <w:p>
      <w:pPr>
        <w:ind w:left="520" w:right="540" w:hanging="512"/>
        <w:spacing w:after="0" w:line="275" w:lineRule="auto"/>
        <w:tabs>
          <w:tab w:leader="none" w:pos="5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3.88%, dividend yield of 0%, volatility of 50%, period of 8 years and credit risk of 17%.</w:t>
      </w:r>
    </w:p>
    <w:p>
      <w:pPr>
        <w:spacing w:after="0" w:line="2" w:lineRule="exact"/>
        <w:rPr>
          <w:rFonts w:ascii="Times New Roman" w:cs="Times New Roman" w:eastAsia="Times New Roman" w:hAnsi="Times New Roman"/>
          <w:sz w:val="13"/>
          <w:szCs w:val="13"/>
          <w:color w:val="auto"/>
        </w:rPr>
      </w:pPr>
    </w:p>
    <w:p>
      <w:pPr>
        <w:ind w:left="520" w:right="20" w:hanging="512"/>
        <w:spacing w:after="0" w:line="281" w:lineRule="auto"/>
        <w:tabs>
          <w:tab w:leader="none" w:pos="5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using the Monte Carlo simulation method for the calculation of the potential payment and the Geometric Brownian Motion forecasting model to estimate the underlying revenue. Market-based inputs and other level 3 inputs were used to forecast future revenue. The key inputs used included a risk-free rate of 4.01%, dividend yield of 0%, volatility of 43%, period of 15 years and credit risk of 17%.</w:t>
      </w:r>
    </w:p>
    <w:p>
      <w:pPr>
        <w:spacing w:after="0" w:line="1" w:lineRule="exact"/>
        <w:rPr>
          <w:rFonts w:ascii="Times New Roman" w:cs="Times New Roman" w:eastAsia="Times New Roman" w:hAnsi="Times New Roman"/>
          <w:sz w:val="13"/>
          <w:szCs w:val="13"/>
          <w:color w:val="auto"/>
        </w:rPr>
      </w:pPr>
    </w:p>
    <w:p>
      <w:pPr>
        <w:ind w:left="520" w:hanging="512"/>
        <w:spacing w:after="0"/>
        <w:tabs>
          <w:tab w:leader="none" w:pos="5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9.5%.</w:t>
      </w:r>
    </w:p>
    <w:p>
      <w:pPr>
        <w:spacing w:after="0" w:line="22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The fair value measurement of the Milestone Rights liability is sensitive to the discount rate and the timing of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milestones. The Company utilized a Monte-Carlo Simulation Method to simulate the Afrezza net sales under a neutral framework to estimate the potential payments and the Geometric Brownian Motion forecasting model to estimate the underlying revenue. The Company then discounted the future expected payments at cost of debt with a term equal to the simulated time to payout based on cumulative sales. See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Contingent Milestone Liability </w:t>
      </w:r>
      <w:r>
        <w:rPr>
          <w:rFonts w:ascii="Times New Roman" w:cs="Times New Roman" w:eastAsia="Times New Roman" w:hAnsi="Times New Roman"/>
          <w:sz w:val="18"/>
          <w:szCs w:val="18"/>
          <w:color w:val="auto"/>
        </w:rPr>
        <w:t>— The acquisition of V-Go in May 2022 resulted in a contingent milestone liability which could result in obligations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 if certain revenue thresholds are met. The initial fair value of the contingent milestone liability was recorded as an adjustment to the purchase price. Subsequent changes in the fair value are reported in selling, general and administrative expenses.</w:t>
      </w:r>
    </w:p>
    <w:p>
      <w:pPr>
        <w:spacing w:after="0" w:line="173" w:lineRule="exact"/>
        <w:rPr>
          <w:sz w:val="20"/>
          <w:szCs w:val="20"/>
          <w:color w:val="auto"/>
        </w:rPr>
      </w:pPr>
    </w:p>
    <w:p>
      <w:pPr>
        <w:ind w:right="1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Liability </w:t>
      </w:r>
      <w:r>
        <w:rPr>
          <w:rFonts w:ascii="Times New Roman" w:cs="Times New Roman" w:eastAsia="Times New Roman" w:hAnsi="Times New Roman"/>
          <w:sz w:val="18"/>
          <w:szCs w:val="18"/>
          <w:color w:val="auto"/>
        </w:rPr>
        <w:t>— The Sale-Leaseback Transaction in November 2021 resulted in a financing liability. See Note 16 –</w:t>
      </w:r>
      <w:r>
        <w:rPr>
          <w:rFonts w:ascii="Times New Roman" w:cs="Times New Roman" w:eastAsia="Times New Roman" w:hAnsi="Times New Roman"/>
          <w:sz w:val="18"/>
          <w:szCs w:val="18"/>
          <w:i w:val="1"/>
          <w:iCs w:val="1"/>
          <w:color w:val="auto"/>
        </w:rPr>
        <w:t xml:space="preserve"> Commitments and Contingencies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Liability for Sale of Future Royalties — </w:t>
      </w:r>
      <w:r>
        <w:rPr>
          <w:rFonts w:ascii="Times New Roman" w:cs="Times New Roman" w:eastAsia="Times New Roman" w:hAnsi="Times New Roman"/>
          <w:sz w:val="17"/>
          <w:szCs w:val="17"/>
          <w:color w:val="auto"/>
        </w:rPr>
        <w:t>The sale of a portion of our royalty rights in December 2023 resulted in a liability for sale of future royalties.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fair value of the liability for sale of future royalties approximated its carrying value at December 31, 2023. See Note 16 – </w:t>
      </w:r>
      <w:r>
        <w:rPr>
          <w:rFonts w:ascii="Times New Roman" w:cs="Times New Roman" w:eastAsia="Times New Roman" w:hAnsi="Times New Roman"/>
          <w:sz w:val="17"/>
          <w:szCs w:val="17"/>
          <w:i w:val="1"/>
          <w:iCs w:val="1"/>
          <w:color w:val="auto"/>
        </w:rPr>
        <w:t>Commitments and Contingencies.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Common and Preferred Stock</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800,000,000 shares of common stock, par value $0.01 per share, and 10,000,000 shares of undesignated preferred stock, par value $0.01 per share, issuable in one or more series as designated by the Company’s board of directors. No other class of capital stock is authorized. As of December 31, 2024 and 2023, 302,959,782 and 270,034,495 shares of common stock, respectively, were issued and outstanding and no shares of preferred stock were outstanding.</w:t>
      </w:r>
    </w:p>
    <w:p>
      <w:pPr>
        <w:spacing w:after="0" w:line="1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February 2018, the Company entered into a controlled equity offering sales agreement (the “CF Sales Agreement”) with Cantor Fitzgerald &amp; Co. (“Cantor Fitzgerald”), as sales agent, pursuant to which the Company may offer and sell, from time to time, through Cantor Fitzgerald, shares of the Company’s common stock. Under the Sales Agreement, Cantor Fitzgerald may sell shares by any method deemed to be an “at-the-market offering” as defined in Rule 415 under the Securities Act of 1933, as amended. In February 2022, the Company filed a sales agreement prospectus under a registration statement on Form S-3 (File No. 333-262981) covering the sale of up to $50.0 million of common stock through Cantor Fitzgerald under the CF Sales Agreement. There were no sales under the CF Agreement during the year ended December 31, 2024. During the year ended December 31, 2023, the Company sold 1,478,090 shares of common stock at a weighted average purchase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97" w:name="page98"/>
    <w:bookmarkEnd w:id="97"/>
    <w:p>
      <w:pPr>
        <w:ind w:right="120"/>
        <w:spacing w:after="0" w:line="266" w:lineRule="auto"/>
        <w:rPr>
          <w:sz w:val="20"/>
          <w:szCs w:val="20"/>
          <w:color w:val="auto"/>
        </w:rPr>
      </w:pPr>
      <w:r>
        <w:rPr>
          <w:rFonts w:ascii="Times New Roman" w:cs="Times New Roman" w:eastAsia="Times New Roman" w:hAnsi="Times New Roman"/>
          <w:sz w:val="18"/>
          <w:szCs w:val="18"/>
          <w:color w:val="auto"/>
        </w:rPr>
        <w:t>price of $4.66 per share for gross proceeds of approximately $6.9 million pursuant to the CF Sales Agreement. During the year ended December 31, 2022, the Company sold 5,059,856 shares of common stock at a weighted average purchase price of $3.91 per share for gross proceeds of approximately $19.8 million pursuant to the CF Sales Agreement.</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Mann Group converted $10.0 million of principal and capitalized interest into 4,000,000 shares of common stock. In addition, the Company paid interest by issuing Mann Group 75,487 shares of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 Company paid interest on the Mann Group convertible note by issuing 50,844 shares of common stock.</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Mann Group converted $3.8 million of principal into 1,500,000 shares of common stock. In addition, the Company paid interest by issuing Mann Group 15,285 shares of common stock.</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exchanged an aggregate principal amount of approximately $116.4 million of the senior convertible notes for the issuance of 26,749,559 shares of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the Company received $0.7 million from the MPSPP for 252,176 shares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 Company received $0.2 million from the MPSPP for 36,004 shares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Company received $1.4 million from the MPSPP for 416,099 shares of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shares of common stock issued pursuant to the Company's 2004 employee stock purchase plan ("ESPP"), see Note 15 – </w:t>
      </w:r>
      <w:r>
        <w:rPr>
          <w:rFonts w:ascii="Times New Roman" w:cs="Times New Roman" w:eastAsia="Times New Roman" w:hAnsi="Times New Roman"/>
          <w:sz w:val="18"/>
          <w:szCs w:val="18"/>
          <w:i w:val="1"/>
          <w:iCs w:val="1"/>
          <w:color w:val="auto"/>
        </w:rPr>
        <w:t>Stock Award Plans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components of the basic and diluted EPS computations (in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EPS – basic:</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(numerator)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27,588</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(11,938 )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(87,400 )</w:t>
            </w:r>
          </w:p>
        </w:tc>
      </w:tr>
      <w:tr>
        <w:trPr>
          <w:trHeight w:val="216"/>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(denominator)</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274,415</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267,014</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(0.34 )</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EPS – diluted:</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27,588</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(11,938 )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(87,400 )</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274,415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267,014</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257,092</w:t>
            </w:r>
          </w:p>
        </w:tc>
        <w:tc>
          <w:tcPr>
            <w:tcW w:w="100" w:type="dxa"/>
            <w:vAlign w:val="bottom"/>
            <w:shd w:val="clear" w:color="auto" w:fill="CFF0FC"/>
          </w:tcPr>
          <w:p>
            <w:pPr>
              <w:spacing w:after="0"/>
              <w:rPr>
                <w:sz w:val="17"/>
                <w:szCs w:val="17"/>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dilutive securities – common shares issuable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Adjusted weighted average common shares (denominator)</w:t>
            </w: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283,844</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267,014</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66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Net income (loss) per share</w:t>
            </w:r>
          </w:p>
        </w:tc>
        <w:tc>
          <w:tcPr>
            <w:tcW w:w="32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5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(0.04 )</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(0.34 )</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-1079500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-1079500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-187960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-187960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diluted net income per share excluded the weighted average effect of 9.9 million shares of RSUs and Market RSUs, 0.6 million options and PNQs and 7.0 million common shares issuable upon conversion of the senior convertible notes, as they were antidilutive.</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Common shares issuable for the years ended December 31, 2023 and 2022 represent incremental shares of common stock which consist of RSUs, stock options, warrants, and shares that could be issued upon conversion of the senior convertible notes and the Mann Group convertible notes. Potentially dilutive securities outstanding which were considered antidilutive due to net losses are summarized as follows (in shares):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358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66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convertible notes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44,120,463</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44,120,463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RSUs and Market RSUs</w:t>
            </w:r>
            <w:r>
              <w:rPr>
                <w:rFonts w:ascii="Times New Roman" w:cs="Times New Roman" w:eastAsia="Times New Roman" w:hAnsi="Times New Roman"/>
                <w:sz w:val="24"/>
                <w:szCs w:val="24"/>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7,855,144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18,886,710</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 and PNQs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8,400,611</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9,074,587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Mann Group convertible notes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3,370,000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3,370,000</w:t>
            </w:r>
          </w:p>
        </w:tc>
        <w:tc>
          <w:tcPr>
            <w:tcW w:w="100" w:type="dxa"/>
            <w:vAlign w:val="bottom"/>
          </w:tcPr>
          <w:p>
            <w:pPr>
              <w:spacing w:after="0"/>
              <w:rPr>
                <w:sz w:val="18"/>
                <w:szCs w:val="18"/>
                <w:color w:val="auto"/>
              </w:rPr>
            </w:pPr>
          </w:p>
        </w:tc>
      </w:tr>
      <w:tr>
        <w:trPr>
          <w:trHeight w:val="22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shares</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63,746,218</w:t>
            </w:r>
          </w:p>
        </w:tc>
        <w:tc>
          <w:tcPr>
            <w:tcW w:w="240" w:type="dxa"/>
            <w:vAlign w:val="bottom"/>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75,451,760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5" w:lineRule="exact"/>
        <w:rPr>
          <w:sz w:val="20"/>
          <w:szCs w:val="20"/>
          <w:color w:val="auto"/>
        </w:rPr>
      </w:pPr>
    </w:p>
    <w:p>
      <w:pPr>
        <w:ind w:left="500" w:right="280" w:hanging="479"/>
        <w:spacing w:after="0" w:line="205" w:lineRule="auto"/>
        <w:tabs>
          <w:tab w:leader="none" w:pos="500" w:val="left"/>
        </w:tabs>
        <w:numPr>
          <w:ilvl w:val="0"/>
          <w:numId w:val="5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Market RSUs issued in 2022 and 2023 are included at the share delivery of 140% and 0%, respectively, in accordance with a valuation assessment obtained as of December 31, 2023.</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15. Stock Award Plans</w:t>
      </w:r>
    </w:p>
    <w:p>
      <w:pPr>
        <w:spacing w:after="0" w:line="121"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In May 2023, the Company’s stockholders, upon recommendation of the Company’s board of directors, approved an amendment to the Company’s 2018 Equity Incentive Plan (the "2018 Plan") to increase the number of shares of common stock that may be issued under the 2018 Plan by 25,000,000 shares.</w:t>
      </w:r>
    </w:p>
    <w:p>
      <w:pPr>
        <w:spacing w:after="0" w:line="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Effective upon the approval of the 2018 Plan by the Company’s stockholders in May 2018, no additional awards have been or may be granted under the 2013 Equity Incentive Plan (the "2013 Plan"). Any Prior Plans’ (as defined below) returning shares will increase the number of shares issuable under the 2018 Plan. The Prior Plans’ returning shares are shares subject to outstanding stock awards granted under the 2013 Plan or the 2004 Equity Incentive Plan (collectively, “Prior Plans”) that, from and after the effective date of the 2018 Plan, (i) expire or terminate for any reason prior to exercise or settlement, (ii) are forfeited, cancelled or otherwise returned to the Company because of the failure to meet a contingency or condition required for the vesting of such shares, or (iii) other than with respect to outstanding stock options and stock appreciation rights granted under the Prior Plans with an exercise or strike price of at least 100% of the fair market value of the underlying common stock on the date of grant, are reacquired or withheld (or not issued) by the Company to satisfy a tax withholding obligation in connection with a stock award.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2018 Plan provides for the granting of stock awards including stock options and restricted stock units to employees, directors and consultants.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board of directors or its compensation committee determines eligibility, vesting schedules and criteria, and exercise prices for stock awards granted under the 2018 Plan. Options and restricted stock unit awards under the 2018 Plan, or the Prior Plans expire not more than ten years from the date of the grant and are exercisable upon vesting. Stock options that vest over time generally vest over four years. Current time-based vesting stock option grants vest and become exercisable at the rate of 25% after one year and ratably on a monthly basis over a period of 36 months thereafter. The Company also issues PNQ awards with performance conditions. For PNQs, the Company evaluates the probability that the performance conditions will be met and estimates the service period for recognition of the associated expense. RSUs with time-based vesting generally vest at a rate of 25% per year over four years with consideration satisfied by service to the Company. Certain RSUs issued to non-employee directors vest immediately upon grant, but the underlying shares of common stock will not be delivered until there is a separation of service such as resignation, retirement or death. The Company also issued Market RSUs. The grant date fair value and the effect of the market conditions was estimated using a Monte Carlo valuation.</w:t>
      </w:r>
    </w:p>
    <w:p>
      <w:pPr>
        <w:spacing w:after="0" w:line="18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Market RSUs issued during the year ended December 31, 2024 had a grant date fair value of $10.30 per share and will vest on July 15, 2027. The fair value of the Market RSUs was determined using a share price of $4.45, risk-free interest rate of 4.46%, volatility of 60.58%, and a dividend yield of 0%. The number of shares delivered on the vesting date is determined by the percentile ranking of MannKind total shareholder return (TSR) over the period from July 1, 2024 until June 30, 2027 relative to the TSR of the Russell 3000 Pharmaceutical &amp; Biotechnology Index over the same period, as follows: less than 25th percentile=0% of target, 25th percentile=50% of target, 50th percentile=100% of target, 75th percentile=200% of target, 90th percentile or higher=300% maximum. Payout values will be interpolated between the percentile rankings above. The resulting stock-based compensation expense will be recognized over the service period regardless of whether the market conditions are achieved, as long as the service condition is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the Company’s stock-based award plans as of December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38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Available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2013 Equity Incentive Plan</w:t>
            </w:r>
          </w:p>
        </w:tc>
        <w:tc>
          <w:tcPr>
            <w:tcW w:w="4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2,553,415</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 Equity Incentive Plan</w:t>
            </w: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4,718,551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14,128,954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21,533,033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6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tcBorders>
              <w:top w:val="single" w:sz="8" w:color="CFF0FC"/>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7,271,966</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14,128,954</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21,533,033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3760" w:type="dxa"/>
            <w:vAlign w:val="bottom"/>
          </w:tcPr>
          <w:p>
            <w:pPr>
              <w:spacing w:after="0"/>
              <w:rPr>
                <w:sz w:val="24"/>
                <w:szCs w:val="24"/>
                <w:color w:val="auto"/>
              </w:rPr>
            </w:pPr>
          </w:p>
        </w:tc>
        <w:tc>
          <w:tcPr>
            <w:tcW w:w="28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99</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-934085</wp:posOffset>
            </wp:positionV>
            <wp:extent cx="768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-916940</wp:posOffset>
            </wp:positionV>
            <wp:extent cx="768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-1079500</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-934085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-916940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-1079500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9" w:name="page100"/>
    <w:bookmarkEnd w:id="99"/>
    <w:p>
      <w:pPr>
        <w:ind w:right="40"/>
        <w:spacing w:after="0" w:line="255" w:lineRule="auto"/>
        <w:rPr>
          <w:sz w:val="20"/>
          <w:szCs w:val="20"/>
          <w:color w:val="auto"/>
        </w:rPr>
      </w:pPr>
      <w:r>
        <w:rPr>
          <w:rFonts w:ascii="Times New Roman" w:cs="Times New Roman" w:eastAsia="Times New Roman" w:hAnsi="Times New Roman"/>
          <w:sz w:val="18"/>
          <w:szCs w:val="18"/>
          <w:color w:val="auto"/>
        </w:rPr>
        <w:t>Share-based payment transactions are recognized as compensation cost based on the fair value of the instrument on the date of grant. The Company uses the Black-Scholes option valuation model to estimate the grant date fair value of employee stock options. The expected term of an option granted is based on combining historical exercise data with expected weighted time outstanding. Expected weighted time outstanding is calculated by assuming the settlement of outstanding awards is at the midpoint between the remaining weighted average vesting date and the expiration date. The Company recognizes forfeitures as they occur. During the years ended December 31, 2024, 2023 and 2022, the Company recorded RSU and option-based stock compensation expense of $20.6 million, $17.0 million and $12.8 million, respectively, and employee stock purchase plan compensation of $0.7 million, $0.6 million and $0.6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consolidated statements of operations is included in the following categories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relating to stock options:</w:t>
            </w:r>
          </w:p>
        </w:tc>
        <w:tc>
          <w:tcPr>
            <w:tcW w:w="560" w:type="dxa"/>
            <w:vAlign w:val="bottom"/>
            <w:tcBorders>
              <w:top w:val="single" w:sz="8" w:color="CFF0FC"/>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3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48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220" w:type="dxa"/>
            <w:vAlign w:val="bottom"/>
          </w:tcPr>
          <w:p>
            <w:pPr>
              <w:spacing w:after="0"/>
              <w:rPr>
                <w:sz w:val="12"/>
                <w:szCs w:val="12"/>
                <w:color w:val="auto"/>
              </w:rPr>
            </w:pPr>
          </w:p>
        </w:tc>
        <w:tc>
          <w:tcPr>
            <w:tcW w:w="13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220" w:type="dxa"/>
            <w:vAlign w:val="bottom"/>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Value ($000)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8,400,611</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6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(946,464 )</w:t>
            </w:r>
          </w:p>
        </w:tc>
        <w:tc>
          <w:tcPr>
            <w:tcW w:w="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(55,500 )</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(126,681 )</w:t>
            </w:r>
          </w:p>
        </w:tc>
        <w:tc>
          <w:tcPr>
            <w:tcW w:w="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7,271,966</w:t>
            </w:r>
          </w:p>
        </w:tc>
        <w:tc>
          <w:tcPr>
            <w:tcW w:w="24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620" w:type="dxa"/>
            <w:vAlign w:val="bottom"/>
            <w:tcBorders>
              <w:top w:val="single" w:sz="8" w:color="CFF0FC"/>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0" w:type="dxa"/>
            <w:vAlign w:val="bottom"/>
            <w:tcBorders>
              <w:top w:val="single" w:sz="8" w:color="CFF0FC"/>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as of December 31, 2024</w:t>
            </w:r>
          </w:p>
        </w:tc>
        <w:tc>
          <w:tcPr>
            <w:tcW w:w="122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6,868,873</w:t>
            </w: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400" w:type="dxa"/>
            <w:vAlign w:val="bottom"/>
            <w:tcBorders>
              <w:bottom w:val="single" w:sz="8" w:color="CFF0FC"/>
            </w:tcBorders>
            <w:gridSpan w:val="3"/>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3.18</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30,770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-2030730</wp:posOffset>
            </wp:positionV>
            <wp:extent cx="768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-2013585</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-2030730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-2013585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-333375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There were no options granted in the years ended December 31, 2024 and 2023. Total fair value of stock options vested during the year ended December 31, 2024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and $2.8 million and $3.2 million for the years ended December 31, 2023 and 2022, respectively. The total intrinsic value of options exercised during the years ended December 31, 2024, 2023 and 2022 was $3.5 million, $1.3 million and $2.4 million, respectively. Intrinsic value is measured using the fair market value at the date of exercise for options exercised or as of December 31 for outstanding options, less the applicable exercise price.</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received from the exercise of options during the years ended December 31, 2024, 2023 and 2022 was approximately $2.9 million, $1.2 million and $3.0 million, respectively.</w:t>
      </w:r>
    </w:p>
    <w:p>
      <w:pPr>
        <w:spacing w:after="0" w:line="160"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compensation costs related to the performance-based stock options for the year ended December 31, 2024, and $0.3 million and $0.1 million for the years ended December 31, 2023 and 2022, respectively. As of December 31, 2024 and 2023, there were no unrecognized compensation costs related to performance-based stock options subject to performance conditions.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relating to restricted stock units: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4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5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5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12,363,934</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7,041,502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5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(4,379,263 )</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36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(897,219 )</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36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14,128,954</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4120" w:type="dxa"/>
            <w:vAlign w:val="bottom"/>
          </w:tcPr>
          <w:p>
            <w:pPr>
              <w:spacing w:after="0"/>
              <w:rPr>
                <w:sz w:val="24"/>
                <w:szCs w:val="24"/>
                <w:color w:val="auto"/>
              </w:rPr>
            </w:pPr>
          </w:p>
        </w:tc>
        <w:tc>
          <w:tcPr>
            <w:tcW w:w="360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-933450</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-916305</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0" w:name="page101"/>
    <w:bookmarkEnd w:id="100"/>
    <w:p>
      <w:pPr>
        <w:ind w:right="320"/>
        <w:spacing w:after="0" w:line="261" w:lineRule="auto"/>
        <w:rPr>
          <w:sz w:val="20"/>
          <w:szCs w:val="20"/>
          <w:color w:val="auto"/>
        </w:rPr>
      </w:pPr>
      <w:r>
        <w:rPr>
          <w:rFonts w:ascii="Times New Roman" w:cs="Times New Roman" w:eastAsia="Times New Roman" w:hAnsi="Times New Roman"/>
          <w:sz w:val="18"/>
          <w:szCs w:val="18"/>
          <w:color w:val="auto"/>
        </w:rPr>
        <w:t>Total fair value of restricted stock units vested during the years ended December 31, 2024, 2023 and 2022 was $23.0 million, $20.6 million and $4.4 million, respectively. Intrinsic value of restricted stock units vested is measured using the closing share price on the day prior to the vest date. The total grant date fair value of restricted stock units outstanding as of December 31, 2024, 2023 and 2022 was $77.6 million, $57.0 million and $43.2 million, respectively.</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2024, there was no unrecognized compensation expense related to options and PNQs and $48.4 million of unrecognized compensation expense related to restricted stock units and market-based stock units, which are expected to be recognized over the weighted average period of 2.29 years. The Company evaluates stock awards with performance conditions as to the probability that the performance conditions will be met and uses that information to estimate the date at which those performance conditions will be met in order to properly recognize stock-based compensation expense over the requisite service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4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Company provides all employees, including executive officers, the ability to purchase common stock at a discount under the ESPP. The ESPP is designed to comply with Section 423 of the Internal Revenue Code and provides all employees with the opportunity to purchase up to $25,000 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the same as those of all other employees.</w:t>
      </w:r>
    </w:p>
    <w:p>
      <w:pPr>
        <w:spacing w:after="0" w:line="19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May 2023, the Company’s stockholders, upon recommendation of the Company’s board of directors, approved an amendment to the Company’s ESPP to increase the number of shares of common stock authorized for issuance under the ESPP by an additional 3,000,000 shares.</w:t>
      </w:r>
    </w:p>
    <w:p>
      <w:pPr>
        <w:spacing w:after="0" w:line="16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Company issued 0.5 million, 0.5 million and 0.7 million shares of common stock pursuant to the ESPP for the years ended December 31, 2024, 2023 and 2022, respectively. There were approximately 2.4 million shares of common stock available for issuance under the ESPP as of December 31, 2024.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Guarantees and Indemnifications </w:t>
      </w:r>
      <w:r>
        <w:rPr>
          <w:rFonts w:ascii="Times New Roman" w:cs="Times New Roman" w:eastAsia="Times New Roman" w:hAnsi="Times New Roman"/>
          <w:sz w:val="18"/>
          <w:szCs w:val="18"/>
          <w:color w:val="auto"/>
        </w:rPr>
        <w:t>— In the ordinary course of its business, the Company makes certain indemnities, commitments and guarantees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and therefore has not recorded any liability for these indemnities in the consolidated balance sheets.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Company is subject to legal proceedings and claims which arise in the ordinary course of its business. The Company does not anticipate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final disposition of any matters will have a material adverse effect on the results of operations, financial position or cash flows of the Company.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71"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i w:val="1"/>
          <w:iCs w:val="1"/>
          <w:color w:val="auto"/>
        </w:rPr>
        <w:t xml:space="preserve"> Milestone Rights </w:t>
      </w:r>
      <w:r>
        <w:rPr>
          <w:rFonts w:ascii="Times New Roman" w:cs="Times New Roman" w:eastAsia="Times New Roman" w:hAnsi="Times New Roman"/>
          <w:sz w:val="18"/>
          <w:szCs w:val="18"/>
          <w:color w:val="auto"/>
        </w:rPr>
        <w:t>— In July 2013, the Company entered into the Milestone Rights Agreement with the Original Milestone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the Company granted the Milestone Rights to receive payments up to $90.0 million upon the occurrence of specified strategic and sales milestones, of which $50.0 million remains payable to the Milestone Purchasers as of December 31, 2024.</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second quarters of 2024 and 2023, the Company achieved Afrezza net sales milestones as specified by the Milestone Rights and the portion of the $5.0 million payments that related to the Milestone Rights liability on our consolidated balance sheets was approximately $0.8 million and $0.9 million for the payments made in 2024 and 2023, respectively, and represented the fair value as determined in 2013 (the most recent measurement date).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1" w:name="page102"/>
    <w:bookmarkEnd w:id="101"/>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2024, the remaining Milestone Rights liability balance was $3.2 million and consisted of $0.7 million of current liability, which was presented as accrued expenses and other current liabilities, and $2.5 million of long-term liability, which was presented as milestone liabilities in our consolidated balance sheets. As of December 31, 2023, the remaining Milestone Rights liability balance was $3.9 million and consisted of $0.8 million of current liability and $3.1 million of long-term liability. The value of the Milestone Rights liability was based on initial fair value estimates calculated using the income approach and reduced by milestone achievement payments made.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Loss Contingencies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i w:val="1"/>
          <w:iCs w:val="1"/>
          <w:color w:val="auto"/>
        </w:rPr>
        <w:t xml:space="preserve"> Returns Reserve for Acquired Product — </w:t>
      </w:r>
      <w:r>
        <w:rPr>
          <w:rFonts w:ascii="Times New Roman" w:cs="Times New Roman" w:eastAsia="Times New Roman" w:hAnsi="Times New Roman"/>
          <w:sz w:val="18"/>
          <w:szCs w:val="18"/>
          <w:color w:val="auto"/>
        </w:rPr>
        <w:t>During the year ended December 31, 2024, the Company reassessed its previously-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estimate for product returns associated with sales of V-Go that pre-date the Company's acquisition of the product and recorded an additional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million, which was recorded in accrued expenses and other current liabilities in the consolidated balance sheets and is being reduced as product returns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received. Losses on estimated returns of acquired product were recorded in selling, general and administrative expenses in the consolidated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operations.</w:t>
      </w:r>
    </w:p>
    <w:p>
      <w:pPr>
        <w:spacing w:after="0" w:line="2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Liability for Sale of Future Royalties </w:t>
      </w:r>
      <w:r>
        <w:rPr>
          <w:rFonts w:ascii="Times New Roman" w:cs="Times New Roman" w:eastAsia="Times New Roman" w:hAnsi="Times New Roman"/>
          <w:sz w:val="18"/>
          <w:szCs w:val="18"/>
          <w:color w:val="auto"/>
        </w:rPr>
        <w:t>— In December 2023, the Company executed a Purchase and Sale Agreement (the “PSA”) with Sagard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Funding Borrower SPE 2, LP (“Sagard”). Pursuant to the PSA, Sagard paid the Company $150.0 million (the “Upfront Proceeds”), net of $0.4 million in reimbursements of Sagard’s fees and expenses (the “Reimbursements”), for the purchase of a 1% royalty on future net sales of Tyvaso DPI by UT under the terms of the UT License Agreement (the “Sagard Royalty”). Sagard will also pay the Company a milestone of $50.0 million if net sales of Tyvaso DPI meet or exceed $1.9 billion for any 12 consecutive months on or prior to December 31, 2026 (“Net Sales Threshold A”), or a milestone of $45.0 million if net Sales Threshold A is not met and net sales of Tyvaso DPI meet or exceed $2.3 billion for any 12 consecutive months on or prior to September 30, 2027 (“Net Sales Threshold B”), resulting in a purchase price not to exceed $200.0 million (the “Purchase Price”). If Net Sales Thresholds A and B are not met and net sales of Tyvaso DPI meet or exceed $3.5 billion for any calendar year after September 30, 2027, no royalties will be payable to Sagard for the remainder of that year. The PSA applies to net sales of Tyvaso DPI generated during October 1, 2023 through December 31, 2042 (the “Termination Date”) and will automatically terminate upon payment of the final royalty owed to Sagard thereafter. Upon the Termination Date, ownership of the Sagard Royalty will revert to the Company.</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Company’s continuing involvement with the generation of Tyvaso DPI revenue under the UT License Agreement and CSA, which includes the Company’s supply and manufacture of Tyvaso DPI, and the Company’s retention and associated defense and maintenance obligations of the intellectual property required in the manufacture of Tyvaso DPI, the Upfront Proceeds were recorded as a liability for sale of future royalties (the “Royalty Liability”) on the consolidated balance sheets, and any proceeds from future milestones will be added to the Royalty Liability balance upon receipt. Although the Company is not obligated to repay any portion of the Purchase Price to Sagard, the Royalty Liability under the PSA is secured by a security interest granted to Sagard in the underlying 1% royalty rights and any proceeds therefrom. As a result of the PSA, transaction costs totaling $4.4 million (including the Reimbursements) are reported net of the Royalty Liability balance and amortized to interest expense in the consolidated statements of operations over the life of the PSA using the effective interest method. Unamortized transaction costs totaled $4.1 million and $4.4 million at December 31, 2024 and 2023, respectively.</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will continue to recognize the full 10% of future royalty revenues in its consolidated statements of operations, with the Sagard Royalty being non-cash revenue for the Company. As royalty payments are earned by and remitted to Sagard, the balance of the Royalty Liability will be effectively repaid as it is amortized over the life of the PSA. To amortize the Royalty Liability, the Company estimated the total amount of future royalty payments to be made to Sagard over the life of the PSA. The excess of those future estimated royalty payments over the Purchase Price proceeds received is recognized in the consolidated statements of operations as non-cash interest expense over the life of the PSA utilizing an imputed effective interest rate.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royalty payments which affects the timing and ultimate amount of reductions to the liability. The Company will evaluate the effective interest rate periodically based on its forecasted royalty payments utilizing the prospective method.</w:t>
      </w:r>
    </w:p>
    <w:p>
      <w:pPr>
        <w:spacing w:after="0" w:line="18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the forecasted royalty payments using a combination of historical results, internal projections and forecasts from external sources. To the extent such payments, or the timing of such payments, are materially different than original estimates, the Company will prospectively adjust the effective interest rate and amortization of the Royalty Liability.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The following table shows the activity within the Royalty Liability account as well as the effective interest rate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January 1, 2023</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of 1% future royalties</w:t>
            </w:r>
          </w:p>
        </w:tc>
        <w:tc>
          <w:tcPr>
            <w:tcW w:w="6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FF0FC"/>
          </w:tcPr>
          <w:p>
            <w:pPr>
              <w:spacing w:after="0"/>
              <w:rPr>
                <w:sz w:val="18"/>
                <w:szCs w:val="18"/>
                <w:color w:val="auto"/>
              </w:rPr>
            </w:pPr>
          </w:p>
        </w:tc>
      </w:tr>
      <w:tr>
        <w:trPr>
          <w:trHeight w:val="216"/>
        </w:trPr>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64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(4,375 )</w:t>
            </w:r>
          </w:p>
        </w:tc>
      </w:tr>
      <w:tr>
        <w:trPr>
          <w:trHeight w:val="216"/>
        </w:trPr>
        <w:tc>
          <w:tcPr>
            <w:tcW w:w="8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deferred transaction costs</w:t>
            </w:r>
          </w:p>
        </w:tc>
        <w:tc>
          <w:tcPr>
            <w:tcW w:w="6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expense on liability for sale of future royalties</w:t>
            </w:r>
          </w:p>
        </w:tc>
        <w:tc>
          <w:tcPr>
            <w:tcW w:w="6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8"/>
                <w:szCs w:val="18"/>
                <w:color w:val="auto"/>
              </w:rPr>
            </w:pPr>
          </w:p>
        </w:tc>
      </w:tr>
      <w:tr>
        <w:trPr>
          <w:trHeight w:val="250"/>
        </w:trPr>
        <w:tc>
          <w:tcPr>
            <w:tcW w:w="8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89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Amortization of deferred transaction costs</w:t>
            </w:r>
          </w:p>
        </w:tc>
        <w:tc>
          <w:tcPr>
            <w:tcW w:w="64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7"/>
                <w:szCs w:val="17"/>
                <w:color w:val="auto"/>
              </w:rPr>
            </w:pPr>
          </w:p>
        </w:tc>
      </w:tr>
      <w:tr>
        <w:trPr>
          <w:trHeight w:val="216"/>
        </w:trPr>
        <w:tc>
          <w:tcPr>
            <w:tcW w:w="8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 on liability for sale of future royalties</w:t>
            </w:r>
          </w:p>
        </w:tc>
        <w:tc>
          <w:tcPr>
            <w:tcW w:w="6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00" w:type="dxa"/>
            <w:vAlign w:val="bottom"/>
            <w:shd w:val="clear" w:color="auto" w:fill="CFF0FC"/>
          </w:tcPr>
          <w:p>
            <w:pPr>
              <w:spacing w:after="0"/>
              <w:rPr>
                <w:sz w:val="18"/>
                <w:szCs w:val="18"/>
                <w:color w:val="auto"/>
              </w:rPr>
            </w:pPr>
          </w:p>
        </w:tc>
      </w:tr>
      <w:tr>
        <w:trPr>
          <w:trHeight w:val="216"/>
        </w:trPr>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revenue earned by or payable to Sagard</w:t>
            </w:r>
          </w:p>
        </w:tc>
        <w:tc>
          <w:tcPr>
            <w:tcW w:w="64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(12,337 )</w:t>
            </w:r>
          </w:p>
        </w:tc>
      </w:tr>
      <w:tr>
        <w:trPr>
          <w:trHeight w:val="249"/>
        </w:trPr>
        <w:tc>
          <w:tcPr>
            <w:tcW w:w="8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8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6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8.9% – 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Sale-Leaseback Transaction </w:t>
      </w:r>
      <w:r>
        <w:rPr>
          <w:rFonts w:ascii="Times New Roman" w:cs="Times New Roman" w:eastAsia="Times New Roman" w:hAnsi="Times New Roman"/>
          <w:sz w:val="18"/>
          <w:szCs w:val="18"/>
          <w:color w:val="auto"/>
        </w:rPr>
        <w:t>— In November 2021, the Company sold certain land, building and improvements located in Danbury, CT (the "Property")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affiliate of Creative Manufacturing Properties (the "Purchaser") for a sales price of $102.3 million, subject to terms and the conditions contained in a purchase and sale agreement.</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 2.5% in the second through fifth year of the Lease and (ii) 3% in the sixth and each subsequent year of the Lease, including any renewal term, utilizing a weighted average discount rate of 9.0%. The Company is responsible for payment of operating expenses, property taxes and insurance for the Property. The Purchaser will hold a security deposit of $2.0 million during the Lease term. Pursuant to the terms of the Lease, the Company has four options to repurchase the Property, in 2026, 2031, 2036 and 2041, for the greater of (i) $102.3 million and (ii) the fair market value of the Property.</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of December 31, 2024, the related financing liability was $103.9 million, which was recognized in the Company’s consolidated balance sheet and of which $93.9 million was long-term and $10.1 million was current. As of December 31, 2023, the related financing liability was $104.1 million, of which $94.3 million was long-term and $9.8 million was current.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liability information was as follows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FF0FC"/>
          </w:tcPr>
          <w:p>
            <w:pPr>
              <w:spacing w:after="0"/>
              <w:rPr>
                <w:sz w:val="18"/>
                <w:szCs w:val="18"/>
                <w:color w:val="auto"/>
              </w:rPr>
            </w:pPr>
          </w:p>
        </w:tc>
      </w:tr>
      <w:tr>
        <w:trPr>
          <w:trHeight w:val="418"/>
        </w:trPr>
        <w:tc>
          <w:tcPr>
            <w:tcW w:w="4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4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9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9,619</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9,617</w:t>
            </w:r>
          </w:p>
        </w:tc>
        <w:tc>
          <w:tcPr>
            <w:tcW w:w="1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12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8"/>
                <w:szCs w:val="18"/>
                <w:color w:val="auto"/>
              </w:rPr>
            </w:pPr>
          </w:p>
        </w:tc>
      </w:tr>
      <w:tr>
        <w:trPr>
          <w:trHeight w:val="250"/>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9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9,825</w:t>
            </w:r>
          </w:p>
        </w:tc>
        <w:tc>
          <w:tcPr>
            <w:tcW w:w="18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120" w:type="dxa"/>
            <w:vAlign w:val="bottom"/>
            <w:shd w:val="clear" w:color="auto" w:fill="CFF0FC"/>
          </w:tcPr>
          <w:p>
            <w:pPr>
              <w:spacing w:after="0"/>
              <w:rPr>
                <w:sz w:val="21"/>
                <w:szCs w:val="21"/>
                <w:color w:val="auto"/>
              </w:rPr>
            </w:pPr>
          </w:p>
        </w:tc>
      </w:tr>
      <w:tr>
        <w:trPr>
          <w:trHeight w:val="628"/>
        </w:trPr>
        <w:tc>
          <w:tcPr>
            <w:tcW w:w="4540" w:type="dxa"/>
            <w:vAlign w:val="bottom"/>
            <w:tcBorders>
              <w:top w:val="single" w:sz="8" w:color="CFF0FC"/>
            </w:tcBorders>
          </w:tcPr>
          <w:p>
            <w:pPr>
              <w:spacing w:after="0"/>
              <w:rPr>
                <w:sz w:val="24"/>
                <w:szCs w:val="24"/>
                <w:color w:val="auto"/>
              </w:rPr>
            </w:pPr>
          </w:p>
        </w:tc>
        <w:tc>
          <w:tcPr>
            <w:tcW w:w="2040" w:type="dxa"/>
            <w:vAlign w:val="bottom"/>
            <w:tcBorders>
              <w:top w:val="single" w:sz="8" w:color="CFF0FC"/>
            </w:tcBorders>
          </w:tcPr>
          <w:p>
            <w:pPr>
              <w:jc w:val="right"/>
              <w:ind w:right="730"/>
              <w:spacing w:after="0"/>
              <w:rPr>
                <w:sz w:val="20"/>
                <w:szCs w:val="20"/>
                <w:color w:val="auto"/>
              </w:rPr>
            </w:pPr>
            <w:r>
              <w:rPr>
                <w:rFonts w:ascii="Times New Roman" w:cs="Times New Roman" w:eastAsia="Times New Roman" w:hAnsi="Times New Roman"/>
                <w:sz w:val="18"/>
                <w:szCs w:val="18"/>
                <w:color w:val="auto"/>
              </w:rPr>
              <w:t>103</w:t>
            </w: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5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-933450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-916940</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-933450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-916940</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The Company's remaining financing liability payments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11,510</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165,769</w:t>
            </w:r>
          </w:p>
        </w:tc>
        <w:tc>
          <w:tcPr>
            <w:tcW w:w="100" w:type="dxa"/>
            <w:vAlign w:val="bottom"/>
          </w:tcPr>
          <w:p>
            <w:pPr>
              <w:spacing w:after="0"/>
              <w:rPr>
                <w:sz w:val="18"/>
                <w:szCs w:val="18"/>
                <w:color w:val="auto"/>
              </w:rPr>
            </w:pPr>
          </w:p>
        </w:tc>
      </w:tr>
      <w:tr>
        <w:trPr>
          <w:trHeight w:val="209"/>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220,104</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(113,699 )</w:t>
            </w: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(2,466 )</w:t>
            </w:r>
          </w:p>
        </w:tc>
      </w:tr>
      <w:tr>
        <w:trPr>
          <w:trHeight w:val="209"/>
        </w:trPr>
        <w:tc>
          <w:tcPr>
            <w:tcW w:w="9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financing liability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103,939</w:t>
            </w:r>
          </w:p>
        </w:tc>
        <w:tc>
          <w:tcPr>
            <w:tcW w:w="10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 In July 2014, the Company entered into the Insulin Supply Agreement pursuant to which Amphastar manufactures for and supplies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December 2023, the Company and Amphastar amended the Insulin Supply Agreement to extend the term, restructure the annual purchase commitments and include a capacity fee for certain future periods. The Company's remaining purchase commitments and estimated capacity fee liability as of December 31, 2024 were as follows (€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jc w:val="right"/>
              <w:ind w:right="145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00" w:type="dxa"/>
            <w:vAlign w:val="bottom"/>
          </w:tcPr>
          <w:p>
            <w:pPr>
              <w:spacing w:after="0"/>
              <w:rPr>
                <w:sz w:val="10"/>
                <w:szCs w:val="10"/>
                <w:color w:val="auto"/>
              </w:rPr>
            </w:pPr>
          </w:p>
        </w:tc>
        <w:tc>
          <w:tcPr>
            <w:tcW w:w="20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Remaining Purchase</w:t>
            </w:r>
          </w:p>
        </w:tc>
        <w:tc>
          <w:tcPr>
            <w:tcW w:w="260" w:type="dxa"/>
            <w:vAlign w:val="bottom"/>
          </w:tcPr>
          <w:p>
            <w:pPr>
              <w:spacing w:after="0"/>
              <w:rPr>
                <w:sz w:val="10"/>
                <w:szCs w:val="10"/>
                <w:color w:val="auto"/>
              </w:rPr>
            </w:pPr>
          </w:p>
        </w:tc>
        <w:tc>
          <w:tcPr>
            <w:tcW w:w="198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Estimated Capacity Fees</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1480" w:type="dxa"/>
            <w:vAlign w:val="bottom"/>
            <w:tcBorders>
              <w:bottom w:val="single" w:sz="8" w:color="auto"/>
            </w:tcBorders>
          </w:tcPr>
          <w:p>
            <w:pPr>
              <w:jc w:val="center"/>
              <w:ind w:left="471"/>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2026</w:t>
            </w:r>
            <w:r>
              <w:rPr>
                <w:rFonts w:ascii="Times New Roman" w:cs="Times New Roman" w:eastAsia="Times New Roman" w:hAnsi="Times New Roman"/>
                <w:sz w:val="24"/>
                <w:szCs w:val="24"/>
                <w:color w:val="auto"/>
                <w:vertAlign w:val="superscript"/>
              </w:rPr>
              <w:t>(1)</w:t>
            </w: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1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tcBorders>
              <w:bottom w:val="single" w:sz="8" w:color="CFF0FC"/>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22" w:lineRule="exact"/>
        <w:rPr>
          <w:sz w:val="20"/>
          <w:szCs w:val="20"/>
          <w:color w:val="auto"/>
        </w:rPr>
      </w:pPr>
    </w:p>
    <w:p>
      <w:pPr>
        <w:ind w:left="520" w:right="40" w:hanging="512"/>
        <w:spacing w:after="0" w:line="298" w:lineRule="auto"/>
        <w:tabs>
          <w:tab w:leader="none" w:pos="52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If there is a delay in the availability of insulin with FDA approved inclusion bodies and supply does not begin in 2026 as currently expected, the Company will incur a capacity fee of €750,000 per quarter that the product is not available for purchase.</w:t>
      </w:r>
    </w:p>
    <w:p>
      <w:pPr>
        <w:spacing w:after="0" w:line="16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Pursuant to the amendment, the term of the Insulin Supply Agreement expires on the later of December 31, 2034 or until the completion of the total remaining purchase commitment quantities,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the terms of the long-term Insulin Supply Agreement and assesses the need for any accrual for estimated losses, such as lower-of-cost or net-realizable-value that will not be recovered by future product sales. The recognized loss on purchase commitments of $58.2 million and $64.8 million is included in our consolidated balance sheets as of December 31, 2024 and 2023, respectively, and is reduced as inventory items are received or such liability is extinguished.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04" w:name="page105"/>
    <w:bookmarkEnd w:id="104"/>
    <w:p>
      <w:pPr>
        <w:ind w:right="60"/>
        <w:spacing w:after="0" w:line="261" w:lineRule="auto"/>
        <w:rPr>
          <w:sz w:val="20"/>
          <w:szCs w:val="20"/>
          <w:color w:val="auto"/>
        </w:rPr>
      </w:pPr>
      <w:r>
        <w:rPr>
          <w:rFonts w:ascii="Times New Roman" w:cs="Times New Roman" w:eastAsia="Times New Roman" w:hAnsi="Times New Roman"/>
          <w:sz w:val="18"/>
          <w:szCs w:val="18"/>
          <w:color w:val="auto"/>
        </w:rPr>
        <w:t>As a result of the increase in future cash flows for the excess capacity fees and extended term included in the amendment of the Insulin Supply Agreement, the Company analyzed the need for additional estimated losses and concluded that an increase in the recognized loss on purchase commitments was not required as the net realizable value of inventory resulting from the purchase commitment was in excess of the carrying value. Increases in costs associated with the amendment will be recognized through inventory as incurred.</w:t>
      </w:r>
    </w:p>
    <w:p>
      <w:pPr>
        <w:spacing w:after="0" w:line="178"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Vehicle Leases </w:t>
      </w:r>
      <w:r>
        <w:rPr>
          <w:rFonts w:ascii="Times New Roman" w:cs="Times New Roman" w:eastAsia="Times New Roman" w:hAnsi="Times New Roman"/>
          <w:sz w:val="18"/>
          <w:szCs w:val="18"/>
          <w:color w:val="auto"/>
        </w:rPr>
        <w:t>— During the second quarter of 2018, the Company entered into a master lease agreement with Enterprise Fleet Management Inc.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payment inclusive of maintenance fees, insurance and taxes is approximately $0.1 million. The lease expense is included in selling, general and administrative expenses in the consolidated statements of operations.</w:t>
      </w:r>
    </w:p>
    <w:p>
      <w:pPr>
        <w:spacing w:after="0" w:line="17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Office Leases </w:t>
      </w:r>
      <w:r>
        <w:rPr>
          <w:rFonts w:ascii="Times New Roman" w:cs="Times New Roman" w:eastAsia="Times New Roman" w:hAnsi="Times New Roman"/>
          <w:sz w:val="18"/>
          <w:szCs w:val="18"/>
          <w:color w:val="auto"/>
        </w:rPr>
        <w:t>— In May 2017, the Company executed an office lease with Russell Ranch Road II LLC for the Company’s corporate offices in Westlake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Village, California, which was renewed in April 2022. Pursuant to the renewal, the monthly lease payments of $79,543 began in February 2023 and are subject to 3% annual increases, plus the estimated cost of maintaining the property and common areas by the landlord, and are further subject to a six-month base rent concession beginning February 2023. The Company is also entitled to a one-time allowance up to $0.9 million as reimbursement for tenant improvements or the purchase of furniture, fixtures or equipment. Of the $0.9 million allowance, an amount up to $0.7 million may be applied as an additional base rent concession. The Company has no further right to extend the lease term beyond July 31, 2028.</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May 2022, the Company assumed certain leased real property (the “Marlborough Lease”) in connection with the V-Go acquisition. The Marlborough Lease pertains to certain premises in a building located in Marlborough, Massachusetts. The monthly payments of $28,895 began in June 2022, subject to approximately 3% annual increases through February 28, 2026.</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also acquired rights to a manufacturing service agreement where V-Go is manufactured using Company-owned equipment located at the manufacturing facility. The Company determined that this arrangement results in an embedded lease which granted the Company exclusive use of space within the manufacturing facility. The Company assessed the embedded lease cost to be $14,370 per month through February 28, 2026.</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July 2024, the Company assumed certain leased real property (the "Bedford Lease") in connection with the Pulmatrix Transaction. The Bedford Lease pertains to certain premises in a building located in Bedford, Massachusetts. The monthly base rent payments of $101,282 are subject to 3% annual increases, plus the estimated cost of maintaining the property and common areas by the landlord. The Company also assumed from Pulmatrix a $0.7 million obligation to repay landlord-funded tenant improvements at a rate of $6,000 per month through the end of the lease term in November 2033. The Company has the right to extend the lease term for an additional five-year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information was as follows (dollars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5"/>
                <w:szCs w:val="15"/>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0"/>
        </w:trPr>
        <w:tc>
          <w:tcPr>
            <w:tcW w:w="7560" w:type="dxa"/>
            <w:vAlign w:val="bottom"/>
            <w:tcBorders>
              <w:bottom w:val="single" w:sz="8" w:color="CFF0FC"/>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lease right-of-use assets</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3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41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liability-current</w:t>
            </w:r>
            <w:r>
              <w:rPr>
                <w:rFonts w:ascii="Times New Roman" w:cs="Times New Roman" w:eastAsia="Times New Roman" w:hAnsi="Times New Roman"/>
                <w:sz w:val="24"/>
                <w:szCs w:val="24"/>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3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80" w:type="dxa"/>
            <w:vAlign w:val="bottom"/>
          </w:tcPr>
          <w:p>
            <w:pPr>
              <w:spacing w:after="0"/>
              <w:rPr>
                <w:sz w:val="24"/>
                <w:szCs w:val="24"/>
                <w:color w:val="auto"/>
              </w:rPr>
            </w:pPr>
          </w:p>
        </w:tc>
      </w:tr>
      <w:tr>
        <w:trPr>
          <w:trHeight w:val="216"/>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liability-long-term</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3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3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8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29"/>
        </w:trPr>
        <w:tc>
          <w:tcPr>
            <w:tcW w:w="7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7.3 %</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7.3 %</w:t>
            </w:r>
          </w:p>
        </w:tc>
      </w:tr>
      <w:tr>
        <w:trPr>
          <w:trHeight w:val="126"/>
        </w:trPr>
        <w:tc>
          <w:tcPr>
            <w:tcW w:w="756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w:t>
            </w:r>
          </w:p>
        </w:tc>
        <w:tc>
          <w:tcPr>
            <w:tcW w:w="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-1056640</wp:posOffset>
            </wp:positionV>
            <wp:extent cx="12001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-1039495</wp:posOffset>
            </wp:positionV>
            <wp:extent cx="12001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-1056640</wp:posOffset>
            </wp:positionV>
            <wp:extent cx="12001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-1039495</wp:posOffset>
            </wp:positionV>
            <wp:extent cx="12001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-619125</wp:posOffset>
            </wp:positionV>
            <wp:extent cx="12001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-619125</wp:posOffset>
            </wp:positionV>
            <wp:extent cx="12001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ind w:left="520" w:hanging="512"/>
        <w:spacing w:after="0"/>
        <w:tabs>
          <w:tab w:leader="none" w:pos="52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Operating right-of-use assets related to vehicles, offices and the manufacturing facility for V-Go are included in other assets in the consolidated balance sheets.</w:t>
      </w:r>
    </w:p>
    <w:p>
      <w:pPr>
        <w:spacing w:after="0" w:line="8" w:lineRule="exact"/>
        <w:rPr>
          <w:rFonts w:ascii="Times New Roman" w:cs="Times New Roman" w:eastAsia="Times New Roman" w:hAnsi="Times New Roman"/>
          <w:sz w:val="13"/>
          <w:szCs w:val="13"/>
          <w:color w:val="auto"/>
        </w:rPr>
      </w:pPr>
    </w:p>
    <w:p>
      <w:pPr>
        <w:ind w:left="520" w:hanging="512"/>
        <w:spacing w:after="0"/>
        <w:tabs>
          <w:tab w:leader="none" w:pos="52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Operating lease liability–current is included in accrued expenses and other current liabilities in the consolidated balance sheets.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5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r>
      <w:tr>
        <w:trPr>
          <w:trHeight w:val="210"/>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394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shd w:val="clear" w:color="auto" w:fill="CFF0FC"/>
          </w:tcPr>
          <w:p>
            <w:pPr>
              <w:spacing w:after="0"/>
              <w:rPr>
                <w:sz w:val="18"/>
                <w:szCs w:val="18"/>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3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r>
      <w:tr>
        <w:trPr>
          <w:trHeight w:val="216"/>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30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shd w:val="clear" w:color="auto" w:fill="CFF0FC"/>
          </w:tcPr>
          <w:p>
            <w:pPr>
              <w:spacing w:after="0"/>
              <w:rPr>
                <w:sz w:val="18"/>
                <w:szCs w:val="18"/>
                <w:color w:val="auto"/>
              </w:rPr>
            </w:pPr>
          </w:p>
        </w:tc>
      </w:tr>
      <w:tr>
        <w:trPr>
          <w:trHeight w:val="648"/>
        </w:trPr>
        <w:tc>
          <w:tcPr>
            <w:tcW w:w="3520" w:type="dxa"/>
            <w:vAlign w:val="bottom"/>
          </w:tcPr>
          <w:p>
            <w:pPr>
              <w:spacing w:after="0"/>
              <w:rPr>
                <w:sz w:val="24"/>
                <w:szCs w:val="24"/>
                <w:color w:val="auto"/>
              </w:rPr>
            </w:pPr>
          </w:p>
        </w:tc>
        <w:tc>
          <w:tcPr>
            <w:tcW w:w="30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105</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The Company's future minimum office and vehicle lease payments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100" w:type="dxa"/>
            <w:vAlign w:val="bottom"/>
          </w:tcPr>
          <w:p>
            <w:pPr>
              <w:spacing w:after="0"/>
              <w:rPr>
                <w:sz w:val="18"/>
                <w:szCs w:val="18"/>
                <w:color w:val="auto"/>
              </w:rPr>
            </w:pPr>
          </w:p>
        </w:tc>
      </w:tr>
      <w:tr>
        <w:trPr>
          <w:trHeight w:val="20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18,084</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(4,016 )</w:t>
            </w:r>
          </w:p>
        </w:tc>
      </w:tr>
      <w:tr>
        <w:trPr>
          <w:trHeight w:val="249"/>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Employee Benefit Plans</w:t>
      </w:r>
    </w:p>
    <w:p>
      <w:pPr>
        <w:spacing w:after="0" w:line="12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The Company administers a defined contribution 401(k) savings retirement plan for its employees. The Company may make discretionary matching contributions. For the years ended December 31, 2024, 2023 and 2022, the Company matched each participant’s deferral at the rate of 50% of each participant’s deferral up to the first 10% of compensation. Participants hired after March 31, 2021 became vested in Company contributions at 100% after two years of service. Participants are vested in Company contributions at 50% after one year of service and are 100% vested after two years of service.</w:t>
      </w:r>
    </w:p>
    <w:p>
      <w:pPr>
        <w:spacing w:after="0" w:line="16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total discretionary matching contributions were $2.4 million, $2.9 million and $1.8 million for the years ended December 31, 2024,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Income Taxes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Income (loss) from continuing operations before provision for income taxes for the Company’s domestic and international operations was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2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30,518</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(10,377 )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(87,400 )</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82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30,518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(10,377 )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(87,400 )</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has concluded that it is more likely than not that the Company may not realize the benefit of its deferred tax assets due to its history of losses. The net deferred tax assets have been fully reserved. The provision for income taxes consists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3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state</w:t>
            </w:r>
          </w:p>
        </w:tc>
        <w:tc>
          <w:tcPr>
            <w:tcW w:w="3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Non-U.S.</w:t>
            </w:r>
          </w:p>
        </w:tc>
        <w:tc>
          <w:tcPr>
            <w:tcW w:w="30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w:t>
            </w:r>
          </w:p>
        </w:tc>
        <w:tc>
          <w:tcPr>
            <w:tcW w:w="3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3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(190 )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(5,606 )</w:t>
            </w: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state</w:t>
            </w:r>
          </w:p>
        </w:tc>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(11,428 )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(4,334 )</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deferred</w:t>
            </w:r>
          </w:p>
        </w:tc>
        <w:tc>
          <w:tcPr>
            <w:tcW w:w="3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(9,940 )</w:t>
            </w: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(3,859 )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(6,806 )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deferred</w:t>
            </w:r>
          </w:p>
        </w:tc>
        <w:tc>
          <w:tcPr>
            <w:tcW w:w="30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02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5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-1988185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-1988185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-1139190</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-1139190</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06" w:name="page107"/>
    <w:bookmarkEnd w:id="106"/>
    <w:p>
      <w:pPr>
        <w:ind w:right="40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assets are approximately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480,008</w:t>
            </w:r>
          </w:p>
        </w:tc>
        <w:tc>
          <w:tcPr>
            <w:tcW w:w="3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506,641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75,730</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research costs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Milestone rights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purchase commitment</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Non-qualified stock option expense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patent costs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3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21,638</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product revenue and costs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of future royalties</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38,059</w:t>
            </w:r>
          </w:p>
        </w:tc>
        <w:tc>
          <w:tcPr>
            <w:tcW w:w="3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697,886</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699,519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(694,369 )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(698,228 )</w:t>
            </w:r>
          </w:p>
        </w:tc>
      </w:tr>
      <w:tr>
        <w:trPr>
          <w:trHeight w:val="209"/>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30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top w:val="single" w:sz="8" w:color="CFF0FC"/>
            </w:tcBorders>
          </w:tcPr>
          <w:p>
            <w:pPr>
              <w:spacing w:after="0"/>
              <w:rPr>
                <w:sz w:val="18"/>
                <w:szCs w:val="18"/>
                <w:color w:val="auto"/>
              </w:rPr>
            </w:pPr>
          </w:p>
        </w:tc>
      </w:tr>
      <w:tr>
        <w:trPr>
          <w:trHeight w:val="216"/>
        </w:trPr>
        <w:tc>
          <w:tcPr>
            <w:tcW w:w="7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 of use asset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(3,334 )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(1,121 )</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prepaids</w:t>
            </w: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(204 )</w:t>
            </w: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(176 )</w:t>
            </w:r>
          </w:p>
        </w:tc>
      </w:tr>
      <w:tr>
        <w:trPr>
          <w:trHeight w:val="20"/>
        </w:trPr>
        <w:tc>
          <w:tcPr>
            <w:tcW w:w="7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(3,538 )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(1,297 )</w:t>
            </w: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-1293495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-1010920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tax rate differs from the statutory federal income tax rate as follows:</w:t>
      </w:r>
    </w:p>
    <w:p>
      <w:pPr>
        <w:spacing w:after="0" w:line="219"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r>
      <w:tr>
        <w:trPr>
          <w:trHeight w:val="209"/>
        </w:trPr>
        <w:tc>
          <w:tcPr>
            <w:tcW w:w="7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tax benefit rate</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21.0 %</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21.0 %</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 expense (net of federal benefit)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7.1 %</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-11.8 %</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7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5.2 %</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-2.8 %</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Officers compensation</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5.6 %</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-35.3 %</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7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settlement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7.2 %</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-5.6 %</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r>
      <w:tr>
        <w:trPr>
          <w:trHeight w:val="216"/>
        </w:trPr>
        <w:tc>
          <w:tcPr>
            <w:tcW w:w="7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attribute expirations</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0.4 %</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-13.2 %</w:t>
            </w:r>
          </w:p>
        </w:tc>
      </w:tr>
      <w:tr>
        <w:trPr>
          <w:trHeight w:val="216"/>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-42.2 %</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9.1 %</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-7.2 %</w:t>
            </w:r>
          </w:p>
        </w:tc>
      </w:tr>
      <w:tr>
        <w:trPr>
          <w:trHeight w:val="21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deferred adjustments</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4.1 %</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r>
      <w:tr>
        <w:trPr>
          <w:trHeight w:val="20"/>
        </w:trPr>
        <w:tc>
          <w:tcPr>
            <w:tcW w:w="64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9.6 %</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-15.0 %</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6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-170815</wp:posOffset>
            </wp:positionV>
            <wp:extent cx="12001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2001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1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2024 and 2023, management assessed the realizability of deferred tax assets. Management evaluated the need for an amount of any valuation allowance for deferred tax assets on a jurisdictional basis. This evaluation utilizes the framework contained in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wherein management analyzes all positive and negative evidence available at the balance sheet date to determine whether all or some portion of our deferred tax assets will not be realized. Under this guidance, a valuation allowance must be established for deferred tax assets when it is more likely than not (a probability level of more than 50%) that they will not be realized.</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concluding on the evaluation, management placed significant emphasis on guidance in ASC 740, which states that “...a cumulative loss in recent years is a significant piece of negative evidence that is difficult to overcome.” Based upon available evidence as of December 31, 2024, it was concluded on a more-likely-than-not basis that all deferred tax assets were not realizable. Accordingly, a valuation allowance of $694.4 million has been recorded to offset these deferred tax assets. During the years ended December 31, 2024 and 2023, the valuation allowance decreased by $3.9 million and $6.8 million,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A reconciliation of beginning and ending amounts of the Company's valuation allowance for deferred tax assets was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for Deferred Tax Assets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698,228</w:t>
            </w:r>
          </w:p>
        </w:tc>
        <w:tc>
          <w:tcPr>
            <w:tcW w:w="120" w:type="dxa"/>
            <w:vAlign w:val="bottom"/>
          </w:tcPr>
          <w:p>
            <w:pPr>
              <w:spacing w:after="0"/>
              <w:rPr>
                <w:sz w:val="18"/>
                <w:szCs w:val="18"/>
                <w:color w:val="auto"/>
              </w:rPr>
            </w:pP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705,034</w:t>
            </w:r>
          </w:p>
        </w:tc>
        <w:tc>
          <w:tcPr>
            <w:tcW w:w="4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695,094</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Additions (deductions) charged to expenses</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(3,859 )</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(6,806 )</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shd w:val="clear" w:color="auto" w:fill="CFF0FC"/>
          </w:tcPr>
          <w:p>
            <w:pPr>
              <w:spacing w:after="0"/>
              <w:rPr>
                <w:sz w:val="18"/>
                <w:szCs w:val="18"/>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698,228</w:t>
            </w:r>
          </w:p>
        </w:tc>
        <w:tc>
          <w:tcPr>
            <w:tcW w:w="4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705,034</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federal and state net operating loss carryforwards of approximately $1.9 billion and $1.3 billion available, respectively, to reduce future taxable income. $492.9 million of the federal losses do not expire and the remaining federal losses have started expiring, beginning in 2026 through various future dates.</w:t>
      </w:r>
    </w:p>
    <w:p>
      <w:pPr>
        <w:spacing w:after="0" w:line="17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Pursuant to IRC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IRC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All of these attributes are now available for use for the tax year ended December 31, 2024 under Section 382. We have completed a Section 382 analysis beginning from the date of our initial public offering through December 31, 2024, to determine whether additional limitations may be placed on the net operating loss carryforwards and other tax attributes, and no additional changes in ownership that met Section 382 study ownership change threshold has been identified through December 31, 2024. There is a risk that changes in ownership may occur in tax years after December 31, 2024.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$53.7 million of U.S. federal research and development credits which expire beginning in 2025, and $22.1 million of state research and development credits.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files U.S. federal and state income tax returns in jurisdictions with varying statutes of limitations. In the normal course of business the Company is subject to examination by taxing authorities throughout the country. These audits could include examining the timing and amount of deductions, the allocation of income among various tax jurisdictions and compliance with federal, state, and local tax laws. The Company's tax years since 2021 and 2020 remain subject to examination by federal and state tax authorities.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beginning and ending amounts of unrecognized tax benefits was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268,902</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268,902</w:t>
            </w:r>
          </w:p>
        </w:tc>
        <w:tc>
          <w:tcPr>
            <w:tcW w:w="4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268,902</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increases for tax positions of prior years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decreases for tax positions of prior years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increases for tax positions of current year</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268,902</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268,902</w:t>
            </w:r>
          </w:p>
        </w:tc>
        <w:tc>
          <w:tcPr>
            <w:tcW w:w="4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268,902</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has assessed its position with regards to uncertainty in tax positions and has not recognized a liability for unrecognized tax benefits. The Company does not expect its unrecognized tax benefits to change significantly over the next 12 months. The Company recognizes interest and penalties accrued related to unrecognized tax benefits in income tax expense. During the years ended December 31, 2024, 2023 and 2022, the Company did not recognize any interest and/or penalties.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June 2024, California enacted Senate Bills 167 and 175 ("SB 167" and "SB 175"). SB 167 suspends the use of net operating losses ("NOLs") and limits the use of business credits to $5.0 million for the 2024-2026 tax years. Under SB 175, the NOL suspension and credit limitations will not apply for the 2025 and 2026 tax years if certain budget goals are met. Although the Company does not expect this legislation to have a material effect on its results of operations or cash flows, management continues to evaluate any potential impact.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POLICY AGAINST TRADING ON THE BASIS OF INSIDE</w:t>
      </w:r>
    </w:p>
    <w:p>
      <w:pPr>
        <w:spacing w:after="0" w:line="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INFORMATION</w:t>
      </w:r>
    </w:p>
    <w:p>
      <w:pPr>
        <w:spacing w:after="0" w:line="17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December 2019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PERSONS COVERED</w:t>
      </w:r>
    </w:p>
    <w:p>
      <w:pPr>
        <w:spacing w:after="0" w:line="210"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2"/>
          <w:szCs w:val="22"/>
          <w:color w:val="auto"/>
        </w:rPr>
        <w:t>The policies and procedures outlined herein shall apply to all directors, officers, employees and consultants of MannKind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its subsidiaries.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POLICIES AND PROCEDURES</w:t>
      </w:r>
    </w:p>
    <w:p>
      <w:pPr>
        <w:spacing w:after="0" w:line="210"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21"/>
          <w:szCs w:val="21"/>
          <w:color w:val="auto"/>
        </w:rPr>
        <w:t xml:space="preserve">During the course of your directorship, employment or consultancy with the Company or a subsidiary thereof, you may receive important information that is not yet publicly available,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not disclosed to the public in a press release or filing with the Securities and Exchange Commission (the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about the Company or about other publicly-traded companies with which the Company has business dealings (known as “</w:t>
      </w:r>
      <w:r>
        <w:rPr>
          <w:rFonts w:ascii="Times New Roman" w:cs="Times New Roman" w:eastAsia="Times New Roman" w:hAnsi="Times New Roman"/>
          <w:sz w:val="21"/>
          <w:szCs w:val="21"/>
          <w:b w:val="1"/>
          <w:bCs w:val="1"/>
          <w:i w:val="1"/>
          <w:iCs w:val="1"/>
          <w:color w:val="auto"/>
        </w:rPr>
        <w:t>inside information</w:t>
      </w:r>
      <w:r>
        <w:rPr>
          <w:rFonts w:ascii="Times New Roman" w:cs="Times New Roman" w:eastAsia="Times New Roman" w:hAnsi="Times New Roman"/>
          <w:sz w:val="21"/>
          <w:szCs w:val="21"/>
          <w:color w:val="auto"/>
        </w:rPr>
        <w:t>”). Because of your access to this information, you may be in a position to profit financially by buying or selling or in some other way dealing in the Company’s stock or stock of another publicly-traded company, or to disclose such information to a third party who does so (known as a “</w:t>
      </w:r>
      <w:r>
        <w:rPr>
          <w:rFonts w:ascii="Times New Roman" w:cs="Times New Roman" w:eastAsia="Times New Roman" w:hAnsi="Times New Roman"/>
          <w:sz w:val="21"/>
          <w:szCs w:val="21"/>
          <w:b w:val="1"/>
          <w:bCs w:val="1"/>
          <w:i w:val="1"/>
          <w:iCs w:val="1"/>
          <w:color w:val="auto"/>
        </w:rPr>
        <w:t>tippee</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1"/>
          <w:szCs w:val="21"/>
          <w:color w:val="auto"/>
        </w:rPr>
        <w:t xml:space="preserve">It is illegal for anyone to use inside information to gain personal benefit, or to pass on or “tip,” the inside information to someone who does so. There is no “de minimis” exception to this rule. Use of inside information to gain personal benefit and tipping are as illegal with respect to a few shares of stock as they are with respect to a large number of shares. You can be held liable both for your own transactions and for transactions effected by a tippee, or even a tippee of a tippee. Furthermore it is important that the </w:t>
      </w:r>
      <w:r>
        <w:rPr>
          <w:rFonts w:ascii="Times New Roman" w:cs="Times New Roman" w:eastAsia="Times New Roman" w:hAnsi="Times New Roman"/>
          <w:sz w:val="21"/>
          <w:szCs w:val="21"/>
          <w:i w:val="1"/>
          <w:iCs w:val="1"/>
          <w:color w:val="auto"/>
        </w:rPr>
        <w:t>appearance</w:t>
      </w:r>
      <w:r>
        <w:rPr>
          <w:rFonts w:ascii="Times New Roman" w:cs="Times New Roman" w:eastAsia="Times New Roman" w:hAnsi="Times New Roman"/>
          <w:sz w:val="21"/>
          <w:szCs w:val="21"/>
          <w:color w:val="auto"/>
        </w:rPr>
        <w:t xml:space="preserve"> as well as the act of insider trading in stock be avoided. Please note that generally, transactions directly with the Company,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option exercises or purchases under the Company’s employee stock purchase plan, will not create problems. However, the subsequent sale or other disposition of such stock </w:t>
      </w:r>
      <w:r>
        <w:rPr>
          <w:rFonts w:ascii="Times New Roman" w:cs="Times New Roman" w:eastAsia="Times New Roman" w:hAnsi="Times New Roman"/>
          <w:sz w:val="21"/>
          <w:szCs w:val="21"/>
          <w:i w:val="1"/>
          <w:iCs w:val="1"/>
          <w:color w:val="auto"/>
        </w:rPr>
        <w:t>is</w:t>
      </w:r>
      <w:r>
        <w:rPr>
          <w:rFonts w:ascii="Times New Roman" w:cs="Times New Roman" w:eastAsia="Times New Roman" w:hAnsi="Times New Roman"/>
          <w:sz w:val="21"/>
          <w:szCs w:val="21"/>
          <w:color w:val="auto"/>
        </w:rPr>
        <w:t xml:space="preserve"> fully subject to these restrictions. In addition, purchases or sales of the Company’s securities made pursuant to, and in compliance with, a written plan established by a director or officer that meets the requirements of Rule 10b5- 1 under the Securities Exchange Act of 1934, as amended (a “</w:t>
      </w:r>
      <w:r>
        <w:rPr>
          <w:rFonts w:ascii="Times New Roman" w:cs="Times New Roman" w:eastAsia="Times New Roman" w:hAnsi="Times New Roman"/>
          <w:sz w:val="21"/>
          <w:szCs w:val="21"/>
          <w:b w:val="1"/>
          <w:bCs w:val="1"/>
          <w:i w:val="1"/>
          <w:iCs w:val="1"/>
          <w:color w:val="auto"/>
        </w:rPr>
        <w:t>Trading Plan</w:t>
      </w:r>
      <w:r>
        <w:rPr>
          <w:rFonts w:ascii="Times New Roman" w:cs="Times New Roman" w:eastAsia="Times New Roman" w:hAnsi="Times New Roman"/>
          <w:sz w:val="21"/>
          <w:szCs w:val="21"/>
          <w:color w:val="auto"/>
        </w:rPr>
        <w:t>”), may be made without restriction to any particular period provided that the Trading Plan was established in good faith, in compliance with the requirements of Rule 10b5-1, at the time when such individual was not in possession of inside information about the Company and the Company had not imposed any trading blackout period, and subject to such other restrictions as the Company or its General Counsel deems necessary or appropriate to impose.</w:t>
      </w:r>
    </w:p>
    <w:p>
      <w:pPr>
        <w:spacing w:after="0" w:line="183" w:lineRule="exact"/>
        <w:rPr>
          <w:sz w:val="20"/>
          <w:szCs w:val="20"/>
          <w:color w:val="auto"/>
        </w:rPr>
      </w:pPr>
    </w:p>
    <w:p>
      <w:pPr>
        <w:jc w:val="both"/>
        <w:ind w:right="120"/>
        <w:spacing w:after="0" w:line="239" w:lineRule="auto"/>
        <w:rPr>
          <w:sz w:val="20"/>
          <w:szCs w:val="20"/>
          <w:color w:val="auto"/>
        </w:rPr>
      </w:pPr>
      <w:r>
        <w:rPr>
          <w:rFonts w:ascii="Times New Roman" w:cs="Times New Roman" w:eastAsia="Times New Roman" w:hAnsi="Times New Roman"/>
          <w:sz w:val="22"/>
          <w:szCs w:val="22"/>
          <w:color w:val="auto"/>
        </w:rPr>
        <w:t>This policy continues to apply to your transactions in the Company’s stock even after your directorship, employment or consultancy with the Company or a subsidiary thereof has terminated. If you are in possession of material nonpublic information when your directorship, employment or consultancy terminates, you may not trade in the Company’s stock until the information has become public or is no longer material.</w:t>
      </w:r>
    </w:p>
    <w:p>
      <w:pPr>
        <w:spacing w:after="0" w:line="180" w:lineRule="exact"/>
        <w:rPr>
          <w:sz w:val="20"/>
          <w:szCs w:val="20"/>
          <w:color w:val="auto"/>
        </w:rPr>
      </w:pPr>
    </w:p>
    <w:p>
      <w:pPr>
        <w:jc w:val="both"/>
        <w:ind w:right="120"/>
        <w:spacing w:after="0" w:line="239" w:lineRule="auto"/>
        <w:rPr>
          <w:sz w:val="20"/>
          <w:szCs w:val="20"/>
          <w:color w:val="auto"/>
        </w:rPr>
      </w:pPr>
      <w:r>
        <w:rPr>
          <w:rFonts w:ascii="Times New Roman" w:cs="Times New Roman" w:eastAsia="Times New Roman" w:hAnsi="Times New Roman"/>
          <w:sz w:val="22"/>
          <w:szCs w:val="22"/>
          <w:color w:val="auto"/>
        </w:rPr>
        <w:t>Because the directors and officers of the Company are the most visible to the public and are most likely, in the view of the public, to possess inside information about the Company, they are also subject to a separate trading policy. Under this policy, we require that these individuals limit</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471805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328" w:right="339" w:bottom="1440" w:gutter="0" w:footer="0" w:header="0"/>
        </w:sectPr>
      </w:pPr>
    </w:p>
    <w:bookmarkStart w:id="109" w:name="page110"/>
    <w:bookmarkEnd w:id="109"/>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their transactions in the Company’s stock to defined time periods following public dissemination of quarterly and annual financial results, notify the Company’s Chief Financial Officer or General Counsel prior to engaging in transactions in the Company’s stock and observe other restrictions designed to minimize the risk of apparent or actual insider trading.</w:t>
      </w:r>
    </w:p>
    <w:p>
      <w:pPr>
        <w:spacing w:after="0" w:line="173" w:lineRule="exact"/>
        <w:rPr>
          <w:sz w:val="20"/>
          <w:szCs w:val="20"/>
          <w:color w:val="auto"/>
        </w:rPr>
      </w:pPr>
    </w:p>
    <w:p>
      <w:pPr>
        <w:jc w:val="both"/>
        <w:ind w:right="120"/>
        <w:spacing w:after="0" w:line="233" w:lineRule="auto"/>
        <w:rPr>
          <w:sz w:val="20"/>
          <w:szCs w:val="20"/>
          <w:color w:val="auto"/>
        </w:rPr>
      </w:pPr>
      <w:r>
        <w:rPr>
          <w:rFonts w:ascii="Times New Roman" w:cs="Times New Roman" w:eastAsia="Times New Roman" w:hAnsi="Times New Roman"/>
          <w:sz w:val="22"/>
          <w:szCs w:val="22"/>
          <w:color w:val="auto"/>
        </w:rPr>
        <w:t xml:space="preserve">As a practical matter, it is sometimes difficult to determine whether you possess inside information. The key to determining whether nonpublic information you possess about a public company is inside information is whether dissemination of the information would be likely to affect the market price of the company’s stock or would be likely to be considered important by investors who are considering trading in that company’s stock. Certainly, if the information makes </w:t>
      </w:r>
      <w:r>
        <w:rPr>
          <w:rFonts w:ascii="Times New Roman" w:cs="Times New Roman" w:eastAsia="Times New Roman" w:hAnsi="Times New Roman"/>
          <w:sz w:val="22"/>
          <w:szCs w:val="22"/>
          <w:i w:val="1"/>
          <w:iCs w:val="1"/>
          <w:color w:val="auto"/>
        </w:rPr>
        <w:t>you</w:t>
      </w:r>
      <w:r>
        <w:rPr>
          <w:rFonts w:ascii="Times New Roman" w:cs="Times New Roman" w:eastAsia="Times New Roman" w:hAnsi="Times New Roman"/>
          <w:sz w:val="22"/>
          <w:szCs w:val="22"/>
          <w:color w:val="auto"/>
        </w:rPr>
        <w:t xml:space="preserve"> want to trade, it would probably have the same effect on others. Both positive and negative information can be material. If you possess inside information about a company, you must refrain from trading in that company’s stock, advising anyone else to do so or communicating the information to anyone else until you know that the information has been disseminated to the public. This means that in some circumstances, you may have to forego a proposed transaction in a company’s securities even if you planned to execute the transaction prior to learning of the inside information and even though you believe you may suffer an economic loss or sacrifice an anticipated profit by waiting. “</w:t>
      </w:r>
      <w:r>
        <w:rPr>
          <w:rFonts w:ascii="Times New Roman" w:cs="Times New Roman" w:eastAsia="Times New Roman" w:hAnsi="Times New Roman"/>
          <w:sz w:val="22"/>
          <w:szCs w:val="22"/>
          <w:b w:val="1"/>
          <w:bCs w:val="1"/>
          <w:i w:val="1"/>
          <w:iCs w:val="1"/>
          <w:color w:val="auto"/>
        </w:rPr>
        <w:t>Trading</w:t>
      </w:r>
      <w:r>
        <w:rPr>
          <w:rFonts w:ascii="Times New Roman" w:cs="Times New Roman" w:eastAsia="Times New Roman" w:hAnsi="Times New Roman"/>
          <w:sz w:val="22"/>
          <w:szCs w:val="22"/>
          <w:color w:val="auto"/>
        </w:rPr>
        <w:t>” includes engaging in short sales, transactions in put or call options, hedging transactions and other inherently speculative transactions.</w:t>
      </w:r>
    </w:p>
    <w:p>
      <w:pPr>
        <w:spacing w:after="0" w:line="187" w:lineRule="exact"/>
        <w:rPr>
          <w:sz w:val="20"/>
          <w:szCs w:val="20"/>
          <w:color w:val="auto"/>
        </w:rPr>
      </w:pPr>
    </w:p>
    <w:p>
      <w:pPr>
        <w:jc w:val="both"/>
        <w:ind w:right="120"/>
        <w:spacing w:after="0" w:line="234" w:lineRule="auto"/>
        <w:rPr>
          <w:sz w:val="20"/>
          <w:szCs w:val="20"/>
          <w:color w:val="auto"/>
        </w:rPr>
      </w:pPr>
      <w:r>
        <w:rPr>
          <w:rFonts w:ascii="Times New Roman" w:cs="Times New Roman" w:eastAsia="Times New Roman" w:hAnsi="Times New Roman"/>
          <w:sz w:val="22"/>
          <w:szCs w:val="22"/>
          <w:color w:val="auto"/>
        </w:rPr>
        <w:t xml:space="preserve">For information to be considered publicly disseminated, it must be widely disclosed, such as through a press release or SEC filing, and a sufficient amount of time must have passed to allow the information to be fully disseminated. Generally speaking, information will be considered publicly disseminated after two full trading days have elapsed since the date of public disclosure of the information. For example, if an announcement of inside information of which you were aware was made </w:t>
      </w:r>
      <w:r>
        <w:rPr>
          <w:rFonts w:ascii="Times New Roman" w:cs="Times New Roman" w:eastAsia="Times New Roman" w:hAnsi="Times New Roman"/>
          <w:sz w:val="22"/>
          <w:szCs w:val="22"/>
          <w:i w:val="1"/>
          <w:iCs w:val="1"/>
          <w:color w:val="auto"/>
        </w:rPr>
        <w:t xml:space="preserve">prior to </w:t>
      </w:r>
      <w:r>
        <w:rPr>
          <w:rFonts w:ascii="Times New Roman" w:cs="Times New Roman" w:eastAsia="Times New Roman" w:hAnsi="Times New Roman"/>
          <w:sz w:val="22"/>
          <w:szCs w:val="22"/>
          <w:color w:val="auto"/>
        </w:rPr>
        <w:t>trading on Tuesday, then you should refrain from executing a transaction in the Company’s securities until Thursday,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unless otherwise advised by the Company’s Chief Financial Officer of General Counsel. If, however, an announcement of inside information of which you were aware was made </w:t>
      </w:r>
      <w:r>
        <w:rPr>
          <w:rFonts w:ascii="Times New Roman" w:cs="Times New Roman" w:eastAsia="Times New Roman" w:hAnsi="Times New Roman"/>
          <w:sz w:val="22"/>
          <w:szCs w:val="22"/>
          <w:i w:val="1"/>
          <w:iCs w:val="1"/>
          <w:color w:val="auto"/>
        </w:rPr>
        <w:t>during or after</w:t>
      </w:r>
      <w:r>
        <w:rPr>
          <w:rFonts w:ascii="Times New Roman" w:cs="Times New Roman" w:eastAsia="Times New Roman" w:hAnsi="Times New Roman"/>
          <w:sz w:val="22"/>
          <w:szCs w:val="22"/>
          <w:color w:val="auto"/>
        </w:rPr>
        <w:t xml:space="preserve"> trading on Tuesday, then you should refrain from executing a transaction in the Company’s securities until Friday, unless otherwise advised by the Company’s Chief Financial Officer of General Counsel.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INSIDE INFORMATION</w:t>
      </w:r>
    </w:p>
    <w:p>
      <w:pPr>
        <w:spacing w:after="0" w:line="210"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2"/>
          <w:szCs w:val="22"/>
          <w:color w:val="auto"/>
        </w:rPr>
        <w:t>Although by no means an all-inclusive list, information about the following items may be considered to be “inside information” until it is publicly disseminated:</w:t>
      </w:r>
    </w:p>
    <w:p>
      <w:pPr>
        <w:spacing w:after="0" w:line="158" w:lineRule="exact"/>
        <w:rPr>
          <w:sz w:val="20"/>
          <w:szCs w:val="20"/>
          <w:color w:val="auto"/>
        </w:rPr>
      </w:pPr>
    </w:p>
    <w:p>
      <w:pPr>
        <w:ind w:left="1500" w:hanging="758"/>
        <w:spacing w:after="0"/>
        <w:tabs>
          <w:tab w:leader="none" w:pos="150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financial results or forecasts;</w:t>
      </w:r>
    </w:p>
    <w:p>
      <w:pPr>
        <w:spacing w:after="0" w:line="206" w:lineRule="exact"/>
        <w:rPr>
          <w:rFonts w:ascii="Times New Roman" w:cs="Times New Roman" w:eastAsia="Times New Roman" w:hAnsi="Times New Roman"/>
          <w:sz w:val="22"/>
          <w:szCs w:val="22"/>
          <w:b w:val="1"/>
          <w:bCs w:val="1"/>
          <w:color w:val="auto"/>
        </w:rPr>
      </w:pPr>
    </w:p>
    <w:p>
      <w:pPr>
        <w:ind w:left="1500" w:hanging="758"/>
        <w:spacing w:after="0"/>
        <w:tabs>
          <w:tab w:leader="none" w:pos="150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scientific, clinical or regulatory results;</w:t>
      </w:r>
    </w:p>
    <w:p>
      <w:pPr>
        <w:spacing w:after="0" w:line="206" w:lineRule="exact"/>
        <w:rPr>
          <w:rFonts w:ascii="Times New Roman" w:cs="Times New Roman" w:eastAsia="Times New Roman" w:hAnsi="Times New Roman"/>
          <w:sz w:val="22"/>
          <w:szCs w:val="22"/>
          <w:b w:val="1"/>
          <w:bCs w:val="1"/>
          <w:color w:val="auto"/>
        </w:rPr>
      </w:pPr>
    </w:p>
    <w:p>
      <w:pPr>
        <w:ind w:left="1500" w:hanging="758"/>
        <w:spacing w:after="0"/>
        <w:tabs>
          <w:tab w:leader="none" w:pos="150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significant communications with regulatory authorities;</w:t>
      </w:r>
    </w:p>
    <w:p>
      <w:pPr>
        <w:spacing w:after="0" w:line="206" w:lineRule="exact"/>
        <w:rPr>
          <w:rFonts w:ascii="Times New Roman" w:cs="Times New Roman" w:eastAsia="Times New Roman" w:hAnsi="Times New Roman"/>
          <w:sz w:val="22"/>
          <w:szCs w:val="22"/>
          <w:b w:val="1"/>
          <w:bCs w:val="1"/>
          <w:color w:val="auto"/>
        </w:rPr>
      </w:pPr>
    </w:p>
    <w:p>
      <w:pPr>
        <w:ind w:left="1500" w:hanging="758"/>
        <w:spacing w:after="0"/>
        <w:tabs>
          <w:tab w:leader="none" w:pos="150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notice of issuance of patents;</w:t>
      </w:r>
    </w:p>
    <w:p>
      <w:pPr>
        <w:spacing w:after="0" w:line="206" w:lineRule="exact"/>
        <w:rPr>
          <w:rFonts w:ascii="Times New Roman" w:cs="Times New Roman" w:eastAsia="Times New Roman" w:hAnsi="Times New Roman"/>
          <w:sz w:val="22"/>
          <w:szCs w:val="22"/>
          <w:b w:val="1"/>
          <w:bCs w:val="1"/>
          <w:color w:val="auto"/>
        </w:rPr>
      </w:pPr>
    </w:p>
    <w:p>
      <w:pPr>
        <w:ind w:left="1500" w:hanging="758"/>
        <w:spacing w:after="0"/>
        <w:tabs>
          <w:tab w:leader="none" w:pos="150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status of product development programs;</w:t>
      </w:r>
    </w:p>
    <w:p>
      <w:pPr>
        <w:spacing w:after="0" w:line="206" w:lineRule="exact"/>
        <w:rPr>
          <w:rFonts w:ascii="Times New Roman" w:cs="Times New Roman" w:eastAsia="Times New Roman" w:hAnsi="Times New Roman"/>
          <w:sz w:val="22"/>
          <w:szCs w:val="22"/>
          <w:b w:val="1"/>
          <w:bCs w:val="1"/>
          <w:color w:val="auto"/>
        </w:rPr>
      </w:pPr>
    </w:p>
    <w:p>
      <w:pPr>
        <w:ind w:left="1500" w:hanging="758"/>
        <w:spacing w:after="0"/>
        <w:tabs>
          <w:tab w:leader="none" w:pos="150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launch of new products;</w:t>
      </w:r>
    </w:p>
    <w:p>
      <w:pPr>
        <w:spacing w:after="0" w:line="57" w:lineRule="exact"/>
        <w:rPr>
          <w:rFonts w:ascii="Times New Roman" w:cs="Times New Roman" w:eastAsia="Times New Roman" w:hAnsi="Times New Roman"/>
          <w:sz w:val="22"/>
          <w:szCs w:val="22"/>
          <w:b w:val="1"/>
          <w:bCs w:val="1"/>
          <w:color w:val="auto"/>
        </w:rPr>
      </w:pPr>
    </w:p>
    <w:p>
      <w:pPr>
        <w:ind w:left="1500" w:hanging="758"/>
        <w:spacing w:after="0"/>
        <w:tabs>
          <w:tab w:leader="none" w:pos="150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new collaborations or changes to existing collaborations;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471805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395" w:right="339" w:bottom="1440" w:gutter="0" w:footer="0" w:header="0"/>
        </w:sectPr>
      </w:pPr>
    </w:p>
    <w:bookmarkStart w:id="110" w:name="page111"/>
    <w:bookmarkEnd w:id="110"/>
    <w:p>
      <w:pPr>
        <w:spacing w:after="0" w:line="104" w:lineRule="exact"/>
        <w:rPr>
          <w:sz w:val="20"/>
          <w:szCs w:val="20"/>
          <w:color w:val="auto"/>
        </w:rPr>
      </w:pPr>
    </w:p>
    <w:p>
      <w:pPr>
        <w:ind w:left="760" w:hanging="758"/>
        <w:spacing w:after="0"/>
        <w:tabs>
          <w:tab w:leader="none" w:pos="7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top management or control changes;</w:t>
      </w:r>
    </w:p>
    <w:p>
      <w:pPr>
        <w:spacing w:after="0" w:line="206" w:lineRule="exact"/>
        <w:rPr>
          <w:rFonts w:ascii="Times New Roman" w:cs="Times New Roman" w:eastAsia="Times New Roman" w:hAnsi="Times New Roman"/>
          <w:sz w:val="22"/>
          <w:szCs w:val="22"/>
          <w:b w:val="1"/>
          <w:bCs w:val="1"/>
          <w:color w:val="auto"/>
        </w:rPr>
      </w:pPr>
    </w:p>
    <w:p>
      <w:pPr>
        <w:ind w:left="760" w:hanging="758"/>
        <w:spacing w:after="0"/>
        <w:tabs>
          <w:tab w:leader="none" w:pos="7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pending public or private sales of debt or equity securities;</w:t>
      </w:r>
    </w:p>
    <w:p>
      <w:pPr>
        <w:spacing w:after="0" w:line="206" w:lineRule="exact"/>
        <w:rPr>
          <w:rFonts w:ascii="Times New Roman" w:cs="Times New Roman" w:eastAsia="Times New Roman" w:hAnsi="Times New Roman"/>
          <w:sz w:val="22"/>
          <w:szCs w:val="22"/>
          <w:b w:val="1"/>
          <w:bCs w:val="1"/>
          <w:color w:val="auto"/>
        </w:rPr>
      </w:pPr>
    </w:p>
    <w:p>
      <w:pPr>
        <w:ind w:left="760" w:hanging="758"/>
        <w:spacing w:after="0"/>
        <w:tabs>
          <w:tab w:leader="none" w:pos="7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acquisitions or dispositions;</w:t>
      </w:r>
    </w:p>
    <w:p>
      <w:pPr>
        <w:spacing w:after="0" w:line="206" w:lineRule="exact"/>
        <w:rPr>
          <w:rFonts w:ascii="Times New Roman" w:cs="Times New Roman" w:eastAsia="Times New Roman" w:hAnsi="Times New Roman"/>
          <w:sz w:val="22"/>
          <w:szCs w:val="22"/>
          <w:b w:val="1"/>
          <w:bCs w:val="1"/>
          <w:color w:val="auto"/>
        </w:rPr>
      </w:pPr>
    </w:p>
    <w:p>
      <w:pPr>
        <w:ind w:left="760" w:hanging="758"/>
        <w:spacing w:after="0"/>
        <w:tabs>
          <w:tab w:leader="none" w:pos="7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possible tender offers;</w:t>
      </w:r>
    </w:p>
    <w:p>
      <w:pPr>
        <w:spacing w:after="0" w:line="206" w:lineRule="exact"/>
        <w:rPr>
          <w:rFonts w:ascii="Times New Roman" w:cs="Times New Roman" w:eastAsia="Times New Roman" w:hAnsi="Times New Roman"/>
          <w:sz w:val="22"/>
          <w:szCs w:val="22"/>
          <w:b w:val="1"/>
          <w:bCs w:val="1"/>
          <w:color w:val="auto"/>
        </w:rPr>
      </w:pPr>
    </w:p>
    <w:p>
      <w:pPr>
        <w:ind w:left="760" w:hanging="758"/>
        <w:spacing w:after="0"/>
        <w:tabs>
          <w:tab w:leader="none" w:pos="7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significant write-offs;</w:t>
      </w:r>
    </w:p>
    <w:p>
      <w:pPr>
        <w:spacing w:after="0" w:line="206" w:lineRule="exact"/>
        <w:rPr>
          <w:rFonts w:ascii="Times New Roman" w:cs="Times New Roman" w:eastAsia="Times New Roman" w:hAnsi="Times New Roman"/>
          <w:sz w:val="22"/>
          <w:szCs w:val="22"/>
          <w:b w:val="1"/>
          <w:bCs w:val="1"/>
          <w:color w:val="auto"/>
        </w:rPr>
      </w:pPr>
    </w:p>
    <w:p>
      <w:pPr>
        <w:ind w:left="760" w:hanging="758"/>
        <w:spacing w:after="0"/>
        <w:tabs>
          <w:tab w:leader="none" w:pos="7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impending bankruptcy;</w:t>
      </w:r>
    </w:p>
    <w:p>
      <w:pPr>
        <w:spacing w:after="0" w:line="206" w:lineRule="exact"/>
        <w:rPr>
          <w:rFonts w:ascii="Times New Roman" w:cs="Times New Roman" w:eastAsia="Times New Roman" w:hAnsi="Times New Roman"/>
          <w:sz w:val="22"/>
          <w:szCs w:val="22"/>
          <w:b w:val="1"/>
          <w:bCs w:val="1"/>
          <w:color w:val="auto"/>
        </w:rPr>
      </w:pPr>
    </w:p>
    <w:p>
      <w:pPr>
        <w:ind w:left="760" w:hanging="758"/>
        <w:spacing w:after="0"/>
        <w:tabs>
          <w:tab w:leader="none" w:pos="7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significant litigation; and</w:t>
      </w:r>
    </w:p>
    <w:p>
      <w:pPr>
        <w:spacing w:after="0" w:line="206" w:lineRule="exact"/>
        <w:rPr>
          <w:rFonts w:ascii="Times New Roman" w:cs="Times New Roman" w:eastAsia="Times New Roman" w:hAnsi="Times New Roman"/>
          <w:sz w:val="22"/>
          <w:szCs w:val="22"/>
          <w:b w:val="1"/>
          <w:bCs w:val="1"/>
          <w:color w:val="auto"/>
        </w:rPr>
      </w:pPr>
    </w:p>
    <w:p>
      <w:pPr>
        <w:ind w:left="760" w:hanging="758"/>
        <w:spacing w:after="0"/>
        <w:tabs>
          <w:tab w:leader="none" w:pos="7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gain or loss of a significant customer or supplier.</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471805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1180" w:top="1440" w:right="339" w:bottom="1440" w:gutter="0" w:footer="0" w:header="0"/>
        </w:sectPr>
      </w:pPr>
    </w:p>
    <w:bookmarkStart w:id="111" w:name="page112"/>
    <w:bookmarkEnd w:id="111"/>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POTENTIAL CIVIL, CRIMINAL AND DISCIPLINARY SANCTIONS</w:t>
      </w:r>
    </w:p>
    <w:p>
      <w:pPr>
        <w:spacing w:after="0" w:line="197" w:lineRule="exact"/>
        <w:rPr>
          <w:sz w:val="20"/>
          <w:szCs w:val="20"/>
          <w:color w:val="auto"/>
        </w:rPr>
      </w:pPr>
    </w:p>
    <w:p>
      <w:pPr>
        <w:jc w:val="both"/>
        <w:ind w:right="120"/>
        <w:spacing w:after="0" w:line="238" w:lineRule="auto"/>
        <w:rPr>
          <w:sz w:val="20"/>
          <w:szCs w:val="20"/>
          <w:color w:val="auto"/>
        </w:rPr>
      </w:pPr>
      <w:r>
        <w:rPr>
          <w:rFonts w:ascii="Times New Roman" w:cs="Times New Roman" w:eastAsia="Times New Roman" w:hAnsi="Times New Roman"/>
          <w:sz w:val="22"/>
          <w:szCs w:val="22"/>
          <w:color w:val="auto"/>
        </w:rPr>
        <w:t>Anyone who effects transactions in the Company’s stock or the stock of other public companies engaged in business transactions with the Company (or provides information to enable others to do so) on the basis of inside information is subject to both civil liability and criminal penalties, as well as disciplinary action by the Company, as set forth below. A director, officer, employee or consultant who has questions about these matters should speak with his or her own attorney or to the Company’s Chief Financial Officer or General Counsel.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Civil and Criminal Penalties</w:t>
      </w:r>
    </w:p>
    <w:p>
      <w:pPr>
        <w:spacing w:after="0" w:line="199" w:lineRule="exact"/>
        <w:rPr>
          <w:sz w:val="20"/>
          <w:szCs w:val="20"/>
          <w:color w:val="auto"/>
        </w:rPr>
      </w:pPr>
    </w:p>
    <w:p>
      <w:pPr>
        <w:jc w:val="both"/>
        <w:ind w:right="120"/>
        <w:spacing w:after="0" w:line="235" w:lineRule="auto"/>
        <w:rPr>
          <w:sz w:val="20"/>
          <w:szCs w:val="20"/>
          <w:color w:val="auto"/>
        </w:rPr>
      </w:pPr>
      <w:r>
        <w:rPr>
          <w:rFonts w:ascii="Times New Roman" w:cs="Times New Roman" w:eastAsia="Times New Roman" w:hAnsi="Times New Roman"/>
          <w:sz w:val="22"/>
          <w:szCs w:val="22"/>
          <w:color w:val="auto"/>
        </w:rPr>
        <w:t>The consequences of prohibited insider trading or tipping can be severe. Persons violating insider trading or tipping rules may be required to forfeit the profit made or the loss avoided by the trading, pay the loss suffered by the person who purchased securities from or sold securities to the insider tippee, pay civil penalties up to three times the profit made or loss avoided, pay a criminal penalty of up to $1 million and serve a jail term of up to ten (10) years. The Company and/or the supervisors of the persons violating the rules may also be required to pay major civil or criminal penalties. Such violations may be based on the mere fact that the person violating the rules possessed inside information, without regard to whether such person’s decision to trade was actually based on such information.</w:t>
      </w:r>
    </w:p>
    <w:p>
      <w:pPr>
        <w:spacing w:after="0" w:line="183"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22"/>
          <w:szCs w:val="22"/>
          <w:color w:val="auto"/>
        </w:rPr>
        <w:t>The civil and criminal penalties referred to above are not exclusive. Private litigants who traded in a company’s securities with an individual who violated insider trading laws in connection with the trade may sue that individual in federal court and seek treble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triple) damages and recovery of their attorney’s fees pursuant to the Racketeer Influenced and Corrupt Organizations Act (“</w:t>
      </w:r>
      <w:r>
        <w:rPr>
          <w:rFonts w:ascii="Times New Roman" w:cs="Times New Roman" w:eastAsia="Times New Roman" w:hAnsi="Times New Roman"/>
          <w:sz w:val="22"/>
          <w:szCs w:val="22"/>
          <w:b w:val="1"/>
          <w:bCs w:val="1"/>
          <w:i w:val="1"/>
          <w:iCs w:val="1"/>
          <w:color w:val="auto"/>
        </w:rPr>
        <w:t>RICO</w:t>
      </w:r>
      <w:r>
        <w:rPr>
          <w:rFonts w:ascii="Times New Roman" w:cs="Times New Roman" w:eastAsia="Times New Roman" w:hAnsi="Times New Roman"/>
          <w:sz w:val="22"/>
          <w:szCs w:val="22"/>
          <w:color w:val="auto"/>
        </w:rPr>
        <w:t>”). When tipping occurs, both the tipper and the tippee may be held liable, as well as others who received the information from the tippee and then traded on it.</w:t>
      </w: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471805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4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b w:val="1"/>
          <w:bCs w:val="1"/>
          <w:i w:val="1"/>
          <w:iCs w:val="1"/>
          <w:color w:val="auto"/>
        </w:rPr>
        <w:t>Company Discipline</w:t>
      </w:r>
    </w:p>
    <w:p>
      <w:pPr>
        <w:spacing w:after="0" w:line="212"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21"/>
          <w:szCs w:val="21"/>
          <w:color w:val="auto"/>
        </w:rPr>
        <w:t>Violation of this policy or federal or state insider trading or tipping laws by any director, officer, employee or consultant or of his or her family may subject such individual to disciplinary action by the Company, up to and including termination for cause.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Reporting Violations</w:t>
      </w:r>
    </w:p>
    <w:p>
      <w:pPr>
        <w:spacing w:after="0" w:line="212"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22"/>
          <w:szCs w:val="22"/>
          <w:color w:val="auto"/>
        </w:rPr>
        <w:t>Any director, officer, employee or consultant who violates this policy or any federal or state laws governing insider trading or tipping, or knows of any such violation by any other director, officer, employee, or consultant must report the violation immediately to the Company’s Chief Financial Officer or General Counsel. Upon learning of any such violation, the Company will determine whether it should report the violation to the SEC or other appropriate governmental authority. The Company and its subsidiaries will comply with all requests from the SEC, the Nasdaq Stock Market and other agencies for information related to insider trading investigations.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Speculative Trades</w:t>
      </w:r>
    </w:p>
    <w:p>
      <w:pPr>
        <w:spacing w:after="0" w:line="210"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In addition to the prohibition of trading while in possession of inside information, Company policy prohibits speculation based on fluctuations in the market. As a result, the following transactions are prohibited, whether or not the director, employee, officer or consultant is in possession of inside information:</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purchases or sales of any derivative security of the Company, including without limitation, puts and calls;</w:t>
      </w:r>
    </w:p>
    <w:p>
      <w:pPr>
        <w:spacing w:after="0" w:line="210" w:lineRule="exact"/>
        <w:rPr>
          <w:sz w:val="20"/>
          <w:szCs w:val="20"/>
          <w:color w:val="auto"/>
        </w:rPr>
      </w:pPr>
    </w:p>
    <w:p>
      <w:pPr>
        <w:ind w:left="1500" w:hanging="758"/>
        <w:spacing w:after="0"/>
        <w:tabs>
          <w:tab w:leader="none" w:pos="150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purchases of the Company’s stock on margin;</w:t>
      </w:r>
    </w:p>
    <w:p>
      <w:pPr>
        <w:spacing w:after="0" w:line="202"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short sales of the Company’s stock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where a person borrows shares of the Company’s stock, sells them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then purchases stock at a later date to replace the borrowed stock);</w:t>
      </w:r>
    </w:p>
    <w:p>
      <w:pPr>
        <w:spacing w:after="0" w:line="150"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loaning shares of the Company’s stock through a brokerage or otherwise in order to facilitate the short sales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persons;</w:t>
      </w:r>
    </w:p>
    <w:p>
      <w:pPr>
        <w:spacing w:after="0" w:line="154" w:lineRule="exact"/>
        <w:rPr>
          <w:sz w:val="20"/>
          <w:szCs w:val="20"/>
          <w:color w:val="auto"/>
        </w:rPr>
      </w:pPr>
    </w:p>
    <w:p>
      <w:pPr>
        <w:ind w:left="1500" w:hanging="758"/>
        <w:spacing w:after="0"/>
        <w:tabs>
          <w:tab w:leader="none" w:pos="150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writing, buying or selling options for the Company’s stock;</w:t>
      </w:r>
    </w:p>
    <w:p>
      <w:pPr>
        <w:spacing w:after="0" w:line="20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22"/>
          <w:szCs w:val="22"/>
          <w:color w:val="auto"/>
        </w:rPr>
        <w:t>pledging the Company’s stock as security or collateral for a loan or any other obligation; and</w:t>
      </w:r>
    </w:p>
    <w:p>
      <w:pPr>
        <w:spacing w:after="0" w:line="206"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22"/>
          <w:szCs w:val="22"/>
          <w:color w:val="auto"/>
        </w:rPr>
        <w:t>to the extent not otherwise referenced above, any other hedging transaction involving the Company’s stock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derivative security of the Company, or any other inherently speculative transaction involving the Company’s stock.</w:t>
      </w:r>
    </w:p>
    <w:p>
      <w:pPr>
        <w:spacing w:after="0" w:line="154" w:lineRule="exact"/>
        <w:rPr>
          <w:sz w:val="20"/>
          <w:szCs w:val="20"/>
          <w:color w:val="auto"/>
        </w:rPr>
      </w:pPr>
    </w:p>
    <w:p>
      <w:pPr>
        <w:ind w:right="1000"/>
        <w:spacing w:after="0" w:line="244" w:lineRule="auto"/>
        <w:rPr>
          <w:sz w:val="20"/>
          <w:szCs w:val="20"/>
          <w:color w:val="auto"/>
        </w:rPr>
      </w:pPr>
      <w:r>
        <w:rPr>
          <w:rFonts w:ascii="Times New Roman" w:cs="Times New Roman" w:eastAsia="Times New Roman" w:hAnsi="Times New Roman"/>
          <w:sz w:val="22"/>
          <w:szCs w:val="22"/>
          <w:color w:val="auto"/>
        </w:rPr>
        <w:t>The prohibition on these transactions also applies to members of the households of directors, officers, employees and consultants of the Company or its subsidiaries.</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471805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389" w:right="339" w:bottom="1440" w:gutter="0" w:footer="0" w:header="0"/>
        </w:sectPr>
      </w:pPr>
    </w:p>
    <w:bookmarkStart w:id="113" w:name="page114"/>
    <w:bookmarkEnd w:id="113"/>
    <w:p>
      <w:pPr>
        <w:jc w:val="right"/>
        <w:spacing w:after="0"/>
        <w:rPr>
          <w:sz w:val="20"/>
          <w:szCs w:val="20"/>
          <w:color w:val="auto"/>
        </w:rPr>
      </w:pPr>
      <w:r>
        <w:rPr>
          <w:rFonts w:ascii="Calibri" w:cs="Calibri" w:eastAsia="Calibri" w:hAnsi="Calibri"/>
          <w:sz w:val="20"/>
          <w:szCs w:val="20"/>
          <w:b w:val="1"/>
          <w:bCs w:val="1"/>
          <w:color w:val="auto"/>
        </w:rPr>
        <w:t>Exhibit 23.1</w:t>
      </w:r>
    </w:p>
    <w:p>
      <w:pPr>
        <w:spacing w:after="0" w:line="255"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CONSENT OF INDEPENDENT REGISTERED PUBLIC ACCOUNTING FIRM</w:t>
      </w:r>
    </w:p>
    <w:p>
      <w:pPr>
        <w:spacing w:after="0" w:line="186"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We consent to the incorporaton by reference in Registraton Statement Nos. 333-182457, 333-188790, 333-213366, 333-225428, 333-226648, and 333-242367, and 333-274176 on Form S-8, and Registraton Statement No. 333-262981 on Form S-3 of our reports dated February 26, 2025, relatng to the fnancial statements of MannKind Corporaton and subsidiaries (“MannKind Corporaton”) and the efectveness of MannKind Corporaton’s internal control over fnancial reportng appearing in this Annual Report on Form 10-K of MannKind Corporaton for the year ended December 31, 2024.</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color w:val="auto"/>
        </w:rPr>
        <w:t>/s/ Deloite &amp; Touche LLP</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Los Angeles, CA</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1262380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Castagna, certify that:</w:t>
      </w:r>
    </w:p>
    <w:p>
      <w:pPr>
        <w:spacing w:after="0" w:line="225" w:lineRule="exact"/>
        <w:rPr>
          <w:sz w:val="20"/>
          <w:szCs w:val="20"/>
          <w:color w:val="auto"/>
        </w:rPr>
      </w:pPr>
    </w:p>
    <w:p>
      <w:pPr>
        <w:ind w:left="180" w:hanging="172"/>
        <w:spacing w:after="0"/>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MannKind Corporation;</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0" w:firstLine="8"/>
        <w:spacing w:after="0" w:line="282"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right="140" w:firstLine="8"/>
        <w:spacing w:after="0" w:line="266" w:lineRule="auto"/>
        <w:tabs>
          <w:tab w:leader="none" w:pos="2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00" w:firstLine="8"/>
        <w:spacing w:after="0" w:line="282" w:lineRule="auto"/>
        <w:tabs>
          <w:tab w:leader="none" w:pos="2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300" w:firstLine="8"/>
        <w:spacing w:after="0" w:line="266"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60" w:firstLine="8"/>
        <w:spacing w:after="0" w:line="282" w:lineRule="auto"/>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40" w:firstLine="8"/>
        <w:spacing w:after="0" w:line="282" w:lineRule="auto"/>
        <w:tabs>
          <w:tab w:leader="none" w:pos="2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B. Prentiss, certify that:</w:t>
      </w:r>
    </w:p>
    <w:p>
      <w:pPr>
        <w:spacing w:after="0" w:line="225" w:lineRule="exact"/>
        <w:rPr>
          <w:sz w:val="20"/>
          <w:szCs w:val="20"/>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MannKind Corporation;</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0" w:firstLine="8"/>
        <w:spacing w:after="0" w:line="282"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right="140" w:firstLine="8"/>
        <w:spacing w:after="0" w:line="266" w:lineRule="auto"/>
        <w:tabs>
          <w:tab w:leader="none" w:pos="2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00" w:firstLine="8"/>
        <w:spacing w:after="0" w:line="282" w:lineRule="auto"/>
        <w:tabs>
          <w:tab w:leader="none" w:pos="2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300" w:firstLine="8"/>
        <w:spacing w:after="0" w:line="266"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60" w:firstLine="8"/>
        <w:spacing w:after="0" w:line="282"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40" w:firstLine="8"/>
        <w:spacing w:after="0" w:line="282" w:lineRule="auto"/>
        <w:tabs>
          <w:tab w:leader="none" w:pos="2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Christopher B. Prentiss</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Christopher B.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r>
        <w:rPr>
          <w:rFonts w:ascii="Times New Roman" w:cs="Times New Roman" w:eastAsia="Times New Roman" w:hAnsi="Times New Roman"/>
          <w:sz w:val="24"/>
          <w:szCs w:val="24"/>
          <w:b w:val="1"/>
          <w:bCs w:val="1"/>
          <w:color w:val="auto"/>
          <w:vertAlign w:val="superscript"/>
        </w:rPr>
        <w:t>1</w:t>
      </w:r>
    </w:p>
    <w:p>
      <w:pPr>
        <w:spacing w:after="0" w:line="16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68" w:lineRule="exact"/>
        <w:rPr>
          <w:sz w:val="20"/>
          <w:szCs w:val="20"/>
          <w:color w:val="auto"/>
        </w:rPr>
      </w:pPr>
    </w:p>
    <w:p>
      <w:pPr>
        <w:ind w:left="520" w:right="140" w:hanging="512"/>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2024, to which this Certification is attached as Exhibit 32.1 (the “Annual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26th day of February, 2025.</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8289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90309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520" w:right="180" w:hanging="512"/>
        <w:spacing w:after="0" w:line="236" w:lineRule="auto"/>
        <w:tabs>
          <w:tab w:leader="none" w:pos="520" w:val="left"/>
        </w:tabs>
        <w:numPr>
          <w:ilvl w:val="0"/>
          <w:numId w:val="6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r>
        <w:rPr>
          <w:rFonts w:ascii="Times New Roman" w:cs="Times New Roman" w:eastAsia="Times New Roman" w:hAnsi="Times New Roman"/>
          <w:sz w:val="24"/>
          <w:szCs w:val="24"/>
          <w:b w:val="1"/>
          <w:bCs w:val="1"/>
          <w:color w:val="auto"/>
          <w:vertAlign w:val="superscript"/>
        </w:rPr>
        <w:t>1</w:t>
      </w:r>
    </w:p>
    <w:p>
      <w:pPr>
        <w:spacing w:after="0" w:line="16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or Rule 15d-14(b) of the Securities Exchange Act of 1934, as amended (the “Exchange Act”), and Section 1350 of Chapter 63 of Title 18 of the United States Code (18 U.S.C. §1350), Christopher B. Prentiss, Chief Financial Officer of MannKind Corporation (the “Company”), hereby certifies that, to the best of his knowledge:</w:t>
      </w:r>
    </w:p>
    <w:p>
      <w:pPr>
        <w:spacing w:after="0" w:line="68" w:lineRule="exact"/>
        <w:rPr>
          <w:sz w:val="20"/>
          <w:szCs w:val="20"/>
          <w:color w:val="auto"/>
        </w:rPr>
      </w:pPr>
    </w:p>
    <w:p>
      <w:pPr>
        <w:ind w:left="520" w:right="140" w:hanging="512"/>
        <w:spacing w:after="0" w:line="282"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2024, to which this Certification is attached as Exhibit 32.2 (the “Annual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26th day of February, 2025.</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B.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82892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B. Prentiss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90309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520" w:right="180" w:hanging="512"/>
        <w:spacing w:after="0" w:line="236" w:lineRule="auto"/>
        <w:tabs>
          <w:tab w:leader="none" w:pos="520" w:val="left"/>
        </w:tabs>
        <w:numPr>
          <w:ilvl w:val="0"/>
          <w:numId w:val="7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18" w:name="page119"/>
    <w:bookmarkEnd w:id="1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1)"/>
      <w:numFmt w:val="decimal"/>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1)"/>
      <w:numFmt w:val="decimal"/>
      <w:start w:val="2"/>
    </w:lvl>
  </w:abstractNum>
  <w:abstractNum w:abstractNumId="30">
    <w:nsid w:val="3DC240FB"/>
    <w:multiLevelType w:val="hybridMultilevel"/>
    <w:lvl w:ilvl="0">
      <w:lvlJc w:val="left"/>
      <w:lvlText w:val="(%1)"/>
      <w:numFmt w:val="lowerLetter"/>
      <w:start w:val="1"/>
    </w:lvl>
  </w:abstractNum>
  <w:abstractNum w:abstractNumId="31">
    <w:nsid w:val="1BA026FA"/>
    <w:multiLevelType w:val="hybridMultilevel"/>
    <w:lvl w:ilvl="0">
      <w:lvlJc w:val="left"/>
      <w:lvlText w:val="(%1)"/>
      <w:numFmt w:val="lowerLetter"/>
      <w:start w:val="1"/>
    </w:lvl>
  </w:abstractNum>
  <w:abstractNum w:abstractNumId="32">
    <w:nsid w:val="79A1DEAA"/>
    <w:multiLevelType w:val="hybridMultilevel"/>
    <w:lvl w:ilvl="0">
      <w:lvlJc w:val="left"/>
      <w:lvlText w:val="%1"/>
      <w:numFmt w:val="lowerLetter"/>
      <w:start w:val="1"/>
    </w:lvl>
    <w:lvl w:ilvl="1">
      <w:lvlJc w:val="left"/>
      <w:lvlText w:val="(%2)"/>
      <w:numFmt w:val="decimal"/>
      <w:start w:val="3"/>
    </w:lvl>
  </w:abstractNum>
  <w:abstractNum w:abstractNumId="33">
    <w:nsid w:val="75C6C33A"/>
    <w:multiLevelType w:val="hybridMultilevel"/>
    <w:lvl w:ilvl="0">
      <w:lvlJc w:val="left"/>
      <w:lvlText w:val="(%1)"/>
      <w:numFmt w:val="lowerLetter"/>
      <w:start w:val="2"/>
    </w:lvl>
    <w:lvl w:ilvl="1">
      <w:lvlJc w:val="left"/>
      <w:lvlText w:val="%2"/>
      <w:numFmt w:val="decimal"/>
      <w:start w:val="1"/>
    </w:lvl>
  </w:abstractNum>
  <w:abstractNum w:abstractNumId="34">
    <w:nsid w:val="12E685FB"/>
    <w:multiLevelType w:val="hybridMultilevel"/>
    <w:lvl w:ilvl="0">
      <w:lvlJc w:val="left"/>
      <w:lvlText w:val="%1"/>
      <w:numFmt w:val="decimal"/>
      <w:start w:val="97"/>
    </w:lvl>
  </w:abstractNum>
  <w:abstractNum w:abstractNumId="35">
    <w:nsid w:val="70C6A529"/>
    <w:multiLevelType w:val="hybridMultilevel"/>
    <w:lvl w:ilvl="0">
      <w:lvlJc w:val="left"/>
      <w:lvlText w:val="*"/>
      <w:numFmt w:val="bullet"/>
      <w:start w:val="1"/>
    </w:lvl>
    <w:lvl w:ilvl="1">
      <w:lvlJc w:val="left"/>
      <w:lvlText w:val="%2"/>
      <w:numFmt w:val="decimal"/>
      <w:start w:val="101"/>
    </w:lvl>
  </w:abstractNum>
  <w:abstractNum w:abstractNumId="36">
    <w:nsid w:val="520EEDD1"/>
    <w:multiLevelType w:val="hybridMultilevel"/>
    <w:lvl w:ilvl="0">
      <w:lvlJc w:val="left"/>
      <w:lvlText w:val="*"/>
      <w:numFmt w:val="bullet"/>
      <w:start w:val="1"/>
    </w:lvl>
    <w:lvl w:ilvl="1">
      <w:lvlJc w:val="left"/>
      <w:lvlText w:val="%2"/>
      <w:numFmt w:val="decimal"/>
      <w:start w:val="104"/>
    </w:lvl>
  </w:abstractNum>
  <w:abstractNum w:abstractNumId="37">
    <w:nsid w:val="374A3FE6"/>
    <w:multiLevelType w:val="hybridMultilevel"/>
    <w:lvl w:ilvl="0">
      <w:lvlJc w:val="left"/>
      <w:lvlText w:val="**"/>
      <w:numFmt w:val="bullet"/>
      <w:start w:val="1"/>
    </w:lvl>
    <w:lvl w:ilvl="1">
      <w:lvlJc w:val="left"/>
      <w:lvlText w:val="%2"/>
      <w:numFmt w:val="decimal"/>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1"/>
      <w:numFmt w:val="decimal"/>
      <w:start w:val="1"/>
    </w:lvl>
    <w:lvl w:ilvl="1">
      <w:lvlJc w:val="left"/>
      <w:lvlText w:val="(%2)"/>
      <w:numFmt w:val="decimal"/>
      <w:start w:val="1"/>
    </w:lvl>
  </w:abstractNum>
  <w:abstractNum w:abstractNumId="40">
    <w:nsid w:val="649BB77C"/>
    <w:multiLevelType w:val="hybridMultilevel"/>
    <w:lvl w:ilvl="0">
      <w:lvlJc w:val="left"/>
      <w:lvlText w:val="%1."/>
      <w:numFmt w:val="decimal"/>
      <w:start w:val="2"/>
    </w:lvl>
    <w:lvl w:ilvl="1">
      <w:lvlJc w:val="left"/>
      <w:lvlText w:val="%2"/>
      <w:numFmt w:val="decimal"/>
      <w:start w:val="1"/>
    </w:lvl>
  </w:abstractNum>
  <w:abstractNum w:abstractNumId="41">
    <w:nsid w:val="275AC794"/>
    <w:multiLevelType w:val="hybridMultilevel"/>
    <w:lvl w:ilvl="0">
      <w:lvlJc w:val="left"/>
      <w:lvlText w:val="(%1)"/>
      <w:numFmt w:val="decimal"/>
      <w:start w:val="1"/>
    </w:lvl>
  </w:abstractNum>
  <w:abstractNum w:abstractNumId="42">
    <w:nsid w:val="39386575"/>
    <w:multiLevelType w:val="hybridMultilevel"/>
    <w:lvl w:ilvl="0">
      <w:lvlJc w:val="left"/>
      <w:lvlText w:val="(%1)"/>
      <w:numFmt w:val="decimal"/>
      <w:start w:val="1"/>
    </w:lvl>
  </w:abstractNum>
  <w:abstractNum w:abstractNumId="43">
    <w:nsid w:val="1CF10FD8"/>
    <w:multiLevelType w:val="hybridMultilevel"/>
    <w:lvl w:ilvl="0">
      <w:lvlJc w:val="left"/>
      <w:lvlText w:val="(%1)"/>
      <w:numFmt w:val="decimal"/>
      <w:start w:val="1"/>
    </w:lvl>
  </w:abstractNum>
  <w:abstractNum w:abstractNumId="44">
    <w:nsid w:val="180115BE"/>
    <w:multiLevelType w:val="hybridMultilevel"/>
    <w:lvl w:ilvl="0">
      <w:lvlJc w:val="left"/>
      <w:lvlText w:val="(%1)"/>
      <w:numFmt w:val="decimal"/>
      <w:start w:val="2"/>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1)"/>
      <w:numFmt w:val="decimal"/>
      <w:start w:val="1"/>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decimal"/>
      <w:start w:val="1"/>
    </w:lvl>
  </w:abstractNum>
  <w:abstractNum w:abstractNumId="54">
    <w:nsid w:val="7E0C57B1"/>
    <w:multiLevelType w:val="hybridMultilevel"/>
    <w:lvl w:ilvl="0">
      <w:lvlJc w:val="left"/>
      <w:lvlText w:val="(%1)"/>
      <w:numFmt w:val="lowerLetter"/>
      <w:start w:val="1"/>
    </w:lvl>
  </w:abstractNum>
  <w:abstractNum w:abstractNumId="55">
    <w:nsid w:val="77AE35EB"/>
    <w:multiLevelType w:val="hybridMultilevel"/>
    <w:lvl w:ilvl="0">
      <w:lvlJc w:val="left"/>
      <w:lvlText w:val="(%1)"/>
      <w:numFmt w:val="lowerLetter"/>
      <w:start w:val="8"/>
    </w:lvl>
  </w:abstractNum>
  <w:abstractNum w:abstractNumId="56">
    <w:nsid w:val="579BE4F1"/>
    <w:multiLevelType w:val="hybridMultilevel"/>
    <w:lvl w:ilvl="0">
      <w:lvlJc w:val="left"/>
      <w:lvlText w:val="(%1)"/>
      <w:numFmt w:val="lowerLetter"/>
      <w:start w:val="2"/>
    </w:lvl>
  </w:abstractNum>
  <w:abstractNum w:abstractNumId="57">
    <w:nsid w:val="310C50B3"/>
    <w:multiLevelType w:val="hybridMultilevel"/>
    <w:lvl w:ilvl="0">
      <w:lvlJc w:val="left"/>
      <w:lvlText w:val="(%1)"/>
      <w:numFmt w:val="lowerLetter"/>
      <w:start w:val="5"/>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1)"/>
      <w:numFmt w:val="lowerLetter"/>
      <w:start w:val="1"/>
    </w:lvl>
  </w:abstractNum>
  <w:abstractNum w:abstractNumId="60">
    <w:nsid w:val="25A70BF7"/>
    <w:multiLevelType w:val="hybridMultilevel"/>
    <w:lvl w:ilvl="0">
      <w:lvlJc w:val="left"/>
      <w:lvlText w:val="%1."/>
      <w:numFmt w:val="decimal"/>
      <w:start w:val="5"/>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decimal"/>
      <w:start w:val="5"/>
    </w:lvl>
  </w:abstractNum>
  <w:abstractNum w:abstractNumId="65">
    <w:nsid w:val="5DB70AE5"/>
    <w:multiLevelType w:val="hybridMultilevel"/>
    <w:lvl w:ilvl="0">
      <w:lvlJc w:val="left"/>
      <w:lvlText w:val="(%1)"/>
      <w:numFmt w:val="lowerLetter"/>
      <w:start w:val="1"/>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1."/>
      <w:numFmt w:val="decimal"/>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3" Type="http://schemas.openxmlformats.org/officeDocument/2006/relationships/image" Target="media/image101.png"/><Relationship Id="rId154" Type="http://schemas.openxmlformats.org/officeDocument/2006/relationships/image" Target="media/image102.png"/><Relationship Id="rId155"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1" Type="http://schemas.openxmlformats.org/officeDocument/2006/relationships/image" Target="media/image107.png"/><Relationship Id="rId162" Type="http://schemas.openxmlformats.org/officeDocument/2006/relationships/image" Target="media/image108.png"/><Relationship Id="rId163" Type="http://schemas.openxmlformats.org/officeDocument/2006/relationships/image" Target="media/image109.png"/><Relationship Id="rId165" Type="http://schemas.openxmlformats.org/officeDocument/2006/relationships/image" Target="media/image110.png"/><Relationship Id="rId166" Type="http://schemas.openxmlformats.org/officeDocument/2006/relationships/image" Target="media/image111.png"/><Relationship Id="rId167" Type="http://schemas.openxmlformats.org/officeDocument/2006/relationships/image" Target="media/image112.png"/><Relationship Id="rId169" Type="http://schemas.openxmlformats.org/officeDocument/2006/relationships/image" Target="media/image113.png"/><Relationship Id="rId170" Type="http://schemas.openxmlformats.org/officeDocument/2006/relationships/image" Target="media/image114.png"/><Relationship Id="rId172" Type="http://schemas.openxmlformats.org/officeDocument/2006/relationships/image" Target="media/image115.png"/><Relationship Id="rId173" Type="http://schemas.openxmlformats.org/officeDocument/2006/relationships/image" Target="media/image116.png"/><Relationship Id="rId174" Type="http://schemas.openxmlformats.org/officeDocument/2006/relationships/image" Target="media/image117.png"/><Relationship Id="rId176" Type="http://schemas.openxmlformats.org/officeDocument/2006/relationships/image" Target="media/image118.png"/><Relationship Id="rId177"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90"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96" Type="http://schemas.openxmlformats.org/officeDocument/2006/relationships/image" Target="media/image136.png"/><Relationship Id="rId197" Type="http://schemas.openxmlformats.org/officeDocument/2006/relationships/image" Target="media/image137.png"/><Relationship Id="rId198" Type="http://schemas.openxmlformats.org/officeDocument/2006/relationships/image" Target="media/image138.png"/><Relationship Id="rId199" Type="http://schemas.openxmlformats.org/officeDocument/2006/relationships/image" Target="media/image139.png"/><Relationship Id="rId200" Type="http://schemas.openxmlformats.org/officeDocument/2006/relationships/image" Target="media/image140.png"/><Relationship Id="rId201" Type="http://schemas.openxmlformats.org/officeDocument/2006/relationships/image" Target="media/image141.png"/><Relationship Id="rId202" Type="http://schemas.openxmlformats.org/officeDocument/2006/relationships/image" Target="media/image142.png"/><Relationship Id="rId203" Type="http://schemas.openxmlformats.org/officeDocument/2006/relationships/image" Target="media/image143.png"/><Relationship Id="rId204" Type="http://schemas.openxmlformats.org/officeDocument/2006/relationships/image" Target="media/image144.png"/><Relationship Id="rId205" Type="http://schemas.openxmlformats.org/officeDocument/2006/relationships/image" Target="media/image145.png"/><Relationship Id="rId206" Type="http://schemas.openxmlformats.org/officeDocument/2006/relationships/image" Target="media/image146.png"/><Relationship Id="rId207" Type="http://schemas.openxmlformats.org/officeDocument/2006/relationships/image" Target="media/image147.png"/><Relationship Id="rId208" Type="http://schemas.openxmlformats.org/officeDocument/2006/relationships/image" Target="media/image148.png"/><Relationship Id="rId209" Type="http://schemas.openxmlformats.org/officeDocument/2006/relationships/image" Target="media/image149.png"/><Relationship Id="rId210" Type="http://schemas.openxmlformats.org/officeDocument/2006/relationships/image" Target="media/image150.png"/><Relationship Id="rId211" Type="http://schemas.openxmlformats.org/officeDocument/2006/relationships/image" Target="media/image151.png"/><Relationship Id="rId212" Type="http://schemas.openxmlformats.org/officeDocument/2006/relationships/image" Target="media/image152.png"/><Relationship Id="rId213" Type="http://schemas.openxmlformats.org/officeDocument/2006/relationships/image" Target="media/image153.png"/><Relationship Id="rId214" Type="http://schemas.openxmlformats.org/officeDocument/2006/relationships/image" Target="media/image154.png"/><Relationship Id="rId215" Type="http://schemas.openxmlformats.org/officeDocument/2006/relationships/image" Target="media/image155.png"/><Relationship Id="rId216" Type="http://schemas.openxmlformats.org/officeDocument/2006/relationships/image" Target="media/image156.png"/><Relationship Id="rId217" Type="http://schemas.openxmlformats.org/officeDocument/2006/relationships/image" Target="media/image157.png"/><Relationship Id="rId218" Type="http://schemas.openxmlformats.org/officeDocument/2006/relationships/image" Target="media/image158.png"/><Relationship Id="rId219" Type="http://schemas.openxmlformats.org/officeDocument/2006/relationships/image" Target="media/image159.png"/><Relationship Id="rId220" Type="http://schemas.openxmlformats.org/officeDocument/2006/relationships/image" Target="media/image160.png"/><Relationship Id="rId221" Type="http://schemas.openxmlformats.org/officeDocument/2006/relationships/image" Target="media/image161.png"/><Relationship Id="rId222" Type="http://schemas.openxmlformats.org/officeDocument/2006/relationships/image" Target="media/image162.png"/><Relationship Id="rId223" Type="http://schemas.openxmlformats.org/officeDocument/2006/relationships/image" Target="media/image163.png"/><Relationship Id="rId224" Type="http://schemas.openxmlformats.org/officeDocument/2006/relationships/image" Target="media/image164.png"/><Relationship Id="rId225" Type="http://schemas.openxmlformats.org/officeDocument/2006/relationships/image" Target="media/image165.png"/><Relationship Id="rId226" Type="http://schemas.openxmlformats.org/officeDocument/2006/relationships/image" Target="media/image166.png"/><Relationship Id="rId227" Type="http://schemas.openxmlformats.org/officeDocument/2006/relationships/image" Target="media/image167.png"/><Relationship Id="rId228" Type="http://schemas.openxmlformats.org/officeDocument/2006/relationships/image" Target="media/image168.png"/><Relationship Id="rId229" Type="http://schemas.openxmlformats.org/officeDocument/2006/relationships/image" Target="media/image169.png"/><Relationship Id="rId230" Type="http://schemas.openxmlformats.org/officeDocument/2006/relationships/image" Target="media/image170.png"/><Relationship Id="rId231" Type="http://schemas.openxmlformats.org/officeDocument/2006/relationships/image" Target="media/image171.png"/><Relationship Id="rId232" Type="http://schemas.openxmlformats.org/officeDocument/2006/relationships/image" Target="media/image172.png"/><Relationship Id="rId233" Type="http://schemas.openxmlformats.org/officeDocument/2006/relationships/image" Target="media/image173.png"/><Relationship Id="rId234" Type="http://schemas.openxmlformats.org/officeDocument/2006/relationships/image" Target="media/image174.png"/><Relationship Id="rId235" Type="http://schemas.openxmlformats.org/officeDocument/2006/relationships/image" Target="media/image175.png"/><Relationship Id="rId236" Type="http://schemas.openxmlformats.org/officeDocument/2006/relationships/image" Target="media/image176.png"/><Relationship Id="rId237" Type="http://schemas.openxmlformats.org/officeDocument/2006/relationships/image" Target="media/image177.png"/><Relationship Id="rId238" Type="http://schemas.openxmlformats.org/officeDocument/2006/relationships/image" Target="media/image178.png"/><Relationship Id="rId239" Type="http://schemas.openxmlformats.org/officeDocument/2006/relationships/image" Target="media/image179.png"/><Relationship Id="rId240" Type="http://schemas.openxmlformats.org/officeDocument/2006/relationships/image" Target="media/image180.png"/><Relationship Id="rId241" Type="http://schemas.openxmlformats.org/officeDocument/2006/relationships/image" Target="media/image181.png"/><Relationship Id="rId242" Type="http://schemas.openxmlformats.org/officeDocument/2006/relationships/image" Target="media/image182.png"/><Relationship Id="rId243" Type="http://schemas.openxmlformats.org/officeDocument/2006/relationships/image" Target="media/image183.png"/><Relationship Id="rId244" Type="http://schemas.openxmlformats.org/officeDocument/2006/relationships/image" Target="media/image184.png"/><Relationship Id="rId245" Type="http://schemas.openxmlformats.org/officeDocument/2006/relationships/image" Target="media/image185.png"/><Relationship Id="rId246" Type="http://schemas.openxmlformats.org/officeDocument/2006/relationships/image" Target="media/image186.png"/><Relationship Id="rId247" Type="http://schemas.openxmlformats.org/officeDocument/2006/relationships/image" Target="media/image187.png"/><Relationship Id="rId248" Type="http://schemas.openxmlformats.org/officeDocument/2006/relationships/image" Target="media/image188.png"/><Relationship Id="rId249" Type="http://schemas.openxmlformats.org/officeDocument/2006/relationships/image" Target="media/image189.png"/><Relationship Id="rId250" Type="http://schemas.openxmlformats.org/officeDocument/2006/relationships/image" Target="media/image190.png"/><Relationship Id="rId251" Type="http://schemas.openxmlformats.org/officeDocument/2006/relationships/image" Target="media/image191.png"/><Relationship Id="rId252" Type="http://schemas.openxmlformats.org/officeDocument/2006/relationships/image" Target="media/image192.png"/><Relationship Id="rId253" Type="http://schemas.openxmlformats.org/officeDocument/2006/relationships/image" Target="media/image193.png"/><Relationship Id="rId254" Type="http://schemas.openxmlformats.org/officeDocument/2006/relationships/image" Target="media/image194.png"/><Relationship Id="rId255" Type="http://schemas.openxmlformats.org/officeDocument/2006/relationships/image" Target="media/image195.png"/><Relationship Id="rId256" Type="http://schemas.openxmlformats.org/officeDocument/2006/relationships/image" Target="media/image196.png"/><Relationship Id="rId257" Type="http://schemas.openxmlformats.org/officeDocument/2006/relationships/image" Target="media/image197.png"/><Relationship Id="rId258" Type="http://schemas.openxmlformats.org/officeDocument/2006/relationships/image" Target="media/image198.png"/><Relationship Id="rId259" Type="http://schemas.openxmlformats.org/officeDocument/2006/relationships/image" Target="media/image199.png"/><Relationship Id="rId260" Type="http://schemas.openxmlformats.org/officeDocument/2006/relationships/image" Target="media/image200.png"/><Relationship Id="rId261" Type="http://schemas.openxmlformats.org/officeDocument/2006/relationships/image" Target="media/image201.png"/><Relationship Id="rId262" Type="http://schemas.openxmlformats.org/officeDocument/2006/relationships/image" Target="media/image202.png"/><Relationship Id="rId263" Type="http://schemas.openxmlformats.org/officeDocument/2006/relationships/image" Target="media/image203.png"/><Relationship Id="rId264" Type="http://schemas.openxmlformats.org/officeDocument/2006/relationships/image" Target="media/image204.png"/><Relationship Id="rId265" Type="http://schemas.openxmlformats.org/officeDocument/2006/relationships/image" Target="media/image205.png"/><Relationship Id="rId266" Type="http://schemas.openxmlformats.org/officeDocument/2006/relationships/image" Target="media/image206.png"/><Relationship Id="rId267" Type="http://schemas.openxmlformats.org/officeDocument/2006/relationships/image" Target="media/image207.png"/><Relationship Id="rId268" Type="http://schemas.openxmlformats.org/officeDocument/2006/relationships/image" Target="media/image208.png"/><Relationship Id="rId269" Type="http://schemas.openxmlformats.org/officeDocument/2006/relationships/image" Target="media/image209.png"/><Relationship Id="rId270" Type="http://schemas.openxmlformats.org/officeDocument/2006/relationships/image" Target="media/image210.png"/><Relationship Id="rId271" Type="http://schemas.openxmlformats.org/officeDocument/2006/relationships/image" Target="media/image211.png"/><Relationship Id="rId272" Type="http://schemas.openxmlformats.org/officeDocument/2006/relationships/image" Target="media/image212.png"/><Relationship Id="rId273" Type="http://schemas.openxmlformats.org/officeDocument/2006/relationships/image" Target="media/image213.png"/><Relationship Id="rId274" Type="http://schemas.openxmlformats.org/officeDocument/2006/relationships/image" Target="media/image214.png"/><Relationship Id="rId275" Type="http://schemas.openxmlformats.org/officeDocument/2006/relationships/image" Target="media/image215.png"/><Relationship Id="rId276" Type="http://schemas.openxmlformats.org/officeDocument/2006/relationships/image" Target="media/image216.png"/><Relationship Id="rId277" Type="http://schemas.openxmlformats.org/officeDocument/2006/relationships/image" Target="media/image217.png"/><Relationship Id="rId278" Type="http://schemas.openxmlformats.org/officeDocument/2006/relationships/image" Target="media/image218.png"/><Relationship Id="rId279" Type="http://schemas.openxmlformats.org/officeDocument/2006/relationships/image" Target="media/image219.png"/><Relationship Id="rId280" Type="http://schemas.openxmlformats.org/officeDocument/2006/relationships/image" Target="media/image220.png"/><Relationship Id="rId281" Type="http://schemas.openxmlformats.org/officeDocument/2006/relationships/image" Target="media/image221.png"/><Relationship Id="rId282" Type="http://schemas.openxmlformats.org/officeDocument/2006/relationships/image" Target="media/image222.png"/><Relationship Id="rId283" Type="http://schemas.openxmlformats.org/officeDocument/2006/relationships/image" Target="media/image223.png"/><Relationship Id="rId284" Type="http://schemas.openxmlformats.org/officeDocument/2006/relationships/image" Target="media/image224.png"/><Relationship Id="rId285" Type="http://schemas.openxmlformats.org/officeDocument/2006/relationships/image" Target="media/image225.png"/><Relationship Id="rId286" Type="http://schemas.openxmlformats.org/officeDocument/2006/relationships/image" Target="media/image226.png"/><Relationship Id="rId287" Type="http://schemas.openxmlformats.org/officeDocument/2006/relationships/image" Target="media/image227.png"/><Relationship Id="rId288" Type="http://schemas.openxmlformats.org/officeDocument/2006/relationships/image" Target="media/image228.png"/><Relationship Id="rId289" Type="http://schemas.openxmlformats.org/officeDocument/2006/relationships/image" Target="media/image229.png"/><Relationship Id="rId290" Type="http://schemas.openxmlformats.org/officeDocument/2006/relationships/image" Target="media/image230.png"/><Relationship Id="rId291" Type="http://schemas.openxmlformats.org/officeDocument/2006/relationships/image" Target="media/image231.png"/><Relationship Id="rId292" Type="http://schemas.openxmlformats.org/officeDocument/2006/relationships/image" Target="media/image232.png"/><Relationship Id="rId293" Type="http://schemas.openxmlformats.org/officeDocument/2006/relationships/image" Target="media/image233.png"/><Relationship Id="rId294" Type="http://schemas.openxmlformats.org/officeDocument/2006/relationships/image" Target="media/image234.png"/><Relationship Id="rId295" Type="http://schemas.openxmlformats.org/officeDocument/2006/relationships/image" Target="media/image235.png"/><Relationship Id="rId296" Type="http://schemas.openxmlformats.org/officeDocument/2006/relationships/image" Target="media/image236.png"/><Relationship Id="rId297" Type="http://schemas.openxmlformats.org/officeDocument/2006/relationships/image" Target="media/image237.png"/><Relationship Id="rId298" Type="http://schemas.openxmlformats.org/officeDocument/2006/relationships/image" Target="media/image238.png"/><Relationship Id="rId299" Type="http://schemas.openxmlformats.org/officeDocument/2006/relationships/image" Target="media/image239.png"/><Relationship Id="rId300" Type="http://schemas.openxmlformats.org/officeDocument/2006/relationships/image" Target="media/image240.png"/><Relationship Id="rId301" Type="http://schemas.openxmlformats.org/officeDocument/2006/relationships/image" Target="media/image241.png"/><Relationship Id="rId302" Type="http://schemas.openxmlformats.org/officeDocument/2006/relationships/image" Target="media/image242.png"/><Relationship Id="rId303" Type="http://schemas.openxmlformats.org/officeDocument/2006/relationships/image" Target="media/image243.png"/><Relationship Id="rId304" Type="http://schemas.openxmlformats.org/officeDocument/2006/relationships/image" Target="media/image244.png"/><Relationship Id="rId305" Type="http://schemas.openxmlformats.org/officeDocument/2006/relationships/image" Target="media/image245.png"/><Relationship Id="rId306" Type="http://schemas.openxmlformats.org/officeDocument/2006/relationships/image" Target="media/image246.png"/><Relationship Id="rId307" Type="http://schemas.openxmlformats.org/officeDocument/2006/relationships/image" Target="media/image247.png"/><Relationship Id="rId308" Type="http://schemas.openxmlformats.org/officeDocument/2006/relationships/image" Target="media/image248.png"/><Relationship Id="rId309" Type="http://schemas.openxmlformats.org/officeDocument/2006/relationships/image" Target="media/image249.png"/><Relationship Id="rId310" Type="http://schemas.openxmlformats.org/officeDocument/2006/relationships/image" Target="media/image250.png"/><Relationship Id="rId311" Type="http://schemas.openxmlformats.org/officeDocument/2006/relationships/image" Target="media/image251.png"/><Relationship Id="rId312" Type="http://schemas.openxmlformats.org/officeDocument/2006/relationships/image" Target="media/image252.png"/><Relationship Id="rId313" Type="http://schemas.openxmlformats.org/officeDocument/2006/relationships/image" Target="media/image253.png"/><Relationship Id="rId314" Type="http://schemas.openxmlformats.org/officeDocument/2006/relationships/image" Target="media/image254.png"/><Relationship Id="rId315" Type="http://schemas.openxmlformats.org/officeDocument/2006/relationships/image" Target="media/image255.png"/><Relationship Id="rId316" Type="http://schemas.openxmlformats.org/officeDocument/2006/relationships/image" Target="media/image256.png"/><Relationship Id="rId317" Type="http://schemas.openxmlformats.org/officeDocument/2006/relationships/image" Target="media/image257.png"/><Relationship Id="rId318" Type="http://schemas.openxmlformats.org/officeDocument/2006/relationships/image" Target="media/image258.png"/><Relationship Id="rId319" Type="http://schemas.openxmlformats.org/officeDocument/2006/relationships/image" Target="media/image259.png"/><Relationship Id="rId320" Type="http://schemas.openxmlformats.org/officeDocument/2006/relationships/image" Target="media/image260.png"/><Relationship Id="rId321" Type="http://schemas.openxmlformats.org/officeDocument/2006/relationships/image" Target="media/image261.png"/><Relationship Id="rId322" Type="http://schemas.openxmlformats.org/officeDocument/2006/relationships/image" Target="media/image262.png"/><Relationship Id="rId323" Type="http://schemas.openxmlformats.org/officeDocument/2006/relationships/image" Target="media/image263.png"/><Relationship Id="rId324" Type="http://schemas.openxmlformats.org/officeDocument/2006/relationships/image" Target="media/image264.png"/><Relationship Id="rId325" Type="http://schemas.openxmlformats.org/officeDocument/2006/relationships/image" Target="media/image265.png"/><Relationship Id="rId326" Type="http://schemas.openxmlformats.org/officeDocument/2006/relationships/image" Target="media/image266.png"/><Relationship Id="rId327" Type="http://schemas.openxmlformats.org/officeDocument/2006/relationships/image" Target="media/image267.png"/><Relationship Id="rId328" Type="http://schemas.openxmlformats.org/officeDocument/2006/relationships/image" Target="media/image268.png"/><Relationship Id="rId329" Type="http://schemas.openxmlformats.org/officeDocument/2006/relationships/image" Target="media/image269.png"/><Relationship Id="rId330" Type="http://schemas.openxmlformats.org/officeDocument/2006/relationships/image" Target="media/image270.png"/><Relationship Id="rId331" Type="http://schemas.openxmlformats.org/officeDocument/2006/relationships/image" Target="media/image271.png"/><Relationship Id="rId332" Type="http://schemas.openxmlformats.org/officeDocument/2006/relationships/image" Target="media/image272.png"/><Relationship Id="rId333" Type="http://schemas.openxmlformats.org/officeDocument/2006/relationships/image" Target="media/image273.png"/><Relationship Id="rId334" Type="http://schemas.openxmlformats.org/officeDocument/2006/relationships/image" Target="media/image274.png"/><Relationship Id="rId335" Type="http://schemas.openxmlformats.org/officeDocument/2006/relationships/image" Target="media/image275.png"/><Relationship Id="rId336" Type="http://schemas.openxmlformats.org/officeDocument/2006/relationships/image" Target="media/image276.png"/><Relationship Id="rId337" Type="http://schemas.openxmlformats.org/officeDocument/2006/relationships/image" Target="media/image277.png"/><Relationship Id="rId338" Type="http://schemas.openxmlformats.org/officeDocument/2006/relationships/image" Target="media/image278.png"/><Relationship Id="rId339" Type="http://schemas.openxmlformats.org/officeDocument/2006/relationships/image" Target="media/image279.png"/><Relationship Id="rId340" Type="http://schemas.openxmlformats.org/officeDocument/2006/relationships/image" Target="media/image280.png"/><Relationship Id="rId341" Type="http://schemas.openxmlformats.org/officeDocument/2006/relationships/image" Target="media/image281.png"/><Relationship Id="rId342" Type="http://schemas.openxmlformats.org/officeDocument/2006/relationships/image" Target="media/image282.png"/><Relationship Id="rId343" Type="http://schemas.openxmlformats.org/officeDocument/2006/relationships/image" Target="media/image283.png"/><Relationship Id="rId344" Type="http://schemas.openxmlformats.org/officeDocument/2006/relationships/image" Target="media/image284.png"/><Relationship Id="rId345" Type="http://schemas.openxmlformats.org/officeDocument/2006/relationships/image" Target="media/image285.png"/><Relationship Id="rId346" Type="http://schemas.openxmlformats.org/officeDocument/2006/relationships/image" Target="media/image286.png"/><Relationship Id="rId347" Type="http://schemas.openxmlformats.org/officeDocument/2006/relationships/image" Target="media/image287.png"/><Relationship Id="rId348" Type="http://schemas.openxmlformats.org/officeDocument/2006/relationships/image" Target="media/image288.png"/><Relationship Id="rId349" Type="http://schemas.openxmlformats.org/officeDocument/2006/relationships/image" Target="media/image289.png"/><Relationship Id="rId350" Type="http://schemas.openxmlformats.org/officeDocument/2006/relationships/image" Target="media/image290.png"/><Relationship Id="rId351" Type="http://schemas.openxmlformats.org/officeDocument/2006/relationships/image" Target="media/image291.png"/><Relationship Id="rId352" Type="http://schemas.openxmlformats.org/officeDocument/2006/relationships/image" Target="media/image292.png"/><Relationship Id="rId353" Type="http://schemas.openxmlformats.org/officeDocument/2006/relationships/image" Target="media/image293.png"/><Relationship Id="rId354" Type="http://schemas.openxmlformats.org/officeDocument/2006/relationships/image" Target="media/image294.png"/><Relationship Id="rId355" Type="http://schemas.openxmlformats.org/officeDocument/2006/relationships/image" Target="media/image295.png"/><Relationship Id="rId356" Type="http://schemas.openxmlformats.org/officeDocument/2006/relationships/image" Target="media/image296.png"/><Relationship Id="rId357" Type="http://schemas.openxmlformats.org/officeDocument/2006/relationships/image" Target="media/image297.png"/><Relationship Id="rId358" Type="http://schemas.openxmlformats.org/officeDocument/2006/relationships/image" Target="media/image298.png"/><Relationship Id="rId359" Type="http://schemas.openxmlformats.org/officeDocument/2006/relationships/image" Target="media/image299.png"/><Relationship Id="rId360" Type="http://schemas.openxmlformats.org/officeDocument/2006/relationships/image" Target="media/image300.png"/><Relationship Id="rId361" Type="http://schemas.openxmlformats.org/officeDocument/2006/relationships/image" Target="media/image301.png"/><Relationship Id="rId362" Type="http://schemas.openxmlformats.org/officeDocument/2006/relationships/image" Target="media/image302.png"/><Relationship Id="rId363" Type="http://schemas.openxmlformats.org/officeDocument/2006/relationships/image" Target="media/image303.png"/><Relationship Id="rId364" Type="http://schemas.openxmlformats.org/officeDocument/2006/relationships/image" Target="media/image304.png"/><Relationship Id="rId365" Type="http://schemas.openxmlformats.org/officeDocument/2006/relationships/image" Target="media/image305.png"/><Relationship Id="rId366" Type="http://schemas.openxmlformats.org/officeDocument/2006/relationships/image" Target="media/image306.png"/><Relationship Id="rId367" Type="http://schemas.openxmlformats.org/officeDocument/2006/relationships/image" Target="media/image307.png"/><Relationship Id="rId368" Type="http://schemas.openxmlformats.org/officeDocument/2006/relationships/image" Target="media/image308.png"/><Relationship Id="rId369" Type="http://schemas.openxmlformats.org/officeDocument/2006/relationships/image" Target="media/image309.png"/><Relationship Id="rId370" Type="http://schemas.openxmlformats.org/officeDocument/2006/relationships/image" Target="media/image310.png"/><Relationship Id="rId371" Type="http://schemas.openxmlformats.org/officeDocument/2006/relationships/image" Target="media/image311.png"/><Relationship Id="rId372" Type="http://schemas.openxmlformats.org/officeDocument/2006/relationships/image" Target="media/image312.png"/><Relationship Id="rId373" Type="http://schemas.openxmlformats.org/officeDocument/2006/relationships/image" Target="media/image313.png"/><Relationship Id="rId374" Type="http://schemas.openxmlformats.org/officeDocument/2006/relationships/image" Target="media/image314.png"/><Relationship Id="rId375" Type="http://schemas.openxmlformats.org/officeDocument/2006/relationships/image" Target="media/image315.png"/><Relationship Id="rId376" Type="http://schemas.openxmlformats.org/officeDocument/2006/relationships/image" Target="media/image316.png"/><Relationship Id="rId377" Type="http://schemas.openxmlformats.org/officeDocument/2006/relationships/image" Target="media/image317.png"/><Relationship Id="rId378" Type="http://schemas.openxmlformats.org/officeDocument/2006/relationships/image" Target="media/image318.png"/><Relationship Id="rId379" Type="http://schemas.openxmlformats.org/officeDocument/2006/relationships/image" Target="media/image319.png"/><Relationship Id="rId380" Type="http://schemas.openxmlformats.org/officeDocument/2006/relationships/image" Target="media/image320.png"/><Relationship Id="rId381" Type="http://schemas.openxmlformats.org/officeDocument/2006/relationships/image" Target="media/image321.png"/><Relationship Id="rId382" Type="http://schemas.openxmlformats.org/officeDocument/2006/relationships/image" Target="media/image322.png"/><Relationship Id="rId383" Type="http://schemas.openxmlformats.org/officeDocument/2006/relationships/image" Target="media/image323.png"/><Relationship Id="rId384" Type="http://schemas.openxmlformats.org/officeDocument/2006/relationships/image" Target="media/image324.png"/><Relationship Id="rId385" Type="http://schemas.openxmlformats.org/officeDocument/2006/relationships/image" Target="media/image325.png"/><Relationship Id="rId386" Type="http://schemas.openxmlformats.org/officeDocument/2006/relationships/image" Target="media/image326.png"/><Relationship Id="rId387" Type="http://schemas.openxmlformats.org/officeDocument/2006/relationships/image" Target="media/image327.png"/><Relationship Id="rId388" Type="http://schemas.openxmlformats.org/officeDocument/2006/relationships/image" Target="media/image328.png"/><Relationship Id="rId389" Type="http://schemas.openxmlformats.org/officeDocument/2006/relationships/image" Target="media/image329.png"/><Relationship Id="rId390" Type="http://schemas.openxmlformats.org/officeDocument/2006/relationships/image" Target="media/image330.png"/><Relationship Id="rId391" Type="http://schemas.openxmlformats.org/officeDocument/2006/relationships/image" Target="media/image331.png"/><Relationship Id="rId392" Type="http://schemas.openxmlformats.org/officeDocument/2006/relationships/image" Target="media/image332.png"/><Relationship Id="rId393" Type="http://schemas.openxmlformats.org/officeDocument/2006/relationships/image" Target="media/image333.png"/><Relationship Id="rId394" Type="http://schemas.openxmlformats.org/officeDocument/2006/relationships/image" Target="media/image334.png"/><Relationship Id="rId395" Type="http://schemas.openxmlformats.org/officeDocument/2006/relationships/image" Target="media/image335.png"/><Relationship Id="rId396" Type="http://schemas.openxmlformats.org/officeDocument/2006/relationships/image" Target="media/image336.png"/><Relationship Id="rId397" Type="http://schemas.openxmlformats.org/officeDocument/2006/relationships/image" Target="media/image337.png"/><Relationship Id="rId398" Type="http://schemas.openxmlformats.org/officeDocument/2006/relationships/image" Target="media/image338.png"/><Relationship Id="rId399" Type="http://schemas.openxmlformats.org/officeDocument/2006/relationships/image" Target="media/image339.png"/><Relationship Id="rId400" Type="http://schemas.openxmlformats.org/officeDocument/2006/relationships/image" Target="media/image340.png"/><Relationship Id="rId401" Type="http://schemas.openxmlformats.org/officeDocument/2006/relationships/image" Target="media/image341.png"/><Relationship Id="rId402" Type="http://schemas.openxmlformats.org/officeDocument/2006/relationships/image" Target="media/image342.png"/><Relationship Id="rId403" Type="http://schemas.openxmlformats.org/officeDocument/2006/relationships/image" Target="media/image343.png"/><Relationship Id="rId404" Type="http://schemas.openxmlformats.org/officeDocument/2006/relationships/image" Target="media/image344.png"/><Relationship Id="rId405" Type="http://schemas.openxmlformats.org/officeDocument/2006/relationships/image" Target="media/image345.png"/><Relationship Id="rId406" Type="http://schemas.openxmlformats.org/officeDocument/2006/relationships/image" Target="media/image346.png"/><Relationship Id="rId407" Type="http://schemas.openxmlformats.org/officeDocument/2006/relationships/image" Target="media/image347.png"/><Relationship Id="rId408" Type="http://schemas.openxmlformats.org/officeDocument/2006/relationships/image" Target="media/image348.png"/><Relationship Id="rId409" Type="http://schemas.openxmlformats.org/officeDocument/2006/relationships/image" Target="media/image349.png"/><Relationship Id="rId410" Type="http://schemas.openxmlformats.org/officeDocument/2006/relationships/image" Target="media/image350.png"/><Relationship Id="rId411" Type="http://schemas.openxmlformats.org/officeDocument/2006/relationships/image" Target="media/image351.png"/><Relationship Id="rId412" Type="http://schemas.openxmlformats.org/officeDocument/2006/relationships/image" Target="media/image352.png"/><Relationship Id="rId413" Type="http://schemas.openxmlformats.org/officeDocument/2006/relationships/image" Target="media/image353.png"/><Relationship Id="rId414" Type="http://schemas.openxmlformats.org/officeDocument/2006/relationships/image" Target="media/image354.png"/><Relationship Id="rId415" Type="http://schemas.openxmlformats.org/officeDocument/2006/relationships/image" Target="media/image355.png"/><Relationship Id="rId416" Type="http://schemas.openxmlformats.org/officeDocument/2006/relationships/image" Target="media/image356.png"/><Relationship Id="rId417" Type="http://schemas.openxmlformats.org/officeDocument/2006/relationships/image" Target="media/image357.png"/><Relationship Id="rId418" Type="http://schemas.openxmlformats.org/officeDocument/2006/relationships/image" Target="media/image358.png"/><Relationship Id="rId419" Type="http://schemas.openxmlformats.org/officeDocument/2006/relationships/image" Target="media/image359.png"/><Relationship Id="rId420" Type="http://schemas.openxmlformats.org/officeDocument/2006/relationships/image" Target="media/image360.png"/><Relationship Id="rId421" Type="http://schemas.openxmlformats.org/officeDocument/2006/relationships/image" Target="media/image361.png"/><Relationship Id="rId422" Type="http://schemas.openxmlformats.org/officeDocument/2006/relationships/image" Target="media/image362.png"/><Relationship Id="rId423" Type="http://schemas.openxmlformats.org/officeDocument/2006/relationships/image" Target="media/image363.png"/><Relationship Id="rId424" Type="http://schemas.openxmlformats.org/officeDocument/2006/relationships/image" Target="media/image364.png"/><Relationship Id="rId425" Type="http://schemas.openxmlformats.org/officeDocument/2006/relationships/image" Target="media/image365.png"/><Relationship Id="rId426" Type="http://schemas.openxmlformats.org/officeDocument/2006/relationships/image" Target="media/image366.png"/><Relationship Id="rId427" Type="http://schemas.openxmlformats.org/officeDocument/2006/relationships/image" Target="media/image367.png"/><Relationship Id="rId428" Type="http://schemas.openxmlformats.org/officeDocument/2006/relationships/image" Target="media/image368.png"/><Relationship Id="rId429" Type="http://schemas.openxmlformats.org/officeDocument/2006/relationships/image" Target="media/image369.png"/><Relationship Id="rId430" Type="http://schemas.openxmlformats.org/officeDocument/2006/relationships/image" Target="media/image370.png"/><Relationship Id="rId431" Type="http://schemas.openxmlformats.org/officeDocument/2006/relationships/image" Target="media/image371.png"/><Relationship Id="rId432" Type="http://schemas.openxmlformats.org/officeDocument/2006/relationships/image" Target="media/image372.png"/><Relationship Id="rId433" Type="http://schemas.openxmlformats.org/officeDocument/2006/relationships/image" Target="media/image373.png"/><Relationship Id="rId434" Type="http://schemas.openxmlformats.org/officeDocument/2006/relationships/image" Target="media/image374.png"/><Relationship Id="rId435" Type="http://schemas.openxmlformats.org/officeDocument/2006/relationships/image" Target="media/image375.png"/><Relationship Id="rId436" Type="http://schemas.openxmlformats.org/officeDocument/2006/relationships/image" Target="media/image376.png"/><Relationship Id="rId437" Type="http://schemas.openxmlformats.org/officeDocument/2006/relationships/image" Target="media/image377.png"/><Relationship Id="rId438" Type="http://schemas.openxmlformats.org/officeDocument/2006/relationships/image" Target="media/image378.png"/><Relationship Id="rId439" Type="http://schemas.openxmlformats.org/officeDocument/2006/relationships/image" Target="media/image379.png"/><Relationship Id="rId440" Type="http://schemas.openxmlformats.org/officeDocument/2006/relationships/image" Target="media/image380.png"/><Relationship Id="rId441" Type="http://schemas.openxmlformats.org/officeDocument/2006/relationships/image" Target="media/image381.png"/><Relationship Id="rId442" Type="http://schemas.openxmlformats.org/officeDocument/2006/relationships/image" Target="media/image382.png"/><Relationship Id="rId443" Type="http://schemas.openxmlformats.org/officeDocument/2006/relationships/image" Target="media/image383.png"/><Relationship Id="rId444" Type="http://schemas.openxmlformats.org/officeDocument/2006/relationships/image" Target="media/image384.png"/><Relationship Id="rId445" Type="http://schemas.openxmlformats.org/officeDocument/2006/relationships/image" Target="media/image385.png"/><Relationship Id="rId446" Type="http://schemas.openxmlformats.org/officeDocument/2006/relationships/image" Target="media/image386.png"/><Relationship Id="rId447" Type="http://schemas.openxmlformats.org/officeDocument/2006/relationships/image" Target="media/image387.png"/><Relationship Id="rId448" Type="http://schemas.openxmlformats.org/officeDocument/2006/relationships/image" Target="media/image388.png"/><Relationship Id="rId449" Type="http://schemas.openxmlformats.org/officeDocument/2006/relationships/image" Target="media/image389.png"/><Relationship Id="rId450" Type="http://schemas.openxmlformats.org/officeDocument/2006/relationships/image" Target="media/image390.png"/><Relationship Id="rId451" Type="http://schemas.openxmlformats.org/officeDocument/2006/relationships/image" Target="media/image391.png"/><Relationship Id="rId452" Type="http://schemas.openxmlformats.org/officeDocument/2006/relationships/image" Target="media/image392.png"/><Relationship Id="rId453" Type="http://schemas.openxmlformats.org/officeDocument/2006/relationships/image" Target="media/image393.png"/><Relationship Id="rId454" Type="http://schemas.openxmlformats.org/officeDocument/2006/relationships/image" Target="media/image394.png"/><Relationship Id="rId455" Type="http://schemas.openxmlformats.org/officeDocument/2006/relationships/image" Target="media/image395.png"/><Relationship Id="rId456" Type="http://schemas.openxmlformats.org/officeDocument/2006/relationships/image" Target="media/image396.png"/><Relationship Id="rId457" Type="http://schemas.openxmlformats.org/officeDocument/2006/relationships/image" Target="media/image397.png"/><Relationship Id="rId458" Type="http://schemas.openxmlformats.org/officeDocument/2006/relationships/image" Target="media/image398.png"/><Relationship Id="rId459" Type="http://schemas.openxmlformats.org/officeDocument/2006/relationships/image" Target="media/image399.png"/><Relationship Id="rId460" Type="http://schemas.openxmlformats.org/officeDocument/2006/relationships/image" Target="media/image400.png"/><Relationship Id="rId461" Type="http://schemas.openxmlformats.org/officeDocument/2006/relationships/image" Target="media/image401.png"/><Relationship Id="rId462" Type="http://schemas.openxmlformats.org/officeDocument/2006/relationships/image" Target="media/image402.png"/><Relationship Id="rId463" Type="http://schemas.openxmlformats.org/officeDocument/2006/relationships/image" Target="media/image403.png"/><Relationship Id="rId464" Type="http://schemas.openxmlformats.org/officeDocument/2006/relationships/image" Target="media/image404.png"/><Relationship Id="rId465" Type="http://schemas.openxmlformats.org/officeDocument/2006/relationships/image" Target="media/image405.png"/><Relationship Id="rId466" Type="http://schemas.openxmlformats.org/officeDocument/2006/relationships/image" Target="media/image406.png"/><Relationship Id="rId467" Type="http://schemas.openxmlformats.org/officeDocument/2006/relationships/image" Target="media/image407.png"/><Relationship Id="rId468" Type="http://schemas.openxmlformats.org/officeDocument/2006/relationships/image" Target="media/image408.png"/><Relationship Id="rId469" Type="http://schemas.openxmlformats.org/officeDocument/2006/relationships/image" Target="media/image409.png"/><Relationship Id="rId470" Type="http://schemas.openxmlformats.org/officeDocument/2006/relationships/image" Target="media/image410.png"/><Relationship Id="rId471" Type="http://schemas.openxmlformats.org/officeDocument/2006/relationships/image" Target="media/image411.png"/><Relationship Id="rId472" Type="http://schemas.openxmlformats.org/officeDocument/2006/relationships/image" Target="media/image412.png"/><Relationship Id="rId473" Type="http://schemas.openxmlformats.org/officeDocument/2006/relationships/image" Target="media/image413.png"/><Relationship Id="rId474" Type="http://schemas.openxmlformats.org/officeDocument/2006/relationships/image" Target="media/image414.png"/><Relationship Id="rId475" Type="http://schemas.openxmlformats.org/officeDocument/2006/relationships/image" Target="media/image415.png"/><Relationship Id="rId476" Type="http://schemas.openxmlformats.org/officeDocument/2006/relationships/image" Target="media/image416.png"/><Relationship Id="rId477" Type="http://schemas.openxmlformats.org/officeDocument/2006/relationships/image" Target="media/image417.png"/><Relationship Id="rId478" Type="http://schemas.openxmlformats.org/officeDocument/2006/relationships/image" Target="media/image418.png"/><Relationship Id="rId479" Type="http://schemas.openxmlformats.org/officeDocument/2006/relationships/image" Target="media/image419.png"/><Relationship Id="rId480" Type="http://schemas.openxmlformats.org/officeDocument/2006/relationships/image" Target="media/image420.png"/><Relationship Id="rId481" Type="http://schemas.openxmlformats.org/officeDocument/2006/relationships/image" Target="media/image421.png"/><Relationship Id="rId482" Type="http://schemas.openxmlformats.org/officeDocument/2006/relationships/image" Target="media/image422.png"/><Relationship Id="rId483" Type="http://schemas.openxmlformats.org/officeDocument/2006/relationships/image" Target="media/image423.png"/><Relationship Id="rId484" Type="http://schemas.openxmlformats.org/officeDocument/2006/relationships/image" Target="media/image424.png"/><Relationship Id="rId485" Type="http://schemas.openxmlformats.org/officeDocument/2006/relationships/image" Target="media/image425.png"/><Relationship Id="rId486" Type="http://schemas.openxmlformats.org/officeDocument/2006/relationships/image" Target="media/image426.png"/><Relationship Id="rId487" Type="http://schemas.openxmlformats.org/officeDocument/2006/relationships/image" Target="media/image427.png"/><Relationship Id="rId488" Type="http://schemas.openxmlformats.org/officeDocument/2006/relationships/image" Target="media/image428.png"/><Relationship Id="rId489" Type="http://schemas.openxmlformats.org/officeDocument/2006/relationships/image" Target="media/image429.png"/><Relationship Id="rId490" Type="http://schemas.openxmlformats.org/officeDocument/2006/relationships/image" Target="media/image430.png"/><Relationship Id="rId491" Type="http://schemas.openxmlformats.org/officeDocument/2006/relationships/image" Target="media/image431.png"/><Relationship Id="rId492" Type="http://schemas.openxmlformats.org/officeDocument/2006/relationships/image" Target="media/image432.png"/><Relationship Id="rId493" Type="http://schemas.openxmlformats.org/officeDocument/2006/relationships/image" Target="media/image433.png"/><Relationship Id="rId494" Type="http://schemas.openxmlformats.org/officeDocument/2006/relationships/image" Target="media/image434.png"/><Relationship Id="rId495" Type="http://schemas.openxmlformats.org/officeDocument/2006/relationships/image" Target="media/image435.png"/><Relationship Id="rId496" Type="http://schemas.openxmlformats.org/officeDocument/2006/relationships/image" Target="media/image436.png"/><Relationship Id="rId497" Type="http://schemas.openxmlformats.org/officeDocument/2006/relationships/image" Target="media/image437.png"/><Relationship Id="rId498" Type="http://schemas.openxmlformats.org/officeDocument/2006/relationships/image" Target="media/image438.png"/><Relationship Id="rId499" Type="http://schemas.openxmlformats.org/officeDocument/2006/relationships/image" Target="media/image439.png"/><Relationship Id="rId500" Type="http://schemas.openxmlformats.org/officeDocument/2006/relationships/image" Target="media/image440.png"/><Relationship Id="rId501" Type="http://schemas.openxmlformats.org/officeDocument/2006/relationships/image" Target="media/image441.png"/><Relationship Id="rId502" Type="http://schemas.openxmlformats.org/officeDocument/2006/relationships/image" Target="media/image442.png"/><Relationship Id="rId503" Type="http://schemas.openxmlformats.org/officeDocument/2006/relationships/image" Target="media/image443.png"/><Relationship Id="rId504" Type="http://schemas.openxmlformats.org/officeDocument/2006/relationships/image" Target="media/image444.png"/><Relationship Id="rId505" Type="http://schemas.openxmlformats.org/officeDocument/2006/relationships/image" Target="media/image445.png"/><Relationship Id="rId506" Type="http://schemas.openxmlformats.org/officeDocument/2006/relationships/image" Target="media/image446.png"/><Relationship Id="rId507" Type="http://schemas.openxmlformats.org/officeDocument/2006/relationships/image" Target="media/image447.png"/><Relationship Id="rId508" Type="http://schemas.openxmlformats.org/officeDocument/2006/relationships/image" Target="media/image448.png"/><Relationship Id="rId509" Type="http://schemas.openxmlformats.org/officeDocument/2006/relationships/image" Target="media/image449.png"/><Relationship Id="rId510" Type="http://schemas.openxmlformats.org/officeDocument/2006/relationships/image" Target="media/image450.png"/><Relationship Id="rId511" Type="http://schemas.openxmlformats.org/officeDocument/2006/relationships/image" Target="media/image451.png"/><Relationship Id="rId512" Type="http://schemas.openxmlformats.org/officeDocument/2006/relationships/image" Target="media/image452.png"/><Relationship Id="rId513" Type="http://schemas.openxmlformats.org/officeDocument/2006/relationships/image" Target="media/image453.png"/><Relationship Id="rId514" Type="http://schemas.openxmlformats.org/officeDocument/2006/relationships/image" Target="media/image454.png"/><Relationship Id="rId515" Type="http://schemas.openxmlformats.org/officeDocument/2006/relationships/image" Target="media/image455.png"/><Relationship Id="rId516" Type="http://schemas.openxmlformats.org/officeDocument/2006/relationships/image" Target="media/image456.png"/><Relationship Id="rId517" Type="http://schemas.openxmlformats.org/officeDocument/2006/relationships/image" Target="media/image457.png"/><Relationship Id="rId518" Type="http://schemas.openxmlformats.org/officeDocument/2006/relationships/image" Target="media/image458.png"/><Relationship Id="rId519" Type="http://schemas.openxmlformats.org/officeDocument/2006/relationships/image" Target="media/image459.png"/><Relationship Id="rId520" Type="http://schemas.openxmlformats.org/officeDocument/2006/relationships/image" Target="media/image460.png"/><Relationship Id="rId102" Type="http://schemas.openxmlformats.org/officeDocument/2006/relationships/hyperlink" Target="https://www.sec.gov/Archives/edgar/data/899460/000119312520311859/d50698dex21.htm" TargetMode="External"/><Relationship Id="rId103" Type="http://schemas.openxmlformats.org/officeDocument/2006/relationships/hyperlink" Target="https://www.sec.gov/Archives/edgar/data/899460/000119312516676980/d225552dex31.htm" TargetMode="External"/><Relationship Id="rId104" Type="http://schemas.openxmlformats.org/officeDocument/2006/relationships/hyperlink" Target="https://www.sec.gov/Archives/edgar/data/899460/000119312517066630/d313758dex31.htm" TargetMode="External"/><Relationship Id="rId105" Type="http://schemas.openxmlformats.org/officeDocument/2006/relationships/hyperlink" Target="https://www.sec.gov/Archives/edgar/data/899460/000119312517368329/d511527dex31.htm" TargetMode="External"/><Relationship Id="rId106" Type="http://schemas.openxmlformats.org/officeDocument/2006/relationships/hyperlink" Target="https://www.sec.gov/Archives/edgar/data/899460/000119312520153051/d936164dex31.htm" TargetMode="External"/><Relationship Id="rId107" Type="http://schemas.openxmlformats.org/officeDocument/2006/relationships/hyperlink" Target="https://www.sec.gov/Archives/edgar/data/899460/000119312523156575/d473553dex31.htm" TargetMode="External"/><Relationship Id="rId108" Type="http://schemas.openxmlformats.org/officeDocument/2006/relationships/hyperlink" Target="https://www.sec.gov/Archives/edgar/data/899460/000119312520153051/d936164dex32.htm" TargetMode="External"/><Relationship Id="rId109" Type="http://schemas.openxmlformats.org/officeDocument/2006/relationships/hyperlink" Target="https://www.sec.gov/Archives/edgar/data/899460/000119312517085519/d305327dex42.htm" TargetMode="External"/><Relationship Id="rId110" Type="http://schemas.openxmlformats.org/officeDocument/2006/relationships/hyperlink" Target="https://www.sec.gov/Archives/edgar/data/899460/000095017024021423/mnkd-ex4_3.htm" TargetMode="External"/><Relationship Id="rId111" Type="http://schemas.openxmlformats.org/officeDocument/2006/relationships/hyperlink" Target="https://www.sec.gov/Archives/edgar/data/899460/000119312513279522/d562665dex993.htm" TargetMode="External"/><Relationship Id="rId114" Type="http://schemas.openxmlformats.org/officeDocument/2006/relationships/hyperlink" Target="https://www.sec.gov/Archives/edgar/data/899460/000119312519215305/d757696dex41.htm" TargetMode="External"/><Relationship Id="rId115" Type="http://schemas.openxmlformats.org/officeDocument/2006/relationships/hyperlink" Target="https://www.sec.gov/Archives/edgar/data/899460/000119312521070265/d45565dex41.htm" TargetMode="External"/><Relationship Id="rId116" Type="http://schemas.openxmlformats.org/officeDocument/2006/relationships/hyperlink" Target="https://www.sec.gov/Archives/edgar/data/899460/000119312521070265/d45565dex41.htm#exa" TargetMode="External"/><Relationship Id="rId117" Type="http://schemas.openxmlformats.org/officeDocument/2006/relationships/hyperlink" Target="https://www.sec.gov/Archives/edgar/data/899460/000119312524077611/d819834dex101.htm" TargetMode="External"/><Relationship Id="rId118" Type="http://schemas.openxmlformats.org/officeDocument/2006/relationships/hyperlink" Target="https://www.sec.gov/Archives/edgar/data/899460/000119312516505366/d107849dex1038.htm" TargetMode="External"/><Relationship Id="rId119" Type="http://schemas.openxmlformats.org/officeDocument/2006/relationships/hyperlink" Target="https://www.sec.gov/Archives/edgar/data/899460/000119312517085519/d305327dex1036.htm" TargetMode="External"/><Relationship Id="rId120" Type="http://schemas.openxmlformats.org/officeDocument/2006/relationships/hyperlink" Target="https://www.sec.gov/Archives/edgar/data/899460/000095017024021423/mnkd-ex10_4.htm" TargetMode="External"/><Relationship Id="rId121" Type="http://schemas.openxmlformats.org/officeDocument/2006/relationships/hyperlink" Target="https://www.sec.gov/Archives/edgar/data/899460/000119312523080473/d490495dex101.htm" TargetMode="External"/><Relationship Id="rId122" Type="http://schemas.openxmlformats.org/officeDocument/2006/relationships/hyperlink" Target="https://www.sec.gov/Archives/edgar/data/899460/000095017024021423/mnkd-ex10_6.htm" TargetMode="External"/><Relationship Id="rId123" Type="http://schemas.openxmlformats.org/officeDocument/2006/relationships/hyperlink" Target="https://www.sec.gov/Archives/edgar/data/899460/000095012407005167/v34640aexv99w1.htm" TargetMode="External"/><Relationship Id="rId124" Type="http://schemas.openxmlformats.org/officeDocument/2006/relationships/hyperlink" Target="https://www.sec.gov/Archives/edgar/data/899460/000095014804000827/v98169orexv10w1.txt" TargetMode="External"/><Relationship Id="rId125" Type="http://schemas.openxmlformats.org/officeDocument/2006/relationships/hyperlink" Target="https://www.sec.gov/Archives/edgar/data/899460/000119312517116178/d350284dex991.htm" TargetMode="External"/><Relationship Id="rId126" Type="http://schemas.openxmlformats.org/officeDocument/2006/relationships/hyperlink" Target="https://www.sec.gov/Archives/edgar/data/899460/000156459019004263/mnkd-ex1015_871.htm" TargetMode="External"/><Relationship Id="rId127" Type="http://schemas.openxmlformats.org/officeDocument/2006/relationships/hyperlink" Target="https://www.sec.gov/Archives/edgar/data/899460/000119312516676980/d225552dex101.htm" TargetMode="External"/><Relationship Id="rId128" Type="http://schemas.openxmlformats.org/officeDocument/2006/relationships/hyperlink" Target="https://www.sec.gov/Archives/edgar/data/899460/000119312513232988/d543380dex992.htm" TargetMode="External"/><Relationship Id="rId129" Type="http://schemas.openxmlformats.org/officeDocument/2006/relationships/hyperlink" Target="https://www.sec.gov/Archives/edgar/data/899460/000119312513232988/d543380dex993.htm" TargetMode="External"/><Relationship Id="rId130" Type="http://schemas.openxmlformats.org/officeDocument/2006/relationships/hyperlink" Target="https://www.sec.gov/Archives/edgar/data/899460/000119312523219188/d860669dex991.htm" TargetMode="External"/><Relationship Id="rId131" Type="http://schemas.openxmlformats.org/officeDocument/2006/relationships/hyperlink" Target="https://www.sec.gov/Archives/edgar/data/899460/000119312518241209/d576776dex992.htm" TargetMode="External"/><Relationship Id="rId132" Type="http://schemas.openxmlformats.org/officeDocument/2006/relationships/hyperlink" Target="https://www.sec.gov/Archives/edgar/data/899460/000119312518241209/d576776dex993.htm" TargetMode="External"/><Relationship Id="rId135" Type="http://schemas.openxmlformats.org/officeDocument/2006/relationships/hyperlink" Target="https://www.sec.gov/Archives/edgar/data/899460/000119312523219188/d860669dex992.htm" TargetMode="External"/><Relationship Id="rId136" Type="http://schemas.openxmlformats.org/officeDocument/2006/relationships/hyperlink" Target="https://www.sec.gov/Archives/edgar/data/899460/000119312518183644/d578515dex991.htm" TargetMode="External"/><Relationship Id="rId137" Type="http://schemas.openxmlformats.org/officeDocument/2006/relationships/hyperlink" Target="https://www.sec.gov/Archives/edgar/data/899460/000156459021008440/mnkd-ex1023_161.htm" TargetMode="External"/><Relationship Id="rId138" Type="http://schemas.openxmlformats.org/officeDocument/2006/relationships/hyperlink" Target="https://www.sec.gov/Archives/edgar/data/899460/000119312517085519/d305327dex1032.htm" TargetMode="External"/><Relationship Id="rId139" Type="http://schemas.openxmlformats.org/officeDocument/2006/relationships/hyperlink" Target="https://www.sec.gov/Archives/edgar/data/899460/000095017024123296/mnkd-ex10_1.htm" TargetMode="External"/><Relationship Id="rId140" Type="http://schemas.openxmlformats.org/officeDocument/2006/relationships/hyperlink" Target="https://www.sec.gov/Archives/edgar/data/899460/000095017024123296/mnkd-ex10_2.htm" TargetMode="External"/><Relationship Id="rId141" Type="http://schemas.openxmlformats.org/officeDocument/2006/relationships/hyperlink" Target="https://www.sec.gov/Archives/edgar/data/899460/000156459019004263/mnkd-ex1050_1079.htm" TargetMode="External"/><Relationship Id="rId142" Type="http://schemas.openxmlformats.org/officeDocument/2006/relationships/hyperlink" Target="https://www.sec.gov/Archives/edgar/data/899460/000119312519215305/d757696dex995.htm" TargetMode="External"/><Relationship Id="rId143" Type="http://schemas.openxmlformats.org/officeDocument/2006/relationships/hyperlink" Target="https://www.sec.gov/Archives/edgar/data/0000899460/000119312521171623/d153193dex991.htm" TargetMode="External"/><Relationship Id="rId144" Type="http://schemas.openxmlformats.org/officeDocument/2006/relationships/hyperlink" Target="https://www.sec.gov/Archives/edgar/data/899460/000119312523303995/d57247dex991.htm" TargetMode="External"/><Relationship Id="rId145" Type="http://schemas.openxmlformats.org/officeDocument/2006/relationships/hyperlink" Target="https://www.sec.gov/Archives/edgar/data/899460/000119312517249866/d412831dex103.htm" TargetMode="External"/><Relationship Id="rId146" Type="http://schemas.openxmlformats.org/officeDocument/2006/relationships/hyperlink" Target="https://www.sec.gov/Archives/edgar/data/899460/000156459022018245/mnkd-ex101_339.htm" TargetMode="External"/><Relationship Id="rId147" Type="http://schemas.openxmlformats.org/officeDocument/2006/relationships/hyperlink" Target="https://www.sec.gov/Archives/edgar/data/899460/000095017024021423/mnkd-ex10_29.htm" TargetMode="External"/><Relationship Id="rId148" Type="http://schemas.openxmlformats.org/officeDocument/2006/relationships/hyperlink" Target="https://www.sec.gov/Archives/edgar/data/899460/000095017024123296/mnkd-ex10_3.htm" TargetMode="External"/><Relationship Id="rId151" Type="http://schemas.openxmlformats.org/officeDocument/2006/relationships/hyperlink" Target="https://www.sec.gov/Archives/edgar/data/899460/000156459021055727/mnkd-ex101_251.htm" TargetMode="External"/><Relationship Id="rId152" Type="http://schemas.openxmlformats.org/officeDocument/2006/relationships/hyperlink" Target="https://www.sec.gov/Archives/edgar/data/899460/000156459021055727/mnkd-ex102_250.htm" TargetMode="External"/><Relationship Id="rId156" Type="http://schemas.openxmlformats.org/officeDocument/2006/relationships/hyperlink" Target="https://www.sec.gov/Archives/edgar/data/899460/000156459023002309/mnkd-ex1049_458.htm" TargetMode="External"/><Relationship Id="rId160" Type="http://schemas.openxmlformats.org/officeDocument/2006/relationships/hyperlink" Target="https://www.sec.gov/Archives/edgar/data/899460/000156459023002309/mnkd-ex1050_456.htm" TargetMode="External"/><Relationship Id="rId164" Type="http://schemas.openxmlformats.org/officeDocument/2006/relationships/hyperlink" Target="https://www.sec.gov/Archives/edgar/data/899460/000156459023002309/mnkd-ex1051_457.htm" TargetMode="External"/><Relationship Id="rId168" Type="http://schemas.openxmlformats.org/officeDocument/2006/relationships/hyperlink" Target="https://www.sec.gov/Archives/edgar/data/899460/000156459021055727/mnkd-ex103_410.htm" TargetMode="External"/><Relationship Id="rId171" Type="http://schemas.openxmlformats.org/officeDocument/2006/relationships/hyperlink" Target="https://www.sec.gov/Archives/edgar/data/899460/000119312524000161/d575512dex991.htm" TargetMode="External"/><Relationship Id="rId175" Type="http://schemas.openxmlformats.org/officeDocument/2006/relationships/hyperlink" Target="https://www.sec.gov/Archives/edgar/data/899460/000156459023002309/mnkd-ex1052_455.htm" TargetMode="External"/><Relationship Id="rId178" Type="http://schemas.openxmlformats.org/officeDocument/2006/relationships/hyperlink" Target="https://www.sec.gov/Archives/edgar/data/899460/000156459023002309/mnkd-ex1053_454.htm" TargetMode="External"/><Relationship Id="rId189" Type="http://schemas.openxmlformats.org/officeDocument/2006/relationships/hyperlink" Target="https://www.sec.gov/Archives/edgar/data/899460/000095017024021423/mnkd-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2025-02-26T15:45:14Z</dcterms:created>
  <dcterms:modified xsi:type="dcterms:W3CDTF">2025-02-26T15:45:14Z</dcterms:modified>
</cp:coreProperties>
</file>