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36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March 31, 2010</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000" w:val="left"/>
          <w:tab w:leader="none" w:pos="44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000-50865</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MannKind Corporation</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300" w:type="dxa"/>
        <w:tblCellMar>
          <w:top w:w="0" w:type="dxa"/>
          <w:left w:w="0" w:type="dxa"/>
          <w:bottom w:w="0" w:type="dxa"/>
          <w:right w:w="0" w:type="dxa"/>
        </w:tblCellMar>
      </w:tblPr>
      <w:tr>
        <w:trPr>
          <w:trHeight w:val="220"/>
        </w:trPr>
        <w:tc>
          <w:tcPr>
            <w:tcW w:w="4780" w:type="dxa"/>
            <w:vAlign w:val="bottom"/>
          </w:tcPr>
          <w:p>
            <w:pPr>
              <w:jc w:val="center"/>
              <w:ind w:right="1850"/>
              <w:spacing w:after="0"/>
              <w:rPr>
                <w:sz w:val="20"/>
                <w:szCs w:val="20"/>
                <w:color w:val="auto"/>
              </w:rPr>
            </w:pPr>
            <w:r>
              <w:rPr>
                <w:rFonts w:ascii="Arial" w:cs="Arial" w:eastAsia="Arial" w:hAnsi="Arial"/>
                <w:sz w:val="18"/>
                <w:szCs w:val="18"/>
                <w:b w:val="1"/>
                <w:bCs w:val="1"/>
                <w:color w:val="auto"/>
                <w:w w:val="91"/>
              </w:rPr>
              <w:t>Delaware</w:t>
            </w:r>
          </w:p>
        </w:tc>
        <w:tc>
          <w:tcPr>
            <w:tcW w:w="3300" w:type="dxa"/>
            <w:vAlign w:val="bottom"/>
          </w:tcPr>
          <w:p>
            <w:pPr>
              <w:jc w:val="right"/>
              <w:ind w:right="150"/>
              <w:spacing w:after="0"/>
              <w:rPr>
                <w:sz w:val="20"/>
                <w:szCs w:val="20"/>
                <w:color w:val="auto"/>
              </w:rPr>
            </w:pPr>
            <w:r>
              <w:rPr>
                <w:rFonts w:ascii="Arial" w:cs="Arial" w:eastAsia="Arial" w:hAnsi="Arial"/>
                <w:sz w:val="18"/>
                <w:szCs w:val="18"/>
                <w:b w:val="1"/>
                <w:bCs w:val="1"/>
                <w:color w:val="auto"/>
              </w:rPr>
              <w:t>13-3607736</w:t>
            </w:r>
          </w:p>
        </w:tc>
      </w:tr>
      <w:tr>
        <w:trPr>
          <w:trHeight w:val="216"/>
        </w:trPr>
        <w:tc>
          <w:tcPr>
            <w:tcW w:w="4780" w:type="dxa"/>
            <w:vAlign w:val="bottom"/>
          </w:tcPr>
          <w:p>
            <w:pPr>
              <w:jc w:val="center"/>
              <w:ind w:right="1910"/>
              <w:spacing w:after="0"/>
              <w:rPr>
                <w:sz w:val="20"/>
                <w:szCs w:val="20"/>
                <w:color w:val="auto"/>
              </w:rPr>
            </w:pPr>
            <w:r>
              <w:rPr>
                <w:rFonts w:ascii="Arial" w:cs="Arial" w:eastAsia="Arial" w:hAnsi="Arial"/>
                <w:sz w:val="18"/>
                <w:szCs w:val="18"/>
                <w:i w:val="1"/>
                <w:iCs w:val="1"/>
                <w:color w:val="auto"/>
                <w:w w:val="93"/>
              </w:rPr>
              <w:t>(State or other jurisdiction of</w:t>
            </w:r>
          </w:p>
        </w:tc>
        <w:tc>
          <w:tcPr>
            <w:tcW w:w="3300" w:type="dxa"/>
            <w:vAlign w:val="bottom"/>
          </w:tcPr>
          <w:p>
            <w:pPr>
              <w:jc w:val="center"/>
              <w:ind w:left="18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4780" w:type="dxa"/>
            <w:vAlign w:val="bottom"/>
          </w:tcPr>
          <w:p>
            <w:pPr>
              <w:jc w:val="center"/>
              <w:ind w:right="1870"/>
              <w:spacing w:after="0"/>
              <w:rPr>
                <w:sz w:val="20"/>
                <w:szCs w:val="20"/>
                <w:color w:val="auto"/>
              </w:rPr>
            </w:pPr>
            <w:r>
              <w:rPr>
                <w:rFonts w:ascii="Arial" w:cs="Arial" w:eastAsia="Arial" w:hAnsi="Arial"/>
                <w:sz w:val="18"/>
                <w:szCs w:val="18"/>
                <w:i w:val="1"/>
                <w:iCs w:val="1"/>
                <w:color w:val="auto"/>
                <w:w w:val="94"/>
              </w:rPr>
              <w:t>incorporation or organization)</w:t>
            </w:r>
          </w:p>
        </w:tc>
        <w:tc>
          <w:tcPr>
            <w:tcW w:w="3300" w:type="dxa"/>
            <w:vAlign w:val="bottom"/>
          </w:tcPr>
          <w:p>
            <w:pPr>
              <w:jc w:val="center"/>
              <w:ind w:left="1870"/>
              <w:spacing w:after="0"/>
              <w:rPr>
                <w:sz w:val="20"/>
                <w:szCs w:val="20"/>
                <w:color w:val="auto"/>
              </w:rPr>
            </w:pPr>
            <w:r>
              <w:rPr>
                <w:rFonts w:ascii="Arial" w:cs="Arial" w:eastAsia="Arial" w:hAnsi="Arial"/>
                <w:sz w:val="18"/>
                <w:szCs w:val="18"/>
                <w:i w:val="1"/>
                <w:iCs w:val="1"/>
                <w:color w:val="auto"/>
                <w:w w:val="95"/>
              </w:rPr>
              <w:t>Identification No.)</w:t>
            </w:r>
          </w:p>
        </w:tc>
      </w:tr>
      <w:tr>
        <w:trPr>
          <w:trHeight w:val="414"/>
        </w:trPr>
        <w:tc>
          <w:tcPr>
            <w:tcW w:w="4780" w:type="dxa"/>
            <w:vAlign w:val="bottom"/>
          </w:tcPr>
          <w:p>
            <w:pPr>
              <w:jc w:val="center"/>
              <w:ind w:right="1890"/>
              <w:spacing w:after="0"/>
              <w:rPr>
                <w:sz w:val="20"/>
                <w:szCs w:val="20"/>
                <w:color w:val="auto"/>
              </w:rPr>
            </w:pPr>
            <w:r>
              <w:rPr>
                <w:rFonts w:ascii="Arial" w:cs="Arial" w:eastAsia="Arial" w:hAnsi="Arial"/>
                <w:sz w:val="18"/>
                <w:szCs w:val="18"/>
                <w:b w:val="1"/>
                <w:bCs w:val="1"/>
                <w:color w:val="auto"/>
                <w:w w:val="90"/>
              </w:rPr>
              <w:t>28903 North Avenue Paine</w:t>
            </w:r>
          </w:p>
        </w:tc>
        <w:tc>
          <w:tcPr>
            <w:tcW w:w="3300" w:type="dxa"/>
            <w:vAlign w:val="bottom"/>
          </w:tcPr>
          <w:p>
            <w:pPr>
              <w:jc w:val="right"/>
              <w:ind w:right="350"/>
              <w:spacing w:after="0"/>
              <w:rPr>
                <w:sz w:val="20"/>
                <w:szCs w:val="20"/>
                <w:color w:val="auto"/>
              </w:rPr>
            </w:pPr>
            <w:r>
              <w:rPr>
                <w:rFonts w:ascii="Arial" w:cs="Arial" w:eastAsia="Arial" w:hAnsi="Arial"/>
                <w:sz w:val="18"/>
                <w:szCs w:val="18"/>
                <w:b w:val="1"/>
                <w:bCs w:val="1"/>
                <w:color w:val="auto"/>
              </w:rPr>
              <w:t>91355</w:t>
            </w:r>
          </w:p>
        </w:tc>
      </w:tr>
      <w:tr>
        <w:trPr>
          <w:trHeight w:val="220"/>
        </w:trPr>
        <w:tc>
          <w:tcPr>
            <w:tcW w:w="4780" w:type="dxa"/>
            <w:vAlign w:val="bottom"/>
          </w:tcPr>
          <w:p>
            <w:pPr>
              <w:jc w:val="center"/>
              <w:ind w:right="1870"/>
              <w:spacing w:after="0"/>
              <w:rPr>
                <w:sz w:val="20"/>
                <w:szCs w:val="20"/>
                <w:color w:val="auto"/>
              </w:rPr>
            </w:pPr>
            <w:r>
              <w:rPr>
                <w:rFonts w:ascii="Arial" w:cs="Arial" w:eastAsia="Arial" w:hAnsi="Arial"/>
                <w:sz w:val="18"/>
                <w:szCs w:val="18"/>
                <w:b w:val="1"/>
                <w:bCs w:val="1"/>
                <w:color w:val="auto"/>
                <w:w w:val="92"/>
              </w:rPr>
              <w:t>Valencia, California</w:t>
            </w:r>
          </w:p>
        </w:tc>
        <w:tc>
          <w:tcPr>
            <w:tcW w:w="3300" w:type="dxa"/>
            <w:vAlign w:val="bottom"/>
          </w:tcPr>
          <w:p>
            <w:pPr>
              <w:jc w:val="center"/>
              <w:ind w:left="1870"/>
              <w:spacing w:after="0"/>
              <w:rPr>
                <w:sz w:val="20"/>
                <w:szCs w:val="20"/>
                <w:color w:val="auto"/>
              </w:rPr>
            </w:pPr>
            <w:r>
              <w:rPr>
                <w:rFonts w:ascii="Arial" w:cs="Arial" w:eastAsia="Arial" w:hAnsi="Arial"/>
                <w:sz w:val="18"/>
                <w:szCs w:val="18"/>
                <w:i w:val="1"/>
                <w:iCs w:val="1"/>
                <w:color w:val="auto"/>
                <w:w w:val="91"/>
              </w:rPr>
              <w:t>(Zip Code)</w:t>
            </w:r>
          </w:p>
        </w:tc>
      </w:tr>
      <w:tr>
        <w:trPr>
          <w:trHeight w:val="230"/>
        </w:trPr>
        <w:tc>
          <w:tcPr>
            <w:tcW w:w="4780" w:type="dxa"/>
            <w:vAlign w:val="bottom"/>
          </w:tcPr>
          <w:p>
            <w:pPr>
              <w:jc w:val="center"/>
              <w:ind w:right="187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3300" w:type="dxa"/>
            <w:vAlign w:val="bottom"/>
          </w:tcPr>
          <w:p>
            <w:pPr>
              <w:spacing w:after="0"/>
              <w:rPr>
                <w:sz w:val="20"/>
                <w:szCs w:val="20"/>
                <w:color w:val="auto"/>
              </w:rPr>
            </w:pPr>
          </w:p>
        </w:tc>
      </w:tr>
    </w:tbl>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(661) 775-5300</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Registrant’s telephone number, including area code)</w:t>
      </w:r>
    </w:p>
    <w:p>
      <w:pPr>
        <w:spacing w:after="0" w:line="103" w:lineRule="exact"/>
        <w:rPr>
          <w:sz w:val="20"/>
          <w:szCs w:val="20"/>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73"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122" w:right="279" w:bottom="1440" w:gutter="0" w:footer="0" w:header="0"/>
        </w:sectPr>
      </w:pPr>
    </w:p>
    <w:p>
      <w:pPr>
        <w:spacing w:after="0" w:line="14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440" w:space="720"/>
            <w:col w:w="1460" w:space="720"/>
            <w:col w:w="3340" w:space="460"/>
            <w:col w:w="2240"/>
          </w:cols>
          <w:pgMar w:left="240" w:top="122" w:right="279" w:bottom="1440" w:gutter="0" w:footer="0" w:header="0"/>
          <w:type w:val="continuous"/>
        </w:sect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o No </w:t>
      </w:r>
      <w:r>
        <w:rPr>
          <w:rFonts w:ascii="MS PGothic" w:cs="MS PGothic" w:eastAsia="MS PGothic" w:hAnsi="MS PGothic"/>
          <w:sz w:val="17"/>
          <w:szCs w:val="17"/>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As of April 21, 2010, there were 113,454,807 shares of the registrant’s common stock, $.01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MANNKIND CORPORATION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2010</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900" w:type="dxa"/>
            <w:vAlign w:val="bottom"/>
            <w:gridSpan w:val="12"/>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960" w:type="dxa"/>
            <w:vAlign w:val="bottom"/>
            <w:gridSpan w:val="10"/>
            <w:vMerge w:val="restart"/>
          </w:tcPr>
          <w:p>
            <w:pPr>
              <w:spacing w:after="0"/>
              <w:rPr>
                <w:sz w:val="14"/>
                <w:szCs w:val="14"/>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4"/>
        </w:trPr>
        <w:tc>
          <w:tcPr>
            <w:tcW w:w="2900" w:type="dxa"/>
            <w:vAlign w:val="bottom"/>
            <w:tcBorders>
              <w:bottom w:val="single" w:sz="8" w:color="0000EE"/>
            </w:tcBorders>
            <w:gridSpan w:val="12"/>
            <w:vMerge w:val="continue"/>
          </w:tcPr>
          <w:p>
            <w:pPr>
              <w:spacing w:after="0"/>
              <w:rPr>
                <w:sz w:val="14"/>
                <w:szCs w:val="14"/>
                <w:color w:val="auto"/>
              </w:rPr>
            </w:pPr>
          </w:p>
        </w:tc>
        <w:tc>
          <w:tcPr>
            <w:tcW w:w="7960" w:type="dxa"/>
            <w:vAlign w:val="bottom"/>
            <w:gridSpan w:val="10"/>
            <w:vMerge w:val="continue"/>
          </w:tcPr>
          <w:p>
            <w:pPr>
              <w:spacing w:after="0"/>
              <w:rPr>
                <w:sz w:val="14"/>
                <w:szCs w:val="14"/>
                <w:color w:val="auto"/>
              </w:rPr>
            </w:pPr>
          </w:p>
        </w:tc>
        <w:tc>
          <w:tcPr>
            <w:tcW w:w="560" w:type="dxa"/>
            <w:vAlign w:val="bottom"/>
          </w:tcPr>
          <w:p>
            <w:pPr>
              <w:jc w:val="right"/>
              <w:ind w:right="11"/>
              <w:spacing w:after="0" w:line="17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860" w:type="dxa"/>
            <w:vAlign w:val="bottom"/>
            <w:gridSpan w:val="2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5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60" w:type="dxa"/>
            <w:vAlign w:val="bottom"/>
            <w:gridSpan w:val="2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March 31, 2010 and December 31, 2009</w:t>
              </w:r>
            </w:hyperlink>
          </w:p>
        </w:tc>
        <w:tc>
          <w:tcPr>
            <w:tcW w:w="5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32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Three months ended March 31, 2010 and 2009 and the period from inception</w:t>
              </w:r>
            </w:hyperlink>
          </w:p>
        </w:tc>
        <w:tc>
          <w:tcPr>
            <w:tcW w:w="154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1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(February 14, 1991) to September 30, 2009</w:t>
              </w:r>
            </w:hyperlink>
          </w:p>
        </w:tc>
        <w:tc>
          <w:tcPr>
            <w:tcW w:w="7520" w:type="dxa"/>
            <w:vAlign w:val="bottom"/>
            <w:gridSpan w:val="8"/>
          </w:tcPr>
          <w:p>
            <w:pPr>
              <w:spacing w:after="0"/>
              <w:rPr>
                <w:sz w:val="17"/>
                <w:szCs w:val="17"/>
                <w:color w:val="auto"/>
              </w:rPr>
            </w:pPr>
          </w:p>
        </w:tc>
        <w:tc>
          <w:tcPr>
            <w:tcW w:w="5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938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Three months ended March 31, 2010 and 2009 and the period from inception</w:t>
              </w:r>
            </w:hyperlink>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8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(February 14, 1991) to March 31, 2010</w:t>
              </w:r>
            </w:hyperlink>
          </w:p>
        </w:tc>
        <w:tc>
          <w:tcPr>
            <w:tcW w:w="7820" w:type="dxa"/>
            <w:vAlign w:val="bottom"/>
            <w:gridSpan w:val="9"/>
          </w:tcPr>
          <w:p>
            <w:pPr>
              <w:spacing w:after="0"/>
              <w:rPr>
                <w:sz w:val="17"/>
                <w:szCs w:val="17"/>
                <w:color w:val="auto"/>
              </w:rPr>
            </w:pPr>
          </w:p>
        </w:tc>
        <w:tc>
          <w:tcPr>
            <w:tcW w:w="5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860" w:type="dxa"/>
            <w:vAlign w:val="bottom"/>
            <w:gridSpan w:val="2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5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60" w:type="dxa"/>
            <w:vAlign w:val="bottom"/>
            <w:gridSpan w:val="22"/>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Item 2. Management’s Discussion and Analysis of Financial Condition and Results of Operations</w:t>
              </w:r>
            </w:hyperlink>
          </w:p>
        </w:tc>
        <w:tc>
          <w:tcPr>
            <w:tcW w:w="5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2"/>
              </w:rPr>
            </w:pPr>
            <w:hyperlink w:anchor="page17">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3840" w:type="dxa"/>
            <w:vAlign w:val="bottom"/>
            <w:gridSpan w:val="3"/>
          </w:tcPr>
          <w:p>
            <w:pPr>
              <w:spacing w:after="0"/>
              <w:rPr>
                <w:sz w:val="17"/>
                <w:szCs w:val="17"/>
                <w:color w:val="auto"/>
              </w:rPr>
            </w:pPr>
          </w:p>
        </w:tc>
        <w:tc>
          <w:tcPr>
            <w:tcW w:w="5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Item 4. Controls and Procedures</w:t>
              </w:r>
            </w:hyperlink>
          </w:p>
        </w:tc>
        <w:tc>
          <w:tcPr>
            <w:tcW w:w="8520" w:type="dxa"/>
            <w:vAlign w:val="bottom"/>
            <w:gridSpan w:val="14"/>
          </w:tcPr>
          <w:p>
            <w:pPr>
              <w:spacing w:after="0"/>
              <w:rPr>
                <w:sz w:val="17"/>
                <w:szCs w:val="17"/>
                <w:color w:val="auto"/>
              </w:rPr>
            </w:pPr>
          </w:p>
        </w:tc>
        <w:tc>
          <w:tcPr>
            <w:tcW w:w="5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0860" w:type="dxa"/>
            <w:vAlign w:val="bottom"/>
            <w:gridSpan w:val="22"/>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PART II: OTHER INFORMATION</w:t>
              </w:r>
            </w:hyperlink>
          </w:p>
        </w:tc>
        <w:tc>
          <w:tcPr>
            <w:tcW w:w="5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9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4"/>
          </w:tcPr>
          <w:p>
            <w:pPr>
              <w:spacing w:after="0"/>
              <w:rPr>
                <w:sz w:val="17"/>
                <w:szCs w:val="17"/>
                <w:color w:val="auto"/>
              </w:rPr>
            </w:pPr>
          </w:p>
        </w:tc>
        <w:tc>
          <w:tcPr>
            <w:tcW w:w="8280" w:type="dxa"/>
            <w:vAlign w:val="bottom"/>
            <w:gridSpan w:val="12"/>
          </w:tcPr>
          <w:p>
            <w:pPr>
              <w:spacing w:after="0"/>
              <w:rPr>
                <w:sz w:val="17"/>
                <w:szCs w:val="17"/>
                <w:color w:val="auto"/>
              </w:rPr>
            </w:pPr>
          </w:p>
        </w:tc>
        <w:tc>
          <w:tcPr>
            <w:tcW w:w="5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Item 1A. Risk Factors</w:t>
              </w:r>
            </w:hyperlink>
          </w:p>
        </w:tc>
        <w:tc>
          <w:tcPr>
            <w:tcW w:w="9260" w:type="dxa"/>
            <w:vAlign w:val="bottom"/>
            <w:gridSpan w:val="18"/>
          </w:tcPr>
          <w:p>
            <w:pPr>
              <w:spacing w:after="0"/>
              <w:rPr>
                <w:sz w:val="17"/>
                <w:szCs w:val="17"/>
                <w:color w:val="auto"/>
              </w:rPr>
            </w:pPr>
          </w:p>
        </w:tc>
        <w:tc>
          <w:tcPr>
            <w:tcW w:w="5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Item 2. Unregistered Sales of Equity Securities and Use of Proceeds</w:t>
              </w:r>
            </w:hyperlink>
          </w:p>
        </w:tc>
        <w:tc>
          <w:tcPr>
            <w:tcW w:w="5940" w:type="dxa"/>
            <w:vAlign w:val="bottom"/>
            <w:gridSpan w:val="6"/>
          </w:tcPr>
          <w:p>
            <w:pPr>
              <w:spacing w:after="0"/>
              <w:rPr>
                <w:sz w:val="17"/>
                <w:szCs w:val="17"/>
                <w:color w:val="auto"/>
              </w:rPr>
            </w:pPr>
          </w:p>
        </w:tc>
        <w:tc>
          <w:tcPr>
            <w:tcW w:w="5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0860" w:type="dxa"/>
            <w:vAlign w:val="bottom"/>
            <w:gridSpan w:val="22"/>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3. Defaults Upon Senior Securities</w:t>
              </w:r>
            </w:hyperlink>
          </w:p>
        </w:tc>
        <w:tc>
          <w:tcPr>
            <w:tcW w:w="5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24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Item 4. (Removed and Reserved)</w:t>
              </w:r>
            </w:hyperlink>
          </w:p>
        </w:tc>
        <w:tc>
          <w:tcPr>
            <w:tcW w:w="480" w:type="dxa"/>
            <w:vAlign w:val="bottom"/>
            <w:tcBorders>
              <w:top w:val="single" w:sz="8" w:color="0000EE"/>
            </w:tcBorders>
            <w:gridSpan w:val="2"/>
          </w:tcPr>
          <w:p>
            <w:pPr>
              <w:spacing w:after="0"/>
              <w:rPr>
                <w:sz w:val="17"/>
                <w:szCs w:val="17"/>
                <w:color w:val="auto"/>
              </w:rPr>
            </w:pPr>
          </w:p>
        </w:tc>
        <w:tc>
          <w:tcPr>
            <w:tcW w:w="7980" w:type="dxa"/>
            <w:vAlign w:val="bottom"/>
            <w:gridSpan w:val="11"/>
          </w:tcPr>
          <w:p>
            <w:pPr>
              <w:spacing w:after="0"/>
              <w:rPr>
                <w:sz w:val="17"/>
                <w:szCs w:val="17"/>
                <w:color w:val="auto"/>
              </w:rPr>
            </w:pPr>
          </w:p>
        </w:tc>
        <w:tc>
          <w:tcPr>
            <w:tcW w:w="5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Item 5. Other Information</w:t>
              </w:r>
            </w:hyperlink>
          </w:p>
        </w:tc>
        <w:tc>
          <w:tcPr>
            <w:tcW w:w="8980" w:type="dxa"/>
            <w:vAlign w:val="bottom"/>
            <w:gridSpan w:val="17"/>
          </w:tcPr>
          <w:p>
            <w:pPr>
              <w:spacing w:after="0"/>
              <w:rPr>
                <w:sz w:val="17"/>
                <w:szCs w:val="17"/>
                <w:color w:val="auto"/>
              </w:rPr>
            </w:pPr>
          </w:p>
        </w:tc>
        <w:tc>
          <w:tcPr>
            <w:tcW w:w="5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0860" w:type="dxa"/>
            <w:vAlign w:val="bottom"/>
            <w:gridSpan w:val="22"/>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Item 6. Exhibits</w:t>
              </w:r>
            </w:hyperlink>
          </w:p>
        </w:tc>
        <w:tc>
          <w:tcPr>
            <w:tcW w:w="5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3"/>
          </w:tcPr>
          <w:p>
            <w:pPr>
              <w:spacing w:after="0" w:line="196" w:lineRule="exact"/>
              <w:rPr>
                <w:rFonts w:ascii="Arial" w:cs="Arial" w:eastAsia="Arial" w:hAnsi="Arial"/>
                <w:sz w:val="18"/>
                <w:szCs w:val="18"/>
                <w:color w:val="0000EE"/>
                <w:w w:val="97"/>
              </w:rPr>
            </w:pPr>
            <w:hyperlink w:anchor="page37">
              <w:r>
                <w:rPr>
                  <w:rFonts w:ascii="Arial" w:cs="Arial" w:eastAsia="Arial" w:hAnsi="Arial"/>
                  <w:sz w:val="18"/>
                  <w:szCs w:val="18"/>
                  <w:color w:val="0000EE"/>
                  <w:w w:val="97"/>
                </w:rPr>
                <w:t>SIGNATURES</w:t>
              </w:r>
            </w:hyperlink>
          </w:p>
        </w:tc>
        <w:tc>
          <w:tcPr>
            <w:tcW w:w="9700" w:type="dxa"/>
            <w:vAlign w:val="bottom"/>
            <w:gridSpan w:val="19"/>
          </w:tcPr>
          <w:p>
            <w:pPr>
              <w:spacing w:after="0"/>
              <w:rPr>
                <w:sz w:val="17"/>
                <w:szCs w:val="17"/>
                <w:color w:val="auto"/>
              </w:rPr>
            </w:pPr>
          </w:p>
        </w:tc>
        <w:tc>
          <w:tcPr>
            <w:tcW w:w="5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w:t>
      </w:r>
    </w:p>
    <w:p>
      <w:pPr>
        <w:spacing w:after="0" w:line="105" w:lineRule="exact"/>
        <w:rPr>
          <w:sz w:val="20"/>
          <w:szCs w:val="20"/>
          <w:color w:val="auto"/>
        </w:rPr>
      </w:pPr>
    </w:p>
    <w:p>
      <w:pPr>
        <w:ind w:right="620"/>
        <w:spacing w:after="0" w:line="211" w:lineRule="auto"/>
        <w:rPr>
          <w:sz w:val="20"/>
          <w:szCs w:val="20"/>
          <w:color w:val="auto"/>
        </w:rPr>
      </w:pPr>
      <w:r>
        <w:rPr>
          <w:rFonts w:ascii="Arial" w:cs="Arial" w:eastAsia="Arial" w:hAnsi="Arial"/>
          <w:sz w:val="18"/>
          <w:szCs w:val="18"/>
          <w:color w:val="auto"/>
        </w:rPr>
        <w:t>AFREZZA</w:t>
      </w:r>
      <w:r>
        <w:rPr>
          <w:rFonts w:ascii="Arial" w:cs="Arial" w:eastAsia="Arial" w:hAnsi="Arial"/>
          <w:sz w:val="15"/>
          <w:szCs w:val="15"/>
          <w:color w:val="auto"/>
        </w:rPr>
        <w:t>TM</w:t>
      </w:r>
      <w:r>
        <w:rPr>
          <w:rFonts w:ascii="Arial" w:cs="Arial" w:eastAsia="Arial" w:hAnsi="Arial"/>
          <w:sz w:val="18"/>
          <w:szCs w:val="18"/>
          <w:color w:val="auto"/>
        </w:rPr>
        <w:t xml:space="preserve"> and Technosphere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are our trademarks in the United States. We have also applied for and have registered company trademarks in other jurisdictions, including Europe and Japan.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March 31, 2010</w:t>
            </w:r>
          </w:p>
        </w:tc>
        <w:tc>
          <w:tcPr>
            <w:tcW w:w="15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2009</w:t>
            </w:r>
          </w:p>
        </w:tc>
        <w:tc>
          <w:tcPr>
            <w:tcW w:w="0" w:type="dxa"/>
            <w:vAlign w:val="bottom"/>
          </w:tcPr>
          <w:p>
            <w:pPr>
              <w:spacing w:after="0"/>
              <w:rPr>
                <w:sz w:val="1"/>
                <w:szCs w:val="1"/>
                <w:color w:val="auto"/>
              </w:rPr>
            </w:pPr>
          </w:p>
        </w:tc>
      </w:tr>
      <w:tr>
        <w:trPr>
          <w:trHeight w:val="210"/>
        </w:trPr>
        <w:tc>
          <w:tcPr>
            <w:tcW w:w="8580" w:type="dxa"/>
            <w:vAlign w:val="bottom"/>
            <w:shd w:val="clear" w:color="auto" w:fill="CCEEFF"/>
          </w:tcPr>
          <w:p>
            <w:pPr>
              <w:ind w:left="400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29,052</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30,019</w:t>
            </w:r>
          </w:p>
        </w:tc>
        <w:tc>
          <w:tcPr>
            <w:tcW w:w="0" w:type="dxa"/>
            <w:vAlign w:val="bottom"/>
          </w:tcPr>
          <w:p>
            <w:pPr>
              <w:spacing w:after="0"/>
              <w:rPr>
                <w:sz w:val="1"/>
                <w:szCs w:val="1"/>
                <w:color w:val="auto"/>
              </w:rPr>
            </w:pPr>
          </w:p>
        </w:tc>
      </w:tr>
      <w:tr>
        <w:trPr>
          <w:trHeight w:val="216"/>
        </w:trPr>
        <w:tc>
          <w:tcPr>
            <w:tcW w:w="858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2,488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2,475</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research and development credit exchange — current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3"/>
        </w:trPr>
        <w:tc>
          <w:tcPr>
            <w:tcW w:w="858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34,757</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37,666</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Property and equipment — net</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206,761</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208,229</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State research and development credit exchange receivable — net of current portion</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1,153</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243,255</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247,397</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1620"/>
              <w:spacing w:after="0"/>
              <w:rPr>
                <w:sz w:val="20"/>
                <w:szCs w:val="20"/>
                <w:color w:val="auto"/>
              </w:rPr>
            </w:pPr>
            <w:r>
              <w:rPr>
                <w:rFonts w:ascii="Arial" w:cs="Arial" w:eastAsia="Arial" w:hAnsi="Arial"/>
                <w:sz w:val="18"/>
                <w:szCs w:val="18"/>
                <w:b w:val="1"/>
                <w:bCs w:val="1"/>
                <w:color w:val="auto"/>
              </w:rPr>
              <w:t>LIABILITIES AND STOCKHOLDERS’ EQUITY (DEFICIT)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8,766</w:t>
            </w:r>
          </w:p>
        </w:tc>
        <w:tc>
          <w:tcPr>
            <w:tcW w:w="320" w:type="dxa"/>
            <w:vAlign w:val="bottom"/>
          </w:tcPr>
          <w:p>
            <w:pPr>
              <w:spacing w:after="0"/>
              <w:rPr>
                <w:sz w:val="18"/>
                <w:szCs w:val="18"/>
                <w:color w:val="auto"/>
              </w:rPr>
            </w:pP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6,519</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17,534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22,334</w:t>
            </w:r>
          </w:p>
        </w:tc>
        <w:tc>
          <w:tcPr>
            <w:tcW w:w="0" w:type="dxa"/>
            <w:vAlign w:val="bottom"/>
          </w:tcPr>
          <w:p>
            <w:pPr>
              <w:spacing w:after="0"/>
              <w:rPr>
                <w:sz w:val="1"/>
                <w:szCs w:val="1"/>
                <w:color w:val="auto"/>
              </w:rPr>
            </w:pPr>
          </w:p>
        </w:tc>
      </w:tr>
      <w:tr>
        <w:trPr>
          <w:trHeight w:val="223"/>
        </w:trPr>
        <w:tc>
          <w:tcPr>
            <w:tcW w:w="858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26,300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Senior convertible notes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112,897</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112,765</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Note payable to related party</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205,000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344,197</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306,618</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580" w:type="dxa"/>
            <w:vAlign w:val="bottom"/>
          </w:tcPr>
          <w:p>
            <w:pPr>
              <w:spacing w:after="0" w:line="201" w:lineRule="exact"/>
              <w:rPr>
                <w:sz w:val="20"/>
                <w:szCs w:val="20"/>
                <w:color w:val="auto"/>
              </w:rPr>
            </w:pPr>
            <w:r>
              <w:rPr>
                <w:rFonts w:ascii="Arial" w:cs="Arial" w:eastAsia="Arial" w:hAnsi="Arial"/>
                <w:sz w:val="18"/>
                <w:szCs w:val="18"/>
                <w:color w:val="auto"/>
              </w:rPr>
              <w:t>Undesignated preferred stock, $0.01 par value — 10,000,000 shares authorized; no shares issued or</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20"/>
              <w:spacing w:after="0"/>
              <w:rPr>
                <w:sz w:val="20"/>
                <w:szCs w:val="20"/>
                <w:color w:val="auto"/>
              </w:rPr>
            </w:pPr>
            <w:r>
              <w:rPr>
                <w:rFonts w:ascii="Arial" w:cs="Arial" w:eastAsia="Arial" w:hAnsi="Arial"/>
                <w:sz w:val="18"/>
                <w:szCs w:val="18"/>
                <w:color w:val="auto"/>
              </w:rPr>
              <w:t>outstanding at March 31, 2010 and December 31, 2009</w:t>
            </w:r>
          </w:p>
        </w:tc>
        <w:tc>
          <w:tcPr>
            <w:tcW w:w="120" w:type="dxa"/>
            <w:vAlign w:val="bottom"/>
          </w:tcPr>
          <w:p>
            <w:pPr>
              <w:spacing w:after="0"/>
              <w:rPr>
                <w:sz w:val="20"/>
                <w:szCs w:val="20"/>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$0.01 par value — 150,000,000 shares authorized; 113,449,327 and 113,025,291 shares issued</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outstanding at March 31, 2010 and December 31, 2009, respectively</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1,134</w:t>
            </w: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1,547,077</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1,544,112</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(272)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Deficit accumulated during the development stage</w:t>
            </w:r>
          </w:p>
        </w:tc>
        <w:tc>
          <w:tcPr>
            <w:tcW w:w="12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(1,648,881)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(1,604,182)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 (deficit)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(100,942)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(59,221)</w:t>
            </w:r>
          </w:p>
        </w:tc>
        <w:tc>
          <w:tcPr>
            <w:tcW w:w="0" w:type="dxa"/>
            <w:vAlign w:val="bottom"/>
          </w:tcPr>
          <w:p>
            <w:pPr>
              <w:spacing w:after="0"/>
              <w:rPr>
                <w:sz w:val="1"/>
                <w:szCs w:val="1"/>
                <w:color w:val="auto"/>
              </w:rPr>
            </w:pPr>
          </w:p>
        </w:tc>
      </w:tr>
      <w:tr>
        <w:trPr>
          <w:trHeight w:val="223"/>
        </w:trPr>
        <w:tc>
          <w:tcPr>
            <w:tcW w:w="8580" w:type="dxa"/>
            <w:vAlign w:val="bottom"/>
          </w:tcPr>
          <w:p>
            <w:pPr>
              <w:ind w:left="4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243,255</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247,397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Cumulative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from 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gridSpan w:val="6"/>
            <w:vMerge w:val="restart"/>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gridSpan w:val="6"/>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inception)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53"/>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23"/>
        </w:trPr>
        <w:tc>
          <w:tcPr>
            <w:tcW w:w="71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30,491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42,889</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1,184,304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10,110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14,917</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309,399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In-process research and development costs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ind w:left="200"/>
              <w:spacing w:after="0"/>
              <w:rPr>
                <w:sz w:val="20"/>
                <w:szCs w:val="20"/>
                <w:color w:val="auto"/>
              </w:rPr>
            </w:pPr>
            <w:r>
              <w:rPr>
                <w:rFonts w:ascii="Arial" w:cs="Arial" w:eastAsia="Arial" w:hAnsi="Arial"/>
                <w:sz w:val="18"/>
                <w:szCs w:val="18"/>
                <w:color w:val="auto"/>
              </w:rPr>
              <w:t>Goodwill impairment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jc w:val="right"/>
              <w:ind w:right="58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40,601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57,806</w:t>
            </w:r>
          </w:p>
        </w:tc>
        <w:tc>
          <w:tcPr>
            <w:tcW w:w="6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1,664,857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(40,601)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(57,806)</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(1,661,869)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Interest expense on note payable to related party</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528"/>
              <w:spacing w:after="0"/>
              <w:rPr>
                <w:sz w:val="20"/>
                <w:szCs w:val="20"/>
                <w:color w:val="auto"/>
              </w:rPr>
            </w:pPr>
            <w:r>
              <w:rPr>
                <w:rFonts w:ascii="Arial" w:cs="Arial" w:eastAsia="Arial" w:hAnsi="Arial"/>
                <w:sz w:val="18"/>
                <w:szCs w:val="18"/>
                <w:color w:val="auto"/>
              </w:rPr>
              <w:t>(2,102)</w:t>
            </w:r>
          </w:p>
        </w:tc>
        <w:tc>
          <w:tcPr>
            <w:tcW w:w="10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(593)</w:t>
            </w: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senior convertible notes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(1,210)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(1,115)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w w:val="92"/>
              </w:rPr>
              <w:t>(44,700)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(59,412)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(1,648,856)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Income taxes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58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w w:val="92"/>
              </w:rPr>
              <w:t>(44,700)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(59,412)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(1,648,882)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Deemed dividend related to beneficial conversion feature of convertible preferred stock</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58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Accretion on redeemable preferred stock</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23"/>
        </w:trPr>
        <w:tc>
          <w:tcPr>
            <w:tcW w:w="718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(44,700</w:t>
            </w:r>
          </w:p>
        </w:tc>
        <w:tc>
          <w:tcPr>
            <w:tcW w:w="660" w:type="dxa"/>
            <w:vAlign w:val="bottom"/>
            <w:gridSpan w:val="2"/>
          </w:tcPr>
          <w:p>
            <w:pPr>
              <w:jc w:val="right"/>
              <w:ind w:right="528"/>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(59,412</w:t>
            </w:r>
          </w:p>
        </w:tc>
        <w:tc>
          <w:tcPr>
            <w:tcW w:w="640" w:type="dxa"/>
            <w:vAlign w:val="bottom"/>
          </w:tcPr>
          <w:p>
            <w:pPr>
              <w:jc w:val="right"/>
              <w:ind w:right="50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(1,672,094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applicable to common stockholders — basic and diluted</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(0.58)</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color w:val="auto"/>
                <w:w w:val="93"/>
              </w:rPr>
              <w:t>Shares used to compute basic and diluted net loss per share applicable to common stockholders</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113,095</w:t>
            </w:r>
          </w:p>
        </w:tc>
        <w:tc>
          <w:tcPr>
            <w:tcW w:w="2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102,030</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gridSpan w:val="6"/>
            <w:vMerge w:val="restart"/>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gridSpan w:val="6"/>
            <w:vMerge w:val="continue"/>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0"/>
              <w:spacing w:after="0" w:line="142" w:lineRule="exact"/>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528"/>
              <w:spacing w:after="0"/>
              <w:rPr>
                <w:sz w:val="20"/>
                <w:szCs w:val="20"/>
                <w:color w:val="auto"/>
              </w:rPr>
            </w:pPr>
            <w:r>
              <w:rPr>
                <w:rFonts w:ascii="Arial" w:cs="Arial" w:eastAsia="Arial" w:hAnsi="Arial"/>
                <w:sz w:val="18"/>
                <w:szCs w:val="18"/>
                <w:color w:val="auto"/>
                <w:w w:val="92"/>
              </w:rPr>
              <w:t>(44,700)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w w:val="89"/>
              </w:rPr>
              <w:t>(59,412)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1"/>
              </w:rPr>
              <w:t>(1,648,882)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4,314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4,515</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83,453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3,749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5,836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Stock expense for shares issued pursuant to research agreement</w:t>
            </w:r>
          </w:p>
        </w:tc>
        <w:tc>
          <w:tcPr>
            <w:tcW w:w="10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on sale, abandonment/disposal or impairment of property and equipment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Accrued interest on investments, net of amortization of discounts</w:t>
            </w:r>
          </w:p>
        </w:tc>
        <w:tc>
          <w:tcPr>
            <w:tcW w:w="10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Goodwill impairment</w:t>
            </w:r>
          </w:p>
        </w:tc>
        <w:tc>
          <w:tcPr>
            <w:tcW w:w="10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on available-for-sale securities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1240" w:type="dxa"/>
            <w:vAlign w:val="bottom"/>
            <w:gridSpan w:val="2"/>
          </w:tcPr>
          <w:p>
            <w:pPr>
              <w:jc w:val="right"/>
              <w:ind w:right="528"/>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600"/>
              <w:spacing w:after="0"/>
              <w:rPr>
                <w:sz w:val="20"/>
                <w:szCs w:val="20"/>
                <w:color w:val="auto"/>
              </w:rPr>
            </w:pPr>
            <w:r>
              <w:rPr>
                <w:rFonts w:ascii="Arial" w:cs="Arial" w:eastAsia="Arial" w:hAnsi="Arial"/>
                <w:sz w:val="18"/>
                <w:szCs w:val="18"/>
                <w:color w:val="auto"/>
              </w:rPr>
              <w:t>State research and development credit exchange receivable</w:t>
            </w:r>
          </w:p>
        </w:tc>
        <w:tc>
          <w:tcPr>
            <w:tcW w:w="10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1,265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455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1,076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60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1,208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(3,194)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60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1240" w:type="dxa"/>
            <w:vAlign w:val="bottom"/>
            <w:gridSpan w:val="2"/>
          </w:tcPr>
          <w:p>
            <w:pPr>
              <w:jc w:val="right"/>
              <w:ind w:right="528"/>
              <w:spacing w:after="0"/>
              <w:rPr>
                <w:sz w:val="20"/>
                <w:szCs w:val="20"/>
                <w:color w:val="auto"/>
              </w:rPr>
            </w:pPr>
            <w:r>
              <w:rPr>
                <w:rFonts w:ascii="Arial" w:cs="Arial" w:eastAsia="Arial" w:hAnsi="Arial"/>
                <w:sz w:val="18"/>
                <w:szCs w:val="18"/>
                <w:color w:val="auto"/>
              </w:rPr>
              <w:t>(4,786)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w w:val="89"/>
              </w:rPr>
              <w:t>(10,803)</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80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(38,498)</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(60,669)</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(1,242,408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10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(792,601)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Sales/ maturities of marketable securities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17,800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790,565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tcPr>
          <w:p>
            <w:pPr>
              <w:spacing w:after="0"/>
              <w:rPr>
                <w:sz w:val="18"/>
                <w:szCs w:val="18"/>
                <w:color w:val="auto"/>
              </w:rPr>
            </w:pPr>
          </w:p>
        </w:tc>
        <w:tc>
          <w:tcPr>
            <w:tcW w:w="1240" w:type="dxa"/>
            <w:vAlign w:val="bottom"/>
            <w:gridSpan w:val="2"/>
          </w:tcPr>
          <w:p>
            <w:pPr>
              <w:jc w:val="right"/>
              <w:ind w:right="528"/>
              <w:spacing w:after="0"/>
              <w:rPr>
                <w:sz w:val="20"/>
                <w:szCs w:val="20"/>
                <w:color w:val="auto"/>
              </w:rPr>
            </w:pPr>
            <w:r>
              <w:rPr>
                <w:rFonts w:ascii="Arial" w:cs="Arial" w:eastAsia="Arial" w:hAnsi="Arial"/>
                <w:sz w:val="18"/>
                <w:szCs w:val="18"/>
                <w:color w:val="auto"/>
              </w:rPr>
              <w:t>(1,689)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(5,622)</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(312,398)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Deposit for purchase related to Pfizer agreement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(10,000)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provided by investing activities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(1,689)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(314,150)</w:t>
            </w: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and warrants,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473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1,202,528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Collection of Series C convertible preferred stock subscriptions receivable</w:t>
            </w:r>
          </w:p>
        </w:tc>
        <w:tc>
          <w:tcPr>
            <w:tcW w:w="10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Issuance of Series B convertible preferred stock for cash</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Cash received for common stock to be issued</w:t>
            </w:r>
          </w:p>
        </w:tc>
        <w:tc>
          <w:tcPr>
            <w:tcW w:w="10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Put shares sold to majority stockholder</w:t>
            </w:r>
          </w:p>
        </w:tc>
        <w:tc>
          <w:tcPr>
            <w:tcW w:w="10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lines of credit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Proceeds from notes receivables</w:t>
            </w:r>
          </w:p>
        </w:tc>
        <w:tc>
          <w:tcPr>
            <w:tcW w:w="10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Borrowings on notes payable to related party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40,000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60,000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Principal payments on notes payable to principal stockholder</w:t>
            </w:r>
          </w:p>
        </w:tc>
        <w:tc>
          <w:tcPr>
            <w:tcW w:w="10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Borrowings on notes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Principal payments on notes payable</w:t>
            </w:r>
          </w:p>
        </w:tc>
        <w:tc>
          <w:tcPr>
            <w:tcW w:w="10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senior convertible notes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Payment of employment taxes related to vested restricted stock units</w:t>
            </w:r>
          </w:p>
        </w:tc>
        <w:tc>
          <w:tcPr>
            <w:tcW w:w="100" w:type="dxa"/>
            <w:vAlign w:val="bottom"/>
          </w:tcPr>
          <w:p>
            <w:pPr>
              <w:spacing w:after="0"/>
              <w:rPr>
                <w:sz w:val="18"/>
                <w:szCs w:val="18"/>
                <w:color w:val="auto"/>
              </w:rPr>
            </w:pPr>
          </w:p>
        </w:tc>
        <w:tc>
          <w:tcPr>
            <w:tcW w:w="1240" w:type="dxa"/>
            <w:vAlign w:val="bottom"/>
            <w:gridSpan w:val="2"/>
          </w:tcPr>
          <w:p>
            <w:pPr>
              <w:jc w:val="right"/>
              <w:ind w:right="528"/>
              <w:spacing w:after="0"/>
              <w:rPr>
                <w:sz w:val="20"/>
                <w:szCs w:val="20"/>
                <w:color w:val="auto"/>
              </w:rPr>
            </w:pPr>
            <w:r>
              <w:rPr>
                <w:rFonts w:ascii="Arial" w:cs="Arial" w:eastAsia="Arial" w:hAnsi="Arial"/>
                <w:sz w:val="18"/>
                <w:szCs w:val="18"/>
                <w:color w:val="auto"/>
              </w:rPr>
              <w:t>(1,253)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(9,435)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39,220</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59,957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1,585,610</w:t>
            </w: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6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30,019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27,648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29,052</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27,114</w:t>
            </w:r>
          </w:p>
        </w:tc>
        <w:tc>
          <w:tcPr>
            <w:tcW w:w="6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29,052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FLOWS DISCLOSURES: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Cash paid for income taxes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paid in cash</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1,873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20,360</w:t>
            </w: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7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7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February 14,</w:t>
            </w:r>
          </w:p>
        </w:tc>
        <w:tc>
          <w:tcPr>
            <w:tcW w:w="0" w:type="dxa"/>
            <w:vAlign w:val="bottom"/>
          </w:tcPr>
          <w:p>
            <w:pPr>
              <w:spacing w:after="0"/>
              <w:rPr>
                <w:sz w:val="1"/>
                <w:szCs w:val="1"/>
                <w:color w:val="auto"/>
              </w:rPr>
            </w:pPr>
          </w:p>
        </w:tc>
      </w:tr>
      <w:tr>
        <w:trPr>
          <w:trHeight w:val="149"/>
        </w:trPr>
        <w:tc>
          <w:tcPr>
            <w:tcW w:w="7800" w:type="dxa"/>
            <w:vAlign w:val="bottom"/>
          </w:tcPr>
          <w:p>
            <w:pPr>
              <w:spacing w:after="0"/>
              <w:rPr>
                <w:sz w:val="12"/>
                <w:szCs w:val="12"/>
                <w:color w:val="auto"/>
              </w:rPr>
            </w:pPr>
          </w:p>
        </w:tc>
        <w:tc>
          <w:tcPr>
            <w:tcW w:w="2360" w:type="dxa"/>
            <w:vAlign w:val="bottom"/>
            <w:gridSpan w:val="4"/>
            <w:vMerge w:val="restart"/>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1260" w:type="dxa"/>
            <w:vAlign w:val="bottom"/>
            <w:gridSpan w:val="3"/>
          </w:tcPr>
          <w:p>
            <w:pPr>
              <w:jc w:val="center"/>
              <w:ind w:left="152"/>
              <w:spacing w:after="0" w:line="149" w:lineRule="exact"/>
              <w:rPr>
                <w:sz w:val="20"/>
                <w:szCs w:val="20"/>
                <w:color w:val="auto"/>
              </w:rPr>
            </w:pPr>
            <w:r>
              <w:rPr>
                <w:rFonts w:ascii="Arial" w:cs="Arial" w:eastAsia="Arial" w:hAnsi="Arial"/>
                <w:sz w:val="14"/>
                <w:szCs w:val="14"/>
                <w:b w:val="1"/>
                <w:bCs w:val="1"/>
                <w:color w:val="auto"/>
                <w:w w:val="94"/>
              </w:rPr>
              <w:t>1991 (Date of</w:t>
            </w:r>
          </w:p>
        </w:tc>
        <w:tc>
          <w:tcPr>
            <w:tcW w:w="0" w:type="dxa"/>
            <w:vAlign w:val="bottom"/>
          </w:tcPr>
          <w:p>
            <w:pPr>
              <w:spacing w:after="0"/>
              <w:rPr>
                <w:sz w:val="1"/>
                <w:szCs w:val="1"/>
                <w:color w:val="auto"/>
              </w:rPr>
            </w:pPr>
          </w:p>
        </w:tc>
      </w:tr>
      <w:tr>
        <w:trPr>
          <w:trHeight w:val="149"/>
        </w:trPr>
        <w:tc>
          <w:tcPr>
            <w:tcW w:w="7800" w:type="dxa"/>
            <w:vAlign w:val="bottom"/>
          </w:tcPr>
          <w:p>
            <w:pPr>
              <w:spacing w:after="0"/>
              <w:rPr>
                <w:sz w:val="12"/>
                <w:szCs w:val="12"/>
                <w:color w:val="auto"/>
              </w:rPr>
            </w:pPr>
          </w:p>
        </w:tc>
        <w:tc>
          <w:tcPr>
            <w:tcW w:w="2360" w:type="dxa"/>
            <w:vAlign w:val="bottom"/>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71"/>
        </w:trPr>
        <w:tc>
          <w:tcPr>
            <w:tcW w:w="7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80" w:type="dxa"/>
            <w:vAlign w:val="bottom"/>
            <w:gridSpan w:val="3"/>
          </w:tcPr>
          <w:p>
            <w:pPr>
              <w:jc w:val="right"/>
              <w:ind w:right="1040"/>
              <w:spacing w:after="0"/>
              <w:rPr>
                <w:sz w:val="20"/>
                <w:szCs w:val="20"/>
                <w:color w:val="auto"/>
              </w:rPr>
            </w:pPr>
            <w:r>
              <w:rPr>
                <w:rFonts w:ascii="Arial" w:cs="Arial" w:eastAsia="Arial" w:hAnsi="Arial"/>
                <w:sz w:val="14"/>
                <w:szCs w:val="14"/>
                <w:b w:val="1"/>
                <w:bCs w:val="1"/>
                <w:color w:val="auto"/>
                <w:w w:val="95"/>
              </w:rPr>
              <w:t>March 31,</w:t>
            </w:r>
          </w:p>
        </w:tc>
        <w:tc>
          <w:tcPr>
            <w:tcW w:w="34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78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Accretion on redeemable convertible preferred stock</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7800" w:type="dxa"/>
            <w:vAlign w:val="bottom"/>
          </w:tcPr>
          <w:p>
            <w:pPr>
              <w:ind w:left="220"/>
              <w:spacing w:after="0"/>
              <w:rPr>
                <w:sz w:val="20"/>
                <w:szCs w:val="20"/>
                <w:color w:val="auto"/>
              </w:rPr>
            </w:pPr>
            <w:r>
              <w:rPr>
                <w:rFonts w:ascii="Arial" w:cs="Arial" w:eastAsia="Arial" w:hAnsi="Arial"/>
                <w:sz w:val="18"/>
                <w:szCs w:val="18"/>
                <w:color w:val="auto"/>
              </w:rPr>
              <w:t>Issuance of common stock upon conversion of notes payable</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in additional paid-in capital resulting from merger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171,154</w:t>
            </w:r>
          </w:p>
        </w:tc>
        <w:tc>
          <w:tcPr>
            <w:tcW w:w="0" w:type="dxa"/>
            <w:vAlign w:val="bottom"/>
          </w:tcPr>
          <w:p>
            <w:pPr>
              <w:spacing w:after="0"/>
              <w:rPr>
                <w:sz w:val="1"/>
                <w:szCs w:val="1"/>
                <w:color w:val="auto"/>
              </w:rPr>
            </w:pPr>
          </w:p>
        </w:tc>
      </w:tr>
      <w:tr>
        <w:trPr>
          <w:trHeight w:val="216"/>
        </w:trPr>
        <w:tc>
          <w:tcPr>
            <w:tcW w:w="7800" w:type="dxa"/>
            <w:vAlign w:val="bottom"/>
          </w:tcPr>
          <w:p>
            <w:pPr>
              <w:ind w:left="220"/>
              <w:spacing w:after="0"/>
              <w:rPr>
                <w:sz w:val="20"/>
                <w:szCs w:val="20"/>
                <w:color w:val="auto"/>
              </w:rPr>
            </w:pPr>
            <w:r>
              <w:rPr>
                <w:rFonts w:ascii="Arial" w:cs="Arial" w:eastAsia="Arial" w:hAnsi="Arial"/>
                <w:sz w:val="18"/>
                <w:szCs w:val="18"/>
                <w:color w:val="auto"/>
              </w:rPr>
              <w:t>Issuance of common stock for notes receivable</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put option by stockholder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16"/>
        </w:trPr>
        <w:tc>
          <w:tcPr>
            <w:tcW w:w="7800" w:type="dxa"/>
            <w:vAlign w:val="bottom"/>
          </w:tcPr>
          <w:p>
            <w:pPr>
              <w:ind w:left="220"/>
              <w:spacing w:after="0"/>
              <w:rPr>
                <w:sz w:val="20"/>
                <w:szCs w:val="20"/>
                <w:color w:val="auto"/>
              </w:rPr>
            </w:pPr>
            <w:r>
              <w:rPr>
                <w:rFonts w:ascii="Arial" w:cs="Arial" w:eastAsia="Arial" w:hAnsi="Arial"/>
                <w:sz w:val="18"/>
                <w:szCs w:val="18"/>
                <w:color w:val="auto"/>
              </w:rPr>
              <w:t>Put option redemption by stockholder</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Series C convertible preferred stock subscriptions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7800" w:type="dxa"/>
            <w:vAlign w:val="bottom"/>
          </w:tcPr>
          <w:p>
            <w:pPr>
              <w:ind w:left="220"/>
              <w:spacing w:after="0"/>
              <w:rPr>
                <w:sz w:val="20"/>
                <w:szCs w:val="20"/>
                <w:color w:val="auto"/>
              </w:rPr>
            </w:pPr>
            <w:r>
              <w:rPr>
                <w:rFonts w:ascii="Arial" w:cs="Arial" w:eastAsia="Arial" w:hAnsi="Arial"/>
                <w:sz w:val="18"/>
                <w:szCs w:val="18"/>
                <w:color w:val="auto"/>
              </w:rPr>
              <w:t>Issuance of Series A redeemable convertible preferred stock</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Conversion of Series A redeemable convertible preferred stock</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30"/>
        </w:trPr>
        <w:tc>
          <w:tcPr>
            <w:tcW w:w="7800" w:type="dxa"/>
            <w:vAlign w:val="bottom"/>
          </w:tcPr>
          <w:p>
            <w:pPr>
              <w:ind w:left="220"/>
              <w:spacing w:after="0"/>
              <w:rPr>
                <w:sz w:val="20"/>
                <w:szCs w:val="20"/>
                <w:color w:val="auto"/>
              </w:rPr>
            </w:pPr>
            <w:r>
              <w:rPr>
                <w:rFonts w:ascii="Arial" w:cs="Arial" w:eastAsia="Arial" w:hAnsi="Arial"/>
                <w:sz w:val="18"/>
                <w:szCs w:val="18"/>
                <w:color w:val="auto"/>
              </w:rPr>
              <w:t>Non-cash construction in progress and property and equipment</w:t>
            </w:r>
          </w:p>
        </w:tc>
        <w:tc>
          <w:tcPr>
            <w:tcW w:w="680" w:type="dxa"/>
            <w:vAlign w:val="bottom"/>
          </w:tcPr>
          <w:p>
            <w:pPr>
              <w:jc w:val="right"/>
              <w:spacing w:after="0"/>
              <w:rPr>
                <w:sz w:val="20"/>
                <w:szCs w:val="20"/>
                <w:color w:val="auto"/>
              </w:rPr>
            </w:pPr>
            <w:r>
              <w:rPr>
                <w:rFonts w:ascii="Arial" w:cs="Arial" w:eastAsia="Arial" w:hAnsi="Arial"/>
                <w:sz w:val="18"/>
                <w:szCs w:val="18"/>
                <w:color w:val="auto"/>
              </w:rPr>
              <w:t>1,025</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7,281</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connection with the Company’s initial public offering, all shares of Series B and Series C convertible preferred stock, in the amount of $15.0 million and $50.0 million, respectively, automatically converted into common stock in August 2004.</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accompanying unaudited condensed consolidated financial statements of MannKind Corporation and its subsidiaries (the “Company”),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These statements should be read in conjunction with the financial statements and notes thereto included in the Company’s latest audited annual financial statements. The audited statements for the year ended December 31, 2009 are included in the Company’s annual report on Form 10-K for the fiscal year ended December 31, 2009 filed with the SEC on March 16, 2010 (the “Annual Report”).</w:t>
      </w:r>
    </w:p>
    <w:p>
      <w:pPr>
        <w:spacing w:after="0" w:line="8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months ended March 31, 2010 may not be indicative of the results that may be expected for the full year.</w:t>
      </w:r>
    </w:p>
    <w:p>
      <w:pPr>
        <w:spacing w:after="0" w:line="73"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or assumptions. The more significant estimates reflected in these accompanying financial statements involve accrued expenses, the valuation of stock-based compensation and the determination of the provision for income taxes and corresponding deferred tax assets and liabilities and any valuation allowance recorded against net deferred tax assets.</w:t>
      </w:r>
    </w:p>
    <w:p>
      <w:pPr>
        <w:spacing w:after="0" w:line="50"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 xml:space="preserve">Business — </w:t>
      </w:r>
      <w:r>
        <w:rPr>
          <w:rFonts w:ascii="Arial" w:cs="Arial" w:eastAsia="Arial" w:hAnsi="Arial"/>
          <w:sz w:val="16"/>
          <w:szCs w:val="16"/>
          <w:color w:val="auto"/>
        </w:rPr>
        <w:t>The Company is a biopharmaceutical company focused on the discovery, development and commercialization of therapeutic products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diseases such as diabetes and cancer. The Company’s lead product candidate, AFREZZA, is an ultra rapid-acting insulin. In March 2009, the Company submitted a new drug application (“NDA”) to the U.S. Food and Drug Administration (“FDA”) requesting approval of AFREZZA for the treatment of adults with type 1 or type 2 diabetes for the control of hyperglycemia. In March 2010, the FDA provided a Complete Response letter regarding this NDA, requesting additional information. Currently, AFREZZA remains under regulatory review. AFREZZA consists of the Company’s proprietary Technosphere particles onto which insulin molecules are loaded. These loaded particles are then aerosolized and inhaled deep into the lung using the Company’s AFREZZA inhaler.</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Basis of Presentation — </w:t>
      </w:r>
      <w:r>
        <w:rPr>
          <w:rFonts w:ascii="Arial" w:cs="Arial" w:eastAsia="Arial" w:hAnsi="Arial"/>
          <w:sz w:val="16"/>
          <w:szCs w:val="16"/>
          <w:color w:val="auto"/>
        </w:rPr>
        <w:t>The Company is considered to be in the development stage as its primary activities since incorporation have been establishing its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facilities, recruiting personnel, conducting research and development, business development, business and financial planning, and raising capital. Since its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inception through March 31, 2010 the Company has reported accumulated net losses of $1.6 billion, which include a goodwill impairment charge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$151.4 million, and cumulative negative cash flow from operations of $1.2 billion. It is costly to develop therapeutic products and conduct clinical trials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products. At March 31, 2010 the Company’s capital resources consisted of cash, cash equivalents, and marketable securities of $31.5 million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$2.0 million certificate of deposit held as collateral for foreign exchange hedging instruments) and $145.0 million of available borrowings under the loan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with an entity controlled by the Company’s principal stockholder (see Note 11). Based upon the Company’s current expectations, management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believes the Company’s existing capital resources will enable it to continue planned operations through the first quarter of 2011. However, the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cannot provide assurances that its plans will not change or that changed circumstances will not result in the depletion of its capital resources more rapidly than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it currently anticipates. On April 30, 2010, the Company filed a shelf registration statement with the SEC providing for the sale of up to $200 million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equity and debt securities from time to time in one or more transactions. If the Company is not successful in raising additional capital through equity or debt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financing or entering a business collaboration, the Company may be required to reduce expenses through the delay, reduction or curtailment of our projects,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AFREZZA development activities, or further reduction of costs for facilities and administration, and there will be substantial doubt about our ability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continue as a going concern.</w:t>
      </w:r>
    </w:p>
    <w:p>
      <w:pPr>
        <w:spacing w:after="0" w:line="10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 xml:space="preserve">Fair Value of Financial Instruments — </w:t>
      </w:r>
      <w:r>
        <w:rPr>
          <w:rFonts w:ascii="Arial" w:cs="Arial" w:eastAsia="Arial" w:hAnsi="Arial"/>
          <w:sz w:val="18"/>
          <w:szCs w:val="18"/>
          <w:color w:val="auto"/>
        </w:rPr>
        <w:t>The carrying amounts of financial instruments, which include cash equivalents, marketable securities and accounts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payable, approximate their fair values due to their relatively short maturities. The fair value of the note payable to an entity controlled by the Company’s principal shareholder cannot be reasonably estimated as the Company would not be able to obtain a similar credit arrangement in the current economic environment. The senior convertible notes had a carrying value of $112.9</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million and $112.8 million and an estimated fair value of $77.5 million and $80.3 million as of March 31, 2010 and December 31, 2009, respectively which is calculated based on quoted prices in an active market (Level 1 in the fair value hierarchy). The fair value of foreign exchange hedging contracts equals the carrying value at each balance sheet date. The fair value of these contracts are determined using methodologies based on market observable inputs (Level 2 in the fair value hierarchy), including foreign currency spot rates. The Company recorded an unrealized loss on the foreign exchange hedging contracts of $0.9 million at March 31, 2010 and $0.3 million at December 31, 2009.</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Subsequent Events — </w:t>
      </w:r>
      <w:r>
        <w:rPr>
          <w:rFonts w:ascii="Arial" w:cs="Arial" w:eastAsia="Arial" w:hAnsi="Arial"/>
          <w:sz w:val="18"/>
          <w:szCs w:val="18"/>
          <w:color w:val="auto"/>
        </w:rPr>
        <w:t>The Company has evaluated subsequent events through the date the financial statements were issued.</w:t>
      </w:r>
    </w:p>
    <w:p>
      <w:pPr>
        <w:spacing w:after="0" w:line="11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b w:val="1"/>
          <w:bCs w:val="1"/>
          <w:i w:val="1"/>
          <w:iCs w:val="1"/>
          <w:color w:val="auto"/>
        </w:rPr>
        <w:t xml:space="preserve">Recently Issued Accounting Standards — </w:t>
      </w:r>
      <w:r>
        <w:rPr>
          <w:rFonts w:ascii="Arial" w:cs="Arial" w:eastAsia="Arial" w:hAnsi="Arial"/>
          <w:sz w:val="18"/>
          <w:szCs w:val="18"/>
          <w:color w:val="auto"/>
        </w:rPr>
        <w:t>On January 21, 2010, the Financial Accounting Standards Board (“FASB”) issued Accounting Standard Update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(“ASU”) No. 2010-06, </w:t>
      </w:r>
      <w:r>
        <w:rPr>
          <w:rFonts w:ascii="Arial" w:cs="Arial" w:eastAsia="Arial" w:hAnsi="Arial"/>
          <w:sz w:val="18"/>
          <w:szCs w:val="18"/>
          <w:i w:val="1"/>
          <w:iCs w:val="1"/>
          <w:color w:val="auto"/>
        </w:rPr>
        <w:t>Improving Disclosures About Fair Value Measurements</w:t>
      </w:r>
      <w:r>
        <w:rPr>
          <w:rFonts w:ascii="Arial" w:cs="Arial" w:eastAsia="Arial" w:hAnsi="Arial"/>
          <w:sz w:val="18"/>
          <w:szCs w:val="18"/>
          <w:color w:val="auto"/>
        </w:rPr>
        <w:t xml:space="preserve">, which amends Accounting Standards Codification (“ASC”) 820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and Disclosures </w:t>
      </w:r>
      <w:r>
        <w:rPr>
          <w:rFonts w:ascii="Arial" w:cs="Arial" w:eastAsia="Arial" w:hAnsi="Arial"/>
          <w:sz w:val="18"/>
          <w:szCs w:val="18"/>
          <w:color w:val="auto"/>
        </w:rPr>
        <w:t>to add new requirements for disclosures about transfers into and out of Level 1 and 2 and separate disclosures about</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purchases, sales, issuances, and settlements relating to Level 3 measurements. The ASU also clarifies existing fair value disclosures about the level of disaggregation and about inputs and valuation techniques used to measure fair value. The ASU is effective for the first reporting period beginning after December 15, 2009. The adoption of this guidance did not have a material impact on the Company’s results of operations, financial position, cash flows or financial statement disclosures.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 in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available-for-sale securities classified as current assets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ind w:left="388"/>
              <w:spacing w:after="0"/>
              <w:rPr>
                <w:sz w:val="20"/>
                <w:szCs w:val="20"/>
                <w:color w:val="auto"/>
              </w:rPr>
            </w:pPr>
            <w:r>
              <w:rPr>
                <w:rFonts w:ascii="Arial" w:cs="Arial" w:eastAsia="Arial" w:hAnsi="Arial"/>
                <w:sz w:val="14"/>
                <w:szCs w:val="14"/>
                <w:b w:val="1"/>
                <w:bCs w:val="1"/>
                <w:color w:val="auto"/>
                <w:w w:val="89"/>
              </w:rPr>
              <w:t>2010</w:t>
            </w:r>
          </w:p>
        </w:tc>
        <w:tc>
          <w:tcPr>
            <w:tcW w:w="4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ind w:left="388"/>
              <w:spacing w:after="0"/>
              <w:rPr>
                <w:sz w:val="20"/>
                <w:szCs w:val="20"/>
                <w:color w:val="auto"/>
              </w:rPr>
            </w:pPr>
            <w:r>
              <w:rPr>
                <w:rFonts w:ascii="Arial" w:cs="Arial" w:eastAsia="Arial" w:hAnsi="Arial"/>
                <w:sz w:val="14"/>
                <w:szCs w:val="14"/>
                <w:b w:val="1"/>
                <w:bCs w:val="1"/>
                <w:color w:val="auto"/>
                <w:w w:val="89"/>
              </w:rPr>
              <w:t>2009</w:t>
            </w: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Gross</w:t>
            </w:r>
          </w:p>
        </w:tc>
        <w:tc>
          <w:tcPr>
            <w:tcW w:w="4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Cost</w:t>
            </w:r>
          </w:p>
        </w:tc>
        <w:tc>
          <w:tcPr>
            <w:tcW w:w="46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Gross</w:t>
            </w:r>
          </w:p>
        </w:tc>
        <w:tc>
          <w:tcPr>
            <w:tcW w:w="460" w:type="dxa"/>
            <w:vAlign w:val="bottom"/>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0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Cost Basis</w:t>
            </w:r>
          </w:p>
        </w:tc>
        <w:tc>
          <w:tcPr>
            <w:tcW w:w="4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Unrealized</w:t>
            </w:r>
          </w:p>
        </w:tc>
        <w:tc>
          <w:tcPr>
            <w:tcW w:w="460" w:type="dxa"/>
            <w:vAlign w:val="bottom"/>
          </w:tcPr>
          <w:p>
            <w:pPr>
              <w:spacing w:after="0"/>
              <w:rPr>
                <w:sz w:val="12"/>
                <w:szCs w:val="12"/>
                <w:color w:val="auto"/>
              </w:rPr>
            </w:pPr>
          </w:p>
        </w:tc>
        <w:tc>
          <w:tcPr>
            <w:tcW w:w="10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Fair Value</w:t>
            </w:r>
          </w:p>
        </w:tc>
        <w:tc>
          <w:tcPr>
            <w:tcW w:w="4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Unrealized</w:t>
            </w:r>
          </w:p>
        </w:tc>
        <w:tc>
          <w:tcPr>
            <w:tcW w:w="4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80" w:type="dxa"/>
            <w:vAlign w:val="bottom"/>
            <w:vMerge w:val="restart"/>
          </w:tcPr>
          <w:p>
            <w:pPr>
              <w:spacing w:after="0"/>
              <w:rPr>
                <w:sz w:val="20"/>
                <w:szCs w:val="20"/>
                <w:color w:val="auto"/>
              </w:rPr>
            </w:pPr>
            <w:r>
              <w:rPr>
                <w:rFonts w:ascii="Arial" w:cs="Arial" w:eastAsia="Arial" w:hAnsi="Arial"/>
                <w:sz w:val="18"/>
                <w:szCs w:val="18"/>
                <w:color w:val="auto"/>
              </w:rPr>
              <w:t>Available-for-sale securities</w:t>
            </w:r>
          </w:p>
        </w:tc>
        <w:tc>
          <w:tcPr>
            <w:tcW w:w="1040" w:type="dxa"/>
            <w:vAlign w:val="bottom"/>
            <w:tcBorders>
              <w:bottom w:val="single" w:sz="8" w:color="auto"/>
            </w:tcBorders>
            <w:vMerge w:val="continue"/>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Loss</w:t>
            </w:r>
          </w:p>
        </w:tc>
        <w:tc>
          <w:tcPr>
            <w:tcW w:w="460" w:type="dxa"/>
            <w:vAlign w:val="bottom"/>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Basis</w:t>
            </w:r>
          </w:p>
        </w:tc>
        <w:tc>
          <w:tcPr>
            <w:tcW w:w="4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Loss</w:t>
            </w:r>
          </w:p>
        </w:tc>
        <w:tc>
          <w:tcPr>
            <w:tcW w:w="46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4"/>
        </w:trPr>
        <w:tc>
          <w:tcPr>
            <w:tcW w:w="3080" w:type="dxa"/>
            <w:vAlign w:val="bottom"/>
            <w:vMerge w:val="continue"/>
          </w:tcPr>
          <w:p>
            <w:pPr>
              <w:spacing w:after="0"/>
              <w:rPr>
                <w:sz w:val="19"/>
                <w:szCs w:val="19"/>
                <w:color w:val="auto"/>
              </w:rPr>
            </w:pPr>
          </w:p>
        </w:tc>
        <w:tc>
          <w:tcPr>
            <w:tcW w:w="1040" w:type="dxa"/>
            <w:vAlign w:val="bottom"/>
          </w:tcPr>
          <w:p>
            <w:pPr>
              <w:jc w:val="right"/>
              <w:ind w:right="239"/>
              <w:spacing w:after="0"/>
              <w:rPr>
                <w:sz w:val="20"/>
                <w:szCs w:val="20"/>
                <w:color w:val="auto"/>
              </w:rPr>
            </w:pPr>
            <w:r>
              <w:rPr>
                <w:rFonts w:ascii="Arial" w:cs="Arial" w:eastAsia="Arial" w:hAnsi="Arial"/>
                <w:sz w:val="18"/>
                <w:szCs w:val="18"/>
                <w:color w:val="auto"/>
              </w:rPr>
              <w:t>$2,761</w:t>
            </w:r>
          </w:p>
        </w:tc>
        <w:tc>
          <w:tcPr>
            <w:tcW w:w="46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$(273)</w:t>
            </w:r>
          </w:p>
        </w:tc>
        <w:tc>
          <w:tcPr>
            <w:tcW w:w="460" w:type="dxa"/>
            <w:vAlign w:val="bottom"/>
          </w:tcPr>
          <w:p>
            <w:pPr>
              <w:spacing w:after="0"/>
              <w:rPr>
                <w:sz w:val="19"/>
                <w:szCs w:val="19"/>
                <w:color w:val="auto"/>
              </w:rPr>
            </w:pPr>
          </w:p>
        </w:tc>
        <w:tc>
          <w:tcPr>
            <w:tcW w:w="1040" w:type="dxa"/>
            <w:vAlign w:val="bottom"/>
          </w:tcPr>
          <w:p>
            <w:pPr>
              <w:jc w:val="right"/>
              <w:ind w:right="239"/>
              <w:spacing w:after="0"/>
              <w:rPr>
                <w:sz w:val="20"/>
                <w:szCs w:val="20"/>
                <w:color w:val="auto"/>
              </w:rPr>
            </w:pPr>
            <w:r>
              <w:rPr>
                <w:rFonts w:ascii="Arial" w:cs="Arial" w:eastAsia="Arial" w:hAnsi="Arial"/>
                <w:sz w:val="18"/>
                <w:szCs w:val="18"/>
                <w:color w:val="auto"/>
              </w:rPr>
              <w:t>$2,488</w:t>
            </w:r>
          </w:p>
        </w:tc>
        <w:tc>
          <w:tcPr>
            <w:tcW w:w="460" w:type="dxa"/>
            <w:vAlign w:val="bottom"/>
          </w:tcPr>
          <w:p>
            <w:pPr>
              <w:spacing w:after="0"/>
              <w:rPr>
                <w:sz w:val="19"/>
                <w:szCs w:val="19"/>
                <w:color w:val="auto"/>
              </w:rPr>
            </w:pPr>
          </w:p>
        </w:tc>
        <w:tc>
          <w:tcPr>
            <w:tcW w:w="980" w:type="dxa"/>
            <w:vAlign w:val="bottom"/>
          </w:tcPr>
          <w:p>
            <w:pPr>
              <w:jc w:val="right"/>
              <w:ind w:right="202"/>
              <w:spacing w:after="0"/>
              <w:rPr>
                <w:sz w:val="20"/>
                <w:szCs w:val="20"/>
                <w:color w:val="auto"/>
              </w:rPr>
            </w:pPr>
            <w:r>
              <w:rPr>
                <w:rFonts w:ascii="Arial" w:cs="Arial" w:eastAsia="Arial" w:hAnsi="Arial"/>
                <w:sz w:val="18"/>
                <w:szCs w:val="18"/>
                <w:color w:val="auto"/>
              </w:rPr>
              <w:t>$2,761</w:t>
            </w:r>
          </w:p>
        </w:tc>
        <w:tc>
          <w:tcPr>
            <w:tcW w:w="46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6"/>
              </w:rPr>
              <w:t>$(286)</w:t>
            </w:r>
          </w:p>
        </w:tc>
        <w:tc>
          <w:tcPr>
            <w:tcW w:w="460" w:type="dxa"/>
            <w:vAlign w:val="bottom"/>
          </w:tcPr>
          <w:p>
            <w:pPr>
              <w:spacing w:after="0"/>
              <w:rPr>
                <w:sz w:val="19"/>
                <w:szCs w:val="19"/>
                <w:color w:val="auto"/>
              </w:rPr>
            </w:pPr>
          </w:p>
        </w:tc>
        <w:tc>
          <w:tcPr>
            <w:tcW w:w="980" w:type="dxa"/>
            <w:vAlign w:val="bottom"/>
          </w:tcPr>
          <w:p>
            <w:pPr>
              <w:jc w:val="right"/>
              <w:ind w:right="202"/>
              <w:spacing w:after="0"/>
              <w:rPr>
                <w:sz w:val="20"/>
                <w:szCs w:val="20"/>
                <w:color w:val="auto"/>
              </w:rPr>
            </w:pPr>
            <w:r>
              <w:rPr>
                <w:rFonts w:ascii="Arial" w:cs="Arial" w:eastAsia="Arial" w:hAnsi="Arial"/>
                <w:sz w:val="18"/>
                <w:szCs w:val="18"/>
                <w:color w:val="auto"/>
              </w:rPr>
              <w:t>$2,475</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available-for-sale securities at March 31, 2010 and December 31, 2009 consist principally of a $2.0 million certificate of deposit with a maturity greater than 90 days, held as collateral for foreign exchange hedging instruments, and a common stock investment. The certificate of deposit is stated at fair value based on quoted prices for similar instruments in an active market (Level 2 in the fair value hierarchy) and the common stock investment is stated at fair value based on quoted prices in an active market (Level 1 in the fair value hierarchy). The Company’s policy is to maintain a highly liquid short-term investment portfolio. Gross realized gains and losses for available-for-sale securities were insignificant and recorded as other income (expense). Gross unrealized gains and losses are included in other comprehensive income (loss).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are comprised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Salary and related expenses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7,064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13,362</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Research and clinical trial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2,580</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3,169</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2,065</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3,535</w:t>
            </w: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17,534</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22,334</w:t>
            </w:r>
          </w:p>
        </w:tc>
        <w:tc>
          <w:tcPr>
            <w:tcW w:w="10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Accounting for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expense was $3.7 million and $5.8 million for the three months ended March 31, 2010 and 2009, respectively.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2010, there was $11.1 million and $19.7 million of unrecognized compensation cost related to options and restricted stock units, respectively, which are expected to be recognized over the remaining weighted average vesting period of 2.4 years.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Comprehensive Loss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ASC 220-10-45 </w:t>
      </w:r>
      <w:r>
        <w:rPr>
          <w:rFonts w:ascii="Arial" w:cs="Arial" w:eastAsia="Arial" w:hAnsi="Arial"/>
          <w:sz w:val="18"/>
          <w:szCs w:val="18"/>
          <w:i w:val="1"/>
          <w:iCs w:val="1"/>
          <w:color w:val="auto"/>
        </w:rPr>
        <w:t>Comprehensive Income Other Presentation</w:t>
      </w:r>
      <w:r>
        <w:rPr>
          <w:rFonts w:ascii="Arial" w:cs="Arial" w:eastAsia="Arial" w:hAnsi="Arial"/>
          <w:sz w:val="18"/>
          <w:szCs w:val="18"/>
          <w:color w:val="auto"/>
        </w:rPr>
        <w:t xml:space="preserve"> requires reporting and displaying comprehensive income (loss) and its components, which, for the Company, includes net loss and unrealized gains and losses on investments and cumulative translation gains and losses. In accordance with this guidance, the accumulated balance of other comprehensive income (loss) is disclosed as a separate component of stockholders’ equity. For the three months ended March 31, 2010 and 2009, comprehensive loss consisted of (in thousands):</w:t>
      </w:r>
    </w:p>
    <w:p>
      <w:pPr>
        <w:spacing w:after="0" w:line="179"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(44,700)</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(59,412)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3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 on investments</w:t>
            </w:r>
          </w:p>
        </w:tc>
        <w:tc>
          <w:tcPr>
            <w:tcW w:w="44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200"/>
              <w:spacing w:after="0"/>
              <w:rPr>
                <w:sz w:val="20"/>
                <w:szCs w:val="20"/>
                <w:color w:val="auto"/>
              </w:rPr>
            </w:pPr>
            <w:r>
              <w:rPr>
                <w:rFonts w:ascii="Arial" w:cs="Arial" w:eastAsia="Arial" w:hAnsi="Arial"/>
                <w:sz w:val="18"/>
                <w:szCs w:val="18"/>
                <w:color w:val="auto"/>
              </w:rPr>
              <w:t>Cumulative translation loss</w:t>
            </w:r>
          </w:p>
        </w:tc>
        <w:tc>
          <w:tcPr>
            <w:tcW w:w="34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4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(44,690)</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(59,353)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loss per common share</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Basic net loss per share excludes dilution for potentially dilutive securities and is computed by dividing loss applicable to common stockholders by the weighted average number of common shares outstanding during the period. Diluted net loss per share reflects the potential dilution that could occur if securities or other contracts to issue common stock were exercised or converted into common stock. Potentially dilutive securities are excluded from the computation of diluted net loss per share for all of the periods presented in the accompanying statements of operations because the reported net loss in each of these periods results in their inclusion being antidilutive. Antidilutive securities, which consist of stock options, restricted stock units, warrants, and shares that could be issued upon conversion of the senior convertible notes, that are not included in the diluted net loss per share calculation consisted of an aggregate of 17,209,289 shares and 19,276,593 shares as of March 31, 2010 and 2009,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State research and development credit exchange receivable</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State of Connecticut provides certain companies with the opportunity to exchange certain research and development income tax credit carryforwards for cash in exchange for forgoing the carryforward of the research and development income tax credits. The program provides for an exchange of research and development income tax credits for cash equal to 65% of the value of corporation tax credit available for exchange. Estimated amounts receivable under the program are recorded as a reduction of research and development expenses. At March 31, 2010, the estimated amount receivable under the program was $1.2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 —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 net consist of the following (dollar 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Estimated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Useful</w:t>
            </w:r>
          </w:p>
        </w:tc>
        <w:tc>
          <w:tcPr>
            <w:tcW w:w="340" w:type="dxa"/>
            <w:vAlign w:val="bottom"/>
          </w:tcPr>
          <w:p>
            <w:pPr>
              <w:spacing w:after="0"/>
              <w:rPr>
                <w:sz w:val="12"/>
                <w:szCs w:val="12"/>
                <w:color w:val="auto"/>
              </w:rPr>
            </w:pPr>
          </w:p>
        </w:tc>
        <w:tc>
          <w:tcPr>
            <w:tcW w:w="1380" w:type="dxa"/>
            <w:vAlign w:val="bottom"/>
            <w:gridSpan w:val="3"/>
            <w:vMerge w:val="restart"/>
          </w:tcPr>
          <w:p>
            <w:pPr>
              <w:jc w:val="right"/>
              <w:ind w:right="720"/>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Life</w:t>
            </w:r>
          </w:p>
        </w:tc>
        <w:tc>
          <w:tcPr>
            <w:tcW w:w="34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5,273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Buildings</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39-40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54,966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54,966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Building improvements</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113,221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3-15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73,638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72,958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5,334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15,910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8,093</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276,607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(69,846)</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(65,741)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206,761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208,229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Leasehold improvements are amortized over the shorter of the term of the lease or the service lives of the improvements. Depreciation and amortization expense related to property and equipment for the three months ended March 31, 2010 and 2009, and the cumulative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period from February 14, 1991 (date of inception) to March 31, 2010 was $4.2 million, $4.4 million and $81.8 million, respectively. Capitalized interest was recorded during the three months ended March 31, 2010 and 2009 was not 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Warrants</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connection with the sale of common stock in the private placement which closed in August 2005, the Company concurrently issued warrants to purchase up to 3,426,000 shares of common stock at an exercise price of $12.228 per share. These warrants became exercisable in February 2006 and expire in August 2010. During the three months ended March 31, 2010, no warrants were exercised. As of March 31, 2010, warrants to purchase 2,882,873 shares of common stock remained outstanding.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b w:val="1"/>
          <w:bCs w:val="1"/>
          <w:i w:val="1"/>
          <w:iCs w:val="1"/>
          <w:color w:val="auto"/>
        </w:rPr>
        <w:t xml:space="preserve">Supply Commitments — </w:t>
      </w:r>
      <w:r>
        <w:rPr>
          <w:rFonts w:ascii="Arial" w:cs="Arial" w:eastAsia="Arial" w:hAnsi="Arial"/>
          <w:sz w:val="18"/>
          <w:szCs w:val="18"/>
          <w:color w:val="auto"/>
        </w:rPr>
        <w:t>As of March 31, 2010, the Company had a binding annual commitment for insulin purchases with Organon N.V. (“Organon”)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aggregating approximately $90 million over the period from 2010 through 2012. If the Company terminates the supply agreement following failure to obtain or maintain regulatory approval of AFREZZA or either party terminates the agreement following the parties’ inability to agree to changes to product specifications mandated after regulatory approval, the Company will be required to pay Organon a specified termination fee if Organon is unable to sell certain quantities of insulin to other parties.</w:t>
      </w:r>
    </w:p>
    <w:p>
      <w:pPr>
        <w:spacing w:after="0" w:line="80"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Guarantees and Indemnifications — </w:t>
      </w:r>
      <w:r>
        <w:rPr>
          <w:rFonts w:ascii="Arial" w:cs="Arial" w:eastAsia="Arial" w:hAnsi="Arial"/>
          <w:sz w:val="17"/>
          <w:szCs w:val="17"/>
          <w:color w:val="auto"/>
        </w:rPr>
        <w:t>In the ordinary course of its business, the Company makes certain indemnities, commitments and guarantees under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condensed consolidated balance sheets. However,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7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 xml:space="preserve">Litigation — </w:t>
      </w:r>
      <w:r>
        <w:rPr>
          <w:rFonts w:ascii="Arial" w:cs="Arial" w:eastAsia="Arial" w:hAnsi="Arial"/>
          <w:sz w:val="18"/>
          <w:szCs w:val="18"/>
          <w:color w:val="auto"/>
        </w:rPr>
        <w:t>The Company is involved in various legal proceedings and other matters. In accordance with general accounting guidance for recording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contingencies, the Company would record a provision for a liability when it is both probable that a liability has been incurred and the amount of the loss can be reasonably estimated.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Related-party loan arrangement</w:t>
      </w:r>
    </w:p>
    <w:p>
      <w:pPr>
        <w:spacing w:after="0" w:line="121" w:lineRule="exact"/>
        <w:rPr>
          <w:sz w:val="20"/>
          <w:szCs w:val="20"/>
          <w:color w:val="auto"/>
        </w:rPr>
      </w:pPr>
    </w:p>
    <w:p>
      <w:pPr>
        <w:ind w:right="40" w:firstLine="225"/>
        <w:spacing w:after="0" w:line="268" w:lineRule="auto"/>
        <w:rPr>
          <w:sz w:val="20"/>
          <w:szCs w:val="20"/>
          <w:color w:val="auto"/>
        </w:rPr>
      </w:pPr>
      <w:r>
        <w:rPr>
          <w:rFonts w:ascii="Arial" w:cs="Arial" w:eastAsia="Arial" w:hAnsi="Arial"/>
          <w:sz w:val="17"/>
          <w:szCs w:val="17"/>
          <w:color w:val="auto"/>
        </w:rPr>
        <w:t xml:space="preserve">In October 2007, the Company entered into a $350.0 million loan arrangement with its principal stockholder. Under the arrangement, the Company can borrow up to a total of $350.0 million. On February 26, 2009, the promissory note underlying the loan arrangement was revised as a result of the principal stockholder being licensed as a finance lender under the California Finance Lenders Law. Accordingly, the lender was revised to The Mann Group LLC, an entity controlled by the Company’s principal stockholder. Interest will accrue on each outstanding advance at a fixed rate equal to the one-year LIBOR rate as reported by the </w:t>
      </w:r>
      <w:r>
        <w:rPr>
          <w:rFonts w:ascii="Arial" w:cs="Arial" w:eastAsia="Arial" w:hAnsi="Arial"/>
          <w:sz w:val="17"/>
          <w:szCs w:val="17"/>
          <w:i w:val="1"/>
          <w:iCs w:val="1"/>
          <w:color w:val="auto"/>
        </w:rPr>
        <w:t>Wall Street Journal</w:t>
      </w:r>
      <w:r>
        <w:rPr>
          <w:rFonts w:ascii="Arial" w:cs="Arial" w:eastAsia="Arial" w:hAnsi="Arial"/>
          <w:sz w:val="17"/>
          <w:szCs w:val="17"/>
          <w:color w:val="auto"/>
        </w:rPr>
        <w:t xml:space="preserve"> on the date of such advance plus 3% per annum and will be payable quarterly in arrears. Principal repayment is due on December 31, 2011. At any time after January 1, 2010, the principal stockholder can require the Company to prepay up to $200.0 million in advances that have been outstanding for at least 12 months. If the principal stockholder exercises this right, the Company will have until the earlier of 180 days after the principal stockholder provides written notice or December 31, 2011 to prepay such advances. The principal stockholder has agreed not to exercise his prepayment right if such prepayment would require the use of existing working capital resources to repay the loan. In the event of a default, all unpaid principal and interest either becomes immediately due and payable or may be accelerated at the principal stockholder’s option, and the interest rate will increase to the one-year LIBOR rate calculated on the date of the initial advance or in effect on the date of default, whichever is greater, plus 5% per annum. Any borrowings under the loan arrangement will be unsecured. The loan arrangement contains no financial covenants. There are no warrants associated with the loan arrangement, nor are advances convertible into the Company’s common stock.</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principal amount outstanding under the arrangement was $205.0 million and $165.0 million at March 31, 2010 and December 31, 2009,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2010, the Company had accrued interest of $2.1 million related to the amount outstanding.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Senior convertible notes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December 12, 2006, the Company completed an offering of $115.0 million aggregate principal amount of 3.75% Senior Convertible Notes due 2013 (the “Notes”). The Notes are governed by the terms of an indenture dated as of November 1, 2006 and a First Supplemental Indenture, dated as of December 12, 2006. The Notes bear interest at the rate of 3.75% per year on the principal amount of the Notes, payable in cash semi-annually in arrears on June 15 and December 15 of each year, beginning June 15, 2007. As of March 31, 2010 and December 31, 2009, the Company had accrued interest of $1.3 million and $0.2 million, respectively, related to the Notes. The Notes are general, unsecured, senior obligations of the Company and effectively rank junior in right of payment to all of the Company’s secured debt, to the extent of the value of the assets securing such debt, and to the debt and all other liabilities of the Company’s subsidiaries. The maturity date of the Notes is December 15, 2013 and payment is due in full on that date for unconverted securities. Holders may convert, at any time prior to the close of business on the business day immediately preceding the stated maturity date, any outstanding Notes into shares of the Company’s common stock at an initial conversion rate of 44.5002 shares per $1,000 principal amount of Notes, which is equal to a conversion price of approximately $22.47 per share, subject to adjustment. Except in certain circumstances, if the Company undergoes a fundamental change: (1) the Company will pay a make-whole premium on the Notes converted in connection with a fundamental change by increasing the conversion rate on such Notes, which amount, if any, will be based on the Company’s common stock price and the effective date of the fundamental change, and (2) each holder of the Notes will have the option to require the Company to repurchase all or any portion of such holder’s Notes at a repurchase price of 100% of the principal amount of the Notes to be repurchased plus accrued and unpaid interest, if any. The Company incurred approximately $3.7 million in issuance costs which are recorded as an offset to the Notes in the accompanying condensed consolidated balance sheets. These costs are being amortized to interest expense using the effective interest method over the term of the Notes. Amortized interest expense during the three months ended March 31, 2010 and 2009 was $0.1 million and $0.1 million, respectively.</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As discussed in Note 14 to the financial statements in the Company’s Annual Report, management of the Company has concluded, in accordance with applicable accounting standards, that it is more likely than not that the Company may not realize the benefit of its deferred tax assets. Accordingly, net deferred tax assets have been fully reserved.</w:t>
      </w:r>
    </w:p>
    <w:p>
      <w:pPr>
        <w:spacing w:after="0" w:line="7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ASC 740-10-25 </w:t>
      </w:r>
      <w:r>
        <w:rPr>
          <w:rFonts w:ascii="Arial" w:cs="Arial" w:eastAsia="Arial" w:hAnsi="Arial"/>
          <w:sz w:val="17"/>
          <w:szCs w:val="17"/>
          <w:i w:val="1"/>
          <w:iCs w:val="1"/>
          <w:color w:val="auto"/>
        </w:rPr>
        <w:t>Income Taxes Recognition</w:t>
      </w:r>
      <w:r>
        <w:rPr>
          <w:rFonts w:ascii="Arial" w:cs="Arial" w:eastAsia="Arial" w:hAnsi="Arial"/>
          <w:sz w:val="17"/>
          <w:szCs w:val="17"/>
          <w:color w:val="auto"/>
        </w:rPr>
        <w:t xml:space="preserve"> clarifies the accounting and disclosure for uncertainty in tax positions, as defined. This guidance seeks to reduce the diversity in practice associated with certain aspects of the recognition and measurement related to accounting for income taxes. The Company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this guidance. Tax years since 1993 remain subject to examination by the major tax jurisdictions in which the Company is subject to tax.</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i w:val="1"/>
          <w:iCs w:val="1"/>
          <w:color w:val="auto"/>
        </w:rPr>
        <w:t>The following discussion contains forward-looking statements, which involve risks and uncertainties. Our actual results could differ materially from those anticipated in these forward-looking statements as a result of various factors, including those set forth below in Part II, Item 1A Risk Factors and elsewhere in this quarterly report on Form 10-Q (this “Quarterly Report”). These interim condensed consolidated financial statements and this Management’s Discussion and Analysis of Financial Condition and Results of Operations should be read in conjunction with the financial statements and notes for the year ended December 31, 2009 and the related Management’s Discussion and Analysis of Financial Condition and Results of Operations, both of which are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a biopharmaceutical company focused on the discovery, development and commercialization of therapeutic products for diseases such as diabetes and cancer. Our lead product candidate, AFREZZA (insulin human [rDNA origin]) Inhalation Powder, is an ultra rapid-acting insulin that has completed Phase 3 clinical trials that evaluated its safety and efficacy in the treatment of diabetes. We submitted an NDA to the FDA in March 2009. On March 12, 2010, we received a Complete Response letter from the FDA regarding this NDA seeking additional information about AFREZZA. Currently, AFREZZA remains under review by the FDA.</w:t>
      </w:r>
    </w:p>
    <w:p>
      <w:pPr>
        <w:spacing w:after="0" w:line="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are a development stage enterprise and have incurred significant losses since our inception in 1991. As of March 31, 2010, we have incurred a cumulative net loss of $1.6 billion and accumulated deficit in stockholders’ equity of $100.9 million. To date, we have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not generated any product revenues and have funded our operations primarily through the sale of equity securities, convertible debt securities and borrowings under our related party loan. As discussed below in “Liquidity and Capital Resources,” if we are unable to obtain additional funding in the future, there will be substantial doubt about our ability to continue as a going concern.</w:t>
      </w:r>
    </w:p>
    <w:p>
      <w:pPr>
        <w:spacing w:after="0" w:line="7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have held extensive discussions with a number of pharmaceutical companies concerning a potential strategic business collaboration for AFREZZA and recently initiated partnership discussions with a number of pharmaceutical companies regarding our cancer immunotherapy and cancer drug programs. There can be no assurance that any such collaboration will be available to us on a timely basis or on acceptable terms, if at all.</w:t>
      </w:r>
    </w:p>
    <w:p>
      <w:pPr>
        <w:spacing w:after="0" w:line="5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do not expect to record sales of any product prior to regulatory approval and commercialization of AFREZZA. We currently do not have the required approvals to market any of our product candidates, and we may not receive such approvals. We may not be profitable even if we succeed in commercializing any of our product candidates. We expect to make substantial expenditures and to incur additional operating losses for at least the next several years as we:</w:t>
      </w:r>
    </w:p>
    <w:p>
      <w:pPr>
        <w:spacing w:after="0" w:line="39" w:lineRule="exact"/>
        <w:rPr>
          <w:sz w:val="20"/>
          <w:szCs w:val="20"/>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continue the clinical development of AFREZZA and new inhalation systems for the treatment of diabetes;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seek regulatory approval to sell AFREZZA in the United States and other markets;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seek sales and marketing collaborations for AFREZZA;</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seek development collaborations for our cancer immunotherapy and cancer drug programs;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develop additional applications of our proprietary Technosphere platform technology for the pulmonary delivery of other drugs.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business is subject to significant risks, including but not limited to the risks inherent in our ongoing clinical trials and the regulatory approval process, the results of our research and development efforts, competition from other products and technologies and uncertainties associated with obtaining and enforcing patent rights.</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Our research and development expenses consist mainly of costs associated with the clinical trials of our product candidates that have not yet received regulatory approval for marketing and for which no alternative future use has been identified. This includes the salaries, benefits and stock-based compensation of research and development personnel, raw materials, such as insulin purchases, laboratory supplies and materials, facility costs, costs for consultants and related contract research, licensing fees, and depreciation of laboratory equipment. We track research and development costs by the type of cost incurred. We partially offset research and development expenses with the recognition of estimated amounts receivable from the State of Connecticut pursuant to a program under which we can exchange qualified research and development income tax credits for cash. Included in research and development expenses for the quarter ended March 31, 2010 were purchases of insulin totaling $4.4 million.</w:t>
      </w:r>
    </w:p>
    <w:p>
      <w:pPr>
        <w:spacing w:after="0" w:line="59"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color w:val="auto"/>
        </w:rPr>
        <w:t>Our research and development staff conducts our internal research and development activities, which include research, product development, clinical development, manufacturing and related activities. This staff is located in our facilities in Valencia, California; Paramus, New Jersey; and Danbury, Connecticut. We expense the majority of research and development costs as we incur them.</w:t>
      </w:r>
    </w:p>
    <w:p>
      <w:pPr>
        <w:spacing w:after="0" w:line="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Clinical development timelines, likelihood of success and total costs vary widely. We are focused primarily on advancing AFREZZA through regulatory filings. Based on the results of preclinical studies, we plan to develop additional applications of our Technosphere technology. Additionally, we anticipate that we will continue to determine which research and development projects to pursue, and how much funding to direct to each project, on an ongoing basis, in response to the scientific and clinical success of each product candidate. We cannot be certain when any revenues from the commercialization of our products will commence.</w:t>
      </w:r>
    </w:p>
    <w:p>
      <w:pPr>
        <w:spacing w:after="0" w:line="8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At this time, due to the risks inherent in the clinical trial process and given the early stage of development of our product candidates other than AFREZZA, we are unable to estimate with any certainty the costs that we will incur in the continued development of our product candidates for commercialization. The costs required to complete the development of AFREZZA will be largely dependent on the cost and efficiency of our manufacturing process and discussions with the FDA regarding its requirements.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Our general and administrative expenses consist primarily of salaries, benefits and stock-based compensation for administrative, finance, business development, human resources, legal and information systems support personnel. In addition, general and administrative expenses include professional service fees and business insurance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critical accounting policies as described in Item 7 of our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2010 and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During the three months ended March 31, 2010 and 2009, we did not recognize any revenue. We do not anticipate sales of any product prior to regulatory approval and commercialization of AFREZZA.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provides a comparison of the research and development expense categories for the three months ended March 31, 2010 and 2009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vMerge w:val="restart"/>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Change</w:t>
            </w:r>
          </w:p>
        </w:tc>
        <w:tc>
          <w:tcPr>
            <w:tcW w:w="660" w:type="dxa"/>
            <w:vAlign w:val="bottom"/>
            <w:vMerge w:val="restart"/>
          </w:tcPr>
          <w:p>
            <w:pPr>
              <w:spacing w:after="0"/>
              <w:rPr>
                <w:sz w:val="14"/>
                <w:szCs w:val="14"/>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 Change</w:t>
            </w:r>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6,929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16,757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(9,828)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Manufacturing</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8"/>
              <w:spacing w:after="0"/>
              <w:rPr>
                <w:sz w:val="20"/>
                <w:szCs w:val="20"/>
                <w:color w:val="auto"/>
              </w:rPr>
            </w:pPr>
            <w:r>
              <w:rPr>
                <w:rFonts w:ascii="Arial" w:cs="Arial" w:eastAsia="Arial" w:hAnsi="Arial"/>
                <w:sz w:val="18"/>
                <w:szCs w:val="18"/>
                <w:color w:val="auto"/>
                <w:w w:val="94"/>
              </w:rPr>
              <w:t>17,987</w:t>
            </w: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17,465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522</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3,578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5,348</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(1,770)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28"/>
              <w:spacing w:after="0"/>
              <w:rPr>
                <w:sz w:val="20"/>
                <w:szCs w:val="20"/>
                <w:color w:val="auto"/>
              </w:rPr>
            </w:pPr>
            <w:r>
              <w:rPr>
                <w:rFonts w:ascii="Arial" w:cs="Arial" w:eastAsia="Arial" w:hAnsi="Arial"/>
                <w:sz w:val="18"/>
                <w:szCs w:val="18"/>
                <w:color w:val="auto"/>
              </w:rPr>
              <w:t>(235)</w:t>
            </w: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(175)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(60)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2,232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(1,262)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30,491</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42,889</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(12,398</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340" w:type="dxa"/>
            <w:vAlign w:val="bottom"/>
            <w:vMerge w:val="restart"/>
          </w:tcPr>
          <w:p>
            <w:pPr>
              <w:jc w:val="right"/>
              <w:ind w:right="59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14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14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decrease in research and development expenses for the three months ended March 31, 2010, as compared to the three months ended March 31, 2009, was primarily due to decreased costs associated with the clinical development of AFREZZA compared to the first quarter in 2009 when we prepared for the submission of the NDA and decreased research expenses due to reduced salary-related and other research costs as a result of a reduction in force that we implemented in April 2009. Increased manufacturing costs due to raw material purchases were offset by reduced salaries and other employee costs associated with the reduction in force that occurred in April 2009. We anticipate that our research and development expenses will decrease slightly in 2010 compared to the prior year as reduced product development costs will be mostly offset by increased raw material purchases.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provides a comparison of the general and administrative expense categories for the three months ended March 31, 2010 and 2009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vMerge w:val="restart"/>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Change</w:t>
            </w:r>
          </w:p>
        </w:tc>
        <w:tc>
          <w:tcPr>
            <w:tcW w:w="660" w:type="dxa"/>
            <w:vAlign w:val="bottom"/>
            <w:vMerge w:val="restart"/>
          </w:tcPr>
          <w:p>
            <w:pPr>
              <w:spacing w:after="0"/>
              <w:rPr>
                <w:sz w:val="14"/>
                <w:szCs w:val="14"/>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 Change</w:t>
            </w:r>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Salaries, employee related and other general expenses</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8,593</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12,575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(3,982)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1,517</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2,342</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(825)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10,110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14,917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(4,807)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General and administrative expenses for the three months ended March 31, 2010 decreased as compared to the same period in the prior year primarily due to decreased salary related costs resulting from the April 2009 reduction in force as well as the non-recurrence of costs related to the Pfizer transaction during the first quarter of 2009. Overall, we expect general and administrative expenses to decrease in 2010 as a result of the April 2009 reduction in force and decreased professional fees.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Expense</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Interest income for the three months ended March 31, 2010 decreased by $28,000 as compared to the same period in the prior year primarily due to lower market interest rates.</w:t>
      </w:r>
    </w:p>
    <w:p>
      <w:pPr>
        <w:spacing w:after="0" w:line="6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Interest expense for the three months ended March 31, 2010 increased by $1.6 million as compared to the same period in the prior year primarily due to the interest expense related to amounts outstanding under the borrowing arrangement with an entity controlled by our principal stockholder (See Note 11 — Related-party loan arrangement, of the Notes to the accompanying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have funded our operations primarily through the sale of equity securities, convertible debt securities and borrowings under our related party note.</w:t>
      </w:r>
    </w:p>
    <w:p>
      <w:pPr>
        <w:spacing w:after="0" w:line="129"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 xml:space="preserve">In October 2007, we entered into a loan arrangement with our principal stockholder allowing us to borrow up to a total of $350.0 million. In February 2009, as a result of our principal stockholder being licensed as a finance lender under the California Finance Lenders Law, the promissory note underlying the loan arrangement was revised to reflect the lender as The Mann Group LLC, an entity controlled by our principal stockholder. Interest will accrue on each outstanding advance at a fixed rate equal to the one-year LIBOR rate as reported by the </w:t>
      </w:r>
      <w:r>
        <w:rPr>
          <w:rFonts w:ascii="Arial" w:cs="Arial" w:eastAsia="Arial" w:hAnsi="Arial"/>
          <w:sz w:val="17"/>
          <w:szCs w:val="17"/>
          <w:i w:val="1"/>
          <w:iCs w:val="1"/>
          <w:color w:val="auto"/>
        </w:rPr>
        <w:t>Wall Street Journal</w:t>
      </w:r>
      <w:r>
        <w:rPr>
          <w:rFonts w:ascii="Arial" w:cs="Arial" w:eastAsia="Arial" w:hAnsi="Arial"/>
          <w:sz w:val="17"/>
          <w:szCs w:val="17"/>
          <w:color w:val="auto"/>
        </w:rPr>
        <w:t xml:space="preserve"> on the date of such advance plus 3% per annum and will be payable quarterly in arrears. Principal repayment is due on December 31, 2011. At any time after January 1, 2010, the lender can require us to prepay up to $200.0 million in advances that have been outstanding for at least 12 months. If the lender exercises this right, we will have until the earlier of 180 days after the lender provides written notice or December 31, 2011 to prepay such advances. The principal stockholder has agreed not to exercise his prepayment right if such prepayment would require the use of existing working capital resources to repay the loan. In the event of a default, all unpaid principal and interest either becomes immediately due and payable or may be accelerated at the lender’s option, and the interest rate will increase to the one-year LIBOR rate calculated on the date of the initial advance or in effect on the date of default, whichever is greater, plus 5% per annum. Any borrowings under the loan arrangement will be unsecured. The loan arrangement contains no financial covenants. There are no warrants associated with the loan arrangement, nor are advances convertible into our common stock. As of March 31, 2010, the amount borrowed and outstanding under the arrangement was $205.0 million.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During the three months ended March 31, 2010, we used $38.5 million of cash for our operations compared to using $60.7 million for our operations in the three months ended March 31, 2009. We had a net loss of $44.7 million for the three months ended March 31, 2010, of which $8.1 million consisted of non-cash charges such as depreciation and amortization, and stock-based compensation. We expect our negative operating cash flow to continue at least until we obtain regulatory approval and achieve commercialization of AFREZZA.</w:t>
      </w:r>
    </w:p>
    <w:p>
      <w:pPr>
        <w:spacing w:after="0" w:line="7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had $1.7 million of cash outflows for investing activities during the three months ended March 31, 2010, compared to inflows of $0.2 million for the three months ended March 31, 2009. For the three months ended March 31, 2010 and 2009, $1.7 million and $5.6 million, respectively, were used to purchase machinery and equipment to expand our manufacturing operations and our quality systems that support clinical trials for AFREZZA.</w:t>
      </w:r>
    </w:p>
    <w:p>
      <w:pPr>
        <w:spacing w:after="0" w:line="5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Our financing activities generated $39.2 million of cash for the three months ended March 31, 2010, compared to $60.0 million for the same period in 2009. For the three months ended March 31, 2010, cash from financing activities was primarily from the related party borrowings received, as well as the exercise of stock options.</w:t>
      </w:r>
    </w:p>
    <w:p>
      <w:pPr>
        <w:spacing w:after="0" w:line="7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of March 31, 2010, we had $31.5 million in cash, cash equivalents and marketable securities (including a $2.0 million certificate of deposit held as collateral for foreign exchange hedging instruments). Although we believe our existing cash resources, including the $145.0 million remaining available under our loan arrangement with an entity controlled by our principal stockholder, will be sufficient to fund our anticipated cash requirements through the first quarter of 2011, we will require significant additional financing in the future to fund our operations and if we are unable to do so, there will be substantial doubt about our ability to continue as a going concern. Accordingly, we expect that we will need to raise additional capital, either through the sale of equity and/or debt securities, the entry into a strategic business collaboration with a pharmaceutical or biotechnology company or the establishment of other funding facilities, in order to continue the development and commercialization of AFREZZA and other product candidates and to support our other ongoing activities. On April 30, 2010, we filed a shelf registration statement with the SEC providing for the sale of up to $200 million of equity and debt securities from time to time in one or more transactions. However, we cannot provide assurances that we will be able to raise capital on favorable terms, if at all.</w:t>
      </w:r>
    </w:p>
    <w:p>
      <w:pPr>
        <w:spacing w:after="0" w:line="5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intend to use our capital resources to continue the development and commercialization of AFREZZA, if approved, and to develop additional applications for our proprietary Technosphere platform technology. In addition, portions of our capital resources will be devoted to expanding our other product development programs for the treatment of different types of cancers. We are expending a portion of our capital to scale up our manufacturing capabilities in our Danbury facilities. We also intend to use our capital resources for general corporate purposes, which may include in-licensing or acquiring additional technologies.</w:t>
      </w:r>
    </w:p>
    <w:p>
      <w:pPr>
        <w:spacing w:after="0" w:line="8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have held extensive discussions with a number of pharmaceutical companies concerning a potential strategic business collaboration for AFREZZA. We cannot predict when, if ever, we could conclude an agreement with a partner. There can be no assurance that any such collaboration will be available to us on a timely basis or on acceptable terms, if at all.</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we enter into a strategic business collaboration with a pharmaceutical or biotechnology company, we would expect, as part of the transaction, to receive additional capital. In addition, we expect to pursue the sale of equity and/or debt securities, or the establishment of other funding facilities. On April 30, 2010, we filed a shelf registration statement with the SEC providing for the sale by us of up to $200 million of our equity and debt securities from time to time in one or more transactions. The shelf registration is intended to provide us with the flexibility to take advantage of financing opportunities when and if deemed appropriate by our management.</w:t>
      </w:r>
    </w:p>
    <w:p>
      <w:pPr>
        <w:spacing w:after="0" w:line="8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7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However, we cannot provide assurances that our plans will not change or that changed circumstances will not result in the depletion of our capital resources more rapidly than we currently anticipate. If we are not successful in raising additional capital through equity or debt financing or entering a business collaboration, we may be required to reduce expenses through the delay, reduction or curtailment of our projects, including AFREZZA development activities, or further reduction of costs for facilities and administration, and there will be substantial doubt about our ability to continue as a going concern.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2010 we did not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only material change to our contractual obligations disclosed in Item 7 of our Annual Report was the additional borrowing of $40.0 million from an entity controlled by our principal stockholder during the three months ended March 31, 2010. (See Note 11 — Related-party loan arrangement of the Notes to the accompanying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On January 21, 2010, the FASB issued Accounting Standard Update (“ASU”) No. 2010-06, </w:t>
      </w:r>
      <w:r>
        <w:rPr>
          <w:rFonts w:ascii="Arial" w:cs="Arial" w:eastAsia="Arial" w:hAnsi="Arial"/>
          <w:sz w:val="18"/>
          <w:szCs w:val="18"/>
          <w:i w:val="1"/>
          <w:iCs w:val="1"/>
          <w:color w:val="auto"/>
        </w:rPr>
        <w:t>Improving Disclosures About Fair Value Measurements</w:t>
      </w:r>
      <w:r>
        <w:rPr>
          <w:rFonts w:ascii="Arial" w:cs="Arial" w:eastAsia="Arial" w:hAnsi="Arial"/>
          <w:sz w:val="18"/>
          <w:szCs w:val="18"/>
          <w:color w:val="auto"/>
        </w:rPr>
        <w:t xml:space="preserve">, which amends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to add new requirements for disclosures about transfers into and out of Level 1 and 2 and separate disclosures about purchases, sales, issuances, and settlements relating to Level 3 measurements. The ASU also clarifies existing fair value disclosures about the level of disaggregation and about inputs and valuation techniques used to measure fair value. The ASU is effective for the first reporting period beginning after December 15, 2009. The adoption of this guidance did not have a material impact on our results of operations, financial position, cash flows or financial statement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We are exposed to market risk related to changes in interest rates impacting our short-term investment portfolio as well as the interest rate on our credit facility with an entity controlled by our principal stockholder. The interest rate on our credit facility with an entity controlled by our principal stockholder is a fixed rate equal to the one-year LIBOR rate as reported by the </w:t>
      </w:r>
      <w:r>
        <w:rPr>
          <w:rFonts w:ascii="Arial" w:cs="Arial" w:eastAsia="Arial" w:hAnsi="Arial"/>
          <w:sz w:val="17"/>
          <w:szCs w:val="17"/>
          <w:i w:val="1"/>
          <w:iCs w:val="1"/>
          <w:color w:val="auto"/>
        </w:rPr>
        <w:t>Wall Street Journal</w:t>
      </w:r>
      <w:r>
        <w:rPr>
          <w:rFonts w:ascii="Arial" w:cs="Arial" w:eastAsia="Arial" w:hAnsi="Arial"/>
          <w:sz w:val="17"/>
          <w:szCs w:val="17"/>
          <w:color w:val="auto"/>
        </w:rPr>
        <w:t xml:space="preserve"> on the date of such advance plus 3% per annum. Our current policy requires us to maintain a highly liquid short-term investment portfolio consisting mainly of U.S. money market funds and investment-grade corporate, government and municipal debt. None of these investments is entered into for trading purposes. Our cash is deposited in and invested through highly rated financial institutions in North America. Our short-term investments at March 31, 2010 are comprised mainly of a certificate of deposit and a common stock investment. We have entered into a foreign exchange hedging transaction as part of our risk management program. We continue to utilize our $350.0 million credit facility to fund operations. As of March 31, 2010, the amount borrowed and outstanding under the credit facility was $205.0 million. The interest rate is fixed at the time of the draw. If interest rates were to increase from levels at March 31, 2010 we could experience a higher level of interest expense than assumed in our current operating plan.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2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filed under the Securities Exchange Act of 1934, as amended, or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57"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Our chief executive officer and chief financial officer performed an evaluation under the supervision and with the participation of our management, of our disclosure controls and procedures (as defined in Rules 13a-15(e) and 15d-15(e) of the Exchange Act) as of March 31, 2010. Based on that evaluation, our chief executive officer and chief financial officer concluded that our disclosure controls and procedures were effective at the reasonable assurance level.</w:t>
      </w:r>
    </w:p>
    <w:p>
      <w:pPr>
        <w:spacing w:after="0" w:line="3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fiscal quarter ended March 31, 2010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with an asterisk (*) next to the title contain changes to the description of the risk factors previously disclosed in Item 1A to our annual report on Form 10-K.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depend heavily on the successful development and commercialization of our lead product candidate, AFREZZA, which is not yet approved, and our other product candidates, which are in early clinical or preclinical development.*</w:t>
      </w:r>
    </w:p>
    <w:p>
      <w:pPr>
        <w:spacing w:after="0" w:line="6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To date, we have not commercialized any product candidates. In March 2009, we submitted an NDA to the FDA requesting approval of AFREZZA for the treatment of adults with type 1 or type 2 diabetes for the control of hyperglycemia. On March 12, 2010, we received a Complete Response letter from the FDA regarding the NDA for AFREZZA. A Complete Response letter is issued by the FDA’s Center for Drug Evaluation and Research when the review of a submitted file is completed and questions remain that preclude the approval of the NDA in its current form. As recommended by the FDA, we have requested an End-of-Review meeting to discuss our approach for resolving the remaining issues. There can be no assurance that we will be able to satisfy all of the FDA’s requirements with currently available data or that the FDA will find our proposed approach acceptable. The FDA could also request that we conduct additional clinical trials to provide sufficient data for approval of the NDA. There can be no assurance that we will obtain approval of the NDA in a timely manner or at all.</w:t>
      </w:r>
    </w:p>
    <w:p>
      <w:pPr>
        <w:spacing w:after="0" w:line="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other product candidates are generally in early clinical or preclinical development. We anticipate that in the near term, our ability to generate revenues will depend solely on the successful development and commercialization of AFREZZA.</w:t>
      </w:r>
    </w:p>
    <w:p>
      <w:pPr>
        <w:spacing w:after="0" w:line="6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have expended significant time, money and effort in the development of our lead product candidate, AFREZZA, which has not yet received regulatory approval and which may not be approved by the FDA in a timely manner, or at all. We must receive the necessary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spacing w:after="0" w:line="279" w:lineRule="auto"/>
        <w:rPr>
          <w:sz w:val="20"/>
          <w:szCs w:val="20"/>
          <w:color w:val="auto"/>
        </w:rPr>
      </w:pPr>
      <w:r>
        <w:rPr>
          <w:rFonts w:ascii="Arial" w:cs="Arial" w:eastAsia="Arial" w:hAnsi="Arial"/>
          <w:sz w:val="17"/>
          <w:szCs w:val="17"/>
          <w:color w:val="auto"/>
        </w:rPr>
        <w:t>approvals from the FDA and similar foreign regulatory agencies before AFREZZA can be marketed and sold in the United States or elsewhere. Even if we were to receive regulatory approval, we ultimately may be unable to gain market acceptance of AFREZZA for a variety of reasons, including the treatment and dosage regimen, potential adverse effects, the availability of alternative treatments and cost effectiveness. If we fail to commercialize AFREZZA, our business, financial condition and results of operations will be materially and adversely affected.</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seeking to develop and expand our portfolio of product candidates through our internal research programs and through licensing or otherwise acquiring the rights to therapeutics in the areas of cancer and other indications. All of these product candidates will require additional research and development and significant preclinical, clinical and other testing prior to seeking regulatory approval to market them. Accordingly, these product candidates will not be commercially available for a number of years, if at all.</w:t>
      </w:r>
    </w:p>
    <w:p>
      <w:pPr>
        <w:spacing w:after="0" w:line="79"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A significant portion of the research that we are conducting involves new and unproven compounds and technologies, including AFREZZA, Technosphere platform technology and immunotherapy product candidates. Research programs to identify new product candidates require substantial technical, financial and human resources. Even if our research programs identify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successfully complete the development and commercialization of AFREZZA or develop or expand our other product candidates, or are significantly delayed in doing so, our business and results of operations will be harmed and the value of our stock could decline.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we expect to continue to incur losses and we may never become profitable.*</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are a development stage company with no commercial products. All of our product candidates are still being developed, and all but AFREZZA are still in the early stages of development. Our product candidates will require significant additional development, clinical trials, regulatory clearances and additional investment before they can be commercialized. We cannot be certain when AFREZZA may be approved, or if it will be approved.</w:t>
      </w:r>
    </w:p>
    <w:p>
      <w:pPr>
        <w:spacing w:after="0" w:line="5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have never been profitable and, as of March 31, 2010, we had an accumulated deficit of $1.6 billion. The accumulated deficit has resulted principally from costs incurred in our research and development programs, the write-off of goodwill and general operating expenses. We expect to make substantial expenditures and to incur increasing operating losses in the future in order to further develop and commercialize our product candidates, including costs and expenses to complete clinical trials, seek regulatory approvals and market our product candidates, including AFREZZA. This accumulated deficit may increase significantly as we continue development and clinical trial efforts.</w:t>
      </w:r>
    </w:p>
    <w:p>
      <w:pPr>
        <w:spacing w:after="0" w:line="8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losses have had, and are expected to continue to have, an adverse impact on our working capital, total assets and stockholders’ equity. As of March 31, 2010, we had an accumulated deficit in stockholders’ equity of $100.9 million. Our ability to achieve and sustain profitability depends upon obtaining regulatory approvals for and successfully commercializing AFREZZA, either alone or with third parties. We do not currently have the required approvals to market any of our product candidates, and we may not receive them. We may not be profitable even if we succeed in commercializing any of our product candidates. As a result, we cannot be sure when we will become profitable, if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raise additional capital our financial condition and business would suffer.*</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It is costly to develop therapeutic product candidates and conduct clinical trials for these product candidates. Although we are currently focusing on AFREZZA as our lead product candidate, we have begun to conduct clinical trials for additional product candidates. Our existing capital resources will not be sufficient to support the expense of fully commercializing AFREZZA or developing any of our product candidates.</w:t>
      </w:r>
    </w:p>
    <w:p>
      <w:pPr>
        <w:spacing w:after="0" w:line="7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Based upon our current expectations, we believe that our existing capital resources, including the loan arrangement with an entity controlled by our principal stockholder, will enable us to continue planned operations through the first quarter of 2011. However, we cannot assure you that our plans will not change or that changed circumstances will not result in the depletion of our capital resources more rapidly than we currently anticipate. Accordingly, we plan to raise additional capital, either through the sale of equity and/or debt securities, the entry into a strategic business collaboration, or the establishment of other funding facilities, in order to continue the development and commercialization of AFREZZA and other product candidates and to support our other ongoing activities. On April 30, 2010, we filed a shelf registration statement with the SEC providing for the sale by us of up to $200 million of our equity and debt securities from time to time in one or more transactions. The shelf registration, if declared effective by the SEC, is intended to provide us with the flexibility to take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advantage of financing opportunities when and if deemed appropriate by our management. However, it may be difficult for us to raise additional capital through the sale of equity or debt securities. As of March 31, 2010, we had an accumulated deficit in stockholders’ equity of $100.9 million which may affect our ability to raise additional capital. The amount of additional funds we need will depend on a number of factors, including:</w:t>
      </w:r>
    </w:p>
    <w:p>
      <w:pPr>
        <w:spacing w:after="0" w:line="57" w:lineRule="exact"/>
        <w:rPr>
          <w:sz w:val="20"/>
          <w:szCs w:val="20"/>
          <w:color w:val="auto"/>
        </w:rPr>
      </w:pPr>
    </w:p>
    <w:p>
      <w:pPr>
        <w:ind w:left="660" w:right="560" w:hanging="314"/>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rate of progress and costs of our clinical trials and research and development activities, including costs of procuring clinical materials and expanding our own manufacturing facilities;</w:t>
      </w:r>
    </w:p>
    <w:p>
      <w:pPr>
        <w:spacing w:after="0" w:line="75" w:lineRule="exact"/>
        <w:rPr>
          <w:rFonts w:ascii="Arial" w:cs="Arial" w:eastAsia="Arial" w:hAnsi="Arial"/>
          <w:sz w:val="18"/>
          <w:szCs w:val="18"/>
          <w:b w:val="1"/>
          <w:bCs w:val="1"/>
          <w:color w:val="auto"/>
        </w:rPr>
      </w:pPr>
    </w:p>
    <w:p>
      <w:pPr>
        <w:ind w:left="660" w:hanging="314"/>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success in establishing strategic business collaborations and the timing and amount of any payments we might receive from any collaboration we are able to establish;</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actions taken by the FDA and other regulatory authorities affecting our products and competitive products;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degree of success in commercializing AFREZZA;</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emergence of competing technologies and products and other adverse market developments;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timing and amount of payments we might receive from potential licensees;</w:t>
      </w:r>
    </w:p>
    <w:p>
      <w:pPr>
        <w:spacing w:after="0" w:line="130" w:lineRule="exact"/>
        <w:rPr>
          <w:rFonts w:ascii="Arial" w:cs="Arial" w:eastAsia="Arial" w:hAnsi="Arial"/>
          <w:sz w:val="18"/>
          <w:szCs w:val="18"/>
          <w:b w:val="1"/>
          <w:bCs w:val="1"/>
          <w:color w:val="auto"/>
        </w:rPr>
      </w:pPr>
    </w:p>
    <w:p>
      <w:pPr>
        <w:ind w:left="660" w:right="80" w:hanging="314"/>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costs of discontinuing projects and technologies or decommissioning existing facilities, if we undertake those activities; and</w:t>
      </w:r>
    </w:p>
    <w:p>
      <w:pPr>
        <w:spacing w:after="0" w:line="130" w:lineRule="exact"/>
        <w:rPr>
          <w:rFonts w:ascii="Arial" w:cs="Arial" w:eastAsia="Arial" w:hAnsi="Arial"/>
          <w:sz w:val="18"/>
          <w:szCs w:val="18"/>
          <w:b w:val="1"/>
          <w:bCs w:val="1"/>
          <w:color w:val="auto"/>
        </w:rPr>
      </w:pPr>
    </w:p>
    <w:p>
      <w:pPr>
        <w:ind w:left="660" w:right="460" w:hanging="314"/>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costs of performing additional clinical trials to demonstrate safety and efficacy if our current trials do not deliver results sufficient for FDA approval and commercialization.</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have raised capital in the past primarily through the sale of equity and debt securities. We may in the future pursue the sale of additional equity and/or debt securities, or the establishment of other funding facilities. Issuances of additional debt or equity securities or the conversion of any of our currently outstanding convertible debt securities into shares of our common stock could impact your rights as a holder of our common stock and may dilute your ownership percentage. We are seeking approval by our stockholders of an amendment to our certificate of incorporation to increase the authorized number of shares of our common stock from 150,000,000 shares to 200,000,000 shares to facilitate future capital-raising transactions. Such proposal will require approval by the holders of a majority of the outstanding shares of our common stock. If we were unable to obtain the requisite approval, our ability to raise additional capital by selling our equity securities would be constrained.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w:t>
      </w:r>
    </w:p>
    <w:p>
      <w:pPr>
        <w:spacing w:after="0" w:line="7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also may seek to raise additional capital by pursuing opportunities for the licensing or sale of certain intellectual property and other assets, including our Technosphere technology platform. We cannot offer assurances, however, that any strategic collaborations,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8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the event that sufficient additional funds are not obtained through strategic collaboration opportunities, sales of securities, credit facilities, licensing arrangements and/or asset sales on a timely basis, we may be required to reduce expenses through the delay, reduction or curtailment of our projects, including AFREZZA commercialization, or further reduction of costs for facilities and administration. Moreover, if we do not obtain such additional funds, there will be substantial doubt about our ability to continue as a going concern.</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Deteriorating global economic conditions may have an adverse impact on the loan facility with an entity controlled by our principal stockholder, which we currently cannot predict.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widely reported, financial markets in the United States, Europe and Asia have been experiencing a period of unprecedented turmoil and upheaval characterized by extreme volatility and declines in security prices, severely diminished liquidity and credit availability, inability to access capital markets, the bankruptcy, failure, collapse or sale of various financial institutions and an unprecedented level of intervention from the United States federal government and other governments. We cannot predict the impact of these events on the loan facility with an entity controlled by our principal stockholder. If we are unable to draw on this financial resource, our business and financial condition will be adversely affected.</w:t>
      </w:r>
    </w:p>
    <w:p>
      <w:pPr>
        <w:spacing w:after="0" w:line="1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our business would be harmed and the market price of our common stock could decline.</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80" w:lineRule="exact"/>
        <w:rPr>
          <w:sz w:val="20"/>
          <w:szCs w:val="20"/>
          <w:color w:val="auto"/>
        </w:rPr>
      </w:pPr>
    </w:p>
    <w:p>
      <w:pPr>
        <w:ind w:left="660" w:right="40" w:hanging="314"/>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rate of progress, costs and results of our clinical trial and research and development activities, which will be impacted by the level of proficiency and experience of our clinical staff;</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ability to identify and enroll patients who meet clinical trial eligibility criteria;</w:t>
      </w:r>
    </w:p>
    <w:p>
      <w:pPr>
        <w:spacing w:after="0" w:line="130" w:lineRule="exact"/>
        <w:rPr>
          <w:rFonts w:ascii="Arial" w:cs="Arial" w:eastAsia="Arial" w:hAnsi="Arial"/>
          <w:sz w:val="18"/>
          <w:szCs w:val="18"/>
          <w:b w:val="1"/>
          <w:bCs w:val="1"/>
          <w:color w:val="auto"/>
        </w:rPr>
      </w:pPr>
    </w:p>
    <w:p>
      <w:pPr>
        <w:ind w:left="660" w:right="160" w:hanging="314"/>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ability to access sufficient, reliable and affordable supplies of components used in the manufacture of our product candidates, including insulin and other materials for AFREZZA;</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costs of expanding and maintaining manufacturing operations, as necessary;</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extent of scheduling conflicts with participating clinicians and clinical institutions;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receipt of approvals by our competitors and by us from the FDA and other regulatory agencies;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other actions by regulators.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development of AFREZZA or other product development activities, which would impact our ability to meet milestones. If we fail to commence or complete, or experience delays in or are forced to curtail, our proposed clinical programs or otherwise fail to adhere to our projected development goals in the timeframes we announce and expect, our business and results of operations will be harmed and the market price of our common stock may decline.</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in the development of our product candidates and may not be able to compete successfully, and our product candidates may be rendered obsolete by rapid technological change.</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number of established pharmaceutical companies have or are developing technologies for the treatment of diabetes. We also face substantial competition for the development of our other product candidates.</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Many of our existing or potential competitors have, or have access to, substantially greater financial, research and development, production, and sales and marketing resources than we do and have a greater depth and number of experienced managers. As a result, our competitors may be better equipped than we are to develop, manufacture, market and sell competing products. In addition, gaining favorable reimbursement is critical to the success of AFREZZA. Many of our competitors have existing infrastructure and relationships with managed care organizations and reimbursement authorities which can be used to their advantage.</w:t>
      </w:r>
    </w:p>
    <w:p>
      <w:pPr>
        <w:spacing w:after="0" w:line="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rapid rate of scientific discoveries and technological changes could result in one or more of our product candidates becoming obsolete or noncompetitive. Our competitors may develop or introduce new products that render our technology and AFREZZA less competitive, uneconomical or obsolete. Our future success will depend not only on our ability to develop our product candidates but to improve them and keep pace with emerging industry developments. We cannot assure you that we will be able to do so.</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expect to face increasing competition from universities and other non-profit research organizations. These institutions carry out a significant amount of research and development in the areas of diabetes and cancer. These institutions are becoming increasingly aware of the commercial value of their findings and are more active in seeking patent and other proprietary rights as well as licensing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enter into a strategic collaboration with respect to AFREZZA, we may not be able to execute on our business model.</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held extensive discussions with a number of pharmaceutical companies concerning a potential strategic business collaboration for AFREZZA. To date we have not reached an agreement with any of these companies on a collaboration. We cannot predict when, if ever, we could conclude an agreement with a partner. There can be no assurance that any such collaboration will be available to us on a timely basis or on acceptable terms. If we are not able to enter into a collaboration on terms that are favorable to us, we may be unable to undertake and fund product development, clinical trials, manufacturing and marketing activities at our own expense. Accordingly, we may have to substantially reduce our development efforts, which would delay or otherwise impede the commercialization of AFREZZA.</w:t>
      </w:r>
    </w:p>
    <w:p>
      <w:pPr>
        <w:spacing w:after="0" w:line="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will face similar challenges as we seek to develop our other product candidates. Our current strategy for developing, manufacturing and commercializing our other product candidates includes evaluating the potential for collaborating with pharmaceutical and biotechnology companies at some point in the drug development process and for these collaborators to undertake the advanced clinical development and commercialization of our product candidates. It may be difficult for us to find third parties that are willing to enter into collaborations on economic terms that are favorable to us, or at all. Failure to enter into a collaboration with respect to any other product candidate could substantially increase our requirements for capital and force us to substantially reduce our development effort.</w:t>
      </w:r>
    </w:p>
    <w:p>
      <w:pPr>
        <w:spacing w:after="0" w:line="193" w:lineRule="exact"/>
        <w:rPr>
          <w:sz w:val="20"/>
          <w:szCs w:val="20"/>
          <w:color w:val="auto"/>
        </w:rPr>
      </w:pPr>
    </w:p>
    <w:p>
      <w:pPr>
        <w:ind w:right="860"/>
        <w:spacing w:after="0" w:line="342" w:lineRule="auto"/>
        <w:rPr>
          <w:sz w:val="20"/>
          <w:szCs w:val="20"/>
          <w:color w:val="auto"/>
        </w:rPr>
      </w:pPr>
      <w:r>
        <w:rPr>
          <w:rFonts w:ascii="Arial" w:cs="Arial" w:eastAsia="Arial" w:hAnsi="Arial"/>
          <w:sz w:val="16"/>
          <w:szCs w:val="16"/>
          <w:b w:val="1"/>
          <w:bCs w:val="1"/>
          <w:i w:val="1"/>
          <w:iCs w:val="1"/>
          <w:color w:val="auto"/>
        </w:rPr>
        <w:t>If we enter into collaborative agreements with respect to AFREZZA and if our third-party collaborators do not perform satisfactorily or if our collaborations fail, development or commercialization of AFREZZA may be delayed and our business could be harmed.</w:t>
      </w:r>
    </w:p>
    <w:p>
      <w:pPr>
        <w:spacing w:after="0" w:line="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 may enter into license agreements, partnerships or other collaborative arrangements to support the financing, development and marketing of AFREZZA. We may also license technology from others to enhance or supplement our technologies. These various collaborators may enter into arrangements that would make them potential competitors. These various collaborators also may breach their agreements with us and delay our progress or fail to perform under their agreements, which could harm our business.</w:t>
      </w:r>
    </w:p>
    <w:p>
      <w:pPr>
        <w:spacing w:after="0" w:line="7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If we enter into collaborative arrangements, we will have less control over the timing, planning and other aspects of our clinical trials, and the sale and marketing of AFREZZA and our other product candidates. We cannot offer assurances that we will be able to enter into satisfactory arrangements with third parties as contemplated or that any of our existing or future collaborations will be successful.</w:t>
      </w:r>
    </w:p>
    <w:p>
      <w:pPr>
        <w:spacing w:after="0" w:line="181"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b w:val="1"/>
          <w:bCs w:val="1"/>
          <w:i w:val="1"/>
          <w:iCs w:val="1"/>
          <w:color w:val="auto"/>
        </w:rPr>
        <w:t>Continued testing of AFREZZA or our other product candidate may not yield successful results, and even if it does, we may still be unable to commercialize our product candidate.</w:t>
      </w:r>
    </w:p>
    <w:p>
      <w:pPr>
        <w:spacing w:after="0" w:line="62"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Our research and development programs are designed to test the safety and efficacy of AFREZZA and our other product candidates through extensive nonclinical and clinical testing. We may experience numerous unforeseen events during, or as a result of, the testing process that could delay or prevent commercialization of AFREZZA or any of our other product candidates, including the following:</w:t>
      </w:r>
    </w:p>
    <w:p>
      <w:pPr>
        <w:spacing w:after="0" w:line="73" w:lineRule="exact"/>
        <w:rPr>
          <w:sz w:val="20"/>
          <w:szCs w:val="20"/>
          <w:color w:val="auto"/>
        </w:rPr>
      </w:pPr>
    </w:p>
    <w:p>
      <w:pPr>
        <w:ind w:left="660" w:right="80" w:hanging="314"/>
        <w:spacing w:after="0" w:line="264"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safety and efficacy results obtained in our nonclinical and initial clinical testing may be inconclusive or may not be predictive of results obtained in later-stage clinical trials or following long-term use, and we may as a result be forced to stop developing product candidates that we currently believe are important to our future;</w:t>
      </w:r>
    </w:p>
    <w:p>
      <w:pPr>
        <w:spacing w:after="0" w:line="86" w:lineRule="exact"/>
        <w:rPr>
          <w:rFonts w:ascii="Arial" w:cs="Arial" w:eastAsia="Arial" w:hAnsi="Arial"/>
          <w:sz w:val="18"/>
          <w:szCs w:val="18"/>
          <w:b w:val="1"/>
          <w:bCs w:val="1"/>
          <w:color w:val="auto"/>
        </w:rPr>
      </w:pPr>
    </w:p>
    <w:p>
      <w:pPr>
        <w:ind w:left="660" w:hanging="314"/>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data collected from clinical trials of our product candidates may not be sufficient to support FDA or other regulatory approval;</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after reviewing test results, we or any potential collaborators may abandon projects that we previously believed were promising; and</w:t>
      </w:r>
    </w:p>
    <w:p>
      <w:pPr>
        <w:spacing w:after="0" w:line="130" w:lineRule="exact"/>
        <w:rPr>
          <w:rFonts w:ascii="Arial" w:cs="Arial" w:eastAsia="Arial" w:hAnsi="Arial"/>
          <w:sz w:val="18"/>
          <w:szCs w:val="18"/>
          <w:b w:val="1"/>
          <w:bCs w:val="1"/>
          <w:color w:val="auto"/>
        </w:rPr>
      </w:pPr>
    </w:p>
    <w:p>
      <w:pPr>
        <w:ind w:left="660" w:right="220" w:hanging="314"/>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if approved.</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Forecasts about the effects of the use of drugs, including AFREZZA, over terms longer than the clinical trials or in much larger populations may not be consistent with the clinical results. If use of AFREZZA results in adverse health effects or reduced efficacy or both, the FDA or other regulatory agencies may terminate our ability to market and sell AFREZZA, may narrow the approved indications for use or otherwise require restrictive product labeling or marketing, or may require further clinical trials, which may be time-consuming and expensive and may not produce favorable results.</w:t>
      </w:r>
    </w:p>
    <w:p>
      <w:pPr>
        <w:spacing w:after="0" w:line="63" w:lineRule="exact"/>
        <w:rPr>
          <w:sz w:val="20"/>
          <w:szCs w:val="20"/>
          <w:color w:val="auto"/>
        </w:rPr>
      </w:pPr>
    </w:p>
    <w:p>
      <w:pPr>
        <w:jc w:val="both"/>
        <w:ind w:right="40" w:firstLine="215"/>
        <w:spacing w:after="0" w:line="264" w:lineRule="auto"/>
        <w:rPr>
          <w:sz w:val="20"/>
          <w:szCs w:val="20"/>
          <w:color w:val="auto"/>
        </w:rPr>
      </w:pPr>
      <w:r>
        <w:rPr>
          <w:rFonts w:ascii="Arial" w:cs="Arial" w:eastAsia="Arial" w:hAnsi="Arial"/>
          <w:sz w:val="18"/>
          <w:szCs w:val="18"/>
          <w:color w:val="auto"/>
        </w:rPr>
        <w:t>As a result of any of these events, we, any collaborator, the FDA, or any other regulatory authorities, may suspend or terminate clinical trials or marketing of AFREZZA at any time. Any suspension or termination of our clinical trials or marketing activities may harm our business and results of operations and the market price of our common stock may decline.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transition successfully from a development company to a company that commercializes therapeutics, our business would suffer.</w:t>
      </w:r>
    </w:p>
    <w:p>
      <w:pPr>
        <w:spacing w:after="0" w:line="14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require a well-structured plan to make the transition from the development stage to being a company with commercial operations. We have a number of executive personnel, particularly in clinical development, regulatory and manufacturing production, including personnel with significant Phase 3-to-commercialization experience. In order to implement our commercialization strategy, we will need to:</w:t>
      </w:r>
    </w:p>
    <w:p>
      <w:pPr>
        <w:spacing w:after="0" w:line="73" w:lineRule="exact"/>
        <w:rPr>
          <w:sz w:val="20"/>
          <w:szCs w:val="20"/>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align our management structure to accommodate the increasing complexity of our operations;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develop comprehensive and detailed commercialization, clinical development and regulatory plans;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implement standard operating procedures.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If we are unable to accomplish these measures in a timely manner, we would be at considerable risk of failing to develop the capabilities necessary for FDA inspection and commercial operations.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If our suppliers fail to deliver materials and services needed for the production of AFREZZA in a timely and sufficient manner, or they fail to comply with applicable regulations, our business and results of operations would be harmed and the market price of our common stock could decline.</w:t>
      </w:r>
    </w:p>
    <w:p>
      <w:pPr>
        <w:spacing w:after="0" w:line="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AFREZZA to be commercially viable, we need access to sufficient, reliable and affordable supplies of insulin, our AFREZZA inhaler, the related cartridges and other materials. We have a long-term agreement with N.V. Organon for the supply of insulin. In June 2009, we purchased from Pfizer, a portion of its inventory of bulk insulin and acquired an option to purchase the remainder of Pfizer’s insulin inventory, in whole or in part, at a specified price to the extent that Pfizer has not otherwise disposed of or used the retained insulin.</w:t>
      </w:r>
    </w:p>
    <w:p>
      <w:pPr>
        <w:spacing w:after="0" w:line="7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have obtained FDKP, the precursor raw material for AFREZZA, from two sources, both of which are major chemical manufacturers with facilities in Europe and North America. We have completed a successful validation campaign of FDKP at commercial scale. We can also utilize our in-house chemical manufacturing plant for supplemental capacity. We believe our contract manufacturers have the capacity to supply our current clinical and future commercial requirements. We have obtained our AFREZZA inhaler and cartridges from two large plastic molding companies.</w:t>
      </w:r>
    </w:p>
    <w:p>
      <w:pPr>
        <w:spacing w:after="0" w:line="6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must rely on our suppliers to comply with relevant regulatory and other legal requirements, including the production of insulin in accordance with the FDA’s current good manufacturing practices (“cGMP”) for drug products, and the production of AFREZZA inhaler and related cartridges in accordance with Quality System Regulations (“QSR”). The supply of all of these materials may be limited or the manufacturer may not meet relevant regulatory requirements, and if we are unable to obtain these materials in sufficient amounts, in a timely manner and at reasonable prices, or if we should encounter delays or difficulties in our relationships with manufacturers or suppliers, the development or manufacturing of AFREZZA may be delayed. Any such events could delay market introduction and subsequent sales of AFREZZA and, if so, our business and results of operations will be harmed and the market price of our common stock may decline.</w:t>
      </w:r>
    </w:p>
    <w:p>
      <w:pPr>
        <w:spacing w:after="0" w:line="189" w:lineRule="exact"/>
        <w:rPr>
          <w:sz w:val="20"/>
          <w:szCs w:val="20"/>
          <w:color w:val="auto"/>
        </w:rPr>
      </w:pPr>
    </w:p>
    <w:p>
      <w:pPr>
        <w:ind w:right="160"/>
        <w:spacing w:after="0" w:line="375" w:lineRule="auto"/>
        <w:rPr>
          <w:sz w:val="20"/>
          <w:szCs w:val="20"/>
          <w:color w:val="auto"/>
        </w:rPr>
      </w:pPr>
      <w:r>
        <w:rPr>
          <w:rFonts w:ascii="Arial" w:cs="Arial" w:eastAsia="Arial" w:hAnsi="Arial"/>
          <w:sz w:val="15"/>
          <w:szCs w:val="15"/>
          <w:b w:val="1"/>
          <w:bCs w:val="1"/>
          <w:i w:val="1"/>
          <w:iCs w:val="1"/>
          <w:color w:val="auto"/>
        </w:rPr>
        <w:t>We have never manufactured AFREZZA or any other product candidates in commercial quantities, and if we fail to develop an effective manufacturing capability for our product candidates or to engage third-party manufacturers with this capability, we may be unable to commercialize these products.</w:t>
      </w:r>
    </w:p>
    <w:p>
      <w:pPr>
        <w:spacing w:after="0" w:line="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use our Danbury facility to formulate AFREZZA, fill plastic cartridges with AFREZZA and blister package the cartridges for our clinical trials. This facility has been fully qualified and undergone regulatory inspection that is expected to result in approval to manufacture commercially. The manufacture of pharmaceutical products requires significant expertise and capital investment,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If we engage a third-party manufacturer, we would need to transfer our technology to that third-party manufacturer and gain FDA approval, potentially causing delays in product delivery. In addition, our third-party manufacturer may not perform as agreed or may terminate its agreement with us.</w:t>
      </w:r>
    </w:p>
    <w:p>
      <w:pPr>
        <w:spacing w:after="0" w:line="6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Additionally, when we manufacture commercial material on a significantly larger production scale than the production scale for clinical trial materials, we are required by the FDA to establish that the results obtained from the clinical trials may reasonably be extrapolated to such commercial material. We have submitted documentation to the FDA to show correlation to the clinical-scale production materials with no assurance that approval would be obtained.</w:t>
      </w:r>
    </w:p>
    <w:p>
      <w:pPr>
        <w:spacing w:after="0" w:line="3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Any of these factors could cause us to delay or suspend clinical trials, regulatory submissions, required approvals or commercialization of our product candidates, entail higher costs and result in our being unable to effectively commercialize our products. Furthermore, if we or a third-party manufacturer fail to deliver the required commercial quantities of any product on a timely basis, and at commercially reasonable prices and acceptable quality, and we were unable to promptly find one or more replacement manufacturers capable of production at a substantially equivalent cost, in substantially equivalent volume and quality on a timely basis, we would likely be unable to meet demand for such products and we would lose potential revenues.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deal with hazardous materials and must comply with environmental laws and regulations, which can be expensive and restrict how we do business.</w:t>
      </w:r>
    </w:p>
    <w:p>
      <w:pPr>
        <w:spacing w:after="0" w:line="15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research and development work involves the controlled storage and use of hazardous materials, including chemical, radioactive and biological materials. In addition, our manufacturing operations involve the use of a chemical that is stable and non-hazardous under normal storage conditions, but may form an explosive mixture under certain conditions. Our operations also produce hazardous waste products. We are subject to federal, state and local laws and regulations governing how we use, manufacture, store, handle and dispose of these materials.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 million per occurrence and $2 million in the aggregate and is supplemented by an umbrella policy that provides a further $4 million of coverage; however, our insurance policy excludes pollution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w:t>
      </w:r>
    </w:p>
    <w:p>
      <w:pPr>
        <w:spacing w:after="0" w:line="7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When we purchased the facilities located in Danbury, Connecticut in 2001, there was a soil cleanup plan in process. As part of the purchase, we obtained an indemnification from the seller related to the remediation of the soil for all known environmental conditions that existed at the time the seller acquired the property. The seller is, in turn, indemnified for these known environmental conditions by the previous owner. We also received an indemnification from the seller for environmental conditions created during its ownership of the property and for environmental problems unknown at the time that the seller acquired the property. These additional indemnities are limited to the purchase price that we paid for the Danbury facilities.</w:t>
      </w:r>
    </w:p>
    <w:p>
      <w:pPr>
        <w:spacing w:after="0" w:line="6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During the construction of our expanded manufacturing facility, we completed the final stages of the soil cleanup plan in the third quarter of 2008, at a cost of approximately $2.25 million. We are in discussions with the party responsible for remediation regarding their contribution to past clean-up costs and their obligation to pay for or indemnify us for any future costs and expenses directly related to the final closure of the environmental remediation. If we are unable to collect these future costs and expenses, if any, from the responsible party, our business and results of operations may be harmed.</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fail to enter into collaborations with third parties, we would be required to establish our own sales, marketing and distribution capabilities, which could impact the commercialization of our products and harm our business.*</w:t>
      </w:r>
    </w:p>
    <w:p>
      <w:pPr>
        <w:spacing w:after="0" w:line="6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products are intended to be used by a large number of healthcare professionals who will require substantial education and support. For example, a broad base of physicians, including primary care physicians and endocrinologists, treat patients with diabetes. A large sales force will be required in order to educate these physicians about the benefits and advantages of AFREZZA and to provide adequate support for them. Therefore, we plan to enter into collaborations with one or more pharmaceutical companies to market, distribute and sell AFREZZA, if it is approved. If we fail to enter into collaborations, we would be required to establish our own direct sales, marketing and distribution capabilities. Establishing these capabilities can be time-consuming and expensive. Because we lack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experience in selling pharmaceutical products to the diabetes market, we would be at a disadvantage compared to our potential competitors, all of whom have substantially more resources and experience than we do. For example, several other companies selling products to treat diabetes have existing sales forces in excess of 1,500 sales representatives. We, acting alone, would not initially be able to field a sales force as large as our competitors or provide the same degree of marketing support. Also, we would not be able to match our competitor’s spending levels for pre-launch marketing preparation, including medical education. We cannot assure you that we will succeed in entering into acceptable collaborations, that any such collaboration will be successful or, if not, that we will successfully develop our own sales, marketing and distribution capabilities.</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any product that we may develop does not become widely accepted by physicians, patients, third-party payers and the healthcare community, we may be unable to generate significant revenue, if any.*</w:t>
      </w:r>
    </w:p>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AFREZZA and our other product candidates are new and unproven. Even if any of our product candidates obtain regulatory approval, they may not gain market acceptance among physicians, patients, third-party payers and the healthcare community. Failure to achieve market acceptance would limit our ability to generate revenue and would adversely affect our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degree of market acceptance of AFREZZA and our other product candidates will depend on many factors, including the:</w:t>
      </w:r>
    </w:p>
    <w:p>
      <w:pPr>
        <w:spacing w:after="0" w:line="117" w:lineRule="exact"/>
        <w:rPr>
          <w:sz w:val="20"/>
          <w:szCs w:val="20"/>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claims for which FDA approval can be obtained, including superiority claims;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perceived advantages and disadvantages of competitive products;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willingness of the healthcare community and patients to adopt new technologies;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ability to manufacture the product in sufficient quantities with acceptable quality and cost;</w:t>
      </w:r>
    </w:p>
    <w:p>
      <w:pPr>
        <w:spacing w:after="0" w:line="130" w:lineRule="exact"/>
        <w:rPr>
          <w:rFonts w:ascii="Arial" w:cs="Arial" w:eastAsia="Arial" w:hAnsi="Arial"/>
          <w:sz w:val="18"/>
          <w:szCs w:val="18"/>
          <w:b w:val="1"/>
          <w:bCs w:val="1"/>
          <w:color w:val="auto"/>
        </w:rPr>
      </w:pPr>
    </w:p>
    <w:p>
      <w:pPr>
        <w:ind w:left="660" w:hanging="314"/>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perception of patients and the healthcare community, including third-party payers, regarding the safety, efficacy and benefits compared to competing products or therapies;</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convenience and ease of administration relative to existing treatment methods;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pricing and reimbursement relative to other treatment therapeutics and methods;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marketing and distribution support.</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Because of these and other factors, any product that we may develop may not gain market acceptance, which would materially harm our business, financial condition and results of operations.</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third-party payers do not reimburse consumers for our products, our products might not be used or purchased, which would adversely affect our revenues.</w:t>
      </w:r>
    </w:p>
    <w:p>
      <w:pPr>
        <w:spacing w:after="0" w:line="6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future revenues and potential for profitability may be affected by the continuing efforts of governments and third-party payers to contain or reduce the costs of healthcare through various means. For example,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payers for healthcare goods and services may take in response to any drug pricing reform proposals or legislation. Such reforms may make it difficult to complete the development and testing of AFREZZA and our other product candidates, and therefore may limit our ability to generate revenues from sales of our product candidates and achieve profitability. Further, to the extent that such reforms have a material adverse effect on the business, financial condition and profitability of other companies that are prospective collaborators for some of our product candidates, our ability to commercialize our product candidates under development may be adversely affected.</w:t>
      </w:r>
    </w:p>
    <w:p>
      <w:pPr>
        <w:spacing w:after="0" w:line="8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United States and elsewhere, sales of prescription pharmaceuticals still depend in large part on the availability of reimbursement to the consumer from third-party payers, such as governmental and private insurance plans. Third-party payers are increasingly challenging the prices charged for medical products and services. In addition, because each third-party payer individually approves reimbursement, obtaining these approvals is a time-consuming and costly process. We would be required to provide scientific and clinical support for the use of any product to each third-party payer separately with no assurance that approval would be obtained. This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process could delay the market acceptance of any product and could have a negative effect on our future revenues and operating results. Even if we succeed in bringing one or more products to market, we cannot be certain that any such products would be considered cost-effective or that reimbursement to the consumer would be available, in which case our business and results of operations would be harmed and the market price of our common stock could decline.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11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testing, manufacturing, marketing and sale of AFREZZA and our other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trial volunteers and loss of revenues. We currently carry worldwide liability insurance in the amount of $10 million. We believe these limits are reasonable to cover us from potential damages arising from current and previous clinical trials of AFREZZA. In addition, we carry local policies per trial in each country in which we conduct clinical trials that require us to carry coverage based on local statutory requirements. We intend to obtain product liability coverage for commercial sales in the future if AFREZZA is approved. However, we may not be able to obtain insurance coverage that will be adequate to satisfy any liability that may arise, and because insurance coverage in our industry can be very expensive and difficult to obtain, we cannot assure you that we will be able to obtain sufficient coverage at an acceptable cost, if at all. If losses from such claims exceed our liability insurance coverage, we may ourselves incur substantial liabilities. If we are required to pay a product liability claim our business and results of operations would be harmed and the market price of our common stock may decline.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lose any key employees or scientific advisors, our operations and our ability to execute our business strategy could be materially harmed.</w:t>
      </w:r>
    </w:p>
    <w:p>
      <w:pPr>
        <w:spacing w:after="0" w:line="140"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color w:val="auto"/>
        </w:rPr>
        <w:t>In order to commercialize our product candidates successfully, we will be required to expand our work force, particularly in the areas of manufacturing, clinical trials management, regulatory affairs, business development, and sales and marketing. These activities will require the addition of new personnel, including management, and the development of additional expertise by existing personnel. 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w:t>
      </w:r>
    </w:p>
    <w:p>
      <w:pPr>
        <w:spacing w:after="0" w:line="6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our product candidates successfully.</w:t>
      </w:r>
    </w:p>
    <w:p>
      <w:pPr>
        <w:spacing w:after="0" w:line="8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our product candidates.</w:t>
      </w:r>
    </w:p>
    <w:p>
      <w:pPr>
        <w:spacing w:after="0" w:line="19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our Chief Executive Officer is unable to devote sufficient time and attention to our business, our operations and our ability to execute our business strategy could be materially harmed.</w:t>
      </w:r>
    </w:p>
    <w:p>
      <w:pPr>
        <w:spacing w:after="0" w:line="6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Alfred Mann, our Chairman and Chief Executive Officer, is involved in many other business and charitable activities. As a result, the time and attention Mr. Mann devotes to the operation of our business varies, and he may not expend the same time or focus on our activities as other, similarly situated chief executive officers. If Mr. Mann is unable to devote the time and attention necessary to running our business, we may not be able to execute our business strategy and our business could be materially harmed.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facilities that are located in Southern California may be affected by man-made or natural disasters.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headquarters and some of our research and development activities are located in Southern California, where they are subject to a risk of man-made disasters, terrorism, and an enhanced risk of natural and other disasters such as fires, power and telecommunications failures, mudslides, and earthquakes. An act of terrorism, fire, earthquake or other catastrophic loss that causes significant damage to our facilities or interruption of our business could harm our business. We do not carry insurance to cover losses caused by earthquakes, and the insurance coverage that we carry for fire damage and for business interruption may be insufficient to compensate us for any losses that we may incur.</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internal controls over financial reporting are not considered effective, our business and stock price could be adversely affected.</w:t>
      </w:r>
    </w:p>
    <w:p>
      <w:pPr>
        <w:spacing w:after="0" w:line="1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7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and on the market price of our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product candidates must undergo rigorous nonclinical and clinical testing and we must obtain regulatory approvals, which could be costly and time-consuming and subject us to unanticipated delays or prevent us from marketing any products.</w:t>
      </w:r>
    </w:p>
    <w:p>
      <w:pPr>
        <w:spacing w:after="0" w:line="62" w:lineRule="exact"/>
        <w:rPr>
          <w:sz w:val="20"/>
          <w:szCs w:val="20"/>
          <w:color w:val="auto"/>
        </w:rPr>
      </w:pPr>
    </w:p>
    <w:p>
      <w:pPr>
        <w:jc w:val="both"/>
        <w:ind w:right="700"/>
        <w:spacing w:after="0" w:line="286" w:lineRule="auto"/>
        <w:rPr>
          <w:sz w:val="20"/>
          <w:szCs w:val="20"/>
          <w:color w:val="auto"/>
        </w:rPr>
      </w:pPr>
      <w:r>
        <w:rPr>
          <w:rFonts w:ascii="Arial" w:cs="Arial" w:eastAsia="Arial" w:hAnsi="Arial"/>
          <w:sz w:val="17"/>
          <w:szCs w:val="17"/>
          <w:color w:val="auto"/>
        </w:rPr>
        <w:t>Our research and development activities, as well as the manufacturing and marketing of our product candidates, including AFREZZA, are subject to regulation, including regulation for safety, efficacy and quality, by the FDA in the United States and comparable authorities in other countries. FDA regulations and the regulation of comparable foreign regulatory authorities are wide-ranging and govern, among other things:</w:t>
      </w:r>
    </w:p>
    <w:p>
      <w:pPr>
        <w:spacing w:after="0" w:line="57" w:lineRule="exact"/>
        <w:rPr>
          <w:sz w:val="20"/>
          <w:szCs w:val="20"/>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product design, development, manufacture and testing;</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product labeling;</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product storage and shipping;</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pre-market clearance or approval;</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advertising and promotion;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product sales and distribution.</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Clinical testing can be costly and take many years, and the outcome is uncertain and susceptible to varying interpretations. We cannot be certain if or when the FDA might request additional studies, under what conditions such studies might be requested, or what the size or length of any such studies might be. The clinical trials of our product candidates may not be completed on schedule, the FDA</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or foreign regulatory agencies may order us to stop or modify our research, or these agencies may not ultimately approve any of our product candidates for commercial sale. The data collected from our clinical trials may not be sufficient to support regulatory approval of our various product candidates, including AFREZZA. Even if we believe the data collected from our clinical trials are sufficient, the FDA has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6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requirements governing the conduct of clinical trials and manufacturing and marketing of our product candidates, including AFREZZA, outside the United States vary widely from country to country. Foreign approvals may take longer to obtain than FDA approvals and can require, among other things, additional testing and different clinical trial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5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process of obtaining FDA and other required regulatory approvals, including foreign approvals, is expensive, often takes many years and can vary substantially based upon the type, complexity and novelty of the products involved. We are not aware of any precedent for the successful commercialization of products based on our technology. On January 26, 2006, the FDA approved the first pulmonary insulin product, Exubera. This approval has had an impact on and, notwithstanding the voluntary withdrawal of the product from the market by its manufacturer, could still impact the development and registration of AFREZZA in different ways. For example, Exubera may be used as a reference for safety and efficacy evaluations of AFREZZA, and the approval standards set for Exubera may be applied to other products that follow, including AFREZZA.</w:t>
      </w:r>
    </w:p>
    <w:p>
      <w:pPr>
        <w:spacing w:after="0" w:line="7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March 16, 2009, we submitted an NDA for AFREZZA. The FDA has advised us that it will regulate AFREZZA as a “combination product” because of the complex nature of the system that includes the combination of a new drug (AFREZZA) and a new medical device (the AFREZZA inhaler used to administer the insulin). The FDA indicated that the review of our NDA for AFREZZA involves several separate review groups of the FDA including: (1) the Metabolic and Endocrine Drug Products Division; (2) the Pulmonary Drug Products Division; and (3) the Center for Devices and Radiological Health, which reviews medical devices. The Metabolic and Endocrine Drug Products Division is the lead group and obtains consulting reviews from the other two FDA groups. We can make no assurances at this time about what impact FDA review by multiple groups will have on the approvability of our product.</w:t>
      </w:r>
    </w:p>
    <w:p>
      <w:pPr>
        <w:spacing w:after="0" w:line="5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March 12, 2010, we received a Complete Response letter from the FDA regarding the NDA for AFREZZA. A Complete Response letter is issued by the FDA’s Center for Drug Evaluation and Research when the review of a submitted file is completed and questions remain that preclude the approval of the NDA in its current form. As recommended by the FDA, we have requested an End-of-Review meeting with the agency to discuss our approach for resolving the remaining issues. There can be no assurance that we will be able to satisfy all of the FDA’s requirements with currently available data or that the FDA will find our proposed approach acceptable. The FDA could also request that we conduct additional clinical trials to provide sufficient data for approval of the NDA. There can be no assurance that we will obtain approval of the NDA in a timely manner or at all.</w:t>
      </w:r>
    </w:p>
    <w:p>
      <w:pPr>
        <w:spacing w:after="0" w:line="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Also, questions that have been raised about the safety of marketed drugs generally, including pertaining to the lack of adequate labeling, may result in increased cautiousness by the FDA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 FDA review of AFREZZA as a combination product may lengthen the product development and regulatory approval process, increase our development costs and delay or prevent the commercialization of AFREZZA.</w:t>
      </w:r>
    </w:p>
    <w:p>
      <w:pPr>
        <w:spacing w:after="0" w:line="5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developing AFREZZA as a new treatment for diabetes utilizing unique, proprietary components. As a combination product, any changes to either the AFREZZA inhaler, or AFREZZA, including new suppliers, could possibly result in FDA requirements to repeat certain clinical studies. This means, for example, that switching to an alternate delivery system, such as our next-generation inhaler, could require us to undertake additional clinical trials and other studies, which could significantly delay the development and commercialization of AFREZZA. Our product candidates that are currently in development for the treatment of cancer also face similar obstacles and costs.</w:t>
      </w:r>
    </w:p>
    <w:p>
      <w:pPr>
        <w:spacing w:after="0" w:line="80"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We also must obtain final approval from the FDA for the trade name of our product. The FDA had informed us that the name previously proposed for our product may be too similar to other drugs on the market and that we had to propose another trade name for our product. In September 2009, we proposed AFREZZA as a trade name, which the FDA found conditionally acceptable in December 2009.</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have only limited experience in filing and pursuing applications necessary to gain regulatory approvals, which may impede our ability to obtain timely approvals from the FDA or foreign regulatory agencies, if at all.</w:t>
      </w:r>
    </w:p>
    <w:p>
      <w:pPr>
        <w:spacing w:after="0" w:line="6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will not be able to commercialize AFREZZA or any other product candidates until we have obtained regulatory approval. Until we prepared and submitted our NDA for AFREZZA, we had no experience as a company in late-stage regulatory filings, such as preparing and submitting NDAs, which may place us at risk of delays, overspending and human resources inefficiencies. Any delay in obtaining, or inability to obtain, regulatory approval could harm our business. We are working with the FDA to provide the information and data requested in the FDA’s Complete Response letter as quickly as possible. As recommended by the FDA, we will attend an End-of-Review meeting with the agency to discuss our approach for resolving the remaining issues. There can be no assurance that we will be able to satisfy all of the FDA’s requirements with currently available data or that the FDA will find our proposed approach acceptable. The FDA could also request that we conduct additional clinical trials to provide sufficient data for approval of the NDA. There can be no assurance that we will obtain approval of the NDA in a timely manner or at all.</w:t>
      </w:r>
    </w:p>
    <w:p>
      <w:pPr>
        <w:spacing w:after="0" w:line="17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subject to criminal prosecution, fined or forced to remove a product from the market or experience other adverse consequences, including restrictions or delays in obtaining regulatory marketing approval.</w:t>
      </w:r>
    </w:p>
    <w:p>
      <w:pPr>
        <w:spacing w:after="0" w:line="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Even if we comply with regulatory requirements, we may not be able to obtain the labeling claims necessary or desirable for product promotion. We may also be required to undertake post-marketing trials. In addition, if we or other parties identify adverse effects after any of our products are on the market, or if manufacturing problems occur, regulatory approval may be withdrawn and a reformulation of our products, additional clinical trials, changes in labeling of, or indications of use for, our products and/or additional marketing applications may be required. If we encounter any of the foregoing problems, our business and results of operations will be harmed and the market price of our common stock may decline.</w:t>
      </w:r>
    </w:p>
    <w:p>
      <w:pPr>
        <w:spacing w:after="0" w:line="1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for our product candidates, such approval may be limited and we will be subject to stringent, ongoing government regulation.</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Even if regulatory authorities approve any of our product candidates, they could approve less than the full scope of uses or labeling that we seek or otherwise require special warnings or other restrictions on use or marketing or could require potentially costly post-marketing follow-up clinical trials. Regulatory authorities may limit the segments of the diabetes population to which we or others may market AFREZZA or limit the target population for our other product candidates. Based on currently available clinical studies, we believe that AFREZZA may have certain advantages over currently approved insulin products including its approximation of the natural early insulin secretion normally seen in healthy individuals following the beginning of a meal. Nonetheless, there are no assurances that these or any other advantages of AFREZZA will be agreed to by the FDA or otherwise included in product labeling or advertising and, as a result, AFREZZA may not have our expected competitive advantages when compared to other insulin products.</w:t>
      </w:r>
    </w:p>
    <w:p>
      <w:pPr>
        <w:spacing w:after="0" w:line="5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manufacture, marketing and sale of any of our product candidates will be subject to stringent and ongoing government regulation. The FDA may also withdraw product approvals if problems concerning safety or efficacy of a product occurs following approval. We cannot be sure that FDA and United States Congressional initiatives pertaining to ensuring the safety of marketed drugs or other developments pertaining to the pharmaceutical industry will not adversely affect our operations.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If our facilities, or the facilities of our manufacturers or suppliers, cannot pass a preapproval plant inspection, the FDA will not approve the marketing of our product candidates.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w:t>
      </w:r>
      <w:r>
        <w:rPr>
          <w:rFonts w:ascii="Arial" w:cs="Arial" w:eastAsia="Arial" w:hAnsi="Arial"/>
          <w:sz w:val="16"/>
          <w:szCs w:val="16"/>
          <w:i w:val="1"/>
          <w:iCs w:val="1"/>
          <w:color w:val="auto"/>
        </w:rPr>
        <w:t>e.g.</w:t>
      </w:r>
      <w:r>
        <w:rPr>
          <w:rFonts w:ascii="Arial" w:cs="Arial" w:eastAsia="Arial" w:hAnsi="Arial"/>
          <w:sz w:val="16"/>
          <w:szCs w:val="16"/>
          <w:color w:val="auto"/>
        </w:rPr>
        <w:t>,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insulin supplier does not yet supply human recombinant insulin for an FDA-approved product.*</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insulin supplier for purposes of the AFREZZA NDA sells its product outside of the United States. The FDA has inspected this supplier and found it to be acceptable. If we were required to find a new or additional supplier of insulin, we would be required to evaluate the new supplier’s ability to provide insulin that meets our specifications and quality requirements, which would require significant time and expense and could delay the manufacturing and future commercialization of AFREZZA. We also depend on suppliers for other materials that comprise AFREZZA, including our AFREZZA inhaler and cartridges. All of our device suppliers must comply with relevant regulatory requirements including QSR and are subject to inspection by the FDA. There can be no assurance, in the conduct of an inspection of our suppliers, that the agency would find that the supplier substantially comply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19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Reports of side effects or safety concerns in related technology fields or in other companies’ clinical trials could delay or prevent us from obtaining regulatory approval or negatively impact public perception of our product candidates.</w:t>
      </w:r>
    </w:p>
    <w:p>
      <w:pPr>
        <w:spacing w:after="0" w:line="6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At present, there are a number of clinical trials being conducted by us and other pharmaceutical companies involving insulin delivery systems. If we discover that AFREZZA is associated with a significantly increased frequency of adverse events, or if other pharmaceutical companies announce that they observed frequent adverse events in their trials involving the pulmonary delivery of insulin, we could encounter delays in the timing of our clinical trials or difficulties in obtaining approval of AFREZZA. As well, the public perception of AFREZZA might be adversely affected, which could harm our business and results of operations and cause the market price of our common stock to decline, even if the concern relates to another company’s products or product candidates.</w:t>
      </w:r>
    </w:p>
    <w:p>
      <w:pPr>
        <w:spacing w:after="0" w:line="5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There are also a number of clinical trials being conducted by other pharmaceutical companies involving compounds similar to, or competitive with, our other product candidates. Adverse results reported by these other companies in their clinical trials could delay or prevent us from obtaining regulatory approval or negatively impact public perception of our product candidates, which could harm our business and results of operations and cause the market price of our common stock to decline.</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similar alternative technologies.</w:t>
      </w:r>
    </w:p>
    <w:p>
      <w:pPr>
        <w:spacing w:after="0" w:line="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Moreover,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re-examinations in the United States. If we attempt to enforce our patents, they may be challenged in court where they could be held invalid, unenforceable, or have their breadth narrowed to an extent that would destroy their value.</w:t>
      </w:r>
    </w:p>
    <w:p>
      <w:pPr>
        <w:spacing w:after="0" w:line="7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We also execute confidentiality agreements with outside collaborators. There can be no assurance, however, that these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17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8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Interference proceedings brought by the USPTO may be necessary to determine the priority of inventions with respect to our patent applications or those of our collaborators or licensors. Litigation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or interference proceeding in which we are involved. Even if we do prevail, these proceedings can be very expensive and distract our management.</w:t>
      </w:r>
    </w:p>
    <w:p>
      <w:pPr>
        <w:spacing w:after="0" w:line="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18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Over the past three decades the number of patents issued to biotechnology companies has expanded dramatically.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Moreover, certain components of AFREZZA and/or our cancer vaccines may be manufactured outside the United States and imported into the United States. As such, third parties could file complaints under 19 U.S.C. Section 337(a)(1)(B), or a 337 action, with the International Trade Commission, or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7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Although we own a number of domestic and foreign patents and patent applications relating to AFREZZA and cancer vaccine products under development, we have identified certain third-party patents having claims relating to pulmonary insulin delivery that may trigger an allegation of infringement upon the commercial manufacture and sale of AFREZZA. We have also identified third-party patents disclosing methods of use and compositions of matter related to cancer vaccines that also may trigger an allegation of infringement upon the commercial manufacture and sale of our cancer therapy. If a court were to determine that our insulin products or cancer therapies were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an 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would be harmed and our profitability could be materially adversely impacted.</w:t>
      </w:r>
    </w:p>
    <w:p>
      <w:pPr>
        <w:spacing w:after="0" w:line="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and results of operations and cause the market price of our common stock to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have not selected trade names for some of our products and product candidates; therefore, we have not filed trademark registrations for our potential trade names for our products in all jurisdictions, nor can we assure that we will be granted registration of those potential trade names for which we have filed. Although we intend to defend any opposition to our trademark registrations, no</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assurance can be given that any of our trademarks will be registered in the United States or elsewhere or that the use of any of our trademarks will confer a competitive advantage in the marketplace. 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volatile.</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current turbulence in the U.S. and global financial markets could adversely affect our stock price and our ability to raise additional capital through the sale of equity and/or debt securities. The stock market, particularly in recent years, has experienced significant volatility particularly with respect to pharmaceutical and biotechnology stocks, and this trend may continue.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80" w:lineRule="exact"/>
        <w:rPr>
          <w:sz w:val="20"/>
          <w:szCs w:val="20"/>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progress and results of our clinical trials;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general economic, political or stock market conditions;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legislative developments;</w:t>
      </w:r>
    </w:p>
    <w:p>
      <w:pPr>
        <w:spacing w:after="0" w:line="130" w:lineRule="exact"/>
        <w:rPr>
          <w:rFonts w:ascii="Arial" w:cs="Arial" w:eastAsia="Arial" w:hAnsi="Arial"/>
          <w:sz w:val="18"/>
          <w:szCs w:val="18"/>
          <w:b w:val="1"/>
          <w:bCs w:val="1"/>
          <w:color w:val="auto"/>
        </w:rPr>
      </w:pPr>
    </w:p>
    <w:p>
      <w:pPr>
        <w:ind w:left="660" w:hanging="314"/>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announcements by us or our competitors concerning clinical trial results, acquisitions, strategic alliances, technological innovations, newly approved commercial products, product discontinuations, or other developments;</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availability of critical materials used in developing and manufacturing AFREZZA or other product candidates;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developments or disputes concerning our patents or proprietary rights;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announcements by us concerning our financial condition or operating performance;</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changes in securities analysts’ estimates of our financial condition or operating performance;</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general market conditions and fluctuations for emerging growth and pharmaceutical market sectors;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sales of large blocks of our common stock, including sales by our executive officers, directors and significant stockholders; and</w:t>
      </w:r>
    </w:p>
    <w:p>
      <w:pPr>
        <w:spacing w:after="0" w:line="130" w:lineRule="exact"/>
        <w:rPr>
          <w:rFonts w:ascii="Arial" w:cs="Arial" w:eastAsia="Arial" w:hAnsi="Arial"/>
          <w:sz w:val="18"/>
          <w:szCs w:val="18"/>
          <w:b w:val="1"/>
          <w:bCs w:val="1"/>
          <w:color w:val="auto"/>
        </w:rPr>
      </w:pPr>
    </w:p>
    <w:p>
      <w:pPr>
        <w:ind w:left="660" w:right="60" w:hanging="314"/>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discussion of AFREZZA, our other product candidates, competitors’ products, or our stock price by the financial and scientific press, the healthcare community and online investor communities such as chat rooms.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as well as other factors, could cause the market price of our common stock to decline.</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could be adversely affected.</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Public companies in general and companies included on the Nasdaq Stock Market in particular have experienced extreme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to decline, regardless of our operating performance. We have no control over this volatility and can only focus our efforts on our own operations, and even these may be affected due to the state of the capital markets.</w:t>
      </w:r>
    </w:p>
    <w:p>
      <w:pPr>
        <w:spacing w:after="0" w:line="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management’s attention and resources, which would hurt our business. Any adverse determination in litigation could also subject us to significant liabilities.</w:t>
      </w:r>
    </w:p>
    <w:p>
      <w:pPr>
        <w:spacing w:after="0" w:line="248"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Our Chief Executive Officer and principal stockholder can individually control our direction and policies, and his interests may be adverse to the interests of our other stockholders. After his death, his stock will be left to his funding foundations for distribution to various charities, and we cannot assure you of the manner in which those entities will manage their holdings.*</w:t>
      </w:r>
    </w:p>
    <w:p>
      <w:pPr>
        <w:spacing w:after="0" w:line="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At April 21, 2010, Mr. Mann beneficially owned approximately 42.2% of our outstanding shares of capital stock. We believe members of Mr. Mann’s family beneficially owned approximately an additional 1% of our outstanding shares of common stock, although Mr. Mann does not have voting or investment power with respect to these shares. By virtue of his holdings, Mr. Mann can and will continue to be able to effectively control the election of the members of our board of directors, our management and our affairs and prevent corporate transactions such as mergers, consolidations or the sale of all or substantially all of our assets that may be favorable from our standpoint or that of our other stockholders or cause a transaction that we or our other stockholders may view as unfavorable.</w:t>
      </w:r>
    </w:p>
    <w:p>
      <w:pPr>
        <w:spacing w:after="0" w:line="8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Subject to compliance with United States federal and state securities laws, Mr. Mann is free to sell the shares of our stock he holds at any time. Upon his death, we have been advised by Mr. Mann that his shares of our capital stock will be left to the Alfred E. Mann Medical Research Organization, or AEMMRO, and AEM Foundation for Biomedical Engineering, or AEMFBE, not-for-profit medical research foundations that serve as funding organizations for Mr. Mann’s various charities, including the Alfred Mann Foundation, or AMF, and the Alfred Mann Institutes at the University of Southern California, the Technion-Israel Institute of Technology, and Purdue University, and that may serve as funding organizations for any other charities that he may establish. The AEMMRO is a membership foundation consisting of six members, including Mr. Mann, his wife, three of his children and Dr. Joseph Schulman, the chief scientist of the AEMFBE. The AEMFBE is a membership foundation consisting of five members, including Mr. Mann, his wife, and the same three of his children. Although we understand that the members of AEMMRO and AEMFBE have been advised of Mr. Mann’s objectives for these foundations, once Mr. Mann’s shares of our capital stock become the property of the foundations, we cannot assure you as to how those shares will be distributed or how they will be voted.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future sale of our common stock or the conversion of our senior convertible notes into common stock could negatively affect our stock price.</w:t>
      </w:r>
    </w:p>
    <w:p>
      <w:pPr>
        <w:spacing w:after="0" w:line="14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Substantially all of the outstanding shares of our common stock are available for public sale, subject in some cases to volume and other limitations or delivery of a prospectus. If our common stockholders sell substantial amounts of common stock in the public market, or the market perceives that such sales may occur, the market price of our common stock may decline. Likewise the issuance of additional shares of our common stock upon the conversion of some or all of our senior convertible notes could adversely affect the trading price of our common stock. In addition, the existence of these notes may encourage short selling of our common stock by market participants. Furthermore, if we were to include in a company-initiated registration statement shares held by our stockholders pursuant to the exercise of their registrations rights, the sale of those shares could impair our ability to raise needed capital by depressing the price at which we could sell our common stock.</w:t>
      </w:r>
    </w:p>
    <w:p>
      <w:pPr>
        <w:spacing w:after="0" w:line="7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addition, we will need to raise substantial additional capital in the future to fund our operations. If we raise additional funds by issuing equity securities or additional convertible debt, the market price of our common stock may decline and our existing stockholders may experience significant dilution.</w:t>
      </w:r>
    </w:p>
    <w:p>
      <w:pPr>
        <w:spacing w:after="0" w:line="124" w:lineRule="exact"/>
        <w:rPr>
          <w:sz w:val="20"/>
          <w:szCs w:val="20"/>
          <w:color w:val="auto"/>
        </w:rPr>
      </w:pPr>
    </w:p>
    <w:p>
      <w:pPr>
        <w:ind w:right="100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Because we do not expect to pay dividends in the foreseeable future, you must rely on stock appreciation for any return on your investment.</w:t>
      </w:r>
    </w:p>
    <w:p>
      <w:pPr>
        <w:spacing w:after="0" w:line="1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Furthermore, we may in the future become subject to contractual restrictions on, or prohibitions against, the payment of dividends. Accordingly, the success of your investment in our common stock will likely depend entirely upon any future appreciation. There is no guarantee that our common stock will appreciate in value after the offering or even maintain the price at which you purchased your shares, and you may not realize a return on your investment in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There were no sales of equity securities by us that were not registered under the Securities Act of 1933, as amended, during the first quarter of 2010.</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4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57"/>
        </w:trPr>
        <w:tc>
          <w:tcPr>
            <w:tcW w:w="660" w:type="dxa"/>
            <w:vAlign w:val="bottom"/>
          </w:tcPr>
          <w:p>
            <w:pPr>
              <w:spacing w:after="0" w:line="157" w:lineRule="exact"/>
              <w:rPr>
                <w:sz w:val="20"/>
                <w:szCs w:val="20"/>
                <w:color w:val="auto"/>
              </w:rPr>
            </w:pPr>
            <w:r>
              <w:rPr>
                <w:rFonts w:ascii="Arial" w:cs="Arial" w:eastAsia="Arial" w:hAnsi="Arial"/>
                <w:sz w:val="14"/>
                <w:szCs w:val="14"/>
                <w:b w:val="1"/>
                <w:bCs w:val="1"/>
                <w:color w:val="auto"/>
              </w:rPr>
              <w:t>Number</w:t>
            </w:r>
          </w:p>
        </w:tc>
        <w:tc>
          <w:tcPr>
            <w:tcW w:w="10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3.1(1)</w:t>
            </w:r>
          </w:p>
        </w:tc>
        <w:tc>
          <w:tcPr>
            <w:tcW w:w="10460" w:type="dxa"/>
            <w:vAlign w:val="bottom"/>
          </w:tcPr>
          <w:p>
            <w:pPr>
              <w:ind w:left="160"/>
              <w:spacing w:after="0"/>
              <w:rPr>
                <w:sz w:val="20"/>
                <w:szCs w:val="20"/>
                <w:color w:val="auto"/>
              </w:rPr>
            </w:pPr>
            <w:r>
              <w:rPr>
                <w:rFonts w:ascii="Arial" w:cs="Arial" w:eastAsia="Arial" w:hAnsi="Arial"/>
                <w:sz w:val="18"/>
                <w:szCs w:val="18"/>
                <w:color w:val="auto"/>
              </w:rPr>
              <w:t>Amended and Restated Certificate of Incorporation.</w:t>
            </w:r>
          </w:p>
        </w:tc>
        <w:tc>
          <w:tcPr>
            <w:tcW w:w="0" w:type="dxa"/>
            <w:vAlign w:val="bottom"/>
          </w:tcPr>
          <w:p>
            <w:pPr>
              <w:spacing w:after="0"/>
              <w:rPr>
                <w:sz w:val="1"/>
                <w:szCs w:val="1"/>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3.2(2)</w:t>
            </w:r>
          </w:p>
        </w:tc>
        <w:tc>
          <w:tcPr>
            <w:tcW w:w="10460" w:type="dxa"/>
            <w:vAlign w:val="bottom"/>
          </w:tcPr>
          <w:p>
            <w:pPr>
              <w:ind w:left="160"/>
              <w:spacing w:after="0"/>
              <w:rPr>
                <w:sz w:val="20"/>
                <w:szCs w:val="20"/>
                <w:color w:val="auto"/>
              </w:rPr>
            </w:pPr>
            <w:r>
              <w:rPr>
                <w:rFonts w:ascii="Arial" w:cs="Arial" w:eastAsia="Arial" w:hAnsi="Arial"/>
                <w:sz w:val="18"/>
                <w:szCs w:val="18"/>
                <w:color w:val="auto"/>
              </w:rPr>
              <w:t>Certificate of Amendment of Amended and Restated Certificate of Incorporation.</w:t>
            </w:r>
          </w:p>
        </w:tc>
        <w:tc>
          <w:tcPr>
            <w:tcW w:w="0" w:type="dxa"/>
            <w:vAlign w:val="bottom"/>
          </w:tcPr>
          <w:p>
            <w:pPr>
              <w:spacing w:after="0"/>
              <w:rPr>
                <w:sz w:val="1"/>
                <w:szCs w:val="1"/>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3.3(3)</w:t>
            </w:r>
          </w:p>
        </w:tc>
        <w:tc>
          <w:tcPr>
            <w:tcW w:w="10460" w:type="dxa"/>
            <w:vAlign w:val="bottom"/>
          </w:tcPr>
          <w:p>
            <w:pPr>
              <w:ind w:left="160"/>
              <w:spacing w:after="0"/>
              <w:rPr>
                <w:sz w:val="20"/>
                <w:szCs w:val="20"/>
                <w:color w:val="auto"/>
              </w:rPr>
            </w:pPr>
            <w:r>
              <w:rPr>
                <w:rFonts w:ascii="Arial" w:cs="Arial" w:eastAsia="Arial" w:hAnsi="Arial"/>
                <w:sz w:val="18"/>
                <w:szCs w:val="18"/>
                <w:color w:val="auto"/>
              </w:rPr>
              <w:t>Amended and Restated Bylaws.</w:t>
            </w:r>
          </w:p>
        </w:tc>
        <w:tc>
          <w:tcPr>
            <w:tcW w:w="0" w:type="dxa"/>
            <w:vAlign w:val="bottom"/>
          </w:tcPr>
          <w:p>
            <w:pPr>
              <w:spacing w:after="0"/>
              <w:rPr>
                <w:sz w:val="1"/>
                <w:szCs w:val="1"/>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4.1(4)</w:t>
            </w:r>
          </w:p>
        </w:tc>
        <w:tc>
          <w:tcPr>
            <w:tcW w:w="10460" w:type="dxa"/>
            <w:vAlign w:val="bottom"/>
          </w:tcPr>
          <w:p>
            <w:pPr>
              <w:ind w:left="160"/>
              <w:spacing w:after="0"/>
              <w:rPr>
                <w:sz w:val="20"/>
                <w:szCs w:val="20"/>
                <w:color w:val="auto"/>
              </w:rPr>
            </w:pPr>
            <w:r>
              <w:rPr>
                <w:rFonts w:ascii="Arial" w:cs="Arial" w:eastAsia="Arial" w:hAnsi="Arial"/>
                <w:sz w:val="18"/>
                <w:szCs w:val="18"/>
                <w:color w:val="auto"/>
              </w:rPr>
              <w:t>Indenture, by and between MannKind and Wells Fargo Bank, N.A., dated November 1, 2006.</w:t>
            </w:r>
          </w:p>
        </w:tc>
        <w:tc>
          <w:tcPr>
            <w:tcW w:w="0" w:type="dxa"/>
            <w:vAlign w:val="bottom"/>
          </w:tcPr>
          <w:p>
            <w:pPr>
              <w:spacing w:after="0"/>
              <w:rPr>
                <w:sz w:val="1"/>
                <w:szCs w:val="1"/>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4.2(5)</w:t>
            </w:r>
          </w:p>
        </w:tc>
        <w:tc>
          <w:tcPr>
            <w:tcW w:w="10460" w:type="dxa"/>
            <w:vAlign w:val="bottom"/>
          </w:tcPr>
          <w:p>
            <w:pPr>
              <w:ind w:left="160"/>
              <w:spacing w:after="0"/>
              <w:rPr>
                <w:sz w:val="20"/>
                <w:szCs w:val="20"/>
                <w:color w:val="auto"/>
              </w:rPr>
            </w:pPr>
            <w:r>
              <w:rPr>
                <w:rFonts w:ascii="Arial" w:cs="Arial" w:eastAsia="Arial" w:hAnsi="Arial"/>
                <w:sz w:val="18"/>
                <w:szCs w:val="18"/>
                <w:color w:val="auto"/>
              </w:rPr>
              <w:t>First Supplemental Indenture, by and between MannKind and Wells Fargo Bank, N.A., dated December 12, 2006.</w:t>
            </w:r>
          </w:p>
        </w:tc>
        <w:tc>
          <w:tcPr>
            <w:tcW w:w="0" w:type="dxa"/>
            <w:vAlign w:val="bottom"/>
          </w:tcPr>
          <w:p>
            <w:pPr>
              <w:spacing w:after="0"/>
              <w:rPr>
                <w:sz w:val="1"/>
                <w:szCs w:val="1"/>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4.3(5)</w:t>
            </w:r>
          </w:p>
        </w:tc>
        <w:tc>
          <w:tcPr>
            <w:tcW w:w="10460" w:type="dxa"/>
            <w:vAlign w:val="bottom"/>
          </w:tcPr>
          <w:p>
            <w:pPr>
              <w:ind w:left="160"/>
              <w:spacing w:after="0"/>
              <w:rPr>
                <w:sz w:val="20"/>
                <w:szCs w:val="20"/>
                <w:color w:val="auto"/>
              </w:rPr>
            </w:pPr>
            <w:r>
              <w:rPr>
                <w:rFonts w:ascii="Arial" w:cs="Arial" w:eastAsia="Arial" w:hAnsi="Arial"/>
                <w:sz w:val="18"/>
                <w:szCs w:val="18"/>
                <w:color w:val="auto"/>
              </w:rPr>
              <w:t>Form of 3.75% Senior Convertible Note due 2013.</w:t>
            </w:r>
          </w:p>
        </w:tc>
        <w:tc>
          <w:tcPr>
            <w:tcW w:w="0" w:type="dxa"/>
            <w:vAlign w:val="bottom"/>
          </w:tcPr>
          <w:p>
            <w:pPr>
              <w:spacing w:after="0"/>
              <w:rPr>
                <w:sz w:val="1"/>
                <w:szCs w:val="1"/>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4.4(1)</w:t>
            </w:r>
          </w:p>
        </w:tc>
        <w:tc>
          <w:tcPr>
            <w:tcW w:w="10460" w:type="dxa"/>
            <w:vAlign w:val="bottom"/>
          </w:tcPr>
          <w:p>
            <w:pPr>
              <w:ind w:left="160"/>
              <w:spacing w:after="0"/>
              <w:rPr>
                <w:sz w:val="20"/>
                <w:szCs w:val="20"/>
                <w:color w:val="auto"/>
              </w:rPr>
            </w:pPr>
            <w:r>
              <w:rPr>
                <w:rFonts w:ascii="Arial" w:cs="Arial" w:eastAsia="Arial" w:hAnsi="Arial"/>
                <w:sz w:val="18"/>
                <w:szCs w:val="18"/>
                <w:color w:val="auto"/>
              </w:rPr>
              <w:t>Form of common stock certificate.</w:t>
            </w:r>
          </w:p>
        </w:tc>
        <w:tc>
          <w:tcPr>
            <w:tcW w:w="0" w:type="dxa"/>
            <w:vAlign w:val="bottom"/>
          </w:tcPr>
          <w:p>
            <w:pPr>
              <w:spacing w:after="0"/>
              <w:rPr>
                <w:sz w:val="1"/>
                <w:szCs w:val="1"/>
                <w:color w:val="auto"/>
              </w:rPr>
            </w:pP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4.5(1)</w:t>
            </w:r>
          </w:p>
        </w:tc>
        <w:tc>
          <w:tcPr>
            <w:tcW w:w="10460" w:type="dxa"/>
            <w:vAlign w:val="bottom"/>
          </w:tcPr>
          <w:p>
            <w:pPr>
              <w:ind w:left="160"/>
              <w:spacing w:after="0"/>
              <w:rPr>
                <w:sz w:val="20"/>
                <w:szCs w:val="20"/>
                <w:color w:val="auto"/>
              </w:rPr>
            </w:pPr>
            <w:r>
              <w:rPr>
                <w:rFonts w:ascii="Arial" w:cs="Arial" w:eastAsia="Arial" w:hAnsi="Arial"/>
                <w:sz w:val="18"/>
                <w:szCs w:val="18"/>
                <w:color w:val="auto"/>
                <w:w w:val="91"/>
              </w:rPr>
              <w:t>Registration Rights Agreement, dated October 15, 1998 by and among CTL ImmunoTherapies Corp., Medical Research Group, LLC, McLean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460" w:type="dxa"/>
            <w:vAlign w:val="bottom"/>
          </w:tcPr>
          <w:p>
            <w:pPr>
              <w:ind w:left="160"/>
              <w:spacing w:after="0"/>
              <w:rPr>
                <w:sz w:val="20"/>
                <w:szCs w:val="20"/>
                <w:color w:val="auto"/>
              </w:rPr>
            </w:pPr>
            <w:r>
              <w:rPr>
                <w:rFonts w:ascii="Arial" w:cs="Arial" w:eastAsia="Arial" w:hAnsi="Arial"/>
                <w:sz w:val="18"/>
                <w:szCs w:val="18"/>
                <w:color w:val="auto"/>
              </w:rPr>
              <w:t>Watson Advisory Inc. and Alfred E. Mann, as amended.</w:t>
            </w:r>
          </w:p>
        </w:tc>
        <w:tc>
          <w:tcPr>
            <w:tcW w:w="0" w:type="dxa"/>
            <w:vAlign w:val="bottom"/>
          </w:tcPr>
          <w:p>
            <w:pPr>
              <w:spacing w:after="0"/>
              <w:rPr>
                <w:sz w:val="1"/>
                <w:szCs w:val="1"/>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31.1</w:t>
            </w:r>
          </w:p>
        </w:tc>
        <w:tc>
          <w:tcPr>
            <w:tcW w:w="10460" w:type="dxa"/>
            <w:vAlign w:val="bottom"/>
          </w:tcPr>
          <w:p>
            <w:pPr>
              <w:ind w:left="160"/>
              <w:spacing w:after="0"/>
              <w:rPr>
                <w:sz w:val="20"/>
                <w:szCs w:val="20"/>
                <w:color w:val="auto"/>
              </w:rPr>
            </w:pPr>
            <w:r>
              <w:rPr>
                <w:rFonts w:ascii="Arial" w:cs="Arial" w:eastAsia="Arial" w:hAnsi="Arial"/>
                <w:sz w:val="18"/>
                <w:szCs w:val="18"/>
                <w:color w:val="auto"/>
                <w:w w:val="94"/>
              </w:rPr>
              <w:t>Certification of the Chief Executive Officer Pursuant to Rule 13a-14(a) or 15d-14(a) of the Securities Exchange Act of 1934, as amended.</w:t>
            </w:r>
          </w:p>
        </w:tc>
        <w:tc>
          <w:tcPr>
            <w:tcW w:w="0" w:type="dxa"/>
            <w:vAlign w:val="bottom"/>
          </w:tcPr>
          <w:p>
            <w:pPr>
              <w:spacing w:after="0"/>
              <w:rPr>
                <w:sz w:val="1"/>
                <w:szCs w:val="1"/>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31.2</w:t>
            </w:r>
          </w:p>
        </w:tc>
        <w:tc>
          <w:tcPr>
            <w:tcW w:w="10460" w:type="dxa"/>
            <w:vAlign w:val="bottom"/>
          </w:tcPr>
          <w:p>
            <w:pPr>
              <w:ind w:left="160"/>
              <w:spacing w:after="0"/>
              <w:rPr>
                <w:sz w:val="20"/>
                <w:szCs w:val="20"/>
                <w:color w:val="auto"/>
              </w:rPr>
            </w:pPr>
            <w:r>
              <w:rPr>
                <w:rFonts w:ascii="Arial" w:cs="Arial" w:eastAsia="Arial" w:hAnsi="Arial"/>
                <w:sz w:val="18"/>
                <w:szCs w:val="18"/>
                <w:color w:val="auto"/>
                <w:w w:val="94"/>
              </w:rPr>
              <w:t>Certification of the Chief Financial Officer Pursuant to Rule 13a-14(a) or 15d-14(a) of the Securities Exchange Act of 1934, as amended.</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820" w:right="100" w:hanging="812"/>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Certifications of the Chief Executive Officer and Chief Financial Officer Pursuant to Rule 13a-14(b) or 15d-14(b) of the Securities Exchange Act of 1934, as amended and Section 1350 of Chapter 63 of Title 18 of the United States Code (18 U.S.C. §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3036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13"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Incorporated by reference to MannKind’s registration statement on Form S-1 (File No. 333-115020), filed with the SEC on April 30, 2004, as amended.</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MannKind’s quarterly report on Form 10-Q, filed with the SEC on August 9, 2007.</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filed with the SEC on November 19, 2007.</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Incorporated by reference to MannKind’s registration statement on Form S-3 (File No. 333-138373), filed with the SEC on November 2, 2006.</w:t>
      </w:r>
    </w:p>
    <w:p>
      <w:pPr>
        <w:spacing w:after="0" w:line="88" w:lineRule="exact"/>
        <w:rPr>
          <w:rFonts w:ascii="Arial" w:cs="Arial" w:eastAsia="Arial" w:hAnsi="Arial"/>
          <w:sz w:val="17"/>
          <w:szCs w:val="17"/>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filed with the SEC on December 12, 2006.</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340" w:val="left"/>
        </w:tabs>
        <w:rPr>
          <w:sz w:val="20"/>
          <w:szCs w:val="20"/>
          <w:color w:val="auto"/>
        </w:rPr>
      </w:pPr>
      <w:r>
        <w:rPr>
          <w:rFonts w:ascii="Arial" w:cs="Arial" w:eastAsia="Arial" w:hAnsi="Arial"/>
          <w:sz w:val="18"/>
          <w:szCs w:val="18"/>
          <w:color w:val="auto"/>
        </w:rPr>
        <w:t>Dated: April 30, 2010</w:t>
      </w:r>
      <w:r>
        <w:rPr>
          <w:sz w:val="20"/>
          <w:szCs w:val="20"/>
          <w:color w:val="auto"/>
        </w:rPr>
        <w:tab/>
      </w:r>
      <w:r>
        <w:rPr>
          <w:rFonts w:ascii="Arial" w:cs="Arial" w:eastAsia="Arial" w:hAnsi="Arial"/>
          <w:sz w:val="17"/>
          <w:szCs w:val="17"/>
          <w:color w:val="auto"/>
        </w:rPr>
        <w:t>MANNKIND CORPORATION</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Matthew J. Pfeffer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Corporate Vice President and</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1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19" w:right="4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CERTIFICATION OF CHIEF EXECUTIVE OFFICER</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Alfred E. Mann, certify that:</w:t>
      </w:r>
    </w:p>
    <w:p>
      <w:pPr>
        <w:spacing w:after="0" w:line="117"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three months ended March 31, 2010 of MannKind Corporation;</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40" w:firstLine="221"/>
        <w:spacing w:after="0" w:line="264" w:lineRule="auto"/>
        <w:tabs>
          <w:tab w:leader="none" w:pos="71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60" w:firstLine="221"/>
        <w:spacing w:after="0" w:line="264" w:lineRule="auto"/>
        <w:tabs>
          <w:tab w:leader="none" w:pos="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20" w:firstLine="221"/>
        <w:spacing w:after="0" w:line="277" w:lineRule="auto"/>
        <w:tabs>
          <w:tab w:leader="none" w:pos="71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60" w:firstLine="221"/>
        <w:spacing w:after="0" w:line="264" w:lineRule="auto"/>
        <w:tabs>
          <w:tab w:leader="none" w:pos="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400" w:firstLine="221"/>
        <w:spacing w:after="0" w:line="277" w:lineRule="auto"/>
        <w:tabs>
          <w:tab w:leader="none" w:pos="71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60" w:firstLine="221"/>
        <w:spacing w:after="0" w:line="277" w:lineRule="auto"/>
        <w:tabs>
          <w:tab w:leader="none" w:pos="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April 30, 2010</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Alfred E. Mann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Alfred E. Mann</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557"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CERTIFICATION OF CHIEF FINANCIAL OFFICER</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Matthew J. Pfeffer, certify that:</w:t>
      </w:r>
    </w:p>
    <w:p>
      <w:pPr>
        <w:spacing w:after="0" w:line="117"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three months ended March 31, 2010 of MannKind Corporation;</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40" w:firstLine="221"/>
        <w:spacing w:after="0" w:line="264" w:lineRule="auto"/>
        <w:tabs>
          <w:tab w:leader="none" w:pos="71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60" w:firstLine="221"/>
        <w:spacing w:after="0" w:line="264" w:lineRule="auto"/>
        <w:tabs>
          <w:tab w:leader="none" w:pos="7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20" w:firstLine="221"/>
        <w:spacing w:after="0" w:line="277" w:lineRule="auto"/>
        <w:tabs>
          <w:tab w:leader="none" w:pos="71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60" w:firstLine="221"/>
        <w:spacing w:after="0" w:line="264" w:lineRule="auto"/>
        <w:tabs>
          <w:tab w:leader="none" w:pos="7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400" w:firstLine="221"/>
        <w:spacing w:after="0" w:line="277" w:lineRule="auto"/>
        <w:tabs>
          <w:tab w:leader="none" w:pos="71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60" w:firstLine="221"/>
        <w:spacing w:after="0" w:line="277" w:lineRule="auto"/>
        <w:tabs>
          <w:tab w:leader="none" w:pos="7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April 30, 2010</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J. Pfeffer</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Matthew J. Pfeffer</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557"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CHAPTER 63 OF TITLE 18 OF THE UNITED STATES CODE (18 U.S.C. § 1350)</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the filing of the quarterly report of MannKind Corporation (the “Company”) on Form 10-Q for the quarterly period ended March 31, 2010, as filed with the Securities and Exchange Commission on or about the date hereof to which this certification is attached as Exhibit 32 (the “Report”) and pursuant to the requirement set forth in Rule 13a-14(b) of the Securities Exchange Act of 1934, as amended (the “Exchange Act”), and Section 1350 of Chapter 63 of Title 18 of the United States Code (18 U.S.C. §1350), Alfred E. Mann, Chief Executive Officer of the Company, and Matthew J. Pfeffer, Chief Financial Officer of the Company, each hereby certifies that to the best of his knowledge:</w:t>
      </w:r>
    </w:p>
    <w:p>
      <w:pPr>
        <w:spacing w:after="0" w:line="80" w:lineRule="exact"/>
        <w:rPr>
          <w:sz w:val="20"/>
          <w:szCs w:val="20"/>
          <w:color w:val="auto"/>
        </w:rPr>
      </w:pPr>
    </w:p>
    <w:p>
      <w:pPr>
        <w:ind w:left="400" w:hanging="167"/>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17" w:lineRule="exact"/>
        <w:rPr>
          <w:rFonts w:ascii="Arial" w:cs="Arial" w:eastAsia="Arial" w:hAnsi="Arial"/>
          <w:sz w:val="18"/>
          <w:szCs w:val="18"/>
          <w:color w:val="auto"/>
        </w:rPr>
      </w:pPr>
    </w:p>
    <w:p>
      <w:pPr>
        <w:ind w:right="560" w:firstLine="233"/>
        <w:spacing w:after="0" w:line="375" w:lineRule="auto"/>
        <w:tabs>
          <w:tab w:leader="none" w:pos="40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April 30, 2010</w:t>
      </w:r>
    </w:p>
    <w:p>
      <w:pPr>
        <w:spacing w:after="0" w:line="1"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In witness whereof, the undersigned have set their hands hereto as of the 30th day of April, 2010.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Alfred E. Mann</w:t>
            </w:r>
          </w:p>
        </w:tc>
        <w:tc>
          <w:tcPr>
            <w:tcW w:w="460" w:type="dxa"/>
            <w:vAlign w:val="bottom"/>
          </w:tcPr>
          <w:p>
            <w:pPr>
              <w:spacing w:after="0"/>
              <w:rPr>
                <w:sz w:val="20"/>
                <w:szCs w:val="20"/>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J. Pfeffer</w:t>
            </w:r>
          </w:p>
        </w:tc>
      </w:tr>
      <w:tr>
        <w:trPr>
          <w:trHeight w:val="209"/>
        </w:trPr>
        <w:tc>
          <w:tcPr>
            <w:tcW w:w="5500" w:type="dxa"/>
            <w:vAlign w:val="bottom"/>
          </w:tcPr>
          <w:p>
            <w:pPr>
              <w:spacing w:after="0"/>
              <w:rPr>
                <w:sz w:val="20"/>
                <w:szCs w:val="20"/>
                <w:color w:val="auto"/>
              </w:rPr>
            </w:pPr>
            <w:r>
              <w:rPr>
                <w:rFonts w:ascii="Arial" w:cs="Arial" w:eastAsia="Arial" w:hAnsi="Arial"/>
                <w:sz w:val="18"/>
                <w:szCs w:val="18"/>
                <w:color w:val="auto"/>
              </w:rPr>
              <w:t>Alfred E. Mann</w:t>
            </w:r>
          </w:p>
        </w:tc>
        <w:tc>
          <w:tcPr>
            <w:tcW w:w="4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Matthew J. Pfeffer</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6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94"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This certification is being furnished solely to accompany this quarterly report on Form 10-Q pursuant to 18 U.S.C. Section 1350, and is not deemed filed for purposes of Section 18 of the Securities Exchange Act of 1934, as amended or the Securities Act of 1933, as amended, and is not incorporated by reference into any filing of the Company, whether made before or after the date hereof, regardless of any general incorporation language contained in such filing.</w:t>
      </w: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32"/>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2019-12-10T10:31:11Z</dcterms:created>
  <dcterms:modified xsi:type="dcterms:W3CDTF">2019-12-10T10:31:11Z</dcterms:modified>
</cp:coreProperties>
</file>