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780" w:val="left"/>
          <w:tab w:leader="none" w:pos="7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6140" w:type="dxa"/>
            <w:vAlign w:val="bottom"/>
          </w:tcPr>
          <w:p>
            <w:pPr>
              <w:jc w:val="center"/>
              <w:ind w:right="3438"/>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6140" w:type="dxa"/>
            <w:vAlign w:val="bottom"/>
          </w:tcPr>
          <w:p>
            <w:pPr>
              <w:jc w:val="center"/>
              <w:ind w:right="341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40" w:type="dxa"/>
            <w:vAlign w:val="bottom"/>
          </w:tcPr>
          <w:p>
            <w:pPr>
              <w:jc w:val="center"/>
              <w:ind w:right="3418"/>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40" w:type="dxa"/>
            <w:vAlign w:val="bottom"/>
          </w:tcPr>
          <w:p>
            <w:pPr>
              <w:jc w:val="center"/>
              <w:ind w:right="3438"/>
              <w:spacing w:after="0"/>
              <w:rPr>
                <w:sz w:val="20"/>
                <w:szCs w:val="20"/>
                <w:color w:val="auto"/>
              </w:rPr>
            </w:pPr>
            <w:r>
              <w:rPr>
                <w:rFonts w:ascii="Arial" w:cs="Arial" w:eastAsia="Arial" w:hAnsi="Arial"/>
                <w:sz w:val="18"/>
                <w:szCs w:val="18"/>
                <w:b w:val="1"/>
                <w:bCs w:val="1"/>
                <w:color w:val="auto"/>
                <w:w w:val="89"/>
              </w:rPr>
              <w:t>25134 Rye Canyon Loop Suite 300</w:t>
            </w:r>
          </w:p>
        </w:tc>
        <w:tc>
          <w:tcPr>
            <w:tcW w:w="1500" w:type="dxa"/>
            <w:vAlign w:val="bottom"/>
          </w:tcPr>
          <w:p>
            <w:pPr>
              <w:spacing w:after="0"/>
              <w:rPr>
                <w:sz w:val="24"/>
                <w:szCs w:val="24"/>
                <w:color w:val="auto"/>
              </w:rPr>
            </w:pPr>
          </w:p>
        </w:tc>
      </w:tr>
      <w:tr>
        <w:trPr>
          <w:trHeight w:val="225"/>
        </w:trPr>
        <w:tc>
          <w:tcPr>
            <w:tcW w:w="6140" w:type="dxa"/>
            <w:vAlign w:val="bottom"/>
          </w:tcPr>
          <w:p>
            <w:pPr>
              <w:jc w:val="center"/>
              <w:ind w:right="3438"/>
              <w:spacing w:after="0"/>
              <w:rPr>
                <w:sz w:val="20"/>
                <w:szCs w:val="20"/>
                <w:color w:val="auto"/>
              </w:rPr>
            </w:pPr>
            <w:r>
              <w:rPr>
                <w:rFonts w:ascii="Arial" w:cs="Arial" w:eastAsia="Arial" w:hAnsi="Arial"/>
                <w:sz w:val="18"/>
                <w:szCs w:val="18"/>
                <w:b w:val="1"/>
                <w:bCs w:val="1"/>
                <w:color w:val="auto"/>
                <w:w w:val="92"/>
              </w:rPr>
              <w:t>Valencia, California</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91355</w:t>
            </w:r>
          </w:p>
        </w:tc>
      </w:tr>
      <w:tr>
        <w:trPr>
          <w:trHeight w:val="186"/>
        </w:trPr>
        <w:tc>
          <w:tcPr>
            <w:tcW w:w="6140" w:type="dxa"/>
            <w:vAlign w:val="bottom"/>
          </w:tcPr>
          <w:p>
            <w:pPr>
              <w:jc w:val="center"/>
              <w:ind w:right="34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40" w:type="dxa"/>
            <w:vAlign w:val="bottom"/>
          </w:tcPr>
          <w:p>
            <w:pPr>
              <w:jc w:val="center"/>
              <w:ind w:left="2058"/>
              <w:spacing w:after="0"/>
              <w:rPr>
                <w:sz w:val="20"/>
                <w:szCs w:val="20"/>
                <w:color w:val="auto"/>
              </w:rPr>
            </w:pPr>
            <w:r>
              <w:rPr>
                <w:rFonts w:ascii="Arial" w:cs="Arial" w:eastAsia="Arial" w:hAnsi="Arial"/>
                <w:sz w:val="18"/>
                <w:szCs w:val="18"/>
                <w:b w:val="1"/>
                <w:bCs w:val="1"/>
                <w:color w:val="auto"/>
                <w:w w:val="90"/>
              </w:rPr>
              <w:t>(661) 775-5300</w:t>
            </w:r>
          </w:p>
        </w:tc>
        <w:tc>
          <w:tcPr>
            <w:tcW w:w="1500" w:type="dxa"/>
            <w:vAlign w:val="bottom"/>
          </w:tcPr>
          <w:p>
            <w:pPr>
              <w:spacing w:after="0"/>
              <w:rPr>
                <w:sz w:val="24"/>
                <w:szCs w:val="24"/>
                <w:color w:val="auto"/>
              </w:rPr>
            </w:pPr>
          </w:p>
        </w:tc>
      </w:tr>
      <w:tr>
        <w:trPr>
          <w:trHeight w:val="186"/>
        </w:trPr>
        <w:tc>
          <w:tcPr>
            <w:tcW w:w="6140" w:type="dxa"/>
            <w:vAlign w:val="bottom"/>
          </w:tcPr>
          <w:p>
            <w:pPr>
              <w:jc w:val="center"/>
              <w:ind w:left="20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r>
        <w:trPr>
          <w:trHeight w:val="399"/>
        </w:trPr>
        <w:tc>
          <w:tcPr>
            <w:tcW w:w="6140" w:type="dxa"/>
            <w:vAlign w:val="bottom"/>
          </w:tcPr>
          <w:p>
            <w:pPr>
              <w:jc w:val="center"/>
              <w:ind w:left="2058"/>
              <w:spacing w:after="0"/>
              <w:rPr>
                <w:sz w:val="20"/>
                <w:szCs w:val="20"/>
                <w:color w:val="auto"/>
              </w:rPr>
            </w:pPr>
            <w:r>
              <w:rPr>
                <w:rFonts w:ascii="Arial" w:cs="Arial" w:eastAsia="Arial" w:hAnsi="Arial"/>
                <w:sz w:val="18"/>
                <w:szCs w:val="18"/>
                <w:b w:val="1"/>
                <w:bCs w:val="1"/>
                <w:color w:val="auto"/>
                <w:w w:val="90"/>
              </w:rPr>
              <w:t>28903 North Avenue Paine</w:t>
            </w:r>
          </w:p>
        </w:tc>
        <w:tc>
          <w:tcPr>
            <w:tcW w:w="1500" w:type="dxa"/>
            <w:vAlign w:val="bottom"/>
          </w:tcPr>
          <w:p>
            <w:pPr>
              <w:spacing w:after="0"/>
              <w:rPr>
                <w:sz w:val="24"/>
                <w:szCs w:val="24"/>
                <w:color w:val="auto"/>
              </w:rPr>
            </w:pPr>
          </w:p>
        </w:tc>
      </w:tr>
      <w:tr>
        <w:trPr>
          <w:trHeight w:val="212"/>
        </w:trPr>
        <w:tc>
          <w:tcPr>
            <w:tcW w:w="6140" w:type="dxa"/>
            <w:vAlign w:val="bottom"/>
          </w:tcPr>
          <w:p>
            <w:pPr>
              <w:jc w:val="center"/>
              <w:ind w:left="2038"/>
              <w:spacing w:after="0"/>
              <w:rPr>
                <w:sz w:val="20"/>
                <w:szCs w:val="20"/>
                <w:color w:val="auto"/>
              </w:rPr>
            </w:pPr>
            <w:r>
              <w:rPr>
                <w:rFonts w:ascii="Arial" w:cs="Arial" w:eastAsia="Arial" w:hAnsi="Arial"/>
                <w:sz w:val="18"/>
                <w:szCs w:val="18"/>
                <w:b w:val="1"/>
                <w:bCs w:val="1"/>
                <w:color w:val="auto"/>
                <w:w w:val="92"/>
              </w:rPr>
              <w:t>Valencia, California</w:t>
            </w:r>
          </w:p>
        </w:tc>
        <w:tc>
          <w:tcPr>
            <w:tcW w:w="1500" w:type="dxa"/>
            <w:vAlign w:val="bottom"/>
          </w:tcPr>
          <w:p>
            <w:pPr>
              <w:spacing w:after="0"/>
              <w:rPr>
                <w:sz w:val="18"/>
                <w:szCs w:val="18"/>
                <w:color w:val="auto"/>
              </w:rPr>
            </w:pPr>
          </w:p>
        </w:tc>
      </w:tr>
      <w:tr>
        <w:trPr>
          <w:trHeight w:val="186"/>
        </w:trPr>
        <w:tc>
          <w:tcPr>
            <w:tcW w:w="6140" w:type="dxa"/>
            <w:vAlign w:val="bottom"/>
          </w:tcPr>
          <w:p>
            <w:pPr>
              <w:jc w:val="center"/>
              <w:ind w:left="2058"/>
              <w:spacing w:after="0"/>
              <w:rPr>
                <w:sz w:val="20"/>
                <w:szCs w:val="20"/>
                <w:color w:val="auto"/>
              </w:rPr>
            </w:pPr>
            <w:r>
              <w:rPr>
                <w:rFonts w:ascii="Arial" w:cs="Arial" w:eastAsia="Arial" w:hAnsi="Arial"/>
                <w:sz w:val="14"/>
                <w:szCs w:val="14"/>
                <w:b w:val="1"/>
                <w:bCs w:val="1"/>
                <w:color w:val="auto"/>
                <w:w w:val="91"/>
              </w:rPr>
              <w:t>(Former address, if changed since last report)</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825"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825"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825"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7420" w:space="180"/>
            <w:col w:w="260" w:space="80"/>
            <w:col w:w="160" w:space="180"/>
            <w:col w:w="220" w:space="100"/>
            <w:col w:w="2820"/>
          </w:cols>
          <w:pgMar w:left="240" w:top="230" w:right="239" w:bottom="825"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2, 2015, there were 409,486,687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825"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MANNKIND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0"/>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8120" w:type="dxa"/>
            <w:vAlign w:val="bottom"/>
            <w:gridSpan w:val="10"/>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900" w:type="dxa"/>
            <w:vAlign w:val="bottom"/>
            <w:tcBorders>
              <w:bottom w:val="single" w:sz="8" w:color="0000EE"/>
            </w:tcBorders>
            <w:gridSpan w:val="10"/>
            <w:vMerge w:val="continue"/>
          </w:tcPr>
          <w:p>
            <w:pPr>
              <w:spacing w:after="0"/>
              <w:rPr>
                <w:sz w:val="13"/>
                <w:szCs w:val="13"/>
                <w:color w:val="auto"/>
              </w:rPr>
            </w:pPr>
          </w:p>
        </w:tc>
        <w:tc>
          <w:tcPr>
            <w:tcW w:w="8120" w:type="dxa"/>
            <w:vAlign w:val="bottom"/>
            <w:gridSpan w:val="10"/>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September 30, 2015 and December 31, 2014</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Three and nine months ended September 30, 2015 and 2014</w:t>
              </w:r>
            </w:hyperlink>
          </w:p>
        </w:tc>
        <w:tc>
          <w:tcPr>
            <w:tcW w:w="29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 Three and nine months ended September 30, 2015 and 2014</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4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Nine months ended September 30, 2015 and 2014</w:t>
              </w:r>
            </w:hyperlink>
          </w:p>
        </w:tc>
        <w:tc>
          <w:tcPr>
            <w:tcW w:w="1440" w:type="dxa"/>
            <w:vAlign w:val="bottom"/>
            <w:tcBorders>
              <w:top w:val="single" w:sz="8" w:color="0000EE"/>
            </w:tcBorders>
            <w:gridSpan w:val="2"/>
          </w:tcPr>
          <w:p>
            <w:pPr>
              <w:spacing w:after="0"/>
              <w:rPr>
                <w:sz w:val="17"/>
                <w:szCs w:val="17"/>
                <w:color w:val="auto"/>
              </w:rPr>
            </w:pPr>
          </w:p>
        </w:tc>
        <w:tc>
          <w:tcPr>
            <w:tcW w:w="21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40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4. Controls and Procedures</w:t>
              </w:r>
            </w:hyperlink>
          </w:p>
        </w:tc>
        <w:tc>
          <w:tcPr>
            <w:tcW w:w="866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84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1A. Risk Factors</w:t>
              </w:r>
            </w:hyperlink>
          </w:p>
        </w:tc>
        <w:tc>
          <w:tcPr>
            <w:tcW w:w="942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Item 2. Unregistered Sales of Equity Securities and Use of Proceeds</w:t>
              </w:r>
            </w:hyperlink>
          </w:p>
        </w:tc>
        <w:tc>
          <w:tcPr>
            <w:tcW w:w="61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Item 3. Defaults Upon Senior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3"/>
          </w:tcPr>
          <w:p>
            <w:pPr>
              <w:spacing w:after="0"/>
              <w:rPr>
                <w:sz w:val="17"/>
                <w:szCs w:val="17"/>
                <w:color w:val="auto"/>
              </w:rPr>
            </w:pPr>
          </w:p>
        </w:tc>
        <w:tc>
          <w:tcPr>
            <w:tcW w:w="814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Item 5. Other Information</w:t>
              </w:r>
            </w:hyperlink>
          </w:p>
        </w:tc>
        <w:tc>
          <w:tcPr>
            <w:tcW w:w="914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6. 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2"/>
          </w:tcPr>
          <w:p>
            <w:pPr>
              <w:spacing w:after="0" w:line="196"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SIGNATURES</w:t>
              </w:r>
            </w:hyperlink>
          </w:p>
        </w:tc>
        <w:tc>
          <w:tcPr>
            <w:tcW w:w="986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5140" w:type="dxa"/>
            <w:vAlign w:val="bottom"/>
            <w:gridSpan w:val="14"/>
          </w:tcPr>
          <w:p>
            <w:pPr>
              <w:jc w:val="right"/>
              <w:ind w:right="48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38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2014</w:t>
            </w:r>
          </w:p>
        </w:tc>
        <w:tc>
          <w:tcPr>
            <w:tcW w:w="0" w:type="dxa"/>
            <w:vAlign w:val="bottom"/>
          </w:tcPr>
          <w:p>
            <w:pPr>
              <w:spacing w:after="0"/>
              <w:rPr>
                <w:sz w:val="1"/>
                <w:szCs w:val="1"/>
                <w:color w:val="auto"/>
              </w:rPr>
            </w:pPr>
          </w:p>
        </w:tc>
      </w:tr>
      <w:tr>
        <w:trPr>
          <w:trHeight w:val="196"/>
        </w:trPr>
        <w:tc>
          <w:tcPr>
            <w:tcW w:w="8140" w:type="dxa"/>
            <w:vAlign w:val="bottom"/>
            <w:tcBorders>
              <w:top w:val="single" w:sz="8" w:color="CCEEFF"/>
            </w:tcBorders>
            <w:shd w:val="clear" w:color="auto" w:fill="CCEEFF"/>
          </w:tcPr>
          <w:p>
            <w:pPr>
              <w:ind w:left="338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32,928</w:t>
            </w:r>
          </w:p>
        </w:tc>
        <w:tc>
          <w:tcPr>
            <w:tcW w:w="6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120,841</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Receivables from collaboration</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1,679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50,436</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23,402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13,227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20,206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71,236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201,153</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191,408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192,127</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costs from collaboration</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13,539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278,014</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394,439</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1740"/>
              <w:spacing w:after="0"/>
              <w:rPr>
                <w:sz w:val="20"/>
                <w:szCs w:val="20"/>
                <w:color w:val="auto"/>
              </w:rPr>
            </w:pPr>
            <w:r>
              <w:rPr>
                <w:rFonts w:ascii="Arial" w:cs="Arial" w:eastAsia="Arial" w:hAnsi="Arial"/>
                <w:sz w:val="18"/>
                <w:szCs w:val="18"/>
                <w:b w:val="1"/>
                <w:bCs w:val="1"/>
                <w:color w:val="auto"/>
              </w:rPr>
              <w:t>LIABILITIES AND STOCKHOLDERS’ DEFICIT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4,444</w:t>
            </w:r>
          </w:p>
        </w:tc>
        <w:tc>
          <w:tcPr>
            <w:tcW w:w="420" w:type="dxa"/>
            <w:vAlign w:val="bottom"/>
          </w:tcPr>
          <w:p>
            <w:pPr>
              <w:spacing w:after="0"/>
              <w:rPr>
                <w:sz w:val="18"/>
                <w:szCs w:val="18"/>
                <w:color w:val="auto"/>
              </w:rPr>
            </w:pP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14,081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26,206</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Facility financing obligation</w:t>
            </w:r>
          </w:p>
        </w:tc>
        <w:tc>
          <w:tcPr>
            <w:tcW w:w="26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74,163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72,995</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Senior convertible notes-current</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99,355</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Deferred product sales from collaboration</w:t>
            </w:r>
          </w:p>
        </w:tc>
        <w:tc>
          <w:tcPr>
            <w:tcW w:w="26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17,474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payments from collaboration</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157,145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196,967</w:t>
            </w:r>
          </w:p>
        </w:tc>
        <w:tc>
          <w:tcPr>
            <w:tcW w:w="0" w:type="dxa"/>
            <w:vAlign w:val="bottom"/>
          </w:tcPr>
          <w:p>
            <w:pPr>
              <w:spacing w:after="0"/>
              <w:rPr>
                <w:sz w:val="1"/>
                <w:szCs w:val="1"/>
                <w:color w:val="auto"/>
              </w:rPr>
            </w:pPr>
          </w:p>
        </w:tc>
      </w:tr>
      <w:tr>
        <w:trPr>
          <w:trHeight w:val="223"/>
        </w:trPr>
        <w:tc>
          <w:tcPr>
            <w:tcW w:w="81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267,307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principal stockholder</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49,521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Sanofi loan facility and loss share obligation</w:t>
            </w:r>
          </w:p>
        </w:tc>
        <w:tc>
          <w:tcPr>
            <w:tcW w:w="26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43,653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notes-long term</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27,607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9"/>
                <w:szCs w:val="19"/>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14,495</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12,301</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402,583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rPr>
              <w:t>outstanding at September 30, 2015 and December 31, 2014</w:t>
            </w:r>
          </w:p>
        </w:tc>
        <w:tc>
          <w:tcPr>
            <w:tcW w:w="260" w:type="dxa"/>
            <w:vAlign w:val="bottom"/>
          </w:tcPr>
          <w:p>
            <w:pPr>
              <w:spacing w:after="0"/>
              <w:rPr>
                <w:sz w:val="20"/>
                <w:szCs w:val="20"/>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 550,000,000 shares authorized at September 30, 2015 and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December 31, 2014; 418,263,814 and 406,059,089 shares issued and outstanding at September 30,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2015 and December 31, 2014, respectively</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4,182</w:t>
            </w: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2,457,482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2,416,967</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(2,586,214)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(2,494,784)</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(124,569)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(73,770)</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278,014</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4"/>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23,455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11,547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19,088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32,649</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66,840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manufacturing</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38,266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71,792</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149,524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(26,003)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(38,266)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(71,792)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(149,524)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7,898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notes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(17,899)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for income taxes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(31,857)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(36,520)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(91,426)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(161,941)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(31,857)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(36,520)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(91,426)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(161,941)</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405,199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394,163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401,734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381,332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7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6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$(31,857)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$(36,520)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$(91,426)</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$(161,941)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comprehensive (loss) income — cumulative translation (loss) gain</w:t>
            </w:r>
          </w:p>
        </w:tc>
        <w:tc>
          <w:tcPr>
            <w:tcW w:w="1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(31,856)</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(36,527)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(91,431)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(161,948)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Nine months ended</w:t>
      </w:r>
    </w:p>
    <w:p>
      <w:pPr>
        <w:jc w:val="center"/>
        <w:ind w:left="94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0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(91,426)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$(161,941)</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Depreciation and accretion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10,094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15,574</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46,755</w:t>
            </w: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Loss on disposal of property and equipment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extinguishment of debt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Interest paid through borrowings under Sanofi Loan Facility</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798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Write off of derivative liability</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Income from sale of intellectual property</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(9,250)</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expense related to milestone payment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assets and liabilities: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060"/>
              <w:spacing w:after="0"/>
              <w:rPr>
                <w:sz w:val="20"/>
                <w:szCs w:val="20"/>
                <w:color w:val="auto"/>
              </w:rPr>
            </w:pPr>
            <w:r>
              <w:rPr>
                <w:rFonts w:ascii="Arial" w:cs="Arial" w:eastAsia="Arial" w:hAnsi="Arial"/>
                <w:sz w:val="18"/>
                <w:szCs w:val="18"/>
                <w:color w:val="auto"/>
              </w:rPr>
              <w:t>Inventory</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(13,732)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Receivables from Collaboration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48,757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0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6,979</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(14,768)</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product costs from collaboration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(13,539)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0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(672)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13,692</w:t>
            </w:r>
          </w:p>
        </w:tc>
      </w:tr>
      <w:tr>
        <w:trPr>
          <w:trHeight w:val="216"/>
        </w:trPr>
        <w:tc>
          <w:tcPr>
            <w:tcW w:w="20" w:type="dxa"/>
            <w:vAlign w:val="bottom"/>
          </w:tcPr>
          <w:p>
            <w:pPr>
              <w:spacing w:after="0"/>
              <w:rPr>
                <w:sz w:val="18"/>
                <w:szCs w:val="18"/>
                <w:color w:val="auto"/>
              </w:rPr>
            </w:pPr>
          </w:p>
        </w:tc>
        <w:tc>
          <w:tcPr>
            <w:tcW w:w="7900" w:type="dxa"/>
            <w:vAlign w:val="bottom"/>
          </w:tcPr>
          <w:p>
            <w:pPr>
              <w:ind w:left="1060"/>
              <w:spacing w:after="0"/>
              <w:rPr>
                <w:sz w:val="20"/>
                <w:szCs w:val="20"/>
                <w:color w:val="auto"/>
              </w:rPr>
            </w:pPr>
            <w:r>
              <w:rPr>
                <w:rFonts w:ascii="Arial" w:cs="Arial" w:eastAsia="Arial" w:hAnsi="Arial"/>
                <w:sz w:val="18"/>
                <w:szCs w:val="18"/>
                <w:color w:val="auto"/>
              </w:rPr>
              <w:t>Accrued expenses and other current liabilities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(5,922)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(3,003)</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product sales from collaboration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17,038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00" w:type="dxa"/>
            <w:vAlign w:val="bottom"/>
          </w:tcPr>
          <w:p>
            <w:pPr>
              <w:ind w:left="1060"/>
              <w:spacing w:after="0"/>
              <w:rPr>
                <w:sz w:val="20"/>
                <w:szCs w:val="20"/>
                <w:color w:val="auto"/>
              </w:rPr>
            </w:pPr>
            <w:r>
              <w:rPr>
                <w:rFonts w:ascii="Arial" w:cs="Arial" w:eastAsia="Arial" w:hAnsi="Arial"/>
                <w:sz w:val="18"/>
                <w:szCs w:val="18"/>
                <w:color w:val="auto"/>
              </w:rPr>
              <w:t>Deferred up-front payment from collaboration agreement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liabilities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w:t>
            </w:r>
          </w:p>
        </w:tc>
      </w:tr>
      <w:tr>
        <w:trPr>
          <w:trHeight w:val="230"/>
        </w:trPr>
        <w:tc>
          <w:tcPr>
            <w:tcW w:w="20" w:type="dxa"/>
            <w:vAlign w:val="bottom"/>
          </w:tcPr>
          <w:p>
            <w:pPr>
              <w:spacing w:after="0"/>
              <w:rPr>
                <w:sz w:val="20"/>
                <w:szCs w:val="20"/>
                <w:color w:val="auto"/>
              </w:rPr>
            </w:pPr>
          </w:p>
        </w:tc>
        <w:tc>
          <w:tcPr>
            <w:tcW w:w="7900" w:type="dxa"/>
            <w:vAlign w:val="bottom"/>
          </w:tcPr>
          <w:p>
            <w:pPr>
              <w:ind w:left="1420"/>
              <w:spacing w:after="0"/>
              <w:rPr>
                <w:sz w:val="20"/>
                <w:szCs w:val="20"/>
                <w:color w:val="auto"/>
              </w:rPr>
            </w:pPr>
            <w:r>
              <w:rPr>
                <w:rFonts w:ascii="Arial" w:cs="Arial" w:eastAsia="Arial" w:hAnsi="Arial"/>
                <w:sz w:val="18"/>
                <w:szCs w:val="18"/>
                <w:color w:val="auto"/>
              </w:rPr>
              <w:t>Net cash (used in) provided by operating activities</w:t>
            </w: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(34,681)</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(9,969)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(19,134)</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Proceeds from sale of intellectual property</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(9,891)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(9,884)</w:t>
            </w: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and warrants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13,524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38,573</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Proceeds from issuance of facility financing obligation &amp; milestone rights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Tranche B of the facility financing obligation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Payment of 2015 notes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(64,287)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issuance costs on 2018 notes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Milestone payment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(4,219)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Proceeds from issuance of common stock pursuant to ATM issuance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14,536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ATM</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(1,833)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(26,844)</w:t>
            </w: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(43,341)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71,729</w:t>
            </w: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(87,913)</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$ 101,675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120,841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70,790</w:t>
            </w: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32,928</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$ 172,465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DISCLOSURES: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Interest paid in cash, net of amounts capitalized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11,439</w:t>
            </w: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9,740</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pursuant to conversion of facility financing obligation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93,500</w:t>
            </w: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Non-cash construction in progress and property and equipment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3,809</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of share-based awards to liability</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22,963</w:t>
            </w: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Tranche B Commitment Asset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1,753</w:t>
            </w:r>
          </w:p>
        </w:tc>
      </w:tr>
      <w:tr>
        <w:trPr>
          <w:trHeight w:val="230"/>
        </w:trPr>
        <w:tc>
          <w:tcPr>
            <w:tcW w:w="20" w:type="dxa"/>
            <w:vAlign w:val="bottom"/>
          </w:tcPr>
          <w:p>
            <w:pPr>
              <w:spacing w:after="0"/>
              <w:rPr>
                <w:sz w:val="19"/>
                <w:szCs w:val="19"/>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2015 notes and interest through issuance of common stock</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Reclassification of deferred payments from collaboration to Sanofi loan facility</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28,150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2014 filed with the SEC on March 2, 2015 (the “Annual Report”).</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nine months ended September 30, 2015 may not be indicative of the results that may be expected for the full year.</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The more significant estimates reflected in these accompanying financial statements involve assessing long-lived assets and deferred product costs for impairment, accrued expenses, valuation of stock-based compensation and the determination of the provision for income taxes and corresponding deferred tax assets and liabilities and any valuation allowance recorded against net deferred tax assets.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 xml:space="preserve">Business — </w:t>
      </w:r>
      <w:r>
        <w:rPr>
          <w:rFonts w:ascii="Arial" w:cs="Arial" w:eastAsia="Arial" w:hAnsi="Arial"/>
          <w:sz w:val="17"/>
          <w:szCs w:val="17"/>
          <w:color w:val="auto"/>
        </w:rPr>
        <w:t>MannKind is a biopharmaceutical company focused on the discovery and development of therapeutic products for diseases such as diabetes.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only approved product, AFREZZA (insulin human [rDNA origin]) inhalation powder, is a rapid-acting inhaled insulin that was approved by the U.S. Food and Drug Administration (the “FDA”) on June 27, 2014 to improve glycemic control in adult patients with diabetes. In August 2014, the Company entered into a license and collaboration agreement (the “Sanofi License Agreement”) with Sanofi-Aventis Deutschland GmbH (which subsequently assigned its rights and obligations under the agreement to Sanofi-Aventis U.S. LLC (“Sanofi”)), pursuant to which Sanofi is responsible for global commercial, regulatory and development activities for AFREZZA. The Sanofi License Agreement became effective on September 23, 2014. The Company manufactures AFREZZA at its manufacturing facility in Danbury, Connecticut to supply Sanofi’s demand for the product. In addition, the Company and Sanofi are planning to collaborate to expand manufacturing capacity to meet global demand as necessary (see Note 7 – Collaboration arrangement). AFREZZA became available by prescription in United States retail pharmacies in February 2015.</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 The Company’s primary activities since incorporation have been establishing its facilities, recruiting personnel, conducting research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development, business development, business and financial planning, raising capital, and undertaking pre-commercialization and commercialization activities related to AFREZZA. It is costly to develop therapeutic products and conduct associated clinical studies. As of September 30, 2015, the Company had an accumulated deficit of $2.6 billion and a stockholders’ deficit of $124.6 million. Historically the Company has reported negative cash flow from operations other than for the nine months ended September 30, 2014, the year ended December 31, 2014, and for the three months ended March 31, 2015, as a result of receipt of the upfront payment and milestone payments under the Sanofi License Agreement.</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September 30, 2015, the Company’s capital resources consisted of cash and cash equivalents of $32.9 million and outstanding debt of $185.4 million principal amount. The Company expects to continue to incur significant expenditures to support commercial manufacturing of AFREZZA and the development of other product candidates. In addition, the Company’s facility agreement (the “Facility Agreement”) with Deerfield Private Design Fund II, L.P. and Deerfield Private Design International II, L.P. (collectively, “Deerfield”) (see Note 14 – Facility Agreement) contains a financial covenant that requires the Company’s cash and cash equivalents, which include available borrowings under the Company’s loan arrangement (the “Loan Arrangement”) with The Mann Group LLC (“The Mann Group”), on the last day of each fiscal quarter to not be less than $25.0 million. The Company must continue to incur expenses to support commercialization of Afrezza and will need to raise additional capital to finance such activities. The Company cannot be certain that it will be able to raise additional capital on favorable terms, or at all, which raises substantial doubt about the Company’s ability to continue as a going concern. The financial statements do not include any adjustments that might result from the outcome of this uncertainty.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Sanofi License Agreement, Sanofi paid the Company an up-front cash payment of $150.0 million in the third quarter of 2014, and $50.0 million in milestone payments in the first quarter of 2015. The foregoing milestone payments were earned as of December 31, 2014. The Company is also eligible to receive up to $725.0 million in additional milestone payments under the Sanofi License Agreement if certain development, regulatory and sales milestones are achieved. Worldwide profits and losses, which are determined based on the difference between the net sales of AFREZZA and the costs and expenses incurred by the Company and Sanofi that are specifically attributable or related to the development, regulatory filings, manufacturing, or commercialization of AFREZZA, will be shared 65% by Sanofi and 35% by the Company. In connection with the Sanofi License Agreement, an affiliate of Sanofi provided the Company with a secured loan facility (the “Sanofi Loan Facility”) of up to $175.0 million to fund the Company’s share of net losses under the Sanofi License Agreement.</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 funding sources that are, or in certain circumstances may be available to the Company, include approximately $30.1 million principal amount of available borrowings under its Loan Arrangement (see Note 5 – Related-party arrangements) and potential proceeds from the exercise of warrants issued in its February 2012 public offering of approximately $9.4 million, and the Company’s at-the-market issuance sales agreements which allow the Company to sell up to $37.5 million in common stock provided no sales may be made except pursuant to an effective registration statement. In September 2015, the Company sold $12.2 million in common stock under the at-the-market sales agreement. The registration statement under which the shares that may be sold pursuant to the at-the-market issuance sales agreements are registered will expire on September 4, 2018. The Company cannot provide assurances that its plans will not change or that changed circumstances will not result in the depletion of its capital resources more rapidly than it currently anticipates. The Company will need to raise additional capital, whether through a sale of equity or debt securities, a strategic business collaboration with a pharmaceutical company, the establishment of other funding facilities, licensing arrangements, asset sales or other means, in order to continue the development and commercialization of AFREZZA and other product candidates and to support its other ongoing activities. However, the Company cannot provide assurances that such additional capital will be available on acceptable terms or at all.</w:t>
      </w:r>
    </w:p>
    <w:p>
      <w:pPr>
        <w:spacing w:after="0" w:line="18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 xml:space="preserve">Fair Value of Financial Instruments — </w:t>
      </w:r>
      <w:r>
        <w:rPr>
          <w:rFonts w:ascii="Arial" w:cs="Arial" w:eastAsia="Arial" w:hAnsi="Arial"/>
          <w:sz w:val="17"/>
          <w:szCs w:val="17"/>
          <w:color w:val="auto"/>
        </w:rPr>
        <w:t>The carrying amounts reported in the accompanying financial statements for cash and cash equivalents,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accrued liabilities approximate their fair value due to their relatively short maturities. The fair value of the cash equivalents, note payable to related party, senior convertible notes, and the Facility Agreement are discussed in Note 8 – Fair Value of Financial Instruments.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Deferred product costs from collaboration — </w:t>
      </w:r>
      <w:r>
        <w:rPr>
          <w:rFonts w:ascii="Arial" w:cs="Arial" w:eastAsia="Arial" w:hAnsi="Arial"/>
          <w:sz w:val="18"/>
          <w:szCs w:val="18"/>
          <w:color w:val="auto"/>
        </w:rPr>
        <w:t>Deferred product costs represent the costs of product manufactured and sold to Sanofi, as long as they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than the amount of deferred product sales related to the collaboration, for which recognition of revenue has been deferred. Given that the costs of inventory delivered to a customer, but for which revenue may not yet be recognized, meet both the definition and characteristics of an “asset” and the Company believes that it is probable that the amount of future revenue will exceed the amount of deferred costs (i.e., the asset would be realizable through the recognition of probable future income), the Company has elected to account for the deferred costs related to the product sold to Sanofi as an asset and carry forward to future periods until the related revenue is recognized.</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 xml:space="preserve">Recently Issued Accounting Standards — </w:t>
      </w:r>
      <w:r>
        <w:rPr>
          <w:rFonts w:ascii="Arial" w:cs="Arial" w:eastAsia="Arial" w:hAnsi="Arial"/>
          <w:sz w:val="18"/>
          <w:szCs w:val="18"/>
          <w:color w:val="auto"/>
        </w:rPr>
        <w:t>From time to time, new accounting pronouncements are issued by the Financial Accounting Standards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w:t>
      </w:r>
    </w:p>
    <w:p>
      <w:pPr>
        <w:spacing w:after="0" w:line="17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May 2014, the FASB issued ASU 2014-09 related to revenue recognition, which requires an entity to recognize the amount of revenue to which it expects to be entitled for the transfer of promised goods or services to customers. The guidance requires a company to recognize revenue to depict the transfer of goods or services to customers in an amount that reflects the consideration it expects to be entitled to receive in exchange for those goods or services. In July 2015, the FASB issued ASU 2015-14, which delayed the effective date of the new revenue standard by one year. The FASB also agreed to allow entities to choose to adopt the standard as of the original effective date. The standard is effective beginning the first quarter of the Company’s 2018 fiscal year and may be adopted either by restating all years presented in the Company’s financial statements or by recording the impact of adoption as an adjustment to retained earnings at the beginning of fiscal 2018. The Company is assessing the potential impact of the new standard on its consolidated financial statements and has not yet selected a transition method.</w:t>
      </w:r>
    </w:p>
    <w:p>
      <w:pPr>
        <w:spacing w:after="0" w:line="1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August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ASU is effective for annual periods ending after December 15, 2016, and interim periods thereafter; early adoption is permitted. The Company is evaluating the impact the adoption of ASU 2014-15 will have on its consolidated financial statements.</w:t>
      </w:r>
    </w:p>
    <w:p>
      <w:pPr>
        <w:spacing w:after="0" w:line="165"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In April 2015, the FASB issued ASU 2015-03, “Simplifying the Presentation of Debt Issuance Costs.” The guidance requires debt issuance costs to be presented in the balance sheet as a direct deduction from the carrying value of the associated debt, consistent with the presentation of a debt discount. The guidance is effective for annual reporting periods beginning after December 15, 2015 and interim periods thereafter. Early adoption is permitted. The Company does not believe the adoption of the new standard will have a material impact on its consolidated financial statements and disclosures.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July 2015, The FASB has issued ASU 2015-11, Inventory (Topic 330): Simplifying the Measurement of Inventory. Topic 330, Inventory, currently requires an entity to measure inventory at the lower of cost or market. Market could be replacement cost, net realizable value, or net realizable value less an approximately normal profit margin. The amendments do not apply to inventory that is measured using last-in, first-out (LIFO) or the retail inventory method. The amendments apply to all other inventory, which includes inventory that is measured using first-in, first-out (FIFO) or average cost. The amendments are effective for fiscal years beginning after December 15, 2016, including interim periods within those fiscal years. The amendments should be applied prospectively with earlier application permitted as of the beginning of an interim or annual reporting period. The Company is evaluating the impact the adoption of ASU 2015-11 will have on its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40" w:type="dxa"/>
            <w:vAlign w:val="bottom"/>
            <w:gridSpan w:val="5"/>
          </w:tcPr>
          <w:p>
            <w:pPr>
              <w:ind w:left="560"/>
              <w:spacing w:after="0"/>
              <w:rPr>
                <w:sz w:val="20"/>
                <w:szCs w:val="20"/>
                <w:color w:val="auto"/>
              </w:rPr>
            </w:pPr>
            <w:r>
              <w:rPr>
                <w:rFonts w:ascii="Arial" w:cs="Arial" w:eastAsia="Arial" w:hAnsi="Arial"/>
                <w:sz w:val="14"/>
                <w:szCs w:val="14"/>
                <w:b w:val="1"/>
                <w:bCs w:val="1"/>
                <w:color w:val="auto"/>
                <w:w w:val="89"/>
              </w:rPr>
              <w:t>September 30,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8"/>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19,349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88"/>
              </w:rPr>
              <w:t>4,856</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Work-in-process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3,941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ind w:left="240"/>
              <w:spacing w:after="0"/>
              <w:rPr>
                <w:sz w:val="20"/>
                <w:szCs w:val="20"/>
                <w:color w:val="auto"/>
              </w:rPr>
            </w:pPr>
            <w:r>
              <w:rPr>
                <w:rFonts w:ascii="Arial" w:cs="Arial" w:eastAsia="Arial" w:hAnsi="Arial"/>
                <w:sz w:val="18"/>
                <w:szCs w:val="18"/>
                <w:color w:val="auto"/>
                <w:w w:val="88"/>
              </w:rPr>
              <w:t>4,719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gridSpan w:val="2"/>
          </w:tcPr>
          <w:p>
            <w:pPr>
              <w:ind w:left="460"/>
              <w:spacing w:after="0"/>
              <w:rPr>
                <w:sz w:val="20"/>
                <w:szCs w:val="20"/>
                <w:color w:val="auto"/>
              </w:rPr>
            </w:pPr>
            <w:r>
              <w:rPr>
                <w:rFonts w:ascii="Arial" w:cs="Arial" w:eastAsia="Arial" w:hAnsi="Arial"/>
                <w:sz w:val="18"/>
                <w:szCs w:val="18"/>
                <w:color w:val="auto"/>
              </w:rPr>
              <w:t>Total inventories</w:t>
            </w:r>
          </w:p>
        </w:tc>
        <w:tc>
          <w:tcPr>
            <w:tcW w:w="560" w:type="dxa"/>
            <w:vAlign w:val="bottom"/>
          </w:tcPr>
          <w:p>
            <w:pPr>
              <w:spacing w:after="0"/>
              <w:rPr>
                <w:sz w:val="19"/>
                <w:szCs w:val="19"/>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23,402</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w w:val="88"/>
              </w:rPr>
              <w:t>9,670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Property and equipment</w:t>
            </w: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8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3"/>
          </w:tcPr>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Useful</w:t>
            </w:r>
          </w:p>
        </w:tc>
        <w:tc>
          <w:tcPr>
            <w:tcW w:w="42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September 30,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Life</w:t>
            </w:r>
          </w:p>
        </w:tc>
        <w:tc>
          <w:tcPr>
            <w:tcW w:w="4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ind w:right="212"/>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39-40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54,948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54,948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131,388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114,131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3-15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102,432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80,919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Computer equipment and software</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10,242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10,465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316,759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310,348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(125,351)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w w:val="93"/>
              </w:rPr>
              <w:t>(118,221)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191,408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192,127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four years which is the shorter of the term of the lease or the service lives of the improvements.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three and nine months ended September 30, 2015 and 2014 was as follows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6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3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$ 3,165</w:t>
            </w: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$ 2,449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8,282</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140" w:type="dxa"/>
            <w:vAlign w:val="bottom"/>
            <w:vMerge w:val="restart"/>
          </w:tcPr>
          <w:p>
            <w:pPr>
              <w:jc w:val="right"/>
              <w:ind w:right="1770"/>
              <w:spacing w:after="0"/>
              <w:rPr>
                <w:sz w:val="20"/>
                <w:szCs w:val="20"/>
                <w:color w:val="auto"/>
              </w:rPr>
            </w:pPr>
            <w:r>
              <w:rPr>
                <w:rFonts w:ascii="Arial" w:cs="Arial" w:eastAsia="Arial" w:hAnsi="Arial"/>
                <w:sz w:val="18"/>
                <w:szCs w:val="18"/>
                <w:color w:val="auto"/>
              </w:rPr>
              <w:t>8</w:t>
            </w: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Accrued interest</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14,081</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Related-party arrangements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October 2007, the Company entered into a $350.0 million loan arrangement with its principal stockholder. The Loan Arrangement has been amended from time to time. On October 31, 2013, the promissory note underlying the Loan Arrangement was amended to, among other things, extend the maturity date of the loan to January 5, 2020, extend the date through which the Company can borrow under the Loan Arrangement to December 31, 2019, increase the aggregate borrowing amount under the Loan Arrangement from $350.0 million to $370.0 million and provide that repayments or cancellations of principal under the Loan Arrangement will not be available for reborrowing.</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September 30, 2015, the total principal amount outstanding under the Loan Arrangement was $49.5 million, and the amount available for future borrowings was $30.1 million. Interest, at a fixed rate of 5.84%, is due and payable quarterly in arrears on the first day of each calendar quarter for the preceding quarter, or at such other time as the Company and The Mann Group mutually agree. All or any portion of accrued and unpaid interest that becomes due and payable may be paid-in-kind and capitalized as additional borrowings at any time and would be classified as non-current upon mutual agreement of both parties. As of September 30, 2015, the Company had accrued $5.7 million of interest in other liabilities related to the Loan Arrangement. The Mann Group can require the Company to prepay up to $200.0 million in advances that have been outstanding for at least 12 months (less approximately $105.0 million aggregate principal amount that has been cancelled in connection with two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Loan Arrangement until the Company’s payment obligations to Deerfield under the Facility Agreement have been satisfied in full. Subject to the foregoing, in the event of a default under the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Loan Arrangement are unsecured. The Loan Arrangement contains no financial covenants.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2015, there were no additional borrowings under or amendments to the Loan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Senior convertible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160" w:type="dxa"/>
            <w:vAlign w:val="bottom"/>
            <w:gridSpan w:val="4"/>
          </w:tcPr>
          <w:p>
            <w:pPr>
              <w:ind w:left="294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 notes</w:t>
            </w:r>
          </w:p>
        </w:tc>
        <w:tc>
          <w:tcPr>
            <w:tcW w:w="2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Principal amount</w:t>
            </w:r>
          </w:p>
        </w:tc>
        <w:tc>
          <w:tcPr>
            <w:tcW w:w="314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costs</w:t>
            </w: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294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 notes</w:t>
            </w: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Principal amount</w:t>
            </w:r>
          </w:p>
        </w:tc>
        <w:tc>
          <w:tcPr>
            <w:tcW w:w="3140" w:type="dxa"/>
            <w:vAlign w:val="bottom"/>
            <w:gridSpan w:val="2"/>
          </w:tcPr>
          <w:p>
            <w:pPr>
              <w:ind w:left="29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27,690</w:t>
            </w:r>
          </w:p>
        </w:tc>
        <w:tc>
          <w:tcPr>
            <w:tcW w:w="340" w:type="dxa"/>
            <w:vAlign w:val="bottom"/>
          </w:tcPr>
          <w:p>
            <w:pPr>
              <w:spacing w:after="0"/>
              <w:rPr>
                <w:sz w:val="18"/>
                <w:szCs w:val="18"/>
                <w:color w:val="auto"/>
              </w:rPr>
            </w:pP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Unamortized premium</w:t>
            </w: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Unaccreted debt issuance costs</w:t>
            </w: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314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27,607</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40" w:type="dxa"/>
            <w:vAlign w:val="bottom"/>
          </w:tcPr>
          <w:p>
            <w:pPr>
              <w:ind w:left="10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new 5.75% Convertible Senior Subordinated Exchange Notes due 2018 in exchange for 2015 notes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28, 2015, the Company entered into privately-negotiated exchange agreements (the “Note Exchange Agreements”) with a select holder of the Company’s 5.75% Senior Convertible Notes due 2015 (the “2015 notes”), pursuant to which the Company agreed to issue $27.7 million aggregate principal amount of new 5.75% Convertible Senior Subordinated Exchange Notes due 2018 (the “2018 notes”) to such holders in exchange for the delivery to the Company of the same principal amount of 2015 notes. The 2018 notes were issued at the closing of the exchange on August 10, 2015. The Company analyzed this exchange under the provisions of ASC 470-50 and concluded that the exchange represents an extinguishment of the 2015 notes and a new issuance of 2018 notes and recorded such notes at fair value which resulted in a premium of $0.7 million.</w:t>
      </w:r>
    </w:p>
    <w:p>
      <w:pPr>
        <w:spacing w:after="0" w:line="17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2018 notes are the Company’s general, unsecured, senior obligations, except that the 2018 notes are subordinated in right of payment to the outstanding notes issued pursuant to the Facility Agreement and the Company’s borrowings under the Sanofi Loan Facility with an affiliate of Sanofi-Aventis U.S. LLC. The 2018 notes rank equally in right of payment with the Company’s other unsecured senior debt. The 2018 notes bear interest at the rate of 5.75% per year on the principal amount, payable semiannually in arrears in cash on February 15 and August 15 of each year, beginning February 15, 2016, with interest accruing from August 15, 2015. The 2018 notes mature on August 15, 2018.</w:t>
      </w:r>
    </w:p>
    <w:p>
      <w:pPr>
        <w:spacing w:after="0" w:line="1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2018 notes are convertible, at the option of the holder, at any time on or prior to the close of business on the business day immediately preceding the stated maturity date, into shares of the Company’s common stock at an initial conversion rate of 147.0859 shares per $1,000 principal amount of 2018 notes, which is equal to a conversion price of approximately $6.80 per share, the same conversion price as that of the 2015 notes on the date of exchange. The conversion rate is subject to adjustment under certain circumstances described in an indenture governing the 2018 notes dated August 10, 2015 with Wells Fargo, National Association, including in connection with a make-whole fundamental change.</w:t>
      </w:r>
    </w:p>
    <w:p>
      <w:pPr>
        <w:spacing w:after="0" w:line="173"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If certain fundamental changes occur, the Company will be obligated to pay a fundamental change make-whole premium on any 2018 notes converted in connection with such fundamental change by increasing the conversion rate on such 2018 notes. In such instances, the amount of the fundamental change make-whole premium will be based on the Company’s common stock price and the effective date of the applicable fundamental change.</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the Company undergoes certain fundamental changes, except in certain circumstances, each holder of 2018 notes will have the option to require the Company to repurchase all or any portion of that holder’s 2018 notes. The fundamental change repurchase price will be 100% of the principal amount of the 2018 notes to be repurchased plus accrued and unpaid interest, if any.</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or after the date that is one year following the original issue date of the 2018 notes, the Company will have the right to redeem for cash all or part of the 2018 notes if the last reported sale price of its common stock exceeds 130% of the conversion price then in effect for 20 or more trading days during the 30 consecutive trading day period ending on the trading day immediately prior to the date of the redemption notice. The redemption price will equal the sum of 100% of the principal amount of the 2018 notes to be redeemed, plus accrued and unpaid interest. Under the terms of the 2018 Note Indenture, the conversion option can be net-share settled and the maximum number of shares that could be required to be delivered under the indenture, including the make-whole shares, is fixed and less than the number of authorized and unissued shares less the maximum number of shares that could be required to be delivered during the term of the 2018 notes under existing commitments. Applying the Company’s sequencing policy, the Company performed an analysis at the time of the offering of the 2018 notes and each reporting date since and has concluded that the number of available authorized shares at the time of the offering and each subsequent reporting date was sufficient to deliver the number of shares that could be required to be delivered during the term of the 2018 notes under existing commitments.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2018 notes provide that upon an acceleration of certain indebtedness, including the 9.75% Senior Convertible Notes due 2019 (the “2019 notes”) and the 8.75% Senior Convertible Notes due 2019 (the “Tranche B notes”) issued to Deerfield pursuant to the Facility Agreement (see Note 14 – Facility Agreement), the holders may elect to accelerate the Company’s repayment obligations under the notes if such acceleration is not cured, waived, rescinded or annulled. There can be no assurance that the holders would not choose to exercise these rights in the event such events were to occur.</w:t>
      </w:r>
    </w:p>
    <w:p>
      <w:pPr>
        <w:spacing w:after="0" w:line="17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Company incurred approximately $0.8 million in issuance costs which are recorded as an offset to the 2018 notes in the accompanying condensed consolidated balance sheet. These costs are being accreted to interest expense using the effective interest method over the term of the 2018 notes.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stock in exchange for 2015 notes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July 28, 2015, the Company entered into separate, privately-negotiated exchange agreements (the “Stock-for-Note Exchange Agreements”) with certain holders of the 2015 notes pursuant to which the Company agreed to issue shares of its common stock to such holders in exchange for the delivery to the Company of up to $56.9 million aggregate principal amount of 2015 notes.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Stock-for-Note Exchange Agreements, the parties agreed to price the exchange transactions over a 10 trading day period spanning from July 29, 2015 to and including August 11, 2015. Between July 28, 2015 and August 10, 2015, the Company issued an aggregate of 1.9 million shares of common stock to such holders in exchange for such holders’ delivery to the Company of $8.0 million aggregate principal amount of 2015 notes, resulting in a weighted-average exchange price of $4.40 per share.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new 5.75% Convertible Senior Subordinated Exchange Notes due 2015 in exchange for 2015 notes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August 14, 2015, the Company exchanged $32.1 million aggregate principal amount of newly issued, 5.75% Convertible Senior Subordinated Exchange Notes due 2015 (the “Exchange Notes”) for the same principal amount of the Company’s previously outstanding 2015 notes. The Exchange Notes, payable at maturity on September 30, 2015, were convertible, at the option of each holder thereof, at any time on or prior to the close of business on the business day immediately preceding the stated maturity date. The holders of the Exchange Notes did not elect to convert any of the outstanding principal amount of the Exchange Notes into shares of the Company’s common stock. As a result, on September 30, 2015, the Company paid $32.1 million to settle the Exchange Notes.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2015 notes and Exchange Notes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August 17, 2015, the Company paid $32.2 million to settle the remaining 2015 notes. As of September 30, 2015, all 2015 notes, including the Exchange Notes, have been settled resulting in a total loss on extinguishment equal to $1.0 million. The loss on extinguishment resulted from write-off of debt discount and debt issuance costs associated with the 2015 notes and Exchange Notes and the difference between the principal amounts being exchanged for shares of the Company’s common stock, pursuant to the various Stock-for-Note Exchange Agreements, and the fair market value of the Company’s common stock issued in exchange for such reduction in principal.</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Accretion of debt issuance expense in connection with the 2015 and 2018 notes during the three and nine months ended September 30, 2015 and 2014 were as follows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62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7240" w:type="dxa"/>
            <w:vAlign w:val="bottom"/>
          </w:tcPr>
          <w:p>
            <w:pPr>
              <w:spacing w:after="0"/>
              <w:rPr>
                <w:sz w:val="14"/>
                <w:szCs w:val="14"/>
                <w:color w:val="auto"/>
              </w:rPr>
            </w:pPr>
          </w:p>
        </w:tc>
        <w:tc>
          <w:tcPr>
            <w:tcW w:w="162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7240" w:type="dxa"/>
            <w:vAlign w:val="bottom"/>
          </w:tcPr>
          <w:p>
            <w:pPr>
              <w:spacing w:after="0"/>
              <w:rPr>
                <w:sz w:val="12"/>
                <w:szCs w:val="12"/>
                <w:color w:val="auto"/>
              </w:rPr>
            </w:pPr>
          </w:p>
        </w:tc>
        <w:tc>
          <w:tcPr>
            <w:tcW w:w="4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2015</w:t>
            </w:r>
          </w:p>
        </w:tc>
        <w:tc>
          <w:tcPr>
            <w:tcW w:w="9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195</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231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$ 673</w:t>
            </w: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2018 notes premium during the three and nine months ended September 30, 2015 was $29,000.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arrangement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License Agreement and Sanofi Supply Agreement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August 11, 2014, the Company and Sanofi entered into the Sanofi License Agreement, which became effective on September 23, 2014. Under the terms of the Sanofi License Agreement, the Company granted to Sanofi exclusive, worldwide licenses to certain of the Company’s patents, trademarks and know-how for the development and commercialization of AFREZZA. Under the terms of the Sanofi License Agreement, Sanofi has the exclusive right and responsibility to develop AFREZZA worldwide, subject to certain development activities that will be performed by the Company. Sanofi will also be obligated to use commercially reasonable efforts to file for, obtain and maintain marketing approvals for AFREZZA in certain major markets and countries. In addition, Sanofi will have exclusive, worldwide rights to commercialize AFREZZA and will be obligated to use commercially reasonable efforts to market, promote and commercialize AFREZZA in all countries in the world where regulatory approval for AFREZZA has been received. Under the Sanofi License Agreement, Sanofi paid the Company an up-front cash payment of $150.0 million in the third quarter of 2014 and a subsequent payment of $50.0 million in the first quarter of 2015 for the achievement of two manufacturing milestones as of December 31, 2014. If certain development, regulatory and sales milestones are achieved, the Company will also be eligible to receive up to $725.0 million in additional milestone payments, of which $25.0 million relates to a development milestone event, $50.0 million relates to the filing and completion of regulatory approvals and $650.0 million relates to the achievement of certain product sales milestones. In addition, worldwide profits and losses, which are determined based on the difference between the net sales of AFREZZA and the costs and expenses incurred by the Company and Sanofi that are specifically attributable or related to the development, improvement, regulatory filings, manufacturing, and commercialization of AFREZZA will be shared 65% by Sanofi and 35% by the Company. In accordance with the terms of the Sanofi License Agreement, profit and loss sharing commenced in the fourth quarter of 2014.</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Pursuant to the terms of the Sanofi Supply Agreement, the Company will be the exclusive manufacturer and supplier of AFREZZA until the specified conditions are met, upon which a portion of the manufacturing activities may be assumed by Sanofi.</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The Company analyzed the agreements entered into with Sanofi under the provisions of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to determine whether the consideration, or a portion thereof, could be recognized as revenue. ASC 605 provides that revenue is recognized when there is persuasive evidence that an arrangement exists, delivery has occurred or services have been rendered, the price is fixed or determinable and collection is reasonably assured. In addition, revenue arrangements with multiple elements are divided into separate units of accounting if certain criteria are met, including whether the delivered element has stand-alone value to the customer. When deliverables are separable, consideration received is allocated to the separate units of accounting based on the relative selling price of each deliverable and the appropriate revenue recognition principles are applied to each unit.</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assessment of multiple element arrangements requires judgment in order to determine the appropriate units of accounting and the points in time that, or periods over which, revenue should be recognized. Under the terms of the Sanofi License Agreement, Sanofi Supply Agreement and the Sanofi Loan Facility the Company determined that the arrangement contained significant deliverables including (i) licenses to develop and commercialize AFREZZA and to use the Company’s trademarks, (ii) development activities, and (iii) manufacture and supply services for AFREZZA. Due to the proprietary nature of the manufacturing services being provided by the Company, the Company determined that all of the significant deliverables should be combined into a single unit of accounting. The Company believes that the manufacturing services are proprietary due to the fact that since the late 1990’s, the Company has developed proprietary knowledge and patented equipment and tools that are used in the manufacturing process of AFREZZA. Due to the complexities of particle formulation and the specialized knowledge and equipment needed to handle the AFREZZA powder, neither Sanofi nor any third-party contract manufacturing organization currently possesses the capability of manufacturing AFREZZA.</w:t>
      </w:r>
    </w:p>
    <w:p>
      <w:pPr>
        <w:spacing w:after="0" w:line="18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order for revenue to be recognized, the seller’s price to the buyer must be fixed and determinable. Given that as of September 30, 2015, the Company did not have the ability to estimate the amount of costs that would potentially be incurred under the loss share provision related to the Sanofi License Agreement and the Sanofi Supply Agreement, the Company believes this requirement for revenue recognition has not been met.</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such, the Company did not recognize any revenue pursuant to the Sanofi License Agreement or the Sanofi Supply Agreement for the three or nine months ended September 30, 2015. The Company has recorded the $150.0 million up-front payment and $50.0 million from milestone payments as deferred payments from collaboration. In addition, as of September 30, 2015 the Company has recorded $17.5 million in AFREZZA product shipments to Sanofi as deferred product sales from collaboration and recorded $13.5 million as deferred product costs from collaboration. Deferred product costs represent the costs of product manufactured and shipped to Sanofi, not to exceed the amount of deferred product sales, for which recognition of revenue has been deferred. During the three months ended September 30, 2015, the Company’s portion of the loss sharing was $14.7 million, which resulted in the reclassification from current deferred payments from collaboration to Sanofi loan facility and loss share obligation.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Loan Facility</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September 23, 2014, the Company entered into the Sanofi Loan Facility, consisting of a senior secured revolving promissory note (the “Note”) and a guaranty and security agreement (the “Security Agreement”) with an affiliate of Sanofi which provides the Company with a secured loan facility of up to $175.0 million to fund the Company’s share of net losses under the Sanofi License Agreement. In the event of certain future defaults under the Sanofi Loan facility agreement for which the Company is not able to obtain waivers, the lender under the Sanofi Loan Facility may accelerate all of the Company’s repayment obligations, and take control of the Company’s pledged assets, potentially requiring the Company to renegotiate the terms of its indebtedness on terms less favorable to the Company, or to immediately cease operations.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Advances under the Sanofi Loan Facility bear interest at a rate of 8.5% per annum and are payable in-kind and compounded quarterly and added to the outstanding principal balance under the Sanofi Loan Facility. The Company is required to make mandatory prepayments on the outstanding loans under the Sanofi Loan Facility from its share of any Profits (as defined in the Sanofi License Agreement) under the Sanofi License Agreement within 30 days of receipt of its share of any such Profits. No advances may be made under the Sanofi Loan Agreement if Deerfield has commenced enforcement proceedings in connection with an event of default under the Facility Agreement.</w:t>
      </w:r>
    </w:p>
    <w:p>
      <w:pPr>
        <w:spacing w:after="0" w:line="18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outstanding principal of all loans under the Sanofi Loan Facility, if not prepaid, will become due and payable on September 23, 2024 unless accelerated pursuant to the terms of the Sanofi Loan Facility. Additionally, if the Company sells its Valencia facility, the Company is required to prepay the loans under the Sanofi Loan Facility in an amount equal to 100% of the net cash proceeds of the sale within five business days of receipt.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order to fund the Company’s portion of the loss sharing during the three months ended September 30, 2015, subsequent to September 30, 2015, the Company borrowed $14.7 million under the Sanofi Loan Facility to finance the portion of the Company’s loss from the quarter ended September 30, 2015. As of November 6, 2015, the total amount owed to Sanofi under the Sanofi Loan Facility was $43.7 million, which includes $0.8 million in paid-in-kind interest.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for identical instruments in active markets.</w:t>
      </w:r>
    </w:p>
    <w:p>
      <w:pPr>
        <w:spacing w:after="0" w:line="117"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Significant inputs to the valuation model are unobservable.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Cash equivalents consist of highly liquid investments with original or remaining maturities of 90 days or less at the time of purchase, that are readily convertible into cash. As of September 30, 2015 and December 31, 2014, the Company held $32.9 million and $120.8 million, respectively, of cash and cash equivalents, consisting primarily of money market funds of $32.9 million and $118.5 million, respectively, and the remaining in non-interest bearing checking accounts. The fair value of these money market funds was determined by using quoted prices for identical investments in an active market, which equals carrying value (Level 1 in the fair value hierarchy).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Arrangement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fair value of the note payable to our principal stockholder cannot be reasonably estimated as the Company would not be able to obtain a similar credit arrangement in the current economic environment.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notes, facility financing obligation and Sanofi Loan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carrying values and estimated fair values of the 2018 notes, the facility financing obligation (i.e., the 2019 notes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Tranche B notes), and the Sanofi Loan Facility (in millions):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ind w:left="180"/>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4"/>
                <w:szCs w:val="14"/>
                <w:color w:val="auto"/>
              </w:rPr>
            </w:pPr>
          </w:p>
        </w:tc>
        <w:tc>
          <w:tcPr>
            <w:tcW w:w="17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 2014</w:t>
            </w:r>
          </w:p>
        </w:tc>
      </w:tr>
      <w:tr>
        <w:trPr>
          <w:trHeight w:val="119"/>
        </w:trPr>
        <w:tc>
          <w:tcPr>
            <w:tcW w:w="4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Estimated</w:t>
            </w:r>
          </w:p>
        </w:tc>
        <w:tc>
          <w:tcPr>
            <w:tcW w:w="54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Estimated</w:t>
            </w:r>
          </w:p>
        </w:tc>
        <w:tc>
          <w:tcPr>
            <w:tcW w:w="10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fair 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 notes</w:t>
            </w: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5"/>
              </w:rPr>
              <w:t>27.6</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Facility financing obligation</w:t>
            </w:r>
          </w:p>
        </w:tc>
        <w:tc>
          <w:tcPr>
            <w:tcW w:w="2260" w:type="dxa"/>
            <w:vAlign w:val="bottom"/>
            <w:gridSpan w:val="2"/>
          </w:tcPr>
          <w:p>
            <w:pPr>
              <w:ind w:left="21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74.2</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73.0</w:t>
            </w:r>
          </w:p>
        </w:tc>
        <w:tc>
          <w:tcPr>
            <w:tcW w:w="48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Sanofi Loan Facility</w:t>
            </w:r>
          </w:p>
        </w:tc>
        <w:tc>
          <w:tcPr>
            <w:tcW w:w="226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28.9</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48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notes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estimated fair value of the 2018 notes was calculated based on model-derived valuations whose inputs were observable, such as the Company’s stock price and yields on U.S. Treasury notes and actively traded bonds, and non-observable, such as the Company’s longer-term historical volatility, and estimated yields implied from any available market trades of the Company’s issued debt instruments. As there is no current observable market for the 2018 notes, the Company determined the estimated fair value using a convertible bond valuation model within a lattice framework. The convertible bond valuation model combined expected cash flows based on terms of the notes with market-based assumptions regarding risk-free rate, risk-adjusted yields, stock price volatility and recent price quotes and trading information regarding Company issued debt instruments and shares of common stock into which the notes are convertible (Level 3 in the fair value hierarchy).</w:t>
      </w:r>
    </w:p>
    <w:p>
      <w:pPr>
        <w:sectPr>
          <w:pgSz w:w="11900" w:h="16838" w:orient="portrait"/>
          <w:cols w:equalWidth="0" w:num="1">
            <w:col w:w="11420"/>
          </w:cols>
          <w:pgMar w:left="240" w:top="459"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financing obligation</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discussed in Note 14 — Facility Agreement, in connection with the Facility Agreement, the Company issued 2019 notes and subsequently issued Tranche B notes. As there is no current observable market for the 2019 notes or Tranche B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At September 30, 2015 the market discount rate was recalculated at 12.0% for the 2019 notes and 11.0% for the Tranche B notes (Level 3 in the fair value hierarchy).</w:t>
      </w:r>
    </w:p>
    <w:p>
      <w:pPr>
        <w:spacing w:after="0" w:line="15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to the 2019 notes and Tranche B notes, the Company also issued certain rights to receive payments of up to $90.0 million upon occurrence of specified strategic and sales milestones (the “Milestone Rights”). These rights are not reflected in the facility financing obligation.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(15.0%) was selected based on an estimation of required rate of returns for similar investment opportunities using available market data. As of September 30, 2015, the fair value of the Milestone Rights is estimated at $42.2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Loan Facility</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discussed in Note 7 — the Sanofi Loan Facility, consists of a senior secured revolving promissory note and a guaranty and security agreement with an affiliate of Sanofi which provides the Company with a secured loan facility of up to $175.0 million to fund the Company’s share of net losses under the Sanofi License Agreement. As of September 30, 2015, the Company has borrowed $28.9 million, which includes $0.8 million in paid-in-kind interest, under the Sanofi Loan Facility and the estimated fair value was determined to approximate the carrying value based on the consideration of the key elements of the contractual terms of the Sanofi Loan Facility, market-based estimated cost of capital, and time value of money, namely the amount of time to settlement and the estimated discount rate appropriate for the liability (Level 3 in the fair value hierarchy).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This analysis was performed using a discounted cash flow model in which time outstanding and discount rate were the primary variables.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were no material re-measurements to fair value during the nine months ended September 30, 2015 of financial assets and liabilities that are not measured at fair value on a recurring basis. There were no transfers of assets or liabilities between the fair value measurement levels during the nine months ended September 30,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Included in the common stock outstanding as of September 30, 2015 and December 31, 2014 are 9.0 million shares of common stock loaned to Bank of America, N.A. under a share lending agreement dated August 18, 2010 in connection with the offering of $100.0 million aggregate principal amount of 2015 notes (see Note 6 — Senior convertible notes). Bank of America is obligated to return the borrowed shares (or, in certain circumstances, the cash value thereof) to the Company on or about the 45th business day following the date as of which the entire principal amount of the 2015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 On October 23, 2015, the 9,000,000 borrowed shares were returned to the Company in accordance with the share lending agreement (see Note 16 – Subsequent events).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Accounting for stock-based compensation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stock-based compensation expense recognized in the accompanying condensed consolidated statements of operations for the three and nine months ended September 30, 2015 and 2014 was as follows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34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During the three months ended March 31, 2015, the Company issued stock awards to employees with a four-year vesting schedule. The grant date fair value of the 36,300 restricted stock units and 73,600 stock options issued was $262,086 and $382,720, respectively, with a grant date fair value per share of $7.22 and $5.20, respectively.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three months ended June 30, 2015, the Company issued stock awards to employees with a four-year vesting schedule. The grant date fair value of the 194,704 restricted stock units and 208,000 stock options issued was $901,480 and $603,802 respectively, with a grant date fair value per share of $4.63 and $2.90, respectively.</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During the three months ended September 30, 2015, the Company issued stock awards to employees with a four-year vesting schedule. The grant date fair value of the 897,300 restricted stock units and 1,200,900 stock options issued was $3,508,443 and $2,910,767, respectively, with a grant date fair value per share of $3.91 and $2.42, respectively.</w:t>
      </w:r>
    </w:p>
    <w:p>
      <w:pPr>
        <w:spacing w:after="0" w:line="181"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As of September 30, 2015, there was $7.9 million and $8.6 million of unrecognized compensation cost related to options and restricted stock units, respectively, which are expected to be recognized over the remaining weighted average vesting period of 2.9 years.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common share</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Basic net loss per share excludes dilution for potentially dilutive securities and is computed by dividing net loss by the weighted average number of common shares outstanding during the period excluding the shares loaned to Bank of America under a share lending arrangement (see Note 9 — Common and preferred stock). As of September 30, 2015, 9.0 million shares of the Company’s common stock, which were loaned to Bank of America pursuant to the terms of a share lending agreement, were issued and are outstanding, and the holder of the borrowed shares has all the rights of a holder of the Company’s common stock. However, because the share borrower was required to return all borrowed shares to the Company, the borrowed shares were not considered outstanding for the purpose of computing and reporting basic or diluted earnings (loss) per share during the periods presented.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consolidated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30,416,127 shares and 47,820,744 shares as of September 30, 2015 and 2014, respectively, and exclude the 9,000,000 shares loaned under the share lending arrangement which were subsequently returned on October 23, 2015 (see Note 16 – Subsequent events).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Guarantees and Indemnifications — </w:t>
      </w:r>
      <w:r>
        <w:rPr>
          <w:rFonts w:ascii="Arial" w:cs="Arial" w:eastAsia="Arial" w:hAnsi="Arial"/>
          <w:sz w:val="16"/>
          <w:szCs w:val="16"/>
          <w:color w:val="auto"/>
        </w:rPr>
        <w:t>In the ordinary course of its business, the Company makes certain indemnities, commitments and guarantees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Litigation — </w:t>
      </w:r>
      <w:r>
        <w:rPr>
          <w:rFonts w:ascii="Arial" w:cs="Arial" w:eastAsia="Arial" w:hAnsi="Arial"/>
          <w:sz w:val="17"/>
          <w:szCs w:val="17"/>
          <w:color w:val="auto"/>
        </w:rPr>
        <w:t>The Company is subject to legal proceedings and claims which arise in the ordinary course of its business. As of the date hereof,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believes that the final disposition of such matters will not have a material adverse effect on the financial position, results of operations or cash flows of the Company. The Company maintains liability insurance coverage to protect the Company’s assets from losses arising out of or involving activities associated with ongoing and normal business operations.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the Company would record a provision for a liability when it is both probable that a liability has been incurred and the amount of the loss can be reasonably estimated.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Contingencies — </w:t>
      </w:r>
      <w:r>
        <w:rPr>
          <w:rFonts w:ascii="Arial" w:cs="Arial" w:eastAsia="Arial" w:hAnsi="Arial"/>
          <w:sz w:val="18"/>
          <w:szCs w:val="18"/>
          <w:color w:val="auto"/>
        </w:rPr>
        <w:t>In connection with the Facility Agreement, on July 1, 2013 the Company also entered into a Milestone Rights Purchase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“Milestone Agreement”) with Deerfield Private Design Fund and Horizon Santé FLML SÁRL (collectively, the “Milestone Purchasers”), pursuant to which the Company sold the Milestone Purchasers the Milestone Rights to receive payments up to $90.0 million upon the occurrence of specified strategic and sales milestones, including the first commercial sale of an AFREZZA product in the United States and the achievement of specified net sales figures (see Note 14 – Facility Agreement).</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 xml:space="preserve">Commitments — </w:t>
      </w:r>
      <w:r>
        <w:rPr>
          <w:rFonts w:ascii="Arial" w:cs="Arial" w:eastAsia="Arial" w:hAnsi="Arial"/>
          <w:sz w:val="18"/>
          <w:szCs w:val="18"/>
          <w:color w:val="auto"/>
        </w:rPr>
        <w:t>On July 31, 2014, the Company entered into the Insulin Supply Agreement, (the “Insulin Supply Agreement”), with Amphastar France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Pharmaceuticals S.A.S. (“Amphastar”), pursuant to which the Company agreed to purchase certain annual minimum quantities of insulin for an aggregate total purchase price of approximately €120.1 million for calendar years 2015 through 2019, of which €99.0 million remains as an obligation as of September 30,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Company’s management has evaluated the positive and negative evidence bearing upon the realizability of the Company’s deferred tax assets and concluded, in accordance with the applicable accounting standards, that net deferred tax assets should be fully reserved.</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ASC 740-10-25 </w:t>
      </w:r>
      <w:r>
        <w:rPr>
          <w:rFonts w:ascii="Arial" w:cs="Arial" w:eastAsia="Arial" w:hAnsi="Arial"/>
          <w:sz w:val="17"/>
          <w:szCs w:val="17"/>
          <w:i w:val="1"/>
          <w:iCs w:val="1"/>
          <w:color w:val="auto"/>
        </w:rPr>
        <w:t>Income Taxes Recognition</w:t>
      </w:r>
      <w:r>
        <w:rPr>
          <w:rFonts w:ascii="Arial" w:cs="Arial" w:eastAsia="Arial" w:hAnsi="Arial"/>
          <w:sz w:val="17"/>
          <w:szCs w:val="17"/>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1998 remain subject to examination by the major tax jurisdictions in which the Company is subject to tax.</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Facility Agreement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September 30, 2015, there were $60.0 million principal amount of 2019 notes and $20.0 million principal amount of Tranche B notes outstanding. The 2019 notes accrue interest at annual rate of 9.75% and the Tranche B notes accrue interest at an annual rate of 8.75%. The Facility Agreement principal repayment schedule is comprised of annual payments beginning on July 1, 2016 and ending December 9, 2019. The repayment dates correspond to the dates on which the 2019 notes or Tranche B notes, as applicable, were issued.</w:t>
      </w:r>
    </w:p>
    <w:p>
      <w:pPr>
        <w:spacing w:after="0" w:line="1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conjunction with the Facility Agreement, the Company entered into a Milestone Rights Agreement with Deerfield which requires the Company to make contingent payments to Deerfield, totaling up to $90.0 million, upon the Company achieving specified commercialization milestones.</w:t>
      </w:r>
    </w:p>
    <w:p>
      <w:pPr>
        <w:spacing w:after="0" w:line="14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Milestone Rights were initially recorded as a short-term liability equal to $3.2 million included in accrued expenses and other current liabilities in the accompanying condensed consolidated balance sheet and a long-term liability equal to $13.1 million included in other liabilities. During the first quarter of 2015, a milestone triggering event was achieved following the Company’s product launch on February 3, 2015, which resulted in a $5.8 million incremental charge to interest expense due to the increase in carrying value of the liability to the required $10.0 million payment made in February of 2015. During the third quarter of 2015, the Company re-assessed the probability of achieving the first sales related milestone, based on update financial information to determine the appropriate classification. Based on updated financial information, the company reclassified the short-term portion of the milestone rights liability of $1.6 million to long-term. As of September 30, 2015, the remaining liability balance of $8.9 million is classified as long-term.</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Accretion of debt issuance cost and debt discount in connection with the facility financing agreement during the three and nine months ended September 30, 2015 and 2014 are as follows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48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 debt issuance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Accretion expense – debt discount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397</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306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1,142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7,189</w:t>
            </w:r>
          </w:p>
        </w:tc>
      </w:tr>
    </w:tbl>
    <w:p>
      <w:pPr>
        <w:spacing w:after="0" w:line="18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Facility Agreement contains a financial covenant that requires the Company’s cash and cash equivalents, which include available borrowings under the Loan Arrangement, on the last day of each fiscal quarter to not be less than $25.0 million. If the Company fails to satisfy this financial covenant, or another event of default occurs under the Facility Agreement, Deerfield may declare all or any portion of the 2019 notes and/or Tranche B notes to be immediately due and payable.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charges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September 2015, the Company initiated a restructuring of the organization as a result of its shift to commercial production of AFREZZA. In connection with the restructuring, the Company reduced its total workforce by approximately 26% to 198 employees. The Company recorded charges of approximately $3.2 million for employee severance and other related termination benefits and recognized a liability of $3.2 million as of September 30, 2015, which approximates fair value. The Company expects to substantially pay the obligation in the fourth quarter of 2015.</w:t>
      </w:r>
    </w:p>
    <w:p>
      <w:pPr>
        <w:spacing w:after="0" w:line="17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$3.2 million of costs associated with the restructuring are included in “Research and development” and “General and administrative” operating expenses in the condensed consolidated statements of operations as $2.0 million and $1.2 million, respectively, for the three months ended September 30,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October 2015, the 9.0 million shares of common stock loaned to Bank of America, N.A. pursuant to a stock lending agreement dated August 18, 2010 were returned. The stock lending agreement terminated a specified number of days following the date as of which the entire principal amount of Senior Convertible Notes due 2015 ceased to be outstanding. The Company settled all payments and deliveries in respect of such convertible notes on August 17,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under Sanofi Loan Facility</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October 27, 2015, the Company borrowed $14.7 million under the Sanofi Loan Facility to finance the portion of its losses for the three months ended September 30, 2015 (see Note 7 — Collaboration arrangement).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2014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are a biopharmaceutical company focused on the discovery and development of therapeutic products for diseases such as diabetes. Our only approved product, AFREZZA, is a rapid-acting inhaled insulin that was approved by the FDA on June 27, 2014 to improve glycemic control in adult patients with diabetes. Pursuant to the Sanofi License Agreement, all sales and marketing activities related to AFREZZA are conducted by Sanofi. AFREZZA became available by prescription in United States retail pharmacies in February 2015. In April 2015, the FDA approved a 12 unit cartridge strength of AFREZZA (insulin human) inhalation powder to improve glycemic control in adult patients with diabetes. The 12 unit cartridge strength of AFREZZA was launched by Sanofi in the third quarter of 2015. As of September 30, 2015, Sanofi has reported €5 million in year-to-date sales of AFREZZA. Also, as of September 30, 2015, we had an accumulated deficit of $2.6 billion and a stockholders’ deficit of $124.6 million. To date, we have funded our operations through the sale of equity securities and convertible debt securities, borrowings under the Facility Agreement, borrowings under the Loan Arrangement, and receipt of upfront and milestone payments under the Sanofi License Agreement and borrowings under the Sanofi Loan Facility to fund our portion of the loss share. As discussed below in “Liquidity and Capital Resources,” if we are unable to obtain additional funding, there would be substantial doubt about our ability to continue as a going concern.</w:t>
      </w:r>
    </w:p>
    <w:p>
      <w:pPr>
        <w:spacing w:after="0" w:line="183"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Our business is subject to significant risks, including but not limited to our ability to support the commercialization of AFREZZA through our marketing partner, Sanofi, by manufacturing sufficient quantities of AFREZZA to meet Sanofi’s demands in a timely and cost-efficient manner, Sanofi’s ability to successfully market and sell AFREZZA, Sanofi’s ability to obtain regulatory approval for AFREZZA outside of the United States, and the risks inherent in our ongoing clinical trials and the regulatory approval process. Additional significant risks also include the results of our research and development efforts, competition from other products and technologies and uncertainties associated with obtaining and enforcing patent rights.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Historically our research and development expenses have consisted mainly of costs associated with research and development of our product candidates, including associated clinical trials, and manufacturing process development. This includes the salaries, benefits and stock-based compensation of research and development personnel, raw materials, such as insulin purchases, laboratory supplies and materials, facility costs, costs for consultants and related contract research, licensing fees, and depreciation of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78"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process development and related activities. This staff is located in our facilities in Valencia, California and Danbury, Connecticut. We expense research and development costs as we incur them.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general and administrative expenses are driven by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MANUFACTURING EXPENSES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product manufacturing expenses are the costs in connection with producing commercial and clinical supplies of AFREZZA. As of September 30, 2015, we recorded $13.5 million as deferred product costs associated with the deferred product sales from collaboration. Product manufacturing expenses were $8.1 million and $15.7 million for the three and nine months ended September 30, 2015, respectively, due to product manufacturing costs associated with AFREZZA product sales, which cannot be capitalized. Product manufacturing expenses represent under absorbed labor and overhead, which are expensed in the period in which they are incurred rather than as a portion of the inventory cost.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Item 7 of the Annual Report. We added deferred costs to our critical accounting policies during the nine months ended September 30, 2015.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product costs from collaboration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manufacture commercial supplies of AFREZZA product for Sanofi. Cost of product manufacturing includes costs in connection with producing commercial product for Sanofi. Deferred costs represent the costs of product manufactured and shipped to Sanofi, not to exceed the amount of deferred product sales related to the collaboration, for which recognition of revenue has been deferred. Given that the costs of inventory delivered to a customer, but for which revenue may not yet be recognized, meet both the definition and characteristics of an “asset” and management believes that it is probable that the amount of future revenue will exceed the amount of deferred costs (i.e., the asset would be realizable through the recognition of probable future income), we have elected to account for the deferred costs related to the product sold to Sanofi as an asset and carry forward to future periods until the related revenue is recognized.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May 2014, the FASB issued ASU 2014-09, related to revenue recognition, which requires an entity to recognize the amount of revenue to which it expects to be entitled for the transfer of promised goods or services to customers. The guidance requires a company to recognize revenue to depict the transfer of goods or services to customers in an amount that reflects the consideration it expects to be entitled to receive in exchange for those goods or services. In July 2015, the FASB issued ASU 2015-14, which delayed the effective date of the new revenue standard by one year. The FASB also agreed to allow entities to choose to adopt the standard as of the original effective date. The standard is effective beginning the first quarter of our 2018 fiscal year and may be adopted either by restating all years presented in our financial statements or by recording the impact of adoption as an adjustment to retained earnings at the beginning of fiscal 2018. We are assessing the potential impact of the new standard on our consolidated financial statements and have not yet selected a transition method.</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August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ASU is effective for annual periods ending after December 15, 2016, and interim periods thereafter; early adoption is permitted. We are evaluating the impact the adoption of ASU 2014-15 will have on our consolidated financial statements.</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April 2015, the FASB issued ASU 2015-03, “Simplifying the Presentation of Debt Issuance Costs.” The guidance requires debt issuance costs to be presented in the balance sheet as a direct deduction from the carrying value of the associated debt, consistent with the presentation of a debt discount. The guidance is effective for annual reporting periods beginning after December 15, 2015 and interim periods thereafter. Early adoption is permitted. We do not believe the adoption of the new standard will have a material impact on our consolidated financial statements and disclosures.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July 2015, The FASB has issued Accounting Standards Update (ASU) No, 2015-11, Inventory (Topic 330): Simplifying the Measurement of Inventory. Topic 330, Inventory, currently requires an entity to measure inventory at the lower of cost or market. Market could be replacement cost, net realizable value, or net realizable value less an approximately normal profit margin. The amendments do not apply to inventory that is measured using last-in, first-out (LIFO) or the retail inventory method. The amendments apply to all other inventory, which includes inventory that is measured using first-in, first-out (FIFO) or average cost. The amendments are effective for fiscal years beginning after December 15, 2016, including interim periods within those fiscal years. The amendments should be applied prospectively with earlier application permitted as of the beginning of an interim or annual reporting period. We are evaluating the impact the adoption of ASU 2015-11 will have on our consolidated financial statements.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2015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did not recognize any revenue for the three and nine months ended September 30, 2015 or 2014. However, for the three and nine months ended September 30, 2015, we had $4.1 million and $17.1 million, respectively, in AFREZZA product sales to Sanofi, which were recorded as deferred product sales from collaboration as the criteria for revenue recognition had not been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research and development expense categories for the three and nine months ended September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(dollars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48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48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(3,812)</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Manufacturing process development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13,167</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(12,806)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1,632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8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(557)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19,178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(12,837</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90"/>
              </w:rPr>
              <w:t>Nine months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48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48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(13,767)</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Manufacturing process development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35,017</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(27,300)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4,608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8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21,655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(19,161)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23,455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82,684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(59,229</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decrease in research and development expenses of $12.8 million for the three months ended September 30, 2015 compared to the three months ended September 30, 2014 was primarily due to a decrease of $12.8 million in manufacturing process development expenses resulting from the shift to commercial production of AFREZZA and a decrease in clinical expenses of $3.8 million upon the completion of the affinity trials in 2014 and reduction in clinical staff and contract labor, offset by a $2.0 million restructuring charge in the third quarter of 2015 and increased stock-based compensation expense of $2.1 million in research and development expenses.</w:t>
      </w:r>
    </w:p>
    <w:p>
      <w:pPr>
        <w:spacing w:after="0" w:line="1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decrease in research and development expenses of $59.2 million for the nine months ended September 30, 2015 compared to the nine months ended September 30, 2014 was primarily due to a decrease of $27.3 million in manufacturing process development expenses due to the shift to commercial production of AFREZZA, and a decrease of $19.2 million in stock-based compensation expense resulting from the non-recurring 2014 modification of the settlement terms, or the Modification, for certain performance-based restricted stock units and the achievement of performance-based grants in 2014 and the first quarter of 2015. The Modification resulted in the reclassification of these performance grants from equity awards to liability awards, which required re-measurement on the modification date and resulted in incremental stock-based compensation expense. Further, the reductions in research and development expenses was due to a decrease in clinical expenses of $13.8 million upon the completion of the affinity trials.</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anticipate that our overall research and development expenses will continue to decrease in the fourth quarter of 2015 compared to the fourth quarter of 2014 as a result of manufacturing costs associated with the production of AFREZZA being attributed to product manufacturing expenses rather than research and development expenses.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general and administrative expense categories for the three and nine months ended September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(dollars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Professional fees and other general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5,162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18,370</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(13,208)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(3,834)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5,320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11,547</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19,088</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(7,541</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0"/>
              </w:rPr>
              <w:t>Nine months ended</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13,271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13,221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Professional fees and other general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15,495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28,519</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(13,024)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25,100</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(21,217)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32,649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66,840</w:t>
            </w:r>
          </w:p>
        </w:tc>
        <w:tc>
          <w:tcPr>
            <w:tcW w:w="4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(34,191</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for the three months ended September 30, 2015 decreased by $7.5 million compared to the three months ended September 30, 2014, primarily due to a decrease of $13.2 million in professional fees related to the Sanofi License Agreement in the third quarter of 2014, offset by a $5.3 million increase in stock-based compensation expense, resulting from the Modification and achievement of performance-based grants in 2014 and the first quarter of 2015.</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General and administrative expenses for the nine months ended September 30, 2015 decreased $34.2 million compared to the nine months ended September 30, 2014, primarily due to a decrease stock-based compensation expense of $21.2 million, resulting from the Modification and achievement of performance-based grants in 2014 and the first quarter of 2015. Additionally, the decrease is also due to a decrease of $13.0 million in professional fees related to the Sanofi License Agreement in the third quarter of 2014.</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general and administrative expenses for the full year to continue to decrease in the fourth quarter of 2015 as compared to the fourth quarter of 2014 due to reduced professional fees and stock-based compensation expense.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Manufacturing Expenses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Product manufacturing expenses were $8.1 million and $15.7 million for the three and nine months ended September 30, 2015, respectively, due to product manufacturing costs associated with AFREZZA product sales, which cannot be capitalized. We had no product manufacturing expense for the three or nine months ended September 30, 2014, as pre-commercial manufacturing costs associated with AFREZZA were accounted for as research and development expenses. Product manufacturing expenses represent under absorbed labor and overhead, which are expensed in the period in which they are incurred rather than as a portion of the inventory cost.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Other income decreased by $7.8 million for the three months ended September 30, 2015 compared to the three months ended September 30, 2014 and by $0.2 million for the nine months ended September 30, 2015 compared to the nine months ended September 30, 2014. The decrease for the three months ended September 30, 2015 is due a non-recurring transaction associated with the sale of intellectual property related to oncology in the third quarter of 2014. Other expense of $6.3 million for the nine months ended September 30, 2014 was primarily due to a non-cash charge recognized upon the conversion of the 2019 notes into equity which offset a significant portion of the income from the sale of intellectual property.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Loss on extinguishment of debt increased $1.0 million for the three and nine months ended September 30, 2015 compared to the three and nine months ended September 30, 2014. The loss on extinguishment is due to the settlement of the 2015 notes through payment of cash and issuance of new debt.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Interest expense decreased by $1.3 million for the three months ended September 30, 2015 compared to the three months ended September 30, 2014 and increased by $6.0 million for the nine months ended September 30, 2015 compared to the nine months ended September 30, 2014. The decrease for the three months ended September 30, 2015 was due to incremental, $0.2 million, interest expense associated with the 2019 notes, and 2014 milestone payment of $1.9 million. The increase for the nine months ended September 30, 2015 was due to an incremental interest expense related to 2019 notes, $0.3 million, and milestone payment of $5.8 million resulting from the achievement and re-measurement of the second milestone under the Milestone Agreement in the first quarter of 2015.</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To date, we have funded our operations through the sale of equity securities and convertible debt securities, borrowings under the Loan Arrangement with The Mann Group, borrowings under the Facility Agreement with Deerfield, receipt of upfront, milestone payments under the Sanofi License Agreement, and borrowings under the Sanofi Loan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we had $185.4 million principal amount of outstanding debt, consisting of:</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$27.7 million principal amount of 2018 notes bearing interest at 5.75% per annum and maturing on August 15, 2018;</w:t>
      </w:r>
    </w:p>
    <w:p>
      <w:pPr>
        <w:spacing w:after="0" w:line="130"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$60.0 million principal amount of 2019 notes bearing interest at 9.75% per annum, $5.0 million of which is due and payable in July 2016, $15.0 million of which is due and payable in July 2017, $15.0 million of which is due and payable in July 2018 and $25.0 million of which is due and payable in July and December 2019;</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 million principal amount of Tranche B notes bearing interest at 8.75% per annum, $5.0 million of which is due and payable in each of May 2017, 2018 and 2019, and $5 million of which is due and payable in December 2019;</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$49.5 million principal amount of indebtedness under the Loan Arrangement bearing interest at 5.84% and maturing and due on January 5, 2020;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$28.2 million principal amount borrowed under the Sanofi Loan Facility to fund our share of net losses under the Sanofi License Agreement.</w:t>
      </w:r>
    </w:p>
    <w:p>
      <w:pPr>
        <w:spacing w:after="0" w:line="23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During the third quarter of 2015 and prior to the maturity of the $100.0 million principal amount of outstanding on the 2015 notes, we exchanged shares of our common stock for $8.0 million aggregate principal amount of 2015 notes and we exchanged $27.7 million aggregate principal amount of 2015 notes for 2018 notes. We repaid $64.3 million aggregate principal amount of 2015 notes and Exchange Notes at maturity of such notes in August and September 2015 in full settlement of such notes.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September 30, 2015, the amount available for future borrowings under the Loan Arrangement with The Mann Group was $30.1 million. We anticipate using a portion of these available borrowings to capitalize accrued interest into principal, upon mutual agreement of the parties, as it becomes due and payable under the Loan Arrangement. As of September 30, 2015 the accrued interest under the Loan Arrangement was $5.7 million.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Subsequent to September 30, 2015, we borrowed an additional $14.7 million under the Sanofi Loan Facility to finance our share of the net losses for the third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quarter of 2015, which was reclassified from current deferred payments from collaboration to Sanofi loan facility and loss share obligation, for a total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$43.7 million, which includes $0.8 million in paid-in-kind interest. We will be required to make mandatory prepayments on any outstanding loans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Sanofi Loan Facility from our share of any profits under the Sanofi License Agreement. Additionally, if the Company sells its Valencia facility,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required to prepay the loans under the Sanofi Loan Facility in an amount equal to 100% of the net cash proceeds of the sale within five business days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receipt.</w:t>
      </w:r>
    </w:p>
    <w:p>
      <w:pPr>
        <w:spacing w:after="0" w:line="21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first quarter of 2015, the second milestone triggering event was achieved following our product launch on February 3, 2015. In connection with the milestone triggering event, we paid a $10.0 million payment to Milestone Purchasers pursuant to the terms of the Milestone Agreement in the first quarter of 2015.</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September 4, 2015, we entered into an amendment (collectively, the Amendments) to the At-The-Market Issuance Sales Agreement with Meyers Associates, L.P. (now doing business as BP Capital, a division of Meyers Associates, L.P.), and the At-The-Market Issuance Sales Agreement with MLV &amp; Co. LLC, each dated March 3, 2014 (collectively, the ATM Agreements), in order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specify that any future offer and sale of our common stock pursuant to the ATM Agreements will be made under our Registration Statement on Form S-3 (Registration No. 333-206778), which was filed with the SEC and became automatically effective on September 4, 2015, and a prospectus supplement thereunder. Pursuant to the Amendments, the maximum offering price of the shares of common stock that may be offered and sold, from and after the date of the Amendments, is $50.0 million under both ATM Agreements in the aggregate. The manner of offering under the ATM Agreements, as amended by the Amendments, will continue to be any method that is deemed to be an “at-the-market offering” as defined in Rule 415 promulgated under the Securities Act of 1933, as amended, including sales made directly on or through The NASDAQ Global Market or to or through a market maker. MLV and BP Capital may each also sell shares of common stock in negotiated transactions, subject to our approval.</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three months ended September 30, 2015, we raised gross proceeds of $12.5 million from the sale of 3,385,710 shares of common stock under the ATM Agreements, resulting in net proceeds of $12.2 million after issuance costs. There can be no assurance that we will be able to access additional capital through the ATM Agreements on a timely basis, or at all.</w:t>
      </w:r>
    </w:p>
    <w:p>
      <w:pPr>
        <w:spacing w:after="0" w:line="181" w:lineRule="exact"/>
        <w:rPr>
          <w:sz w:val="20"/>
          <w:szCs w:val="20"/>
          <w:color w:val="auto"/>
        </w:rPr>
      </w:pPr>
    </w:p>
    <w:p>
      <w:pPr>
        <w:jc w:val="both"/>
        <w:ind w:right="220"/>
        <w:spacing w:after="0" w:line="288" w:lineRule="auto"/>
        <w:rPr>
          <w:sz w:val="20"/>
          <w:szCs w:val="20"/>
          <w:color w:val="auto"/>
        </w:rPr>
      </w:pPr>
      <w:r>
        <w:rPr>
          <w:rFonts w:ascii="Arial" w:cs="Arial" w:eastAsia="Arial" w:hAnsi="Arial"/>
          <w:sz w:val="16"/>
          <w:szCs w:val="16"/>
          <w:color w:val="auto"/>
        </w:rPr>
        <w:t>Pursuant to the Sanofi License Agreement, we received a $150.0 million upfront payment in September 2014 and subsequent milestone payments of $50.0 million in the first quarter of 2015 upon satisfaction of certain manufacturing milestones specified in the Sanofi License Agreement. We are eligible to earn up to $725.0 million in further development, regulatory and sales milestones, and are also eligible to receive a share of profits on sales of AFREZZA.</w:t>
      </w:r>
    </w:p>
    <w:p>
      <w:pPr>
        <w:ind w:right="180"/>
        <w:spacing w:after="0" w:line="261" w:lineRule="auto"/>
        <w:rPr>
          <w:sz w:val="20"/>
          <w:szCs w:val="20"/>
          <w:color w:val="auto"/>
        </w:rPr>
      </w:pPr>
      <w:r>
        <w:rPr>
          <w:rFonts w:ascii="Arial" w:cs="Arial" w:eastAsia="Arial" w:hAnsi="Arial"/>
          <w:sz w:val="18"/>
          <w:szCs w:val="18"/>
          <w:color w:val="auto"/>
        </w:rPr>
        <w:t>Worldwide profits and losses will be shared 65% by Sanofi and 35% by us. Pursuant to a separate supply agreement, we will manufacture AFREZZA at our manufacturing facility in Danbury, Connecticut to supply Sanofi’s demand for AFREZZA.</w:t>
      </w:r>
    </w:p>
    <w:p>
      <w:pPr>
        <w:spacing w:after="0" w:line="18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Pursuant to the Insulin Supply Agreement with Amphastar, we have agreed to purchase annual minimum quantities of insulin under the Insulin Supply Agreement of an aggregate total of approximately €120.1 million in calendar years 2015 through 2019, of which €99 million remains as an obligation as of September 30, 2015.</w:t>
      </w:r>
    </w:p>
    <w:p>
      <w:pPr>
        <w:spacing w:after="0" w:line="18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During the nine months ended September 30, 2015, we used $34.7 million of cash for operating activities and we had a net loss of $91.4 million, which included $17.3 million of non-cash charges consisting of depreciation and accretion, interest paid through borrowings under Sanofi Loan Facility, and stock-based compensation. By comparison, for the nine months ended September 30, 2014, our operations provided $39.8 million of cash and we had a net loss of $161.9 million, which included $62.3 million of non-cash charges consisting of depreciation and accretion, and stock-based compensation. In 2015, we received $50.0 million in milestone payments and $15.4 million for product shipments from Sanofi and paid $5.8 million in interest expense associated with the achievement and payment of the second milestone to Deerfield for product launch on February 3, 2015 and $13.7 million for inventory purchases. In September 2014, we received a $150.0 million upfront payment pursuant to the Sanofi License Agreement and paid a $15.0 million deposit to Amphastar as prepayment for 2015 quantities of insulin as part of the Supply Agreement. We generally expect our operating cash flow to be negative at least until we achieve profitability with AFREZZA.</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used $9.9 million of cash, respectively, for investing activities during the nine months ended September 30, 2015 and for the nine months ended September 30, 2014. Increased purchases of additional machinery and equipment for the commercialization of AFREZZA, in 2014, of $9.2 million, compared to 2015, were offset by proceeds from sale of intellectual property in 2014 of $9.3 million.</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used $43.3 million of cash for financing activities during the nine months ended September 30, 2015, compared to $71.7 million provided by financing activities for the nine months ended September 30, 2014. For the nine months ended September 30, 2015, $64.3 million was used to pay the outstanding 2015 notes obligation and $4.2 million associated with the achievement and payment of the second milestone to Deerfield for product launch on February 3, 2015, offset by $13.5 million received in proceeds from exercise of stock options and warrants and $14.3 million net of issuance costs in proceeds from at the market sales of stock. For the nine months ended September 30, 2014, cash provided by financing activities was comprised of $40.0 million in proceeds received from the issuance of the fourth tranche of 2019 notes to Deerfield, $20.0 million from the sale of Tranche B notes to Deerfield, $27.8 million from warrant exercises, and $10.1 million from the exercise of stock options, which were partially offset by $26.8 million paid for employment taxes related to vested restricted stock units.</w:t>
      </w:r>
    </w:p>
    <w:p>
      <w:pPr>
        <w:spacing w:after="0" w:line="19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of September 30, 2015, we had $32.9 million in cash and cash equivalents. We expect to continue to incur significant expenditures to support commercial manufacturing of AFREZZA and the development of other product candidates. We intend to use our capital resources to support the commercialization of AFREZZA. We are expending a portion of our capital resources to scale up our manufacturing and development activity capabilities in our Danbury facilities and to develop our other product candidates. We also intend to use our capital resources for general corporate purposes.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enter into strategic business collaborations with respect to our other product candidates, we would expect, as part of the transaction, to receive additional capital. In addition, we may in the future pursue the sale of equity and/or debt securities or seek to establish other funding facilities to fund our operations. Issuances of debt or additional equity could impact the rights of our existing stockholders, dilute the ownership percentages of our existing stockholders and may impose restrictions on our operations. These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restrictions could include limitations on additional borrowing, specific restrictions on the use of our assets as well as prohibitions on our ability to create liens, pay dividends, redeem our stock or make investments. We also will need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6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business collaborations, we will be required to reduce expenses through the delay, reduction or curtailment of our projects, or further reduction of costs for facilities and administration, and there will be substantial doubt about our ability to continue as a going concern.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we did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July 2015, we entered into privately-negotiated exchange agreements with a select holder of our 2015 notes, pursuant to which we agreed to issue $27.7 million aggregate principal amount of new 5.75% Convertible Senior Subordinated Exchange Notes due 2018 (the “2018 notes”) to such holders in exchange for the delivery of the same principal amount of 2015 notes. The 2018 notes were issued at the closing of the exchange on August 10, 2015. The 2018 notes are general, unsecured, senior obligations, except that the 2018 notes are subordinated in right of payment to the outstanding notes issued pursuant to the Facility Agreement and the Company’s borrowings under the Sanofi Loan Facility with an affiliate of Sanofi-Aventis U.S. LLC. The 2018 notes rank equally in right of payment with the Company’s other unsecured senior debt. The 2018 notes bear interest at the rate of 5.75% per year on the principal amount, payable semiannually in arrears in cash on February 15 and August 15 of each year, beginning February 15, 2016, with interest accruing from August 15, 2015. The 2018 notes mature on August 15, 2018.</w:t>
      </w:r>
    </w:p>
    <w:p>
      <w:pPr>
        <w:spacing w:after="0" w:line="283"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80"/>
        <w:spacing w:after="0" w:line="257" w:lineRule="auto"/>
        <w:rPr>
          <w:sz w:val="20"/>
          <w:szCs w:val="20"/>
          <w:color w:val="auto"/>
        </w:rPr>
      </w:pPr>
      <w:r>
        <w:rPr>
          <w:rFonts w:ascii="Arial" w:cs="Arial" w:eastAsia="Arial" w:hAnsi="Arial"/>
          <w:sz w:val="18"/>
          <w:szCs w:val="18"/>
          <w:color w:val="auto"/>
        </w:rPr>
        <w:t>Due to the fixed interest rates of our debt, we currently do not have an exposure to changes in our interest expense as a result of changes in interest rates. The interest rate on amounts borrowed under our Loan Arrangement with The Mann Group is fixed at 5.84%. As of September 30, 2015, the total principal amount outstanding under the Loan Arrangement was $49.5 million. As of September 30, 2015, we also had debt related to the 2018 notes at a fixed interest rate of 5.75%, debt related to the 2019 notes at a fixed interest rate of 9.75%, debt related to the Tranche B notes at a fixed interest rate of 8.75%, and debt related to the Sanofi Loan Facility at a fixed rate of 8.5%.</w:t>
      </w:r>
    </w:p>
    <w:p>
      <w:pPr>
        <w:spacing w:after="0" w:line="18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 change in interest rates equal to 10% of the interest rates on September 30, 2015 were to have occurred, this change would not have had a material effect on the value of our short-term investment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incur and will continue to incur significant expenditures for insulin supply obligation under our supply agreement with Amphastar. Such obligations are denominated in the euros. At the end of each reporting period, these liabilities are converted to U.S. dollars at the then-applicable foreign exchange rate. As a result, our business is affected by fluctuations in exchange rates between the U.S. dollar and foreign currencies. We have not entered into foreign currency hedging transactions to mitigate our exposure to foreign currency exchange risks, but may enter into foreign currency hedging transactions in the future. Exchange rate fluctuations may adversely affect our expenses, results of operations, financial position and cash flows. During the nine months ended September 30, 2015, we were required to purchase the minimum quarterly supply purchases of insulin contemplated under our supply agreement with Amphastar, and if a change in the U.S. dollar to euro exchange rate equal to 10% of the U.S. dollar to euro exchange rate on September 30, 2015 were to have occurred on September 30, 2015, this change would not have had a material effect on our results of operations or financial condition.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September 30,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2015, our Chief Executive Officer and Chief Financial Officer concluded that, as of such date, our disclosure controls and procedures were effective at a reasonable assurance level.</w:t>
      </w:r>
    </w:p>
    <w:p>
      <w:pPr>
        <w:sectPr>
          <w:pgSz w:w="11900" w:h="16838" w:orient="portrait"/>
          <w:cols w:equalWidth="0" w:num="1">
            <w:col w:w="11420"/>
          </w:cols>
          <w:pgMar w:left="240" w:top="459" w:right="239" w:bottom="163" w:gutter="0" w:footer="0" w:header="0"/>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63"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Management determined that, as of September 30, 2015,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heavily on the successful commercialization of our only approved product, AFREZZA.*</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expended significant time, money and effort in the development of our only approved product, AFREZZA. We anticipate that in the near term, our ability to generate revenues will depend on the successful commercialization of AFREZZA. Pursuant to the Sanofi License Agreement, which became effective in September 2014, Sanofi is responsible for global commercial, regulatory and development activities for AFREZZA and we are responsible for manufacturing AFREZZA at our facility in Danbury, Connecticut to supply Sanofi’s demand for the product. On February 3, 2015, we and Sanofi announced that AFREZZA had become available by prescription in United States retail pharmacies. We and Sanofi must receive the necessary approvals from foreign regulatory agencies before AFREZZA can be marketed outside of the United States.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Even with such regulatory approval, we and Sanofi ultimately may be unable to gain market acceptance of AFREZZA for a variety of reasons, including the treatment and dosage regimen, potential adverse effects, the availability of alternative treatments and lack of coverage or adequate reimbursement. As of September 30, 2015, Sanofi has reported €5 million in year-to-date sales of AFREZZA. If we and Sanofi fail to commercialize AFREZZA successfully, our business, financial condition and results of operations will be materially and adversely affected.</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sought to develop our other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other product candidates, or if we are significantly delayed in doing so, our business, financial condition and results of operations will be harmed and the market price of our common stock and other securities could decline.</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are dependent on our collaboration with Sanofi to further develop and to commercialize AFREZZA worldwide. This collaboration places the development and commercialization largely outside our control, and poor performance under or failure to maintain the collaboration agreement between us and Sanofi could have a material and adverse impact on our business, financial condition and results of operations and the market price of our common stock and other securities could decline.*</w:t>
      </w:r>
    </w:p>
    <w:p>
      <w:pPr>
        <w:spacing w:after="0" w:line="18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We entered into the Sanofi License Agreement to provide for the future development and commercialization of AFREZZA. We cannot be certain that our collaboration with Sanofi will continue. Both we and Sanofi have certain rights to terminate the collaboration agreement, in certain circumstances. Sanofi may terminate the agreement in its entirety upon delivery of at least 90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days’ prior written notice to us if, at any time on or after January 1, 2016, Sanofi determines in good faith that commercialization of AFREZZA is no longer economically viable in the United States. In addition, Sanofi may terminate the agreement in its entirety or on a country-by-country basis (other than with respect to the United States), for any reason upon delivery of at least six months’ prior written notice to us at any time on or after January 1, 2016. Sanofi may also terminate the agreement on a country-by-country basis upon 30 days’ written notice to us for certain safety or regulatory reasons. If the agreement is terminated prior to the end of the commercial life of AFREZZA, we may not be able to find another collaborator for the development and commercialization of AFREZZA, and even if we elected to pursue further development and commercialization of AFREZZA on our own, we might not be able to do so successfully and would experience substantially increased capital requirements that we might not be able to fund. Our dependence on Sanofi and the Sanofi License Agreement subjects us to a number of risks, including:</w:t>
      </w:r>
    </w:p>
    <w:p>
      <w:pPr>
        <w:spacing w:after="0" w:line="84" w:lineRule="exact"/>
        <w:rPr>
          <w:sz w:val="20"/>
          <w:szCs w:val="20"/>
          <w:color w:val="auto"/>
        </w:rPr>
      </w:pPr>
    </w:p>
    <w:p>
      <w:pPr>
        <w:ind w:left="900" w:right="68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Sanofi may not perform as expected and we may not be able to control the amount and timing of resources that Sanofi may devote to the development or commercialization of AFREZZA; moreover, Sanofi may elect to prioritize its other insulin products over AFREZZA;</w:t>
      </w:r>
    </w:p>
    <w:p>
      <w:pPr>
        <w:spacing w:after="0" w:line="29" w:lineRule="exact"/>
        <w:rPr>
          <w:rFonts w:ascii="Arial" w:cs="Arial" w:eastAsia="Arial" w:hAnsi="Arial"/>
          <w:sz w:val="16"/>
          <w:szCs w:val="16"/>
          <w:color w:val="auto"/>
        </w:rPr>
      </w:pPr>
    </w:p>
    <w:p>
      <w:pPr>
        <w:ind w:left="900" w:right="1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and Sanofi could disagree as to commercialization and development plans and Sanofi may fail to initiate clinical trials, delay clinical trials or stop a clinical trial;</w:t>
      </w:r>
    </w:p>
    <w:p>
      <w:pPr>
        <w:spacing w:after="0" w:line="75"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may be disputes between us and Sanofi, including disagreements regarding the Sanofi License Agreement, that may result in (a) the delay of (or prevent entirely) the achievement of regulatory and commercial objectives that would result in milestone payments, (b) the delay or termination of the development or commercialization of AFREZZA, and/or (c) costly litigation or arbitration that diverts our management’s attention and resources;</w:t>
      </w:r>
    </w:p>
    <w:p>
      <w:pPr>
        <w:spacing w:after="0" w:line="92"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not comply with applicable regulatory guidelines with respect to the development or commercialization of AFREZZA, which could adversely impact the development of or sales of AFREZZA and could result in administrative or judicially imposed sanctions, including warning letters, civil and criminal penalties, injunctions, product seizures or detention, product recalls, total or partial suspension of production and refusal to approve any new drug applications;</w:t>
      </w:r>
    </w:p>
    <w:p>
      <w:pPr>
        <w:spacing w:after="0" w:line="92"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not provide us with timely and accurate information regarding sales activities and supply forecasts, which could adversely impact our ability to comply with our manufacturing and supply obligations under our supply agreement with Sanofi and our and Sanofi’s ability to commercialize AFREZZA;</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experience financial difficulties;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combinations or significant changes in Sanofi’s business strategy may also adversely affect Sanofi’s ability to perform its obligations under the Sanofi License Agreement;</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not properly maintain or defend our intellectual property rights or may use our proprietary information in such a way as to invite litigation that could jeopardize or invalidate our proprietary information or expose us to potential litigation; and</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notwithstanding the non-competition requirements in the Sanofi License Agreement, Sanofi could independently move forward with a competing product candidate developed either independently or in collaboration with others, including our competitors.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Any failure of Sanofi to adequately perform its obligations under the Sanofi License Agreement or the termination of such agreement could have a material and adverse impact on our business, financial condition and results of operations and the market price of our common stock and other securities could decline.</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have never been profitable or generated positive cash flow from cumulative operations to date. Historically, we have reported negative cash flow from operations other than for the nine months ended September 30, 2014, for the year ended December 31, 2014, and for the three months ended March 31, 2015 as a result of our receipt of the upfront payment and milestone payments. As of September 30, 2015, we had an accumulated deficit of $2.6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support the commercialization of AFREZZA, including costs and expenses to manufacture AFREZZA on a commercial scale. In addition, we have agreed to purchase annual minimum quantities of insulin under the Insulin Supply Agreement with Amphastar in the aggregate of approximately €120.1 million in calendar years 2015 through 2019. We may not have the necessary capital resources on hand in order to service this contractual commitment, and we may become obligated to make additional payments under the Insulin Supply Agreement in the event of its termination under certain scenarios. Our cumulative net loss may therefore increase significantly.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To date, we have received cash payments from Sanofi but have deferred revenue recognition of such payments. We will continue to defer revenue recognition of future milestone payments and payments from product sales as and to the extent appropriate under applicable revenue recognition rules. Accordingly, even if we continue to earn and receive milestone payments, revenue recognition may continue to be deferred and our cumulative net loss may therefore be higher than it would be if we recognized the full amount of the milestone payments upon receipt.</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September 30, 2015, we had stockholders’ deficit of $124.6 million. Our ability to achieve and sustain positive cash flow from operations and profitability depends heavily upon successfully commercializing AFREZZA in collaboration with Sanofi, and we cannot be sure when we will generate positive cash flow from operations or become profitable, if at all.</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will be required to raise additional capital to fund our operations, and our inability to do so could raise substantial doubt about our ability to continue as a going concern.*</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other product candidates and to avoid defaulting under the Facility Agreement covenant that requires us to maintain at least $25.0 million in cash and cash equivalents or available borrowings under the Loan Arrangement as of the last day of each fiscal quarter. It may be difficult for us to raise additional funds on favorable terms, or at all. As of September 30, 2015, we had stockholders’ deficit of $124.6 million, which may raise concerns about our solvency and affect our ability to raise additional capital. The extent of our additional funding requirements will depend on a number of factors, including:</w:t>
      </w:r>
    </w:p>
    <w:p>
      <w:pPr>
        <w:spacing w:after="0" w:line="95"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degree to which AFREZZA is commercially successful;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and for how long our collaboration with Sanofi continues;</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demand by any or all of the holders of the 2018 notes, 2019 notes, and Tranche B notes to require us to repay or repurchase such debt securities if and when required;</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the 2018 notes or any other convertible debt securities we may issue are converted into or exchanged for shares of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obligation to make milestone payments pursuant to the Milestone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obligation to bear our share of net losses under the Sanofi License Agreement;</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raised capital in the past through the sale of equity and debt securities and we may in the future pursue the sale of additional equity and/or debt securities, including sales of our common stock through our at-the-market sales agreements, or the establishment of other funding facilities including asset-based borrowings. There can be no assurances, however, that we will be able to raise additional capital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will need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ectPr>
          <w:pgSz w:w="11900" w:h="16838" w:orient="portrait"/>
          <w:cols w:equalWidth="0" w:num="1">
            <w:col w:w="11420"/>
          </w:cols>
          <w:pgMar w:left="240" w:top="459" w:right="239" w:bottom="1440" w:gutter="0" w:footer="0" w:header="0"/>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8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cannot provide assurances that changed or unexpected circumstances, such as, for example, the assumption of commercialization expenses for AFREZZA if Sanofi were to terminate the Sanofi License Agreement, will not result in the depletion of our capital resources more rapidly than we currently anticipate, in which case we will be required to raise additional capital. There can be no assurances that we will be able to raise additional capital on favorable terms, or at all. If we are unable to raise adequate additional capital we will be required to reduce expenses through the delay, reduction or curtailment of our projects, or further reduction of costs for facilities and administration, and there could be substantial doubt about our ability to continue as a going concern.</w:t>
      </w:r>
    </w:p>
    <w:p>
      <w:pPr>
        <w:spacing w:after="0" w:line="2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have a substantial amount of debt pursuant to the 2018 notes, 2019 notes, Tranche B notes, our Loan Arrangement with The Mann Group and the Sanofi Loan Facility, and we may incur additional indebtedness under such Loan Arrangement as well as the Sanofi Loan Facility and we may be unable to make required payments of interest and principal as they become due.*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6, 2015, we had $200.9 million principal amount of outstanding debt, consisting of:</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$27.7 million principal amount of 2018 notes bearing interest at 5.75% per annum and maturing on August 15, 2018;</w:t>
      </w:r>
    </w:p>
    <w:p>
      <w:pPr>
        <w:spacing w:after="0" w:line="130"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$60.0 million principal amount of 2019 notes bearing interest at 9.75% per annum, $5.0 million of which is due and payable in July 2016, $15.0 million of which is due and payable in July 2017, $15.0 million of which is due and payable in July 2018 and $25.0 million of which is due and payable in July and December 2019;</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$20.0 million principal amount of Tranche B notes bearing interest at 8.75% per annum, $5.0 million of which is due and payable in each of May 2017, 2018 and 2019, the balance of which is due and payable in December 2019;</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$49.5 million principal amount of indebtedness under the Loan Arrangement, bearing interest at 5.84% and maturing and due on January 5, 2020;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$43.7 million principal amount borrowed under the Sanofi Loan Facility to fund our share of net losses under the Sanofi License Agreement.</w:t>
      </w:r>
    </w:p>
    <w:p>
      <w:pPr>
        <w:spacing w:after="0" w:line="23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may borrow up to an aggregate $175.0 million pursuant to the Sanofi Loan Facility to fund our share of net losses under the Sanofi License Agreement and an additional $30.1 million under the Loan Arrangement. Our total share of the net losses are $43.7 million, classified as Sanofi loan facility and loss share obligation, and such has been borrowed under the Sanofi Loan Facility as of November 6, 2015. There can be no assurance that we will have sufficient resources to make any required repayments of principal under the 2018 notes, 2019 notes or Tranche B notes when required. Further, if we undergo a fundamental change, as that term is defined in the indentures governing the terms of the 2018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2018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Loans under the Sanofi Loan Facility bear interest at a rate of 8.5% per annum, paid-in-kind on a quarterly basis (2.06% per quarter compounded). Loans under the Loan Arrangement accrue interest at a rate of 5.84% per annum, due and payable quarterly in arrears on the first day of each calendar quarter for the preceding quarter, or at such other time as we and The Mann Group LLC mutually agree. While we have been able to timely make our required interest payments to date, we cannot guarantee that we will be able to do so in the future. If we fail to pay interest on the 2018 notes, 2019 notes, Tranche B notes, or on the loans under the Sanofi Loan Facility, or if we fail to repay or repurchase the 2018 notes, 2019 notes, Tranche B notes, or the loans under the Sanofi Loan Facility when required, we will be in default under the indenture governing the terms of the 2018 notes, the Facility Agreement or other applicable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agreements governing our indebtedness contain covenants that we may not be able to meet and place restrictions on our operating and financial flexibility.*</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Our obligations under the Sanofi Loan Facility are secured by a first priority mortgage on our facility in Valencia, California, a first priority security interest in certain insulin inventory located in the United States and any contractual rights and obligations pursuant to which we purchase or have purchased such insulin, and a second priority security interest in our assets that secure our obligations under the Facility Agreement.</w:t>
      </w:r>
    </w:p>
    <w:p>
      <w:pPr>
        <w:spacing w:after="0" w:line="17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the Loan Arrangement, falling below $25.0 million as of the last day of any fiscal quarter.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Similarly, the Sanofi Loan Facility includes customary representations, warranties and covenants by us, including restrictions on our ability to incur additional indebtedness, grant certain liens and make certain changes to our organizational documents. Events of default under the Sanofi Loan Facility include: our failure to make timely payments due under the Sanofi Loan Facility; inaccuracies in our representations and warranties to the lender; our failure to comply with any of our covenants under any of the Sanofi Loan Facility or certain other related security agreements and documents entered into in connection with the Sanofi Loan Facility, subject to a cure period with respect to most covenants; our insolvency or the occurrence of certain bankruptcy-related events; termination by Sanofi of the Sanofi License Agreement as a result of our breach of the Sanofi License Agreement; and the failure of any material provision under any of the Sanofi Loan Facility or certain other related security agreements and documents entered into in connection with the Sanofi Loan Facility to remain in full force and effect. If one or more events of default occurs and is continuing, the lender may terminate its obligation to make advances under the Sanofi Loan Facility, and, if certain specified events of default (including our failure to timely make payments due under the Sanofi Loan Facility; our failure to comply with the negative covenants under the Sanofi Loan Facility limiting our ability to incur additional indebtedness or grant certain liens; our insolvency or the occurrence of certain bankruptcy-related events; termination by Sanofi of the Sanofi License Agreement as a result of our breach of the non-compete provisions of the Sanofi License Agreement; or the failure of any material provision under any of the Sanofi Loan Facility or certain other related security agreements and documents entered into in connection with the Sanofi Loan Facility to remain in full force and effect) occur and are continuing, the lender may accelerate all of our repayment obligations under the Sanofi Loan Facility and otherwise exercise any of its remedies as a secured creditor.</w:t>
      </w:r>
    </w:p>
    <w:p>
      <w:pPr>
        <w:spacing w:after="0" w:line="17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There can be no assurance that we will be able to comply with the covenants under any of the foregoing agreements, and we cannot predict whether the holders of the 2019 notes or Tranche B notes or the lender under the Sanofi Loan Facility would demand repayment of the outstanding balance of the 2019 notes, the Tranche B notes or the loans under the Sanofi Loan Facility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2018 notes. In the event of certain future defaults under the foregoing agreements for which we are not able to obtain waivers, the holders of the 2018 notes, 2019 notes and Tranche B notes and the lender under the Sanofi Loan Facility may accelerate all of our repayment obligations, and, with respect to the 2019 notes and Tranche B notes and the loans under the Sanofi Loan Facility, take control of our pledged assets, potentially requiring us to renegotiate the terms of our indebtedness on terms less favorable to us, or to immediately cease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289"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If we do not achieve our projected development goals in the timeframes we announce and expect, our business, financial condition and results of operations will be harmed and the market price of our common stock and other securities could decline.</w:t>
      </w:r>
    </w:p>
    <w:p>
      <w:pPr>
        <w:spacing w:after="0" w:line="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9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financial condition and results of operations will be harmed and the market price of our common stock and other securities may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number of established pharmaceutical companies have or are developing technologies for the treatment of unmet medical needs.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 –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our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87" w:lineRule="exact"/>
        <w:rPr>
          <w:sz w:val="20"/>
          <w:szCs w:val="20"/>
          <w:color w:val="auto"/>
        </w:rPr>
      </w:pPr>
    </w:p>
    <w:p>
      <w:pPr>
        <w:jc w:val="both"/>
        <w:ind w:left="900" w:right="20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if they fail to comply with applicable regulations, or if we fail to identify and qualify alternative suppliers, our business, financial condition and results of operations would be harmed and the market price of our common stock and other securities could decline.*</w:t>
      </w:r>
    </w:p>
    <w:p>
      <w:pPr>
        <w:spacing w:after="0" w:line="7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For the commercial manufacture of AFREZZA, we need access to sufficient, reliable and affordable supplies of insulin, our AFREZZA inhaler, the related cartridges and other materials. Currently, the only approved source of insulin for AFREZZA is manufactured by Amphastar and the only source of our proprietary inert excipient, FDKP (fumaryl diketopiperazine), which is the primary component of our Technosphere technology platform, is manufactured by Lonza. We must rely on our suppliers, including Amphastar, to comply with relevant regulatory and other legal requirements, including the production of insulin and FDKP in accordance with the FDA’s current Good Manufacturing Practices (“cGMPs”) for drug products, and the production of the AFREZZA inhaler and related cartridges in accordance with Quality System Regulations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or Lonza ceases to manufacture or is otherwise unable to deliver insulin for AFREZZA, we will need to locate an alternative source of supply and the production of AFREZZA may be delayed. Pursuant to our supply agreement with Sanofi, we are required to identify alternative suppliers for all critical raw materials for the manufacture of AFREZZA within two years after the date of the agreement. However, there can be no assurance that we will be able to identify and qualify such suppliers within the time period required under the agreement.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of these factors could cause us to delay or suspend production, could entail higher costs and may result in our being unable to effectively support commercialization of AFREZZA. Furthermore, if we or a third-party manufacturer fail to deliver the required commercial quantities of the product or any raw material on a timely basis, and at commercially reasonable prices and acceptable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 and could result in the termination of the Sanofi License Agreement by Sanofi at its election if specified circumstances exist and certain conditions are met.</w:t>
      </w:r>
    </w:p>
    <w:p>
      <w:pPr>
        <w:spacing w:after="0" w:line="25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AFREZZA and other products that we may develop in the future may not gain market acceptance among physicians, patients, third-party payors and the healthcare community. For example, as of September 30, 2015, Sanofi has reported €5 million in year-to-date sales of AFREZZA. Failure to achieve market acceptance would limit our ability to generate revenue and would adversely affect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other products that we may develop in the future depends on many factors, including the:</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30" w:lineRule="exact"/>
        <w:rPr>
          <w:rFonts w:ascii="Arial" w:cs="Arial" w:eastAsia="Arial" w:hAnsi="Arial"/>
          <w:sz w:val="18"/>
          <w:szCs w:val="18"/>
          <w:color w:val="auto"/>
        </w:rPr>
      </w:pPr>
    </w:p>
    <w:p>
      <w:pPr>
        <w:ind w:left="900" w:right="420" w:hanging="325"/>
        <w:spacing w:after="0" w:line="308"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effectiveness of efforts by us or our marketing partner(s) to educate physicians about the benefits and advantages of AFREZZA or our other products and to provide adequate support for them, and the perceived advantages and disadvantages of competitive products;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get approved may not gain market acceptance, which would materially harm our business, financial condition and results of operations.</w:t>
      </w:r>
    </w:p>
    <w:p>
      <w:pPr>
        <w:spacing w:after="0" w:line="2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our marketing partner for AFREZZA, and companies that are prospective collaborators for our product candidates, our ability to commercialize AFREZZA and our product candidates under development may be adversely affected.</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coverage and adequate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we or our marketing partner are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our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 *</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In March 2010, the Patient Protection and Affordable Care Act, as amended by the Health Care and Education Reconciliation Act (collectively,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94" w:lineRule="exact"/>
        <w:rPr>
          <w:sz w:val="20"/>
          <w:szCs w:val="20"/>
          <w:color w:val="auto"/>
        </w:rPr>
      </w:pPr>
    </w:p>
    <w:p>
      <w:pPr>
        <w:ind w:left="900" w:right="4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certain drug-device combination products;</w:t>
      </w:r>
    </w:p>
    <w:p>
      <w:pPr>
        <w:spacing w:after="0" w:line="75"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100" w:hanging="325"/>
        <w:spacing w:after="0" w:line="30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certain manufacturers and authorized distributors provide to physicians;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6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will stay in effect through 2024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18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If we or our marketing partner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77" w:lineRule="exact"/>
        <w:rPr>
          <w:sz w:val="20"/>
          <w:szCs w:val="20"/>
          <w:color w:val="auto"/>
        </w:rPr>
      </w:pPr>
    </w:p>
    <w:p>
      <w:pPr>
        <w:ind w:left="900" w:hanging="325"/>
        <w:spacing w:after="0" w:line="279"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Anti-Kickback Statute, which constrains our business activities, including our marketing practices, educational programs, pricing policies, and relationships with healthcare providers or other entities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6" w:lineRule="exact"/>
        <w:rPr>
          <w:rFonts w:ascii="Arial" w:cs="Arial" w:eastAsia="Arial" w:hAnsi="Arial"/>
          <w:sz w:val="17"/>
          <w:szCs w:val="17"/>
          <w:color w:val="auto"/>
        </w:rPr>
      </w:pPr>
    </w:p>
    <w:p>
      <w:pPr>
        <w:jc w:val="both"/>
        <w:ind w:left="900" w:right="40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86" w:lineRule="exact"/>
        <w:rPr>
          <w:rFonts w:ascii="Arial" w:cs="Arial" w:eastAsia="Arial" w:hAnsi="Arial"/>
          <w:sz w:val="18"/>
          <w:szCs w:val="18"/>
          <w:color w:val="auto"/>
        </w:rPr>
      </w:pPr>
    </w:p>
    <w:p>
      <w:pPr>
        <w:ind w:left="900" w:right="30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created new federal criminal statutes that prohibit, among other things, executing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ind w:left="900" w:right="8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(“HITECH”) and its implementing regulations, which imposes certain requirements relating to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92" w:lineRule="exact"/>
        <w:rPr>
          <w:rFonts w:ascii="Arial" w:cs="Arial" w:eastAsia="Arial" w:hAnsi="Arial"/>
          <w:sz w:val="18"/>
          <w:szCs w:val="18"/>
          <w:color w:val="auto"/>
        </w:rPr>
      </w:pPr>
    </w:p>
    <w:p>
      <w:pPr>
        <w:ind w:left="900" w:right="120" w:hanging="325"/>
        <w:spacing w:after="0" w:line="272"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However, our insurance coverage may not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financial condition and results of operations would be harmed and the market price of our common stock and other securities may decline.</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in the amount of $1.6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5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the FDA required the following post-marketing studies for AFREZZA:</w:t>
      </w:r>
    </w:p>
    <w:p>
      <w:pPr>
        <w:spacing w:after="0" w:line="52" w:lineRule="exact"/>
        <w:rPr>
          <w:sz w:val="20"/>
          <w:szCs w:val="20"/>
          <w:color w:val="auto"/>
        </w:rPr>
      </w:pPr>
    </w:p>
    <w:p>
      <w:pPr>
        <w:ind w:left="5620" w:right="4380" w:hanging="5045"/>
        <w:spacing w:after="0" w:line="449" w:lineRule="auto"/>
        <w:tabs>
          <w:tab w:leader="none" w:pos="8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clinical trial to evaluate pharmacokinetics, safety and efficacy in pediatric patients; 37</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clinical trial to evaluate the potential risk of pulmonary malignancy with AFREZZA (as well as cardiovascular risk and the long-term effect of AFREZZA on pulmonary function);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two pharmacokinetic-pharmacodynamic studies, one to characterize dose-response and one to characterize within-subject variability.</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are subject to FDA inspection.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depend on suppliers for insulin and other materials that comprise AFREZZA, including our AFREZZA inhaler and cartridges. Each supplier must comply with relevant regulatory requirements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73"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289"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At present, there are a number of clinical studies being conducted by other pharmaceutical companies involving insulin delivery systems. 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competitive with, our other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Moreover, the term of a patent is limited and, as a result, the patents protecting our products expire at various dates. For example, some patents providing protection for AFREZZA inhalation powder have terms extending into 2020, 2030 and 2031. In addition, patents providing protection for our inhaler and cartridges have terms extending into 2023, 2031 and 2032, and we have method of treatment claims that extend into 2026 and 2029. As and when these different patents expire, AFREZZA could become subject to increased competition. As a consequence, we may not be able to recover our development costs.</w:t>
      </w:r>
    </w:p>
    <w:p>
      <w:pPr>
        <w:spacing w:after="0" w:line="15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September 16, 2011, the Leahy-Smith America Invents Act (the “Leahy-Smith Act”) was signed into law. The Leahy-Smith Act includes a number of significant changes to United States patent law. These include provisions that affect the way patent applications will be prosecuted, subjected to post-grant challenge, and may also affect patent litigation. The United States Patent and Trademark Office (“USPTO”) is continuing to develop regulations and procedures to govern administration of the Leahy-Smith Act, and while all of the substantive changes to patent law associated with the Leahy-Smith Act have become effective, many changes have only recently become effective. Moreover there will be a transitional period of many years during which some applications may be eligible for prosecution under the previous rules. There are many ambiguities in this new law and how the courts will interpret it cannot be predicted with confidence.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Moreover, patent law continues to evolve. Several further changes to patent law are before Congress. The United States Supreme Court has exhibited an increased interest in patent law and several of its recent decisions have tended to narrow the scope of patentable subject matter related to medical products and methods. In March 2014 the USPTO, in response to Supreme Court decisions, issued new examination guidelines which call into question the patentability of biological inventions that had previously been considered patentable. While none of this has an immediately apparent impact on our core technology and patents, the full and ultimate effect of these developments is not yet known. 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Interference proceedings brought by the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9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we have identified certain third-party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459" w:right="2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not selected trade names for some of our product candidates;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ability to make scheduled payments on or to refinance our debt obligations will depend on our financial and operating performance, which is subject to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then due.</w:t>
      </w:r>
    </w:p>
    <w:p>
      <w:pPr>
        <w:spacing w:after="0" w:line="2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 *</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and, in the future, may be reserved for the vesting of restricted stock unit awards; the purchase of shares of common stock under our employee stock purchase program; and the issuance of shares upon exchange or conversion of the 2018 notes or any other convertible debt we may issue.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52" w:lineRule="exact"/>
        <w:rPr>
          <w:sz w:val="20"/>
          <w:szCs w:val="20"/>
          <w:color w:val="auto"/>
        </w:rPr>
      </w:pPr>
    </w:p>
    <w:p>
      <w:pPr>
        <w:ind w:left="900" w:right="6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progress of the commercial launch of AFREZZA and other events or circumstances that we or others estimate will impact the future commercialization of AFREZZA;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or Sanofi’s future estimates of AFREZZA sales, prescriptions or other operating metrics;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progress and results of our preclinical and clinical studies of our product candidates and the post-approval studies of AFREZZA required by the FDA;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our collaboration with Sanofi or our relationships with third 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 and</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Our Executive Chairman and principal stockholder may be able to heavily influence our direction and policies as a result of his ownership of our common stock,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3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At September 30, 2015, Alfred E. Mann, our Executive Chairman and principal stockholder, beneficially owned approximately 37.2% of our outstanding shares of capital stock. By virtue of his holdings, Mr. Mann may be able to heavily influence elections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(“AEMMRO”), and AEM Foundation for Biomedical Engineering (“AEMFBE”), not-for-profit medical research foundations that serve as funding organizations for Mr. Mann’s various charities, including the Alfred Mann Foundation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nine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3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the exchange or conversion of our 2018 notes into common stock or the exercise of our warrants for common stock could negatively affect the market price of our common stock and other securities.*</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November 2, 2015, we had 409,486,687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2018 notes, or upon the exercise of some or all of the warrants we issued in February 2012, could adversely affect the market price of our common stock and other securities. In addition, the existence of these notes and warrants may encourage short selling of our common stock by market participants, which could adversely affect the market price of our common stock and other securities.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9"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have a limited number of unreserved shares available for future issuance, which may impair our ability to conduct future financing and other transactions.*</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amended and restated certificate of incorporation currently authorizes us to issue up to 550,000,000 shares of common stock and 10,000,000 shares of preferred stock. As of November 2, 2015, we had a total of 140,513,313 shares of common stock that were authorized but unissued, and we have currently reserved a significant number of these shares for future issuance pursuant to outstanding equity awards, our equity plans and our 2018 notes. As a result, our ability to issue shares of common stock other than pursuant to existing arrangements will be limited until such time, if ever, that we are able to amend our amended and restated certificate of incorporation to further increase our authorized shares of common stock or shares currently reserved for issuance otherwise become available (for example, due to the termination of the underlying agreement to issue the shares).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propose to amend our amended and restated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284" w:lineRule="exact"/>
        <w:rPr>
          <w:sz w:val="20"/>
          <w:szCs w:val="20"/>
          <w:color w:val="auto"/>
        </w:rPr>
      </w:pPr>
    </w:p>
    <w:p>
      <w:pPr>
        <w:ind w:right="428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10340" w:type="dxa"/>
            <w:vAlign w:val="bottom"/>
          </w:tcPr>
          <w:p>
            <w:pPr>
              <w:ind w:left="440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Amended and Restated Certificate of Incorporation (incorporated by reference to MannKind’s Registration Statement on Form S-1 (File No.</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333-115020), originally filed with the SEC on April 30, 2004, as amended).</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Certificate of Amendment of Amended and Restated Certificate of Incorporation (incorporated by reference to MannKind’s Quarterly Report</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on Form 10-Q (File No. 000-50865), originally filed with the SEC on August 9, 2007).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Certificate of Amendment of Amended and Restated Certificate of Incorporation (incorporated by reference to MannKind’s Quarterly report on</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10-Q (File No. 000-50865), originally filed with the SEC on August 2,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Certificate of Amendment of Amended and Restated Certificate of Incorporation (incorporated by reference to MannKind’s Current Report on</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8-K (File No. 000-50865), originally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Amended and Restated Bylaws (incorporated by reference to MannKind’s Current Report on Form 8-K (File No. 000-50865), originally filed</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with the SEC on November 19, 2007).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Form of common stock certificate (incorporated by reference to MannKind’s Annual Report on Form 10-K (File No. 000-50865), originally</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with the SEC on March 18,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Registration Rights Agreement, dated October 15, 1998 by and among CTL Immuno Therapies Corp., Medical Research Group, LLC, McLean</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Watson Advisory Inc. and Alfred E. Mann, as amended (incorporated by reference to MannKind’s Registration Statement on Form S-1 (File</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No. 333-115020), originally filed with the SEC on April 30, 2004, as amended).</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Indenture, by and between MannKind and Wells Fargo Bank, N.A., dated August 24, 2010 (incorporated by reference to MannKind’s Current</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Report on Form 8-K (File No. 000-50865), originally filed with the SEC on August 24,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of 5.75% Senior Convertible Note due 2015 (incorporated by reference to MannKind’s Current Report on Form</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8-K (File No. 000-50865), originally filed with the SEC on August 24, 2010).</w:t>
            </w:r>
          </w:p>
        </w:tc>
      </w:tr>
      <w:tr>
        <w:trPr>
          <w:trHeight w:val="323"/>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Warrant to Purchase Common Stock issued February 8, 2012 (incorporated by reference to MannKind’s Current Report on Form 8-K</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000-50865), originally filed with the SEC on February 6, 2012).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Form of 9.75% Senior Secured Convertible Promissory Note due 2019 (incorporated by reference to MannKind’s current report on Form 8-K</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000-50865), originally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Form of Amended and Restated 9.75% Senior Secured Convertible Promissory Note due 2019 (incorporated by reference to MannKind’s</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Annual Report on Form 10-K (File No. 000-50865), originally filed with the SEC on March 3,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Form of Tranche B Senior Secured Note due 2019 (incorporated by reference to Exhibit 4.8 to MannKind’s Quarterly Report on Form 10-Q</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000-50856), filed with the SEC on May 12,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Milestone Rights Purchase Agreement, dated as of July 1, 2013, by and among MannKind, Deerfield Private Design Fund II, L.P. and Horizon</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Santé FLML SÁRL (incorporated by reference to MannKind’s Current Report on Form 8-K (File No. 000-50865), originally filed with the</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Guaranty and Security Agreement, dated as of July 1, 2013, by and among MannKind, MannKind LLC, Deerfield Private Design Fund II, L.P.,</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Deerfield Private Design International II, L.P. and Horizon Santé FLML SÁRL (incorporated by reference to MannKind’s Current Report on</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8-K (File No. 000-50865), originally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Registration Rights Agreement, dated as of July 1, 2013, by and among MannKind, Deerfield Private Design Fund II, L.P. and Deerfield</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Private Design International II, L.P. (incorporated by reference to MannKind’s Current Report on Form 8-K (File No. 000-50865), originally</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Facility Agreement, dated as of July 1, 2013, by and among MannKind Corporation, Deerfield Private Design Fund II, L.P. and Deerfield</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Private Design International II, L.P. (incorporated by reference to MannKind’s Current Report on Form 8-K (File No. 000-50865), originally</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First Amendment to Facility Agreement and Registration Rights Agreement, dated as of February 28, 2014, by and among MannKind,</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Deerfield Private Design Fund II, L.P. and Deerfield Private Design International II, L.P. (incorporated by reference to MannKind’s Annual</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Report on Form 10-K (File No. 000-50865), originally filed with the SEC on March 3, 2014).</w:t>
            </w:r>
          </w:p>
        </w:tc>
      </w:tr>
      <w:tr>
        <w:trPr>
          <w:trHeight w:val="365"/>
        </w:trPr>
        <w:tc>
          <w:tcPr>
            <w:tcW w:w="520" w:type="dxa"/>
            <w:vAlign w:val="bottom"/>
          </w:tcPr>
          <w:p>
            <w:pPr>
              <w:spacing w:after="0"/>
              <w:rPr>
                <w:sz w:val="24"/>
                <w:szCs w:val="24"/>
                <w:color w:val="auto"/>
              </w:rPr>
            </w:pPr>
          </w:p>
        </w:tc>
        <w:tc>
          <w:tcPr>
            <w:tcW w:w="10900" w:type="dxa"/>
            <w:vAlign w:val="bottom"/>
            <w:gridSpan w:val="2"/>
          </w:tcPr>
          <w:p>
            <w:pPr>
              <w:jc w:val="right"/>
              <w:ind w:right="553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10340" w:type="dxa"/>
            <w:vAlign w:val="bottom"/>
          </w:tcPr>
          <w:p>
            <w:pPr>
              <w:ind w:left="440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4.14</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Form of Tranche B Senior Secured Note due 2019 (incorporated by reference to Exhibit 4.8 to MannKind’s Quarterly Report on Form 10-Q</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000-50865), filed with the SEC on May 12,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4.15</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Senior Secured Revolving Promissory Note, dated as of September 23, 2014, by and between MannKind Corporation and Aventisub LLC</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(incorporated by reference to Exhibit 99.1 to MannKind’s Current Report on Form 8-K (File No. 000-50865), filed with the SEC on September</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560"/>
              <w:spacing w:after="0"/>
              <w:rPr>
                <w:sz w:val="20"/>
                <w:szCs w:val="20"/>
                <w:color w:val="auto"/>
              </w:rPr>
            </w:pPr>
            <w:r>
              <w:rPr>
                <w:rFonts w:ascii="Arial" w:cs="Arial" w:eastAsia="Arial" w:hAnsi="Arial"/>
                <w:sz w:val="18"/>
                <w:szCs w:val="18"/>
                <w:color w:val="auto"/>
              </w:rPr>
              <w:t>29,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4.16</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Senior Secured Revolving Promissory Note, dated as of September 23, 2014, by and between MannKind Corporation and Aventisub LLC</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(incorporated by reference to Exhibit 99.1 to MannKind’s Current Report on Form 8-K (File No. 000-50865), filed with the SEC on September</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560"/>
              <w:spacing w:after="0"/>
              <w:rPr>
                <w:sz w:val="20"/>
                <w:szCs w:val="20"/>
                <w:color w:val="auto"/>
              </w:rPr>
            </w:pPr>
            <w:r>
              <w:rPr>
                <w:rFonts w:ascii="Arial" w:cs="Arial" w:eastAsia="Arial" w:hAnsi="Arial"/>
                <w:sz w:val="18"/>
                <w:szCs w:val="18"/>
                <w:color w:val="auto"/>
              </w:rPr>
              <w:t>29,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4.17</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Guaranty and Security Agreement, dated as of September 23, 2014, by and among MannKind Corporation, MannKind LLC and Aventisub</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LLC (incorporated by reference to Exhibit 99.2 to MannKind’s Current Report on Form 8-K (File No. 000-50865), filed with the SEC on</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September 29,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4.18</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Indenture, by and between MannKind and Wells Fargo Bank, N.A., dated August 10, 2015 (incorporated by reference to Exhibit 4.18 to</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MannKind’s Quarterly Report on Form 10-Q (File No. 000-50865), filed with the SEC on August 10, 2015).</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4.19</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5.75% Convertible Senior Subordinated Exchange Note due 2018 (incorporated by reference to Exhibit 4.19 to MannKind’s Quarterly</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Report on Form 10-Q (File No. 000-50865), filed with the SEC on August 10, 2015).</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4.20</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Indenture, by and between MannKind and Wells Fargo Bank, N.A., dated August 14, 2015 (incorporated by reference to Exhibit 4.1 to</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MannKind’s Current Report on Form 8-K (File No. 000-50865), filed with the SEC on August 18, 2015).</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Form of 5.75% Convertible Senior Subordinated Exchange Note due 2015 (incorporated by reference to Exhibit 4.2 to MannKind’s Current</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Report on Form 8-K (File No. 000-50865), filed with the SEC on August 18, 2015).</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Amendment No. 1 to At-The-Market Issuance Sales Agreement, by and between MannKind Corporation and Meyers Associates, L.P. (doing</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business as BP Capital, a division of Meyers Associates, L.P.), dated September 4, 2015 (incorporated by reference to Exhibit 99.1 to</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MannKind’s Current Report on Form 8-K (File No. 000-50865), filed with the SEC on September 4, 2015).</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8"/>
              </w:rPr>
              <w:t>Amendment No. 1 to At-The-Market Issuance Sales Agreement, by and between MannKind Corporation and MLV &amp; Co. LLC, dated</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September 4, 2015 (incorporated by reference to Exhibit 99.2 to MannKind’s Current Report on Form 8-K (File No. 000-50865), filed with the</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SEC on September 4, 2015).</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Certification of the Chief Executive Officer pursuant to Rules 13a-14(a) and 15d-14(a) of the Securities Exchange Act of 1934, as amended.</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Certification of the Chief Financial Officer pursuant to Rules 13a-14(a) and 15d-14(a) of the Securities Exchange Act of 1934, as amended.</w:t>
            </w:r>
          </w:p>
        </w:tc>
      </w:tr>
    </w:tbl>
    <w:p>
      <w:pPr>
        <w:spacing w:after="0" w:line="94" w:lineRule="exact"/>
        <w:rPr>
          <w:sz w:val="20"/>
          <w:szCs w:val="20"/>
          <w:color w:val="auto"/>
        </w:rPr>
      </w:pPr>
    </w:p>
    <w:p>
      <w:pPr>
        <w:ind w:left="1080" w:hanging="1072"/>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3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220"/>
          </w:cols>
          <w:pgMar w:left="240" w:top="459"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9, 2015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MANNKIND CORPORATION</w:t>
      </w:r>
    </w:p>
    <w:p>
      <w:pPr>
        <w:spacing w:after="0" w:line="200" w:lineRule="exact"/>
        <w:rPr>
          <w:sz w:val="20"/>
          <w:szCs w:val="20"/>
          <w:color w:val="auto"/>
        </w:rPr>
      </w:pPr>
    </w:p>
    <w:p>
      <w:pPr>
        <w:sectPr>
          <w:pgSz w:w="11900" w:h="16838" w:orient="portrait"/>
          <w:cols w:equalWidth="0" w:num="2">
            <w:col w:w="5120" w:space="720"/>
            <w:col w:w="5380"/>
          </w:cols>
          <w:pgMar w:left="240" w:top="459" w:right="439" w:bottom="1440" w:gutter="0" w:footer="0" w:header="0"/>
          <w:type w:val="continuous"/>
        </w:sectPr>
      </w:pPr>
    </w:p>
    <w:p>
      <w:pPr>
        <w:spacing w:after="0" w:line="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 M</w:t>
      </w:r>
      <w:r>
        <w:rPr>
          <w:rFonts w:ascii="Arial" w:cs="Arial" w:eastAsia="Arial" w:hAnsi="Arial"/>
          <w:sz w:val="13"/>
          <w:szCs w:val="13"/>
          <w:color w:val="auto"/>
        </w:rPr>
        <w:t>ATTHEW</w:t>
      </w:r>
      <w:r>
        <w:rPr>
          <w:rFonts w:ascii="Arial" w:cs="Arial" w:eastAsia="Arial" w:hAnsi="Arial"/>
          <w:sz w:val="16"/>
          <w:szCs w:val="16"/>
          <w:color w:val="auto"/>
        </w:rPr>
        <w:t xml:space="preserve"> J. P</w:t>
      </w:r>
      <w:r>
        <w:rPr>
          <w:rFonts w:ascii="Arial" w:cs="Arial" w:eastAsia="Arial" w:hAnsi="Arial"/>
          <w:sz w:val="13"/>
          <w:szCs w:val="13"/>
          <w:color w:val="auto"/>
        </w:rPr>
        <w:t>FEFFER</w:t>
      </w:r>
    </w:p>
    <w:p>
      <w:pPr>
        <w:spacing w:after="0" w:line="46" w:lineRule="exact"/>
        <w:rPr>
          <w:sz w:val="20"/>
          <w:szCs w:val="20"/>
          <w:color w:val="auto"/>
        </w:rPr>
      </w:pPr>
    </w:p>
    <w:p>
      <w:pPr>
        <w:sectPr>
          <w:pgSz w:w="11900" w:h="16838" w:orient="portrait"/>
          <w:cols w:equalWidth="0" w:num="2">
            <w:col w:w="7220" w:space="720"/>
            <w:col w:w="3280"/>
          </w:cols>
          <w:pgMar w:left="240" w:top="459" w:right="439" w:bottom="1440" w:gutter="0" w:footer="0" w:header="0"/>
          <w:type w:val="continuous"/>
        </w:sectPr>
      </w:pPr>
    </w:p>
    <w:p>
      <w:pPr>
        <w:jc w:val="center"/>
        <w:ind w:left="6280"/>
        <w:spacing w:after="0"/>
        <w:rPr>
          <w:sz w:val="20"/>
          <w:szCs w:val="20"/>
          <w:color w:val="auto"/>
        </w:rPr>
      </w:pPr>
      <w:r>
        <w:rPr>
          <w:rFonts w:ascii="Arial" w:cs="Arial" w:eastAsia="Arial" w:hAnsi="Arial"/>
          <w:sz w:val="18"/>
          <w:szCs w:val="18"/>
          <w:b w:val="1"/>
          <w:bCs w:val="1"/>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5"/>
          <w:szCs w:val="15"/>
          <w:b w:val="1"/>
          <w:bCs w:val="1"/>
          <w:i w:val="1"/>
          <w:iCs w:val="1"/>
          <w:color w:val="auto"/>
        </w:rPr>
        <w:t>Corporate Vice President and Chief Financial Officer</w:t>
      </w:r>
    </w:p>
    <w:p>
      <w:pPr>
        <w:spacing w:after="0" w:line="44"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20"/>
          </w:cols>
          <w:pgMar w:left="240" w:top="459" w:right="4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Hakan S. Edstrom,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2015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9, 2015</w:t>
      </w:r>
      <w:r>
        <w:rPr>
          <w:sz w:val="20"/>
          <w:szCs w:val="20"/>
          <w:color w:val="auto"/>
        </w:rPr>
        <w:tab/>
      </w:r>
      <w:r>
        <w:rPr>
          <w:rFonts w:ascii="Arial" w:cs="Arial" w:eastAsia="Arial" w:hAnsi="Arial"/>
          <w:sz w:val="16"/>
          <w:szCs w:val="16"/>
          <w:color w:val="auto"/>
        </w:rPr>
        <w:t>/s/ Hakan S. Edstrom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Hakan S. Edstrom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2015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9, 2015</w:t>
      </w:r>
      <w:r>
        <w:rPr>
          <w:sz w:val="20"/>
          <w:szCs w:val="20"/>
          <w:color w:val="auto"/>
        </w:rPr>
        <w:tab/>
      </w:r>
      <w:r>
        <w:rPr>
          <w:rFonts w:ascii="Arial" w:cs="Arial" w:eastAsia="Arial" w:hAnsi="Arial"/>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Matthew J. Pfeffer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Corporate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connection with the filing of the quarterly report of MannKind Corporation (the “Company”) on Form 10-Q for the quarterly period ended September 30, 2015,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Hakan S. Edstrom, President and Chief Executive Officer of the Company, and Matthew J. Pfeffer, Corporate Vice President and Chief Financial Officer of the Company, each hereby certifies that to the best of his knowledge:</w:t>
      </w:r>
    </w:p>
    <w:p>
      <w:pPr>
        <w:spacing w:after="0" w:line="158" w:lineRule="exact"/>
        <w:rPr>
          <w:sz w:val="20"/>
          <w:szCs w:val="20"/>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225" w:lineRule="exact"/>
        <w:rPr>
          <w:rFonts w:ascii="Arial" w:cs="Arial" w:eastAsia="Arial" w:hAnsi="Arial"/>
          <w:sz w:val="18"/>
          <w:szCs w:val="18"/>
          <w:color w:val="auto"/>
        </w:rPr>
      </w:pPr>
    </w:p>
    <w:p>
      <w:pPr>
        <w:ind w:right="340" w:firstLine="464"/>
        <w:spacing w:after="0" w:line="501" w:lineRule="auto"/>
        <w:tabs>
          <w:tab w:leader="none" w:pos="6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9, 2015</w:t>
      </w:r>
    </w:p>
    <w:p>
      <w:pPr>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9</w:t>
      </w:r>
      <w:r>
        <w:rPr>
          <w:rFonts w:ascii="Arial" w:cs="Arial" w:eastAsia="Arial" w:hAnsi="Arial"/>
          <w:sz w:val="15"/>
          <w:szCs w:val="15"/>
          <w:color w:val="auto"/>
        </w:rPr>
        <w:t>th</w:t>
      </w:r>
      <w:r>
        <w:rPr>
          <w:rFonts w:ascii="Arial" w:cs="Arial" w:eastAsia="Arial" w:hAnsi="Arial"/>
          <w:sz w:val="18"/>
          <w:szCs w:val="18"/>
          <w:color w:val="auto"/>
        </w:rPr>
        <w:t xml:space="preserve"> day of November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Hakan S. Edstrom</w:t>
            </w:r>
          </w:p>
        </w:tc>
        <w:tc>
          <w:tcPr>
            <w:tcW w:w="68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Hakan S. Edstrom</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Corporate Vice President and Chief Financial Officer</w:t>
            </w:r>
          </w:p>
        </w:tc>
      </w:tr>
    </w:tbl>
    <w:p>
      <w:pPr>
        <w:spacing w:after="0" w:line="20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32"/>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2019-12-29T14:44:37Z</dcterms:created>
  <dcterms:modified xsi:type="dcterms:W3CDTF">2019-12-29T14:44:37Z</dcterms:modified>
</cp:coreProperties>
</file>