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453"/>
        </w:trPr>
        <w:tc>
          <w:tcPr>
            <w:tcW w:w="442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000-50865</w:t>
            </w: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28903 North Avenue Paine</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Valencia, California</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91355</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80" w:type="dxa"/>
            <w:vAlign w:val="bottom"/>
          </w:tcPr>
          <w:p>
            <w:pPr>
              <w:spacing w:after="0"/>
              <w:rPr>
                <w:sz w:val="24"/>
                <w:szCs w:val="24"/>
                <w:color w:val="auto"/>
              </w:rPr>
            </w:pPr>
          </w:p>
        </w:tc>
        <w:tc>
          <w:tcPr>
            <w:tcW w:w="5140" w:type="dxa"/>
            <w:vAlign w:val="bottom"/>
          </w:tcPr>
          <w:p>
            <w:pPr>
              <w:jc w:val="right"/>
              <w:ind w:right="2860"/>
              <w:spacing w:after="0"/>
              <w:rPr>
                <w:sz w:val="20"/>
                <w:szCs w:val="20"/>
                <w:color w:val="auto"/>
              </w:rPr>
            </w:pPr>
            <w:r>
              <w:rPr>
                <w:rFonts w:ascii="Arial" w:cs="Arial" w:eastAsia="Arial" w:hAnsi="Arial"/>
                <w:sz w:val="18"/>
                <w:szCs w:val="18"/>
                <w:b w:val="1"/>
                <w:bCs w:val="1"/>
                <w:color w:val="auto"/>
              </w:rPr>
              <w:t>(661) 775-5300</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7420" w:space="180"/>
            <w:col w:w="260" w:space="80"/>
            <w:col w:w="160" w:space="180"/>
            <w:col w:w="314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As of May 5, 2014, there were 388,615,163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MANNKIND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2"/>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8120" w:type="dxa"/>
            <w:vAlign w:val="bottom"/>
            <w:gridSpan w:val="11"/>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900" w:type="dxa"/>
            <w:vAlign w:val="bottom"/>
            <w:tcBorders>
              <w:bottom w:val="single" w:sz="8" w:color="0000EE"/>
            </w:tcBorders>
            <w:gridSpan w:val="12"/>
            <w:vMerge w:val="continue"/>
          </w:tcPr>
          <w:p>
            <w:pPr>
              <w:spacing w:after="0"/>
              <w:rPr>
                <w:sz w:val="13"/>
                <w:szCs w:val="13"/>
                <w:color w:val="auto"/>
              </w:rPr>
            </w:pPr>
          </w:p>
        </w:tc>
        <w:tc>
          <w:tcPr>
            <w:tcW w:w="8120" w:type="dxa"/>
            <w:vAlign w:val="bottom"/>
            <w:gridSpan w:val="11"/>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20" w:type="dxa"/>
            <w:vAlign w:val="bottom"/>
            <w:gridSpan w:val="2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March 31, 2014 and December 31, 2013</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Three months ended March 31, 2014 and 2013 and the period from February 14, 1991 (date of</w:t>
              </w:r>
            </w:hyperlink>
          </w:p>
        </w:tc>
        <w:tc>
          <w:tcPr>
            <w:tcW w:w="4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1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inception) to March 31, 2014</w:t>
              </w:r>
            </w:hyperlink>
          </w:p>
        </w:tc>
        <w:tc>
          <w:tcPr>
            <w:tcW w:w="872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3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Loss: Three months ended March 31, 2014 and 2013 and the period from February 14,</w:t>
              </w:r>
            </w:hyperlink>
          </w:p>
        </w:tc>
        <w:tc>
          <w:tcPr>
            <w:tcW w:w="68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1991 (date of inception) to March 31, 2014</w:t>
              </w:r>
            </w:hyperlink>
          </w:p>
        </w:tc>
        <w:tc>
          <w:tcPr>
            <w:tcW w:w="772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6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Cash Flows: Three months ended March 31, 2014 and 2013 and the period from February 14, 1991 (date of</w:t>
              </w:r>
            </w:hyperlink>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1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inception) to March 31, 2014</w:t>
              </w:r>
            </w:hyperlink>
          </w:p>
        </w:tc>
        <w:tc>
          <w:tcPr>
            <w:tcW w:w="872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20" w:type="dxa"/>
            <w:vAlign w:val="bottom"/>
            <w:gridSpan w:val="2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400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4. Controls and Procedures</w:t>
              </w:r>
            </w:hyperlink>
          </w:p>
        </w:tc>
        <w:tc>
          <w:tcPr>
            <w:tcW w:w="866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1020" w:type="dxa"/>
            <w:vAlign w:val="bottom"/>
            <w:gridSpan w:val="2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PART II: OTHER INFORMATION</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4"/>
          </w:tcPr>
          <w:p>
            <w:pPr>
              <w:spacing w:after="0"/>
              <w:rPr>
                <w:sz w:val="17"/>
                <w:szCs w:val="17"/>
                <w:color w:val="auto"/>
              </w:rPr>
            </w:pPr>
          </w:p>
        </w:tc>
        <w:tc>
          <w:tcPr>
            <w:tcW w:w="844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Item 1A. Risk Factors</w:t>
              </w:r>
            </w:hyperlink>
          </w:p>
        </w:tc>
        <w:tc>
          <w:tcPr>
            <w:tcW w:w="942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2. Unregistered Sales of Equity Securities and Use of Proceeds</w:t>
              </w:r>
            </w:hyperlink>
          </w:p>
        </w:tc>
        <w:tc>
          <w:tcPr>
            <w:tcW w:w="61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20" w:type="dxa"/>
            <w:vAlign w:val="bottom"/>
            <w:gridSpan w:val="2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3. Defaults Upon Senior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3"/>
          </w:tcPr>
          <w:p>
            <w:pPr>
              <w:spacing w:after="0"/>
              <w:rPr>
                <w:sz w:val="17"/>
                <w:szCs w:val="17"/>
                <w:color w:val="auto"/>
              </w:rPr>
            </w:pPr>
          </w:p>
        </w:tc>
        <w:tc>
          <w:tcPr>
            <w:tcW w:w="81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Item 5. Other Information</w:t>
              </w:r>
            </w:hyperlink>
          </w:p>
        </w:tc>
        <w:tc>
          <w:tcPr>
            <w:tcW w:w="914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20" w:type="dxa"/>
            <w:vAlign w:val="bottom"/>
            <w:gridSpan w:val="2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Item 6. 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3"/>
          </w:tcPr>
          <w:p>
            <w:pPr>
              <w:spacing w:after="0" w:line="19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SIGNATURES</w:t>
              </w:r>
            </w:hyperlink>
          </w:p>
        </w:tc>
        <w:tc>
          <w:tcPr>
            <w:tcW w:w="986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AFREZZA</w:t>
      </w:r>
      <w:r>
        <w:rPr>
          <w:rFonts w:ascii="Arial" w:cs="Arial" w:eastAsia="Arial" w:hAnsi="Arial"/>
          <w:sz w:val="15"/>
          <w:szCs w:val="15"/>
          <w:color w:val="auto"/>
        </w:rPr>
        <w:t>®</w:t>
      </w:r>
      <w:r>
        <w:rPr>
          <w:rFonts w:ascii="Arial" w:cs="Arial" w:eastAsia="Arial" w:hAnsi="Arial"/>
          <w:sz w:val="18"/>
          <w:szCs w:val="18"/>
          <w:color w:val="auto"/>
        </w:rPr>
        <w:t>, MedTone</w:t>
      </w:r>
      <w:r>
        <w:rPr>
          <w:rFonts w:ascii="Arial" w:cs="Arial" w:eastAsia="Arial" w:hAnsi="Arial"/>
          <w:sz w:val="15"/>
          <w:szCs w:val="15"/>
          <w:color w:val="auto"/>
        </w:rPr>
        <w:t>®</w:t>
      </w:r>
      <w:r>
        <w:rPr>
          <w:rFonts w:ascii="Arial" w:cs="Arial" w:eastAsia="Arial" w:hAnsi="Arial"/>
          <w:sz w:val="18"/>
          <w:szCs w:val="18"/>
          <w:color w:val="auto"/>
        </w:rPr>
        <w:t xml:space="preserve"> and Technosphere</w:t>
      </w:r>
      <w:r>
        <w:rPr>
          <w:rFonts w:ascii="Arial" w:cs="Arial" w:eastAsia="Arial" w:hAnsi="Arial"/>
          <w:sz w:val="15"/>
          <w:szCs w:val="15"/>
          <w:color w:val="auto"/>
        </w:rPr>
        <w:t>®</w:t>
      </w:r>
      <w:r>
        <w:rPr>
          <w:rFonts w:ascii="Arial" w:cs="Arial" w:eastAsia="Arial" w:hAnsi="Arial"/>
          <w:sz w:val="18"/>
          <w:szCs w:val="18"/>
          <w:color w:val="auto"/>
        </w:rPr>
        <w:t xml:space="preserve"> are our registered trademarks in the United States. We have also applied for and have registered company trademarks in other jurisdictions, including Europe and Japan.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March 31, 2014</w:t>
            </w:r>
          </w:p>
        </w:tc>
        <w:tc>
          <w:tcPr>
            <w:tcW w:w="3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2013</w:t>
            </w:r>
          </w:p>
        </w:tc>
        <w:tc>
          <w:tcPr>
            <w:tcW w:w="0" w:type="dxa"/>
            <w:vAlign w:val="bottom"/>
          </w:tcPr>
          <w:p>
            <w:pPr>
              <w:spacing w:after="0"/>
              <w:rPr>
                <w:sz w:val="1"/>
                <w:szCs w:val="1"/>
                <w:color w:val="auto"/>
              </w:rPr>
            </w:pPr>
          </w:p>
        </w:tc>
      </w:tr>
      <w:tr>
        <w:trPr>
          <w:trHeight w:val="196"/>
        </w:trPr>
        <w:tc>
          <w:tcPr>
            <w:tcW w:w="8480" w:type="dxa"/>
            <w:vAlign w:val="bottom"/>
            <w:tcBorders>
              <w:top w:val="single" w:sz="8" w:color="CCEEFF"/>
            </w:tcBorders>
            <w:shd w:val="clear" w:color="auto" w:fill="CCEEFF"/>
          </w:tcPr>
          <w:p>
            <w:pPr>
              <w:ind w:left="360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35,759</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70,790</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39,399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76,275</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176,337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176,557</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224,553</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258,646</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1520"/>
              <w:spacing w:after="0"/>
              <w:rPr>
                <w:sz w:val="20"/>
                <w:szCs w:val="20"/>
                <w:color w:val="auto"/>
              </w:rPr>
            </w:pPr>
            <w:r>
              <w:rPr>
                <w:rFonts w:ascii="Arial" w:cs="Arial" w:eastAsia="Arial" w:hAnsi="Arial"/>
                <w:sz w:val="18"/>
                <w:szCs w:val="18"/>
                <w:b w:val="1"/>
                <w:bCs w:val="1"/>
                <w:color w:val="auto"/>
              </w:rPr>
              <w:t>LIABILITIES AND STOCKHOLDERS’ EQUITY (DEFICIT)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3,638</w:t>
            </w:r>
          </w:p>
        </w:tc>
        <w:tc>
          <w:tcPr>
            <w:tcW w:w="360" w:type="dxa"/>
            <w:vAlign w:val="bottom"/>
          </w:tcPr>
          <w:p>
            <w:pPr>
              <w:spacing w:after="0"/>
              <w:rPr>
                <w:sz w:val="18"/>
                <w:szCs w:val="18"/>
                <w:color w:val="auto"/>
              </w:rPr>
            </w:pPr>
          </w:p>
        </w:tc>
        <w:tc>
          <w:tcPr>
            <w:tcW w:w="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21,634</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Facility financing obligation</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44,515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127,794</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98,662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98,439</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principal stockholder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49,521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49,521</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207,017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289,359</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Undesignated preferred stock, $0.01 par value — 10,000,000 shares authorized; no shares issued or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outstanding at March 31, 2014 and December 31, 2013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 550,000,000 shares authorized at March 31, 2014 and December 31,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2013; 386,934,914 and 369,391,972 shares issued and outstanding at March 31, 2014 and December 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2013, respectively</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3,869</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2,362,129</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2,261,996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w w:val="93"/>
              </w:rPr>
              <w:t>(2,348,458)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(2,296,402)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(30,713)</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224,553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7"/>
          </w:tcPr>
          <w:p>
            <w:pPr>
              <w:jc w:val="right"/>
              <w:ind w:right="440"/>
              <w:spacing w:after="0" w:line="158" w:lineRule="exact"/>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4"/>
              </w:rPr>
              <w:t>March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26,182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26,398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15,229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10,039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500,615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In-process research and development costs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Goodwill impairment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2,275,243</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(41,411)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(36,437)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(2,272,077)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(714)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notes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for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(52,056)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(40,965)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(2,348,840)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Income tax benefit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(52,056)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(40,965)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(2,348,458)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Deemed dividend related to beneficial conversion feature of convertible preferred stock</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(52,056</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(40,965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(2,371,670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w w:val="95"/>
              </w:rPr>
              <w:t>Shares used to compute basic and diluted net loss per share applicable to common stockholders</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368,784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280,058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0" w:type="dxa"/>
            <w:vAlign w:val="bottom"/>
            <w:gridSpan w:val="5"/>
          </w:tcPr>
          <w:p>
            <w:pPr>
              <w:ind w:left="260"/>
              <w:spacing w:after="0" w:line="158" w:lineRule="exact"/>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0" w:type="dxa"/>
            <w:vAlign w:val="bottom"/>
            <w:gridSpan w:val="5"/>
          </w:tcPr>
          <w:p>
            <w:pPr>
              <w:ind w:left="5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March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$(52,056)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$(40,965)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(loss) gain</w:t>
            </w:r>
          </w:p>
        </w:tc>
        <w:tc>
          <w:tcPr>
            <w:tcW w:w="10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Unrealized gain (loss) on investments: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Unrealized holding gain (loss) during the period</w:t>
            </w:r>
          </w:p>
        </w:tc>
        <w:tc>
          <w:tcPr>
            <w:tcW w:w="10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Less: reclassification adjustment for gains (losses) included in net loss</w:t>
            </w:r>
          </w:p>
        </w:tc>
        <w:tc>
          <w:tcPr>
            <w:tcW w:w="1080" w:type="dxa"/>
            <w:vAlign w:val="bottom"/>
          </w:tcPr>
          <w:p>
            <w:pPr>
              <w:spacing w:after="0"/>
              <w:rPr>
                <w:sz w:val="19"/>
                <w:szCs w:val="19"/>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(loss) gain on investments</w:t>
            </w:r>
          </w:p>
        </w:tc>
        <w:tc>
          <w:tcPr>
            <w:tcW w:w="10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Other comprehensive loss</w:t>
            </w:r>
          </w:p>
        </w:tc>
        <w:tc>
          <w:tcPr>
            <w:tcW w:w="1080" w:type="dxa"/>
            <w:vAlign w:val="bottom"/>
          </w:tcPr>
          <w:p>
            <w:pPr>
              <w:spacing w:after="0"/>
              <w:rPr>
                <w:sz w:val="19"/>
                <w:szCs w:val="19"/>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(52,056)</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(40,967)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(2,348,462)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Cumulative Period</w:t>
            </w: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from February 14,</w:t>
            </w:r>
          </w:p>
        </w:tc>
      </w:tr>
      <w:tr>
        <w:trPr>
          <w:trHeight w:val="158"/>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2160" w:type="dxa"/>
            <w:vAlign w:val="bottom"/>
            <w:gridSpan w:val="5"/>
          </w:tcPr>
          <w:p>
            <w:pPr>
              <w:ind w:left="240"/>
              <w:spacing w:after="0" w:line="158"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3"/>
                <w:szCs w:val="13"/>
                <w:color w:val="auto"/>
              </w:rPr>
            </w:pPr>
          </w:p>
        </w:tc>
        <w:tc>
          <w:tcPr>
            <w:tcW w:w="11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1991 (Date of</w:t>
            </w:r>
          </w:p>
        </w:tc>
      </w:tr>
      <w:tr>
        <w:trPr>
          <w:trHeight w:val="176"/>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2160" w:type="dxa"/>
            <w:vAlign w:val="bottom"/>
            <w:gridSpan w:val="5"/>
          </w:tcPr>
          <w:p>
            <w:pPr>
              <w:ind w:left="5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Inception) to</w:t>
            </w: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March 31, 2014</w:t>
            </w: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w w:val="90"/>
              </w:rPr>
              <w:t>$(52,056)</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$(40,965)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(2,348,458)</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Depreciation and accretion</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9,394</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150,228</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10,937</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5,189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194,042</w:t>
            </w: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Stock expense for shares issued pursuant to research agreement</w:t>
            </w: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(Gain) loss on sale, abandonment/disposal or impairment of property and equipment</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25,070</w:t>
            </w: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Accrued interest on investments, net of amortization of discounts</w:t>
            </w: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In-process research and development</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Goodwill impairment</w:t>
            </w: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available-for-sale securities</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Litigation settlement in stock</w:t>
            </w: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6,494</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Fair value of forward purchase contract</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w:t>
            </w:r>
          </w:p>
        </w:tc>
      </w:tr>
      <w:tr>
        <w:trPr>
          <w:trHeight w:val="216"/>
        </w:trPr>
        <w:tc>
          <w:tcPr>
            <w:tcW w:w="20" w:type="dxa"/>
            <w:vAlign w:val="bottom"/>
          </w:tcPr>
          <w:p>
            <w:pPr>
              <w:spacing w:after="0"/>
              <w:rPr>
                <w:sz w:val="18"/>
                <w:szCs w:val="18"/>
                <w:color w:val="auto"/>
              </w:rPr>
            </w:pPr>
          </w:p>
        </w:tc>
        <w:tc>
          <w:tcPr>
            <w:tcW w:w="796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1,101</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assets and liabilities: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060"/>
              <w:spacing w:after="0"/>
              <w:rPr>
                <w:sz w:val="20"/>
                <w:szCs w:val="20"/>
                <w:color w:val="auto"/>
              </w:rPr>
            </w:pPr>
            <w:r>
              <w:rPr>
                <w:rFonts w:ascii="Arial" w:cs="Arial" w:eastAsia="Arial" w:hAnsi="Arial"/>
                <w:sz w:val="18"/>
                <w:szCs w:val="18"/>
                <w:color w:val="auto"/>
              </w:rPr>
              <w:t>State research and development credit exchange receivable</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(82)</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1,845</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(1,690)</w:t>
            </w:r>
          </w:p>
        </w:tc>
      </w:tr>
      <w:tr>
        <w:trPr>
          <w:trHeight w:val="216"/>
        </w:trPr>
        <w:tc>
          <w:tcPr>
            <w:tcW w:w="20" w:type="dxa"/>
            <w:vAlign w:val="bottom"/>
          </w:tcPr>
          <w:p>
            <w:pPr>
              <w:spacing w:after="0"/>
              <w:rPr>
                <w:sz w:val="18"/>
                <w:szCs w:val="18"/>
                <w:color w:val="auto"/>
              </w:rPr>
            </w:pPr>
          </w:p>
        </w:tc>
        <w:tc>
          <w:tcPr>
            <w:tcW w:w="796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(1,038)</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w:t>
            </w:r>
          </w:p>
        </w:tc>
      </w:tr>
      <w:tr>
        <w:trPr>
          <w:trHeight w:val="216"/>
        </w:trPr>
        <w:tc>
          <w:tcPr>
            <w:tcW w:w="20" w:type="dxa"/>
            <w:vAlign w:val="bottom"/>
          </w:tcPr>
          <w:p>
            <w:pPr>
              <w:spacing w:after="0"/>
              <w:rPr>
                <w:sz w:val="18"/>
                <w:szCs w:val="18"/>
                <w:color w:val="auto"/>
              </w:rPr>
            </w:pPr>
          </w:p>
        </w:tc>
        <w:tc>
          <w:tcPr>
            <w:tcW w:w="7960" w:type="dxa"/>
            <w:vAlign w:val="bottom"/>
          </w:tcPr>
          <w:p>
            <w:pPr>
              <w:ind w:left="1060"/>
              <w:spacing w:after="0"/>
              <w:rPr>
                <w:sz w:val="20"/>
                <w:szCs w:val="20"/>
                <w:color w:val="auto"/>
              </w:rPr>
            </w:pPr>
            <w:r>
              <w:rPr>
                <w:rFonts w:ascii="Arial" w:cs="Arial" w:eastAsia="Arial" w:hAnsi="Arial"/>
                <w:sz w:val="18"/>
                <w:szCs w:val="18"/>
                <w:color w:val="auto"/>
              </w:rPr>
              <w:t>Accrued expenses and other current liabilities</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(6,704)</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32,019</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liabilities</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714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w:t>
            </w:r>
          </w:p>
        </w:tc>
      </w:tr>
      <w:tr>
        <w:trPr>
          <w:trHeight w:val="230"/>
        </w:trPr>
        <w:tc>
          <w:tcPr>
            <w:tcW w:w="20" w:type="dxa"/>
            <w:vAlign w:val="bottom"/>
          </w:tcPr>
          <w:p>
            <w:pPr>
              <w:spacing w:after="0"/>
              <w:rPr>
                <w:sz w:val="20"/>
                <w:szCs w:val="20"/>
                <w:color w:val="auto"/>
              </w:rPr>
            </w:pPr>
          </w:p>
        </w:tc>
        <w:tc>
          <w:tcPr>
            <w:tcW w:w="7960" w:type="dxa"/>
            <w:vAlign w:val="bottom"/>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(36,990)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(32,027)</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(1,761,983)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(796,779)</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796,393</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(1,409)</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(337,142)</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r>
      <w:tr>
        <w:trPr>
          <w:trHeight w:val="230"/>
        </w:trPr>
        <w:tc>
          <w:tcPr>
            <w:tcW w:w="2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(337,074)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Issuance of common stock and warrants, net of issuance costs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1,463</w:t>
            </w:r>
          </w:p>
        </w:tc>
        <w:tc>
          <w:tcPr>
            <w:tcW w:w="4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1,451,640</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Exercise of warrants for common stock</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1,938</w:t>
            </w:r>
          </w:p>
        </w:tc>
        <w:tc>
          <w:tcPr>
            <w:tcW w:w="40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96,085</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lines of credit</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Payment of 2013 notes</w:t>
            </w: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(115,000)</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Proceeds from issuance of facility financing obligation &amp; milestone rights</w:t>
            </w: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119,500</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Facility financing obligation &amp; milestone rights issuance costs</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Borrowings on notes payable to principal stockholder</w:t>
            </w: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387,750</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207,050</w:t>
            </w: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(17,861)</w:t>
            </w:r>
          </w:p>
        </w:tc>
      </w:tr>
      <w:tr>
        <w:trPr>
          <w:trHeight w:val="223"/>
        </w:trPr>
        <w:tc>
          <w:tcPr>
            <w:tcW w:w="20" w:type="dxa"/>
            <w:vAlign w:val="bottom"/>
          </w:tcPr>
          <w:p>
            <w:pPr>
              <w:spacing w:after="0"/>
              <w:rPr>
                <w:sz w:val="19"/>
                <w:szCs w:val="19"/>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2,134,816</w:t>
            </w:r>
          </w:p>
        </w:tc>
        <w:tc>
          <w:tcPr>
            <w:tcW w:w="100" w:type="dxa"/>
            <w:vAlign w:val="bottom"/>
          </w:tcPr>
          <w:p>
            <w:pPr>
              <w:spacing w:after="0"/>
              <w:rPr>
                <w:sz w:val="19"/>
                <w:szCs w:val="19"/>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from February 14,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6"/>
          </w:tcPr>
          <w:p>
            <w:pPr>
              <w:jc w:val="right"/>
              <w:ind w:right="800"/>
              <w:spacing w:after="0" w:line="158"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3"/>
                <w:szCs w:val="13"/>
                <w:color w:val="auto"/>
              </w:rPr>
            </w:pPr>
          </w:p>
        </w:tc>
        <w:tc>
          <w:tcPr>
            <w:tcW w:w="11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March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(35,031)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(33,835)</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70,790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61,840</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35,759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28,005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35,759</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Interest paid in cash, net of amounts capitalized</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4,678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77,282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on redeemable convertible preferred stock</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Issuance of common stock upon conversion of notes payable</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additional paid-in capital resulting from merger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Issuance of common stock for notes receivable</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pursuant to conversion of facility financing obligation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86,000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Issuance of put option by stockholder</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Put option redemption by stockholder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Issuance of Series C convertible preferred stock subscriptions</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Series A redeemable convertible preferred stock</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Conversion of Series A redeemable convertible preferred stock</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construction in progress and property and equipment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Capitalization of interest on note payable to principal stockholder</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22,105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Reduction of principal on note payable to principal stockholder upon issuance of common stock</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exercise of warrants</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Forward purchase contract contribution to APIC</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of forward purchase contract to APIC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Tranche B Commitment Asset</w:t>
            </w:r>
          </w:p>
        </w:tc>
        <w:tc>
          <w:tcPr>
            <w:tcW w:w="10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2,921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of MannKind Corporation and its subsidiaries ( “MannKind” or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2013 filed with the SEC on March 3, 2014 (the “Annual Report”).</w:t>
      </w:r>
    </w:p>
    <w:p>
      <w:pPr>
        <w:spacing w:after="0" w:line="17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2014 may not be indicative of the results that may be expected for the full year.</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The more significant estimates reflected in these accompanying financial statements involve assessing long-lived assets for impairment, accrued expenses, including clinical study expenses, valuation of forward purchase contracts, valuation of the facility financing obligation, commitment asset, milestone rights, valuation of stock-based compensation and the determination of the provision for income taxes and corresponding deferred tax assets and liabilities and any valuation allowance recorded against net deferred tax assets.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w:t>
      </w:r>
    </w:p>
    <w:p>
      <w:pPr>
        <w:spacing w:after="0" w:line="17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 xml:space="preserve">Business — </w:t>
      </w:r>
      <w:r>
        <w:rPr>
          <w:rFonts w:ascii="Arial" w:cs="Arial" w:eastAsia="Arial" w:hAnsi="Arial"/>
          <w:sz w:val="17"/>
          <w:szCs w:val="17"/>
          <w:color w:val="auto"/>
        </w:rPr>
        <w:t>The Company is a biopharmaceutical company focused on the discovery and development of therapeutic products for diseases such as diabetes.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lead product candidate, AFREZZA (insulin human [rDNA origin]) inhalation powder, is an ultra rapid-acting insulin therapy that is in late-stage clinical investigation for the treatment of adults with type 1 or type 2 diabetes for the control of hyperglycemia.</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Last October, the Company resubmitted a New Drug Application (“NDA”) for AFREZZA to the U.S. Food and Drug Administration (“FDA”), which included data from two completed Phase 3 studies 171 and 175, both of which met their primary efficacy endpoints and safety objectives. On April 1, 2014 the Endocrinologic and Metabolic Drugs Advisory Committee (“EMDA”) of the FDA voted 13 to 1 to recommend that AFREZZA inhalation powder be granted approval by the FDA to improve glycemic control in adults with type 1 diabetes and voted 14 to 0 to recommend that AFREZZA be granted approval by the FDA to improve glycemic control in adults with type 2 diabetes.</w:t>
      </w:r>
    </w:p>
    <w:p>
      <w:pPr>
        <w:spacing w:after="0" w:line="18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Subsequent to the EMDA meeting, the FDA extended the Prescription Drug User Fee Act (“PDUFA”) date for AFREZZA by three months from April 15, 2014 to July 15, 2014 in order to provide time for a full review of information submitted by the Company in response to the FDA’s requests.</w:t>
      </w:r>
    </w:p>
    <w:p>
      <w:pPr>
        <w:spacing w:after="0" w:line="1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Basis of Presentation — </w:t>
      </w:r>
      <w:r>
        <w:rPr>
          <w:rFonts w:ascii="Arial" w:cs="Arial" w:eastAsia="Arial" w:hAnsi="Arial"/>
          <w:sz w:val="18"/>
          <w:szCs w:val="18"/>
          <w:color w:val="auto"/>
        </w:rPr>
        <w:t>The Company is considered to be in the development stage as its primary activities since incorporation have been establishing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recruiting personnel, conducting research and development, business development, business and financial planning, and raising capital. It is costly to develop therapeutic products and conduct clinical studies for these products. From its inception through March 31, 2014, the Company has reported accumulated net losses of $2.3 billion, which include a goodwill impairment charge of $151.4 million and cumulative negative cash flow from operations of $1.8 billion. At March 31, 2014, the Company’s capital resources consisted of cash and cash equivalents of $35.8 million. These factors raise substantial doubt about the Company’s ability to continue as a going concern. The financial statements do not include any adjustments that might result from the outcome of these uncertainties.</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March 31, 2014, the Company had $30.1 million principal amount of available borrowings under its loan arrangement (the “Loan Arrangement”) with The Mann Group LLC (“The Mann Group”) although the Company anticipates using a portion of these available borrowings to capitalize accrued interest into principal as it becomes due and payable under the Loan Arrangement, upon mutual agreement of the parties. As of March 31, 2014, the Company had accrued $1.3 million of interest related to the Loan Arrangement.</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July 1, 2013, the Company entered into a facility agreement (the “Facility Agreement”) with Deerfield Private Design Fund II, L.P. (“Deerfield Private Design Fund”) and Deerfield Private Design International II, L.P. (collectively, “Deerfield”), providing for the sale of up to $160.0 million of Senior Convertible Notes due 2019 (the “2019 notes”) to Deerfield in four equal tranches of $40.0 million principal amount. As of March 31, 2014, Deerfield had purchased the first three tranches of 2019 notes in the aggregate principal amount of $120.0 million; therefore, only $40.0 million remain unsold. Deerfield’s obligation to purchase the fourth tranche of 2019 notes is subject to the receipt of marketing approval of AFREZZA by the FDA and the shares of common stock issuable upon conversion of all previously sold 2019 notes being freely tradable pursuant to an effective registration statement filed with the SEC or pursuant to Rule 144 under the Securities Act. On February 28, 2014, the Company entered into a First Amendment to Facility Agreement and Registration Rights Agreement (the “Amendment”). The Amendment modified the terms of the Facility Agreement that was entered into on July 1, 2013 with Deerfield to provide for the issuance of an additional tranche of</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45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notes (the “Tranche B notes”) to Deerfield in a maximum principal amount equal to (x) if the FDA approves the NDA for AFREZZA and Deerfield purchased the fourth tranche of 2019 notes, 150% of the aggregate principal amount of the 2019 notes that Deerfield has converted into the Company’s common stock on and after the effective date of the Amendment, up to $90.0 million, and (y) otherwise, 33.33% of the aggregate principal amount of the 2019 notes that Deerfield has converted into the Company’s common stock on and after the effective date of the Amendment, up to $20.0 million, in each case subject to the satisfaction of certain other conditions. The Facility Agreement contains a financial covenant that requires the Company’s cash and cash equivalents, which include available borrowings under the Loan Arrangement, on the last day of each fiscal quarter to not be less than $25 million. Based on its current expectations, the Company believes that its existing capital resources will enable it to continue planned operations at least into the third quarter of 2014. However, the Company cannot provide assurances that its plans will not change or that changed circumstances will not result in the depletion of its capital resources more rapidly than it currently anticipates. The Company will need to raise additional capital, whether through the sale of equity or debt securities, a strategic business collaboration with a pharmaceutical company, the establishment of other funding facilities, licensing arrangements, asset sales or other means, in order to continue the development of and to commercialize AFREZZA and other product candidates and to support its other ongoing activities. However, the Company cannot provide assurances that such additional capital will be available on favorable terms, or at all.</w:t>
      </w:r>
    </w:p>
    <w:p>
      <w:pPr>
        <w:spacing w:after="0" w:line="169"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Capital resources potentially available to the Company include proceeds from the exercise of warrants issued in its February 2012 public offering, the Company’s at-the-market issuance sales agreements, and issuance of additional 2019 notes and/or Tranche B notes to Deerfield (see Note 11 – Facility financing agreement).</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 xml:space="preserve">Fair Value of Financial Instruments — </w:t>
      </w:r>
      <w:r>
        <w:rPr>
          <w:rFonts w:ascii="Arial" w:cs="Arial" w:eastAsia="Arial" w:hAnsi="Arial"/>
          <w:sz w:val="17"/>
          <w:szCs w:val="17"/>
          <w:color w:val="auto"/>
        </w:rPr>
        <w:t>The carrying amounts reported in the accompanying financial statements for cash and cash equivalents,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accrued liabilities approximate their fair value due to their relatively short maturities. The fair value of the cash equivalents, note payable to related party, senior convertible notes, and the Facility Agreement are discussed in Note 13, “Fair Value Measurements.”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Recently Issued Accounting Standards — </w:t>
      </w:r>
      <w:r>
        <w:rPr>
          <w:rFonts w:ascii="Arial" w:cs="Arial" w:eastAsia="Arial" w:hAnsi="Arial"/>
          <w:sz w:val="16"/>
          <w:szCs w:val="16"/>
          <w:color w:val="auto"/>
        </w:rPr>
        <w:t>In July 2013, the FASB issued ASU 2013-11,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Income Taxes (Topic 740): Presentation of an Unrecognized Tax</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Benefit when a Net Operating Loss Carryforward, a Similar Tax Loss, or a Tax Credit Carryforward Exists (a consensus of the FASB Emerging Issues Task Force)</w:t>
      </w:r>
      <w:r>
        <w:rPr>
          <w:rFonts w:ascii="Arial" w:cs="Arial" w:eastAsia="Arial" w:hAnsi="Arial"/>
          <w:sz w:val="16"/>
          <w:szCs w:val="16"/>
          <w:color w:val="auto"/>
        </w:rPr>
        <w:t>. The amendments in this ASU provide guidance on the financial statements presentation of an unrecognized tax benefit when a net operating loss</w:t>
      </w:r>
      <w:r>
        <w:rPr>
          <w:rFonts w:ascii="Arial" w:cs="Arial" w:eastAsia="Arial" w:hAnsi="Arial"/>
          <w:sz w:val="16"/>
          <w:szCs w:val="16"/>
          <w:i w:val="1"/>
          <w:iCs w:val="1"/>
          <w:color w:val="auto"/>
        </w:rPr>
        <w:t xml:space="preserve"> </w:t>
      </w:r>
      <w:r>
        <w:rPr>
          <w:rFonts w:ascii="Arial" w:cs="Arial" w:eastAsia="Arial" w:hAnsi="Arial"/>
          <w:sz w:val="16"/>
          <w:szCs w:val="16"/>
          <w:color w:val="auto"/>
        </w:rPr>
        <w:t>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The adoption of the new requirement did not have a significant impact on the Company’s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5"/>
              </w:rPr>
              <w:t>March 31,</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15,006</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21,634</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condensed consolidated statements of operations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2014 and 2013 was as follows (in thousands):</w:t>
      </w:r>
    </w:p>
    <w:p>
      <w:pPr>
        <w:spacing w:after="0" w:line="229"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Three months ended</w:t>
      </w:r>
    </w:p>
    <w:p>
      <w:pPr>
        <w:jc w:val="center"/>
        <w:ind w:left="69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4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9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10,937</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issued stock awards to employees during the three months ended March 31, 2014 with a four-year vesting schedule. The grant date fair value of the 46,400 restricted stock units and 17,700 stock options issued was $296,000 and $81,000, respectively, with a grant date fair value per share of $6.39 and $4.58, respectively.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March 31, 2014, there was $9.9 million and $14.0 million of unrecognized compensation cost related to options and restricted stock units, respectively, which are expected to be recognized over the remaining weighted average vesting period of 1.85 years.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 As of March 31, 2014, there were $107,000 and $3.7 million of unrecognized expenses related to performance options and restricted stock units, respectively, for milestones not considered probable of achievement.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Basic net loss per share excludes dilution for potentially dilutive securities and is computed by dividing net loss applicable to common stockholders by the weighted average number of common shares outstanding during the period excluding the shares loaned to Bank of America, N.A. under a share lending arrangement (see Note 7 — Common and preferred stock). As of March 31, 2014, 9,000,000 shares of the Company’s common stock, which were loaned to Bank of America, N.A. pursuant to the terms of a share lending agreement as described in Note 7, 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consolidated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and conversion of the facility financing obligation, that are not included in the diluted net loss per share calculation consisted of an aggregate of 67,791,150 shares and 133,500,568 shares as of March 31, 2014 and 2013, respectively, and exclude the 9,000,000 shares loaned under the share lending arrangement.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State research and development credit exchange receivable</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There were no current estimated amounts receivable under the program at March 31, 2014 and December 31, 2013, respectively. Long-term estimated amounts receivable under the program were $380,000 and $298,000 at March 31, 2014 and December 31, 2013,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Useful</w:t>
            </w:r>
          </w:p>
        </w:tc>
        <w:tc>
          <w:tcPr>
            <w:tcW w:w="10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Life</w:t>
            </w:r>
          </w:p>
        </w:tc>
        <w:tc>
          <w:tcPr>
            <w:tcW w:w="10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4"/>
                <w:szCs w:val="14"/>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Buildings</w:t>
            </w:r>
          </w:p>
        </w:tc>
        <w:tc>
          <w:tcPr>
            <w:tcW w:w="640" w:type="dxa"/>
            <w:vAlign w:val="bottom"/>
          </w:tcPr>
          <w:p>
            <w:pPr>
              <w:jc w:val="right"/>
              <w:spacing w:after="0"/>
              <w:rPr>
                <w:sz w:val="20"/>
                <w:szCs w:val="20"/>
                <w:color w:val="auto"/>
              </w:rPr>
            </w:pPr>
            <w:r>
              <w:rPr>
                <w:rFonts w:ascii="Arial" w:cs="Arial" w:eastAsia="Arial" w:hAnsi="Arial"/>
                <w:sz w:val="18"/>
                <w:szCs w:val="18"/>
                <w:color w:val="auto"/>
              </w:rPr>
              <w:t>39-40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54,948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54,948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114,099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114,099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82,189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82,189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5,046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11,306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11,289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17,041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14,756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289,919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287,617</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(113,582)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(111,060)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176,337</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176,557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four years which is the shorter of the term of the lease or the service lives of the improvements.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related to property and equipment for the three months ended March 31, 2014 and 2013 was as follows (in thousands):</w:t>
      </w:r>
    </w:p>
    <w:p>
      <w:pPr>
        <w:spacing w:after="0" w:line="267"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Three months ended</w:t>
      </w:r>
    </w:p>
    <w:p>
      <w:pPr>
        <w:jc w:val="center"/>
        <w:ind w:left="70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49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2014</w:t>
            </w:r>
          </w:p>
        </w:tc>
        <w:tc>
          <w:tcPr>
            <w:tcW w:w="9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$ 2,522</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and preferred stock</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is authorized to issue 550,000,000 shares of common stock, par value $0.01 per share, and 10,000,000 shares of undesignated preferred stock, par value $0.01 per share, issuable in one or more series designated by the Company’s board of directors. No other class of capital stock is authorized. As of March 31, 2014 and December 31, 2013, 386,934,914 and 369,391,972 shares of common stock, respectively, were issued and outstanding and no shares of preferred stock were outstanding. Included in the common stock outstanding as of March 31, 2014 and December 31, 2013 are 9,000,000 shares of common stock loaned to Bank of America under a share lending agreement in connection with the offering of $100.0 million aggregate principal amount of 2015 notes (see Note 10 — Senior convertible notes). Bank of America is obligated to return the borrowed shares (or, in certain circumstances, the cash value thereof) to the Company on or about the 45th business day following the date as of which the entire principal amount of the 2015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July 1, 2013, the Company entered into the Facility Agreement with Deerfield providing for the sale of up to $160.0 million of 2019 notes to Deerfield in four equal tranches of $40.0 million principal amount. A portion of the principal amount of the 2019 notes were convertible into shares of the Company’s common stock at the note holder’s option.</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February 28, 2014, the Company amended the Facility Agreement to, among other things, allow Deerfield, subject to certain limitations, to convert up to an additional $60.0 million principal amount under the then-outstanding 2019 notes into common stock after the effective date of the Amendment, at a minimum conversion price of $5.00 per share unless the Company otherwise consents. The Company also agreed to register for resale up to 12,000,000 shares of common stock issuable upon conversion of the outstanding 2019 notes, with a minimum conversion price of $5.00 per share unless the Company otherwise consents. The conversion price will be determined by the average of the volume weighted average prices per share during the three trading days immediately preceding the election to convert. As of March 31, 2014, Deerfield had converted a portion of the outstanding 2019 notes into common stock (see Note 11 – Facility financing agreement).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Guarantees and Indemnifications — </w:t>
      </w:r>
      <w:r>
        <w:rPr>
          <w:rFonts w:ascii="Arial" w:cs="Arial" w:eastAsia="Arial" w:hAnsi="Arial"/>
          <w:sz w:val="16"/>
          <w:szCs w:val="16"/>
          <w:color w:val="auto"/>
        </w:rPr>
        <w:t>In the ordinary course of its business, the Company makes certain indemnities, commitments and guarantees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Litigation — </w:t>
      </w:r>
      <w:r>
        <w:rPr>
          <w:rFonts w:ascii="Arial" w:cs="Arial" w:eastAsia="Arial" w:hAnsi="Arial"/>
          <w:sz w:val="17"/>
          <w:szCs w:val="17"/>
          <w:color w:val="auto"/>
        </w:rPr>
        <w:t>The Company is subject to legal proceedings and claims which arise in the ordinary course of its business. As of the date hereof,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believes that the final disposition of such matters will not have a material adverse effect on the financial position, results of operations or cash flows of the Company. The Company maintains liability insurance coverage to protect the Company’s assets from losses arising out of or involving activities associated with ongoing and normal business operations.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the Company would record a provision for a liability when it is both probable that a liability has been incurred and the amount of the loss can be reasonably estimated.</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Contingencies — </w:t>
      </w:r>
      <w:r>
        <w:rPr>
          <w:rFonts w:ascii="Arial" w:cs="Arial" w:eastAsia="Arial" w:hAnsi="Arial"/>
          <w:sz w:val="18"/>
          <w:szCs w:val="18"/>
          <w:color w:val="auto"/>
        </w:rPr>
        <w:t>In connection with the Facility Agreement, on July 1, 2013 the Company also entered into a Milestone Rights Purchase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“Milestone Agreement”) with Deerfield Private Design Fund and Horizon Santé FLML SÁRL (collectively, the “Milestone Purchasers”), pursuant to which the Company sold the Milestone Purchasers certain rights (the “Milestone Rights”) to receive payments of up to $90.0 million upon the occurrence of specified strategic and sales milestones, including the first commercial sale of an AFREZZA product and the achievement of specified net sales figures (see Note 11 – Facility financing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Related-party arrangements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October 2007, the Company entered into a $350.0 million loan arrangement with its principal stockholder. The Loan Arrangement has been amended from time to time. On October 31, 2013, the promissory note underlying the Loan Arrangement was amended to, among other things, extend the maturity date of the loan to January 5, 2020, extend the date through which the Company</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can borrow under the Loan Arrangement to December 31, 2019, increase the aggregate borrowing amount under the Loan Arrangement from $350.0 million to $370.0 million and provide that repayments or cancellations of principal under the Loan Arrangement will not be available for reborrowing.</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March 31, 2014, the total principal amount outstanding under the Loan Arrangement was $49.5 million, and the amount available for future borrowings was $30.1 million. Interest, at a fixed rate of 5.84%, is due and payable quarterly in arrears on the first day of each calendar quarter for the preceding quarter, or at such other time as the Company and The Mann Group mutually agree. All or any portion of accrued and unpaid interest that becomes due and payable may be paid-in-kind and capitalized as additional borrowings at any time and would be classified as non-current upon mutual agreement of both parties. As of March 31, 2014, the Company had accrued $1.3 million of interest in other liabilities related to the Loan Arrangement. The Mann Group can require the Company to prepay up to $200.0 million in advances that have been outstanding for at least 12 months (less approximately $105.0 million aggregate principal amount that has been cancelled in connection with two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Loan Arrangement until the Company’s payment obligations to Deerfield under the Facility Agreement have been satisfied in full. Subject to the foregoing, in the event of a default under the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Loan Arrangement are unsecured. The Loan Arrangement contains no financial covenants.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2014, there were no borrowings under or amendments to the Loan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Senior convertible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March 31,</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 notes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Principal amount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100,000</w:t>
            </w:r>
          </w:p>
        </w:tc>
        <w:tc>
          <w:tcPr>
            <w:tcW w:w="320" w:type="dxa"/>
            <w:vAlign w:val="bottom"/>
          </w:tcPr>
          <w:p>
            <w:pPr>
              <w:spacing w:after="0"/>
              <w:rPr>
                <w:sz w:val="18"/>
                <w:szCs w:val="18"/>
                <w:color w:val="auto"/>
              </w:rPr>
            </w:pP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(1,561)</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Net carrying amount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98,662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98,439</w:t>
            </w:r>
          </w:p>
        </w:tc>
        <w:tc>
          <w:tcPr>
            <w:tcW w:w="1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August 18, 2010, the Company completed a Rule 144A offering of $100.0 million aggregate principal amount of 5.75% Senior Convertible Notes due 2015 (the “2015 notes”). The 2015 notes are governed by the terms of an indenture dated as of August 24, 2010 (the “2015 Note Indenture”). The 2015 notes bear interest at the rate of 5.75% per year on the principal amount, payable in cash semi-annually in arrears on February 15 and August 15 of each year, beginning February 15, 2011. In connection with the 2015 notes, the Company had accrued interest of $1.0 million and $2.4 million as of March 31, 2014 and December 31, 2013, respectively. The 2015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2015 notes is August 15, 2015 and payment is due in full on that date for unconverted securities. Holders of the 2015 notes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 (1) the Company will pay a make-whole premium on the 2015 notes converted in connection with a fundamental change by increasing the conversion rate on such 2015 notes, which amount, if any, will be based on the Company’s common stock price and the effective date of the fundamental change, and (2) each holder of 2015 notes will have the option to require the Company to repurchase all or any portion of such holder’s 2015 notes at a repurchase price of 100% of the principal amount of the 2015 notes to be repurchased plus accrued and unpaid interest, if any. The Company may elect to redeem some or all of the 2015 notes if the closing stock price has equaled 150% of the conversion price for at least 20 of the 30 consecutive trading days ending on the trading day before the Company’s redemption notice. The redemption price will equal 100% of the principal amount of the 2015 notes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2015 notes called for redemption and converted during the period from the date the Company mailed the notice of redemption to and including the redemption date. The Company may elect to make the make-whole payment in cash or shares of its common stock, subject to certain limitations. Under the</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terms of the 2015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Applying the Company’s sequencing policy, the Company performed an analysis at the time of the offering of the 2015 notes and each reporting date since and has concluded that the number of available authorized shares at the time of the offering and each subsequent reporting date was sufficient to deliver the number of shares that could be required to be delivered during the contract period under existing commitments.</w:t>
      </w:r>
    </w:p>
    <w:p>
      <w:pPr>
        <w:spacing w:after="0" w:line="193"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Company incurred approximately $4.2 million in issuance costs which are recorded as an offset to the 2015 notes in the accompanying condensed consolidated balance sheets. These costs are being accreted to interest expense using the effective interest method over the term of the 2015 notes.</w:t>
      </w:r>
    </w:p>
    <w:p>
      <w:pPr>
        <w:spacing w:after="0" w:line="12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2015 notes provide that upon an acceleration of certain indebtedness, which would include the 2019 notes or the Tranche B notes described in Note 11, the holders may elect to accelerate the Company’s repayment obligations under the notes if such acceleration is not cured, waived, rescinded or annulled. There can be no assurance that the holders would not choose to exercise these rights in the event such events were to occur.</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Accretion of debt issuance expense in connection with the 2015 notes during the three months ended March 31, 2014 and 2013 was $223,000 and $209,000,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Facility financing agreement</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components and activity from initial recording of the facility financing agreement recorded through March 31, 2014 consist of the following (in thousands):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March 31,</w:t>
            </w:r>
          </w:p>
        </w:tc>
      </w:tr>
      <w:tr>
        <w:trPr>
          <w:trHeight w:val="171"/>
        </w:trPr>
        <w:tc>
          <w:tcPr>
            <w:tcW w:w="6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196"/>
        </w:trPr>
        <w:tc>
          <w:tcPr>
            <w:tcW w:w="6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2019 notes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Initial principal amount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120,000</w:t>
            </w:r>
          </w:p>
        </w:tc>
        <w:tc>
          <w:tcPr>
            <w:tcW w:w="1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Principal converted to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(92,500)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Debt discount-net of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(1,546)</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Net carrying amount of facility financing agreement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25,871</w:t>
            </w:r>
          </w:p>
        </w:tc>
        <w:tc>
          <w:tcPr>
            <w:tcW w:w="12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Milestone Rights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Initial milestone rights fair value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16,276</w:t>
            </w:r>
          </w:p>
        </w:tc>
        <w:tc>
          <w:tcPr>
            <w:tcW w:w="1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Debt discount-net of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Unaccreted debt issuance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milestone rights included in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(3,151)</w:t>
            </w: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Net carrying amount included in other liabilities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13,013</w:t>
            </w:r>
          </w:p>
        </w:tc>
        <w:tc>
          <w:tcPr>
            <w:tcW w:w="12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 Asset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Initial commitment asset fair value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13,393</w:t>
            </w:r>
          </w:p>
        </w:tc>
        <w:tc>
          <w:tcPr>
            <w:tcW w:w="1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Tranche B commitment asset fair value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Less Tranche 2 portion of commitment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(3,656)</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Less Tranche 3 portion of commitment asset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(4,580)</w:t>
            </w: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Commitment asset value included in other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8,078</w:t>
            </w:r>
          </w:p>
        </w:tc>
        <w:tc>
          <w:tcPr>
            <w:tcW w:w="12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Accretion of debt issuance cost and debt discount in connection with the Facility financing agreement during the three months ended March 31, 2014 are as follows (in thousands):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200" w:type="dxa"/>
            <w:vAlign w:val="bottom"/>
            <w:gridSpan w:val="4"/>
          </w:tcPr>
          <w:p>
            <w:pPr>
              <w:jc w:val="center"/>
              <w:ind w:left="1659"/>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45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2014</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expense- debt issuance cost</w:t>
            </w:r>
          </w:p>
        </w:tc>
        <w:tc>
          <w:tcPr>
            <w:tcW w:w="1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Accretion expense- debt discount</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6,367</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1, 2013, the Company entered into the Facility Agreement providing for the sale of up to $160.0 million of 2019 notes to Deerfield in four equal tranches of $40.0 million principal amount. The 2019 notes accrue interest at a rate of 9.75% per annum until maturity in 2019 or their earlier repayment, repurchase, or conversion. As of March 31, 2014, Deerfield had purchased the first three tranches of 2019 notes in the aggregate principal amount of $120.0 million; therefore, only $40.0 million remain unsold. Deerfield’s obligation to purchase the fourth tranche of 2019 notes is subject to receipt of marketing approval of AFREZZA by the FDA and the shares of common stock issuable upon conversion of all previously sold 2019 notes being freely tradable pursuant to an effective registration statement filed with the SEC or pursuant to Rule 144 under the Securities Act.</w:t>
      </w:r>
    </w:p>
    <w:p>
      <w:pPr>
        <w:sectPr>
          <w:pgSz w:w="11900" w:h="16838" w:orient="portrait"/>
          <w:cols w:equalWidth="0" w:num="1">
            <w:col w:w="11400"/>
          </w:cols>
          <w:pgMar w:left="240" w:top="459" w:right="259" w:bottom="1440" w:gutter="0" w:footer="0" w:header="0"/>
        </w:sectPr>
      </w:pP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February 28, 2014, the Company entered into the Amendment, which modified the terms of the Facility Agreement to provide for the issuance of Tranche B notes to Deerfield in a maximum principal amount equal to (i) if the FDA approves the NDA for AFREZZA and Deerfield purchased the fourth tranche of 2019 notes, 150% of the aggregate principal amount of the 2019 notes that Deerfield has converted into the Company’s common stock on and after the effective date of the Amendment, up to $90.0 million, and (ii) otherwise, 33.33% of the aggregate principal amount of the 2019 notes that Deerfield has converted into the Company’s common stock on and after the effective date of the Amendment, up to $20.0 million, in each case subject to the satisfaction of certain other conditions. The Tranche B notes bear interest at the rate of 9.75% per year, subject to reduction to 8.75% if the Company enters into a collaboration with a third party to commercialize AFREZZA, on the outstanding principal amount, payable in cash quarterly in arrears on the last business day of March, June, September and December of each year. The Company is required to repay 25% of the original principal amount of any Tranche B notes on the third, fourth, fifth and sixth anniversaries of the applicable issue dates of such notes, provided that the entire outstanding principal amount of all Tranche B notes will become due and payable no later than December 31, 2019. The Tranche B notes can be prepaid without penalty or premium commencing two years after issuance thereof.</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pursuant to the Amendment, the outstanding first tranche of 2019 notes (the “Tranche 1 notes”) and third tranche of 2019 notes (the “Tranche 3 notes”) held by Deerfield were amended and restated such that Deerfield may, subject to certain limitations, convert up to an additional $60.0 million principal amount under such 2019 notes into common stock after the effective date of the Amendment, at a minimum conversion price of $5.00 per share. The Company also agreed to register for resale up to 12,000,000 shares of common stock issuable upon conversion of the outstanding 2019 notes, as amended and restated, as of the date of the Amendment.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Asset</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connection with the issuance of the Tranche 1 notes and the Milestone Rights, the Company recorded a commitment asset, or the Commitment Asset, on July 1, 2013. As a result of the Amendment, the Company recorded an additional commitment asset with an estimated fair value equal to $2.9 million. The Commitment Asset remaining as of March 31, 2014 represents the right to receive $40.0 million funding under tranche 4 of 2019 notes and up to $90 million of funding under Tranche B notes, subject to the achievement of certain milestones, pursuant to the Facility Agreement, as amended. The Commitment Asset is derecognized and recorded as a debt discount on the 2019 notes and Tranche B notes when issued and amortized using the effective interest rate method over the life of the notes. Prior to derecognition occurring, the Company monitors the Commitment Asset on an ongoing basis to determine whether an impairment indicator is present that would result in a full or partial write down of the Commitment Asset as a result of events that may lead to the subsequent tranches of notes not being issued. Based on the monitoring procedures performed through March 31, 2014, the Company did not identify any indicators of impairment.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the outstanding Tranche 1 and Tranche 3 notes</w:t>
      </w:r>
    </w:p>
    <w:p>
      <w:pPr>
        <w:spacing w:after="0" w:line="11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amendment and restatement of the outstanding Tranche 1 and Tranche 3 notes, pursuant to the Amendment, did not represent a troubled debt restructuring in the notes because the Amendment did not result in Deerfield granting a concession to the Company. In addition, the Amendment did not result in a substantial modification to the terms of the Tranche 1 and Tranche 3 notes.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impact of the Amendment to the Tranche 1 and Tranche 3 notes will be accounted for as a prospective yield adjustment. Specifically the value of the Tranche B Commitment Asset was considered a fee received from the creditor as consideration for the Amendment and will be amortized as an adjustment of interest expense over the remaining term of the Tranche 1 and Tranche 3 notes using the effective interest method. As a result of the Amendment, the value of the Tranche B Commitment Asset was allocated between the Tranche 1 and Tranche 3 notes, which decreased the amount of debt discount on the Tranche 1 and Tranche 3 notes.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Option</w:t>
      </w:r>
    </w:p>
    <w:p>
      <w:pPr>
        <w:spacing w:after="0" w:line="11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For accounting purposes, the Company evaluated the embedded conversion option in the 2019 notes as a redemption feature because the number of shares issuable upon conversion is based on the volume weighted average prices for specified periods prior to the conversion date (as opposed to being fixed). Accordingly, conversions by Deerfield were treated as redemptions of the 2019 notes and, as discussed below, the Company analyzed whether the conversion option required bifurcation as an embedded redemption feature. As of December 31, 2013, Deerfield had converted $6.5 million principal amount of the second tranche of 2019 notes (the “Tranche 2 notes”) for equity, resulting in an issuance of 1,293,224 shares of the Company’s common stock. Upon the conversion, the principal balance of the notes were recorded in equity and an expense was recognized in the Statement of Operations in the amount of</w:t>
      </w:r>
    </w:p>
    <w:p>
      <w:pPr>
        <w:spacing w:after="0" w:line="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$0.6 million for the difference between the principal amount of the notes converted and their carrying amount (which included unamortized discount and debt issuance costs).</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During January 2014, Deerfield elected to convert the remaining $33.5 million of Tranche 2 notes, which resulted in the issuance of 6,559,251 shares of the Company’s common stock. During the three months ended March 31, 2014, the Company recorded an expense of $3.0 million for the difference between the principal amount of the notes converted and their carrying amount (which included unamortized discount and debt issuance costs).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March 2014, following the Amendment, which allowed Deerfield to convert up to an additional $60 million principal amount under the outstanding Tranche 1 and Tranche 3 notes, Deerfield elected to convert the full $40.0 million of outstanding principal amount of the Tranche 3 notes and $12.5 million of principal amount of the Tranche 1 notes, pursuant to which the Company issued Deerfield 7,121,120 and 2,142,709 shares of the Company’s common stock, respectively. As a result of these conversions, the Company recorded the principal balance of the notes in equity and an expense of $3.0 million for the difference between the principal amount of the notes converted and their carrying amount (which included the unamortized discount and debt issuance costs) and the write-off of the derivative liability that was previously bifurcated from the Tranche 3 notes.</w:t>
      </w:r>
    </w:p>
    <w:p>
      <w:pPr>
        <w:sectPr>
          <w:pgSz w:w="11900" w:h="16838" w:orient="portrait"/>
          <w:cols w:equalWidth="0" w:num="1">
            <w:col w:w="11420"/>
          </w:cols>
          <w:pgMar w:left="240" w:top="459"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In addition, the Company considered whether the amendment to the 2019 notes would result in the bifurcation of the conversion option in the Tranche 1 notes. Upon the issuance of the Tranche 1 notes on July 1, 2013 and as of March 31, 2014, the Company concluded that the conversion option was not required to be separated primarily due to the discount in the Tranche 1 notes not being deemed substantial under ASC 815-15-25-26.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ASC 740-10-25 </w:t>
      </w:r>
      <w:r>
        <w:rPr>
          <w:rFonts w:ascii="Arial" w:cs="Arial" w:eastAsia="Arial" w:hAnsi="Arial"/>
          <w:sz w:val="17"/>
          <w:szCs w:val="17"/>
          <w:i w:val="1"/>
          <w:iCs w:val="1"/>
          <w:color w:val="auto"/>
        </w:rPr>
        <w:t>Income Taxes Recognition</w:t>
      </w:r>
      <w:r>
        <w:rPr>
          <w:rFonts w:ascii="Arial" w:cs="Arial" w:eastAsia="Arial" w:hAnsi="Arial"/>
          <w:sz w:val="17"/>
          <w:szCs w:val="17"/>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Instruments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for identical instruments in active markets.</w:t>
      </w:r>
    </w:p>
    <w:p>
      <w:pPr>
        <w:spacing w:after="0" w:line="117"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Significant inputs to the valuation model are unobservable.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Cash equivalents consist of highly liquid investments with original or remaining maturities of 90 days or less at the time of purchase, that are readily convertible into cash. As of March 31, 2014 and December 31, 2013, the Company held $35.8 million and $70.8 million, respectively, of cash and cash equivalents, consisting primarily of money market funds of $34.9 million and $67.7 million, respectively, and the remaining in non-interest bearing checking accounts. The fair value of these money market funds was determined by using quoted prices for identical investments in an active market (Level 1 in the fair value hierarchy).</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is a summary of the carrying values and estimated fair values of the Company’s 5.75% Senior Convertible Notes due 2015 (the “2015 notes”) and the 2019 notes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w w:val="98"/>
              </w:rPr>
              <w:t>March 31, 2014</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 2013</w:t>
            </w:r>
          </w:p>
        </w:tc>
      </w:tr>
      <w:tr>
        <w:trPr>
          <w:trHeight w:val="119"/>
        </w:trPr>
        <w:tc>
          <w:tcPr>
            <w:tcW w:w="29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Estimated</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Estimated</w:t>
            </w:r>
          </w:p>
        </w:tc>
        <w:tc>
          <w:tcPr>
            <w:tcW w:w="100" w:type="dxa"/>
            <w:vAlign w:val="bottom"/>
          </w:tcPr>
          <w:p>
            <w:pPr>
              <w:spacing w:after="0"/>
              <w:rPr>
                <w:sz w:val="10"/>
                <w:szCs w:val="10"/>
                <w:color w:val="auto"/>
              </w:rPr>
            </w:pPr>
          </w:p>
        </w:tc>
      </w:tr>
      <w:tr>
        <w:trPr>
          <w:trHeight w:val="171"/>
        </w:trPr>
        <w:tc>
          <w:tcPr>
            <w:tcW w:w="29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4"/>
              </w:rPr>
              <w:t>value</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fair value</w:t>
            </w: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 notes</w:t>
            </w:r>
          </w:p>
        </w:tc>
        <w:tc>
          <w:tcPr>
            <w:tcW w:w="3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95.1</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2019 notes</w:t>
            </w:r>
          </w:p>
        </w:tc>
        <w:tc>
          <w:tcPr>
            <w:tcW w:w="3460" w:type="dxa"/>
            <w:vAlign w:val="bottom"/>
            <w:gridSpan w:val="2"/>
          </w:tcPr>
          <w:p>
            <w:pPr>
              <w:ind w:left="33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25.7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102.3</w:t>
            </w:r>
          </w:p>
        </w:tc>
        <w:tc>
          <w:tcPr>
            <w:tcW w:w="44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107.0</w:t>
            </w:r>
          </w:p>
        </w:tc>
      </w:tr>
      <w:tr>
        <w:trPr>
          <w:trHeight w:val="350"/>
        </w:trPr>
        <w:tc>
          <w:tcPr>
            <w:tcW w:w="2980" w:type="dxa"/>
            <w:vAlign w:val="bottom"/>
          </w:tcPr>
          <w:p>
            <w:pPr>
              <w:spacing w:after="0"/>
              <w:rPr>
                <w:sz w:val="24"/>
                <w:szCs w:val="24"/>
                <w:color w:val="auto"/>
              </w:rPr>
            </w:pPr>
          </w:p>
        </w:tc>
        <w:tc>
          <w:tcPr>
            <w:tcW w:w="3360" w:type="dxa"/>
            <w:vAlign w:val="bottom"/>
          </w:tcPr>
          <w:p>
            <w:pPr>
              <w:jc w:val="right"/>
              <w:ind w:right="9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Convertible Notes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estimated fair value of the 2015 notes was calculated based on model-derived valuations whose inputs were observable, such as the Company’s stock price, and non-observable, such as the Company’s longer-term historical volatility (Level 3 in the fair value hierarchy). As there is no current observable market for the 2015 notes, the Company determined the estimated fair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common stock into which the notes are convertible.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financing agreement</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 discussed in Note 11 — Facility financing agreement, in connection with the Facility Agreement, the Company issued 2019 notes and Milestone Rights and recorded the Commitment Asset on July 1, 2013. As there is no current observable market for the 2019 notes,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of</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12.7% (Level 3 in the fair value hierarchy). On March 31, 2014, the market discount rate was recalculated at 12.5% for the Tranche 1 notes. The Tranche 2 and Tranche 3 notes were fully converted by the end of the first quarter.</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(17.5%) was selected based on an estimation of required rate of returns for similar investment opportunities using available market data.</w:t>
      </w:r>
    </w:p>
    <w:p>
      <w:pPr>
        <w:spacing w:after="0" w:line="193"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fair value of the Commitment Asset was estimated using the income approach by estimating the fair value of the future tranches using a market debt rate (12%) commensurate with the risk of the future tranches and the fair value of the cash expected to be received by the Company and assessing the probability of the commitments being funded in the future based on the operational hurdles required for funding being met (Level 3 in the fair value hierarchy).</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March 31, 2014, as there had been no material changes to the established estimates, the carrying value of the Milestone Rights and Commitment Asset approximates their respective estimated fair values.</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Also as discussed in Note 11 – Facility financing agreement, on February 28, 2014, the Company entered into the Amendment to Facility Agreement, and recorded an additional commitment asset which represented the increase in borrowing capacity that the Company received as consideration for the modifications made to the Facility Agreement and the Tranche 1 notes and Tranche 3 notes. The fair value of the additional commitment asset was estimated using a discounted cash flow analysis under the income approach. Specifically, the fair value of the additional commitment asset was determined by estimating the fair value of the future tranche using a market yield (11.9%) commensurate with the risk of the future tranche and the fair value of the cash expected to be received by the Company and assessing the probability of the commitment being funded in the future based on the operational hurdles required for funding being met as well as consideration of alternative funding options (Level 3 in the fair value hierarchy). As of February 28, 2014, the additional commitment asset was valued at $2.9 million. At March 31, 2014, as there have been no material changes to the established estimates, the carrying value of the Tranche B Commitment Asset approximates its respective estimated fair values.</w:t>
      </w:r>
    </w:p>
    <w:p>
      <w:pPr>
        <w:spacing w:after="0" w:line="18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There were no material re-measurements to fair value during the three months ended March 31, 2014 and 2013 of financial assets and liabilities that are not measured at fair value on a recurring basis. There were no transfers of assets or liabilities between the fair value measurement levels during the three months ended March 31, 2014 and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April 1, 2014 the EMDA voted 13 to 1 to recommend that AFREZZA inhalation powder be granted approval by the FDA to improve glycemic control in adults with type 1 diabetes and voted 14 to 0 to recommend that AFREZZA be granted approval by the FDA to improve glycemic control in adults with type 2 diabetes.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Subsequent to the EMDA meeting, the FDA extended the PDUFA date for AFREZZA by three months from April 15, 2014 to July 15, 2014 in order to provide time for a full review of information submitted by MannKind in response to the FDA’s requests.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2, 2014, Deerfield elected to convert an aggregate of $7.5 million of principal amount of the Tranche 1 notes, pursuant to which the Company issued Deerfield 1,500,000 shares of the Company’s common stock. As a result of this election, Deerfield has fully exercised the conversion option under the Amendment by converting the additional $60.0 million of the Tranche 1 and Tranche 3 notes allowable, into 10,763,829 shares of the Company’s common stock in the aggregate.</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May 6, 2014, Deerfield purchased an aggregate principal amount of $20.0 million in Tranche B notes in accordance with the provisions of the Facility Agreement, as amended.</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2013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are a biopharmaceutical company focused on the discovery and development of therapeutic products for diseases such as diabetes. Our lead product candidate, AFREZZA, is an ultra rapid-acting insulin therapy that is intended to improve glycemic control in adults with type 1 or type 2 diabetes.</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October 2013, we resubmitted a New Drug Application, or NDA, for AFREZZA to the U.S. Food and Drug Administration, or FDA, which included data from two completed Phase 3 studies 171 and 175, both of which met their primary efficacy endpoints and safety objectives. On April 1, 2014 the Endocrinologic and Metabolic Drugs Advisory Committee, or EMDA, of the FDA voted 13 to 1 to recommend that AFREZZA inhalation powder be granted approval by the FDA to improve glycemic control in adults with type 1 diabetes and voted 14 to 0 to recommend that AFREZZA be granted approval by the FDA to improve glycemic control in adults with type 2 diabetes.</w:t>
      </w:r>
    </w:p>
    <w:p>
      <w:pPr>
        <w:spacing w:after="0" w:line="188"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Subsequent to the EMDA meeting, the FDA extended the Prescription Drug User Fee Act, or PDUFA, date for AFREZZA by three months to July 15, 2014 in order to provide time for a full review of information submitted by MannKind in response to the FDA’s requests.</w:t>
      </w:r>
    </w:p>
    <w:p>
      <w:pPr>
        <w:spacing w:after="0" w:line="14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are a development stage enterprise and have incurred significant losses since our inception in 1991. As of March 31, 2014, we have incurred a cumulative net loss of $2.3 billion and have stockholders’ equity of $17.5 million. To date, we have not generated any product revenues and have funded our operations through the sale of equity securities and convertible debt securities, through our facility agreement dated July 1, 2013, and through borrowings under our loan arrangement with The Mann Group LLC, or the Loan Arrangement. As discussed below in “Liquidity and Capital Resources,” if we are unable to obtain additional funding in the future, there will continue to be substantial doubt about our ability to continue as a going concern.</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do not expect to make sales of any product prior to regulatory approval and commercialization of AFREZZA. We currently do not have the required approvals to market any of our product candidates, and we may not receive such approvals. We may not be able to achieve positive cash flow from operations even if we succeed in commercializing any of our product candidates. We expect to make substantial expenditures and to incur additional operating losses for at least the next several years as we:</w:t>
      </w:r>
    </w:p>
    <w:p>
      <w:pPr>
        <w:spacing w:after="0" w:line="9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the clinical development of AFREZZA and new inhalation systems for the treatment of diabetes;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regulatory approval to sell AFREZZA in the United States and other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development and commercialization collaborations for AFREZZA;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additional applications of our proprietary Technosphere formulation technology for the pulmonary delivery of other drugs.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our potential inability to enter into sales and marketing collaborations or to commercialize AFREZZA in a timely manner. Additional significant risks also include the results of our research and development efforts, competition from other products and technologies and uncertainties associated with obtaining and enforcing patent rights.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78"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Clinical development timelines, likelihood of success and total costs vary widely. We are focused on advancing AFREZZA through regulatory filings.</w:t>
      </w:r>
    </w:p>
    <w:p>
      <w:pPr>
        <w:spacing w:after="0" w:line="23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clinical trial operations and discussions with the FDA regarding its requirements.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Item 7 of our Annual Report on Form 10-K for the year ended December 31, 2013. There have been no material changes to our critical accounting policies during the three months ended March 31, 2014.</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Recently Issued Accounting Standards — </w:t>
      </w:r>
      <w:r>
        <w:rPr>
          <w:rFonts w:ascii="Arial" w:cs="Arial" w:eastAsia="Arial" w:hAnsi="Arial"/>
          <w:sz w:val="16"/>
          <w:szCs w:val="16"/>
          <w:color w:val="auto"/>
        </w:rPr>
        <w:t>In July 2013, the FASB issued ASU 2013-11,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Income Taxes (Topic 740): Presentation of an Unrecognized Tax</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Benefit when a Net Operating Loss Carryforward, a Similar Tax Loss, or a Tax Credit Carryforward Exists (a consensus of the FASB Emerging Issues Task Force)</w:t>
      </w:r>
      <w:r>
        <w:rPr>
          <w:rFonts w:ascii="Arial" w:cs="Arial" w:eastAsia="Arial" w:hAnsi="Arial"/>
          <w:sz w:val="16"/>
          <w:szCs w:val="16"/>
          <w:color w:val="auto"/>
        </w:rPr>
        <w:t>. The amendments in this ASU provide guidance on the financial statements presentation of an unrecognized tax benefit when a net operating loss</w:t>
      </w:r>
      <w:r>
        <w:rPr>
          <w:rFonts w:ascii="Arial" w:cs="Arial" w:eastAsia="Arial" w:hAnsi="Arial"/>
          <w:sz w:val="16"/>
          <w:szCs w:val="16"/>
          <w:i w:val="1"/>
          <w:iCs w:val="1"/>
          <w:color w:val="auto"/>
        </w:rPr>
        <w:t xml:space="preserve"> </w:t>
      </w:r>
      <w:r>
        <w:rPr>
          <w:rFonts w:ascii="Arial" w:cs="Arial" w:eastAsia="Arial" w:hAnsi="Arial"/>
          <w:sz w:val="16"/>
          <w:szCs w:val="16"/>
          <w:color w:val="auto"/>
        </w:rPr>
        <w:t>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The adoption of the new requirement did not have a significant impact on the Company’s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2014 and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did not recognize any revenue for the three months ended March 31, 2014 or 2013. We do not anticipate sales of any product prior to regulatory approval and commercialization of AFREZZA.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months ended March 31, 2014 and 2013 (dollars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20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Clinical</w:t>
            </w: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$13,282</w:t>
            </w:r>
          </w:p>
        </w:tc>
        <w:tc>
          <w:tcPr>
            <w:tcW w:w="2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(4,103)</w:t>
            </w:r>
          </w:p>
        </w:tc>
        <w:tc>
          <w:tcPr>
            <w:tcW w:w="4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Manufacturing</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10,748</w:t>
            </w:r>
          </w:p>
        </w:tc>
        <w:tc>
          <w:tcPr>
            <w:tcW w:w="4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9,390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1,358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(83)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2,360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26,182</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26,398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decrease in research and development expenses for the three months ended March 31, 2014 compared to the three months ended March 31, 2013 was driven by a decrease of $4.1 million in clinical spending driven by the completion of two Phase 3 studies in the second quarter of 2013. The decrease in research and development was offset by an increase in stock-based compensation expense of $2.4 million in connection with the award of company-wide performance-based grants in the first and second quarters of 2013 and an increase in manufacturing spending of $1.4 million driven by supplies purchases related to commercialization preparation and non-capital spare parts.</w:t>
      </w:r>
    </w:p>
    <w:p>
      <w:pPr>
        <w:sectPr>
          <w:pgSz w:w="11900" w:h="16838" w:orient="portrait"/>
          <w:cols w:equalWidth="0" w:num="1">
            <w:col w:w="11360"/>
          </w:cols>
          <w:pgMar w:left="240" w:top="459" w:right="299" w:bottom="1440" w:gutter="0" w:footer="0" w:header="0"/>
        </w:sectPr>
      </w:pP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60"/>
          </w:cols>
          <w:pgMar w:left="240" w:top="459" w:right="2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anticipate that our overall research and development expenses will increase in 2014 compared to 2013 due to the preparation for commercialization of AFREZZA.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months ended March 31, 2014 and 2013 (dollars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54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Professional fees and other general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5,073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1,172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3,387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15,229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10,039</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5,190</w:t>
            </w:r>
          </w:p>
        </w:tc>
        <w:tc>
          <w:tcPr>
            <w:tcW w:w="5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General and administrative expenses for the three months ended March 31, 2014 increased compared to the three months ended March 31, 2013 primarily due to an increase in stock-based compensation expense of $3.4 million in connection with the award of company-wide performance-based grants made in the first and second quarters of 2013. Additionally, in the first quarter of 2014 there was an increase of $1.2 million in consulting and legal fees related to costs associated with filings, financing, and other legal matters and an increase of $0.6 million in salaries and employee related expenses resulting from the Chief Executive Officer voluntarily declining his 2012 bonus payment and accepting the 2013 bonus, which is paid out in the first quarter of the following year.</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expect general and administrative expenses overall to be higher in 2014 as compared to 2013 as a result of increased stock compensation expense due to anticipated milestone achievements.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Other income decreased from $23,000 for the three months ended March 31, 2013 to an expense of $5.9 million for the three months ended March 31, 2014. The decrease was primarily due to a $6.0 million expense associated with the unamortized discount and debt issuance costs upon conversion of the remaining balance of the Tranche 2 notes, the full conversion of the Tranche 3 notes, and the partial conversion of the Tranche 1 notes.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expense on notes increased from $4.6 million for the three months ended March 31, 2013 to $4.8 million for the three months ended March 31, 2014. The increase of $0.2 million was primarily due to higher interest expense associated with the 9.75% Senior Convertible Notes due 2019, or 2019 notes, issued in the second half of 2013, which was partially offset by lower interest expense on the Loan Arrangement with The Mann Group due to a lower carrying value in 2014 compared to prior year.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funded our operations through the sale of equity securities and convertible debt securities and borrowings under the loan Arrangement with The Mann Group.</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March 31, 2014, the total principal amount outstanding under the Loan Arrangement was $49.5 million, and the amount available for future borrowings was $30.1 million. We anticipate using a portion of these available borrowings to capitalize accrued interest into principal, upon mutual agreement of the parties, as it becomes due and payable under the Loan Arrangement.</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July 1, 2013, we entered into a facility agreement, or the Facility Agreement, with Deerfield Private Design Fund II, L.P. and Deerfield Private Design International II, L.P., referred to collectively as Deerfield, providing for the sale of up to $160.0 million of 2019 notes in four equal tranches of $40.0 million principal amount.</w:t>
      </w:r>
    </w:p>
    <w:p>
      <w:pPr>
        <w:spacing w:after="0" w:line="18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On February 28, 2014, we amended the Facility Agreement to provide for the issuance of an additional tranche of notes, or the Tranche B notes, to Deerfield in a maximum aggregate principal amount equal to i) if the FDA approves the NDA for AFREZZA and Deerfield purchases the fourth tranche of 2019 notes originally issuable pursuant to the Facility Agreement, 150% of the aggregate principal amount of 2019 notes that Deerfield has converted into our common stock on and after the effective date of the amendment, up to $90.0 million, and (ii) otherwise, 33.33% of the aggregate principal amount of 2019 notes that Deerfield has converted into our common stock on and after the effective date of the amendment, up to $20.0 million, in each case subject to the satisfaction of certain other conditions. The Tranche B notes bear interest at the rate of 9.75% per year, subject to reduction to 8.75% if we enter into a collaboration with a third party to commercialize AFREZZA, on the outstanding principal amount, payable in cash quarterly in arrears on the last business day of March, June, September and December of each year. The amended Facility Agreement also provided Deerfield with the option, subject to certain limitations, to convert up to an additional $60.0 million of the 2019 notes issued and outstanding on the date of the amendment into shares of our common stock following the effective date of the amendment.</w:t>
      </w:r>
    </w:p>
    <w:p>
      <w:pPr>
        <w:sectPr>
          <w:pgSz w:w="11900" w:h="16838" w:orient="portrait"/>
          <w:cols w:equalWidth="0" w:num="1">
            <w:col w:w="11400"/>
          </w:cols>
          <w:pgMar w:left="240" w:top="459" w:right="259" w:bottom="1440" w:gutter="0" w:footer="0" w:header="0"/>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459" w:right="2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April 2, 2014, Deerfield elected to convert an aggregate of $7.5 million of principal amount of the Tranche 1 notes, pursuant to which we issued Deerfield 1,500,000 shares of our common stock. As a result of this election, Deerfield has fully exercised the conversion option under the Facility Agreement, as amended, by converting the additional $60.0 million of the Tranche 1 and Tranche 3 notes allowable into 10,763,829 shares of our common stock in the aggregate. As of March 31, 2014, Deerfield had purchased the first three tranches of 2019 notes in the aggregate principal amount of $120.0 million; therefore, only $40.0 million remain unsold under the initial Financing Agreement. Deerfield’s obligation to purchase the fourth tranche of 2019 notes is subject to receipt of marketing approval of AFREZZA by the FDA and the shares of common stock issuable upon conversion of all previously sold 2019 notes being freely tradable pursuant to an effective registration statement filed with the SEC or pursuant to Rule 144 under the Securities Act. There can be no assurance that the conditions required for the purchase of additional 2019 notes pursuant to the amendment will be met or met in a timeframe necessary to support our liquidity needs.</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March 3, 2014, we entered into an At-The-Market Issuance Sales Agreement with MLV &amp; Co. LLC, or MLV, and an At-The-Market Issuance Sales Agreement with Meyers Associates, L.P. (doing business as Brinson Patrick, a division of Meyers Associates, L.P.), or Brinson Patrick. We refer to the foregoing agreements as the “ATM Agreements.” Under each ATM Agreement, we may issue or sell shares of our common stock having an aggregate offering price of up to $50.0 million from time to time through MLV or Brinson Patrick, as our sales agents. We expect that all or substantially all sales of common stock made under the ATM Agreements will be made in “at the market” offerings as defined in Rule 415 of the Securities Act. We have not yet sold or issued any shares of our common stock under the ATM Agreements. There can be no assurance that we will be able to access capital through the ATM Agreements on a timely basis, or at all.</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three months ended March 31, 2014, we used $37.0 million of cash for our operations and had a net loss of $52.1 million, which included $20.3 million of non-cash charges consisting of depreciation and accretion, and stock-based compensation. By comparison, during the three months ended March 31, 2013, we used $32.0 million of cash for our operations and had a net loss of $41.0 million, which included $8.5 million of non-cash charges consisting of depreciation and accretion, stock-based compensation. The operating cash flow decreased by $5.7 million primarily due to decreases in accrued expenses associated with the clinical trials and accrued interest associated with our loan arrangement with The Mann Group. The change is also due to incremental expenses associated with employee compensation. We expect our negative operating cash flow to continue at least until we obtain regulatory approval and achieve commercialization of AFREZZA.</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used $1.4 million of cash for investing activities during the three months ended March 31, 2014, compared to $1.5 million of cash used for the three months ended March 31, 2013.</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financing activities generated $3.4 million of cash for the three months ended March 31, 2014, as compared to negative cash flow of $0.3 million for the three months ended March 31, 2013. For the three months ended March 31, 2014, cash provided by financing activities was from $1.9 million in warrant exercises and $1.5 million from the exercise of stock options.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March 31, 2014, we had $35.8 million in cash and cash equivalents. We believe that our existing capital resources will enable us to continue planned operations at least into the third quarter of 2014. However, we cannot provide assurances that our plans will not change or that changed circumstances will not result in the depletion of the capital resources more rapidly than we currently anticipate. We will need to raise additional capital, whether through a sale of equity or debt securities, a strategic business collaboration with a pharmaceutical company, the establishment of other funding facilities, licensing arrangements, asset sales or other means, in order to continue the development and commercialization of AFREZZA and other product candidates and to support our other ongoing activities. However, we cannot provide assurances that such additional capital will be available whether through the sale of equity or debt securities, a strategic business collaboration with a pharmaceutical company, the establishment of other funding facilities, licensing arrangements, asset sales or other means.</w:t>
      </w:r>
    </w:p>
    <w:p>
      <w:pPr>
        <w:spacing w:after="0" w:line="19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intend to use our capital resources to continue the development and commercialization of AFREZZA, if approved. We are expending a portion of our capital resources to scale up our manufacturing capabilities in our Danbury facilities. We also intend to use our capital resources for general corporate purposes.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We cannot predict when, if ever, we will conclude an agreement with a partner. There can be no assurance that any such collaboration will be entered on a timely basis or on acceptable terms, or at all.</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If we enter into a strategic business collaboration with a pharmaceutical or biotechnology company, we would expect, as part of the transaction, to receive additional capital. In addition, we expect to pursue the sale of equity and/or debt securities, including sales of our common stock through the ATM Agreements,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6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continue to be substantial doubt about our ability to continue as a going concern.</w:t>
      </w:r>
    </w:p>
    <w:p>
      <w:pPr>
        <w:sectPr>
          <w:pgSz w:w="11900" w:h="16838" w:orient="portrait"/>
          <w:cols w:equalWidth="0" w:num="1">
            <w:col w:w="11420"/>
          </w:cols>
          <w:pgMar w:left="240" w:top="459" w:right="239" w:bottom="703"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703"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we did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exposed to market risk related to changes in interest rates impacting our short-term investment portfolio. The interest rate on amounts borrowed under our loan arrangement with The Mann Group for the year ended December 31, 2013 and three months ended March 31, 2014 was a fixed rate equal to 5.84%. As of December 31, 2013, the total principal amount outstanding under the Loan Arrangement was $49.5 million. We also have debt related to the 2015 notes at a fixed interest rate of 5.75% and debt related to the Facility Agreement at a fixed interest rate of 9.75%. Due to the fixed interest rates of our debt, we do not currently have any exposure to changes in our interest expense as a result of changes in interest rates. 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 As of March 31, 2014, the amount available for borrowing under our loan arrangement with The Mann Group was $30.1 million. If a 10% change in interest rates were to have occurred on March 31, 2014, this change would not have had a material effect on the value of our short-term investment portfolio or on our interest expense obligations with respect to outstanding borrowed amounts.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management, with the participation of our chief executive and financial officers, evaluated the effectiveness of our disclosures controls and procedures, as defined in Rules 13a-15(e) and 15d-15(e) under the Securities Exchange Act of 1934, as amended (the “Exchange Act”), as of March 31,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2014, our chief executive officer and chief financial officer concluded that, as of such date, our disclosure controls and procedures were effective at a reasonable assurance level.</w:t>
      </w:r>
    </w:p>
    <w:p>
      <w:pPr>
        <w:spacing w:after="0" w:line="18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Management determined that, as of March 31, 2014,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heavily on the successful development and commercialization of our lead product candidate, AFREZZA, which is not yet approved.*</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date, we have not commercialized any product candidates. We have expended significant time, money and effort in the development of our lead product candidate, AFREZZA, which has not yet received regulatory approval and which may not be approved by the FDA in a timely manner, or at all. Our other product candidates are generally in early clinical or preclinical development. We anticipate that in the near term, our ability to generate revenues will depend on the successful development and commercialization of AFREZZA.</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Last October, we resubmitted a NDA for AFREZZA to the FDA, which included data from two completed Phase 3 studies 171 and 175, both of which met their primary efficacy endpoints and safety objectives. On April 1, 2014 the EMDA voted 13 to 1 to recommend that AFREZZA inhalation powder be granted approval by the FDA to improve glycemic control in adults with type 1 diabetes and voted 14 to 0 to recommend that AFREZZA be granted approval by the FDA to improve glycemic control in adults with type 2 diabetes.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Subsequent to the Advisory Committee meeting, the FDA extended the PDUFA date for AFREZZA by three months to July 15, 2014 in order to provide time for a full review of information submitted by MannKind in response to the FDA’s requests.</w:t>
      </w:r>
    </w:p>
    <w:p>
      <w:pPr>
        <w:spacing w:after="0" w:line="17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must receive the necessary approvals from the FDA before AFREZZA can be marketed and sold in the United States and must receive the necessary approvals from similar foreign regulatory agencies before AFREZZA can be marketed outside of the United States. Even if we were to receive regulatory approval, we ultimately may be unable to gain market acceptance of AFREZZA for a variety of reasons, including the treatment and dosage regimen, potential adverse effects, the availability of alternative treatments and lack of coverage or adequate reimbursement. If we fail to commercialize AFREZZA, our business, financial condition and results of operations will be materially and adversely affected.</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significant portion of the research that we have conducted involves new and unproven compounds and technologies, including AFREZZA and our Technosphere platform technology.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operating losses, we expect to continue to incur losses and we may never generate positive cash flow from operations.*</w:t>
      </w:r>
    </w:p>
    <w:p>
      <w:pPr>
        <w:spacing w:after="0" w:line="12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studies, regulatory clearances and additional investment before they can be commercialized. We cannot be certain when AFREZZA may be approved or if it will be approved.</w:t>
      </w:r>
    </w:p>
    <w:p>
      <w:pPr>
        <w:spacing w:after="0" w:line="16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have never been profitable or generated positive cash flow from operations and, as of March 31, 2014, we had incurred a cumulative net loss of $2.3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studies, seek regulatory approvals and market our product candidates, including AFREZZA. Our cumulative net loss may increase significantly as we continue development and clinical study efforts. Our losses have had, and are expected to continue to have, an adverse impact on our working capital, total assets and stockholders’ equity. As of March 31, 2014, we had stockholders’ equity of $17.5 million. Our ability to achieve and sustain positive cash flow from operations and profitability depends upon obtaining regulatory approvals for and successfully commercializing AFREZZA, either alone or with third parties. We do not currently have the required approvals to market any of our product candidates, and we may not receive them. We may not generate positive cash flow from operations or be profitable even if we succeed in commercializing any of our product candidates. As a result, we cannot be sure when we will generate positive cash flow from operations or become profitable, if at all.</w:t>
      </w:r>
    </w:p>
    <w:p>
      <w:pPr>
        <w:spacing w:after="0" w:line="29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b w:val="1"/>
          <w:bCs w:val="1"/>
          <w:i w:val="1"/>
          <w:iCs w:val="1"/>
          <w:color w:val="auto"/>
        </w:rPr>
        <w:t>We will be required to raise additional capital to fund our operations, and our inability to do so could raise substantial doubt about our ability to continue as a going concern.*</w:t>
      </w:r>
    </w:p>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Based on our current expectations, we believe that our existing capital resources will enable us to continue planned operations at least into the third quarter of 2014. We cannot assure you that our plans will not change or that changed circumstances will not result in the depletion of our capital resources more rapidly than we currently anticipate. We will need to raise additional funds, through the</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sale of equity or debt securities, the entry into strategic business collaborations, the establishment of other funding facilities, licensing arrangements, asset sales, through additional borrowings from The Mann Group, or other means, in order to continue the development and commercialization of AFREZZA and other product candidates and to support our other ongoing activities. It may be difficult for us to raise additional funds on favorable terms, or at all. As of March 31, 2014, we had stockholders’ equity of $17.5 million which may raise concerns about our solvency and affect our ability to raise additional capital. The amount of additional funds we need will depend on a number of factors, including:</w:t>
      </w:r>
    </w:p>
    <w:p>
      <w:pPr>
        <w:spacing w:after="0" w:line="78"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any or all of the holders of the 2015 notes, to require us to repay or repurchase such notes if and when required;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refinance existing indebtedness, including indebtedness under the 2015 notes which mature in August 2015;</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satisfaction of the conditions to the sale and purchase of 2019 notes and/or additional Tranche B notes under the Facility Agreement, or failing the satisfaction of such conditions, whether Deerfield chooses to waive satisfaction of such conditions and purchase additional 2019 notes and/or additional Tranche B notes;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the 2015 notes are converted into shares of our common stock;</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rate of progress and costs of our clinical studies and research and development activities, including costs of procuring clinical materials and operating our manufacturing facilities;</w:t>
      </w:r>
    </w:p>
    <w:p>
      <w:pPr>
        <w:spacing w:after="0" w:line="75" w:lineRule="exact"/>
        <w:rPr>
          <w:rFonts w:ascii="Arial" w:cs="Arial" w:eastAsia="Arial" w:hAnsi="Arial"/>
          <w:sz w:val="18"/>
          <w:szCs w:val="18"/>
          <w:color w:val="auto"/>
        </w:rPr>
      </w:pPr>
    </w:p>
    <w:p>
      <w:pPr>
        <w:jc w:val="both"/>
        <w:ind w:left="900" w:right="18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obligation to make milestone payments pursuant to the milestone rights issued to Deerfield Private Design Fund II, L.P. and Horizon Santé FLML SÁRL, referred to collectively as the Milestone Purchasers pursuant to our Milestone Rights Purchase Agreement dated July 1, 2013, or the Milestone Agreement;</w:t>
      </w:r>
    </w:p>
    <w:p>
      <w:pPr>
        <w:spacing w:after="0" w:line="86"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75"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preparing applications for regulatory approvals for our product candidates, including AFREZZA, either ourselves or with any commercialization partner;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our product candidates and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degree of success in commercializing AFREZZA assuming receipt of required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our legal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litigation;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raised capital in the past through the sale of equity and debt securities. We may in the future pursue the sale of additional equity and/or debt securities, including sales of our common stock through the ATM Agreements, or the establishment of other funding facilities including asset based borrowings. There can be no assurances, however, that we will be able to raise additional capital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and/or asset sales on a timely basis, we will be required to reduce expenses through the delay, reduction or curtailment of our projects, including AFREZZA development activities,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1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do not anticipate generating operating cash flow before AFREZZA is commercialized, which we expect will require us to reach an agreement with a commercialization partner, and therefore cannot provide assurances that changed or unexpected circumstances,</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459" w:right="2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including, among other things, delays in obtaining regulatory approval and in identifying and reaching agreements with a commercialization partner, will not result in the depletion of our capital resources more rapidly than we currently anticipate, in which case we may be required to raise additional capital. There can be no assurances that we will be able to raise additional capital on favorable terms, or at all. If planned operating results are not achieved or we are not successful in raising additional capital through equity or debt financings or entering into a strategic business collaboration with a pharmaceutical or biotechnology company, we will be required to reduce expenses through the delay, reduction or curtailment of our projects, including AFREZZA development activities, or further reduction of costs for facilities and administration, and there will be continued substantial doubt about our ability to continue as a going concern.</w:t>
      </w:r>
    </w:p>
    <w:p>
      <w:pPr>
        <w:spacing w:after="0" w:line="2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debt pursuant to our 2015 notes and 2019 notes and may be unable to make required payments of interest and principal as they become due.*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we had $127.5 million of outstanding debt pursuant to our 2015 notes and 2019 notes, consisting of:</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$100.0 million principal amount of 2015 notes bearing interest at 5.75% per annum and maturing on August 15, 2015;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$27.5 million principal amount of 2019 notes bearing interest at 9.75% per annum and maturing between 2016 and December 31, 2019.</w:t>
      </w:r>
    </w:p>
    <w:p>
      <w:pPr>
        <w:spacing w:after="0" w:line="23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pursuant to the Facility Agreement, we may issue up to $40.0 million principal amount of additional 2019 notes subject to receipt of approval of AFREZZA from the FDA prior to December 30, 2014 and, pursuant to the February 28, 2014 Amendment to the Facility Agreement, additional Tranche B notes in a maximum principal amount up to $90.0 million, subject to the satisfaction of certain other conditions. There can be no assurance that we will have sufficient resources to make any required repayments of principal under the 2015 notes, 2019 notes or, Tranche B notes when required. Further, if we undergo a fundamental change, as that term is defined in the indentures governing the terms of the 2015 notes, or certain Major Transactions as defined in the Facility Agreement in respect of the 2019 notes and Tranche B notes, the holders of the notes will have the option to require us to repurchase all or any portion of the notes at a repurchase price of 100% of the principal amount of such notes to be repurchased plus accrued and unpaid interest, if any. The 2015 notes bear interest at the rate of 5.75% per year on the outstanding principal amount, payable in cash semiannually in arrears on February 15 and August 15 of each year, and the 2019 notes bear interest at the rate of 9.75% per year on the outstanding principal amount, payable in cash quarterly in arrears on the last business day of March, June, September and December of each year. The Tranche B notes bear interest at the rate of 9.75% per year, subject to reduction to 8.75% if we enter into a collaboration with a third party to commercialize AFREZZA, on the outstanding principal amount, payable in cash quarterly in arrears on the last business day of March, June, September and December of each year. While we have been able to timely make our required interest payments to date, we cannot guarantee that we will be able to do so in the future. If we fail to pay interest on the 2015 notes, 2019 notes or Tranche B notes, or if we fail to repay or repurchase the 2015 notes, 2019 notes or Tranche B notes when required, we will be in default under the indenture or other applicable instrument for such note(s),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agreements with Deerfield relating to our 2019 notes, Tranche B notes and the Milestone Rights contain covenants that we may not be able to meet and place restrictions on our operating and financial flexibility.</w:t>
      </w:r>
    </w:p>
    <w:p>
      <w:pPr>
        <w:spacing w:after="0" w:line="62"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Our indebtedness under the Facility Agreement, including any indebtedness under the 2019 notes and any future indebtedness we incur as the result of our sale of additional 2019 notes and/or Tranche B notes is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certain mortgages on our facilities in Danbury, Connecticut and Valencia, California.</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or the Tranche B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our loan arrangement with The Mann Group, falling below $25.0 million as of the last day of any fiscal quarter; our failure to timely deliver any shares issuable upon conversion of the 2019 notes; and our failure to cause the shares issuable upon conversion of the 2019 notes to be freely tradable within certain agreed upon timeframes. If one or more events of default under the Facility Agreement occurs and continues beyond any applicable cure period, the holders of the 2019 notes and Tranche B notes may declare all or any portion of the 2019 notes and Tranche B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ectPr>
          <w:pgSz w:w="11900" w:h="16838" w:orient="portrait"/>
          <w:cols w:equalWidth="0" w:num="1">
            <w:col w:w="11400"/>
          </w:cols>
          <w:pgMar w:left="240" w:top="459" w:right="259" w:bottom="1440" w:gutter="0" w:footer="0" w:header="0"/>
        </w:sectPr>
      </w:pP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459" w:right="2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There can be no assurance that we will be able to comply with the covenants under any of the foregoing agreements, and we cannot predict whether the holders of the 2019 notes or Tranche B notes would demand repayment of the outstanding balance of the 2019 notes or Tranche B notes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2015 notes. In the event of certain future defaults under the foregoing agreements for which we are not able to obtain waivers, the holders of the 2015 notes, 2019 notes and Tranche B notes may accelerate all of our repayment obligations, and, with respect to the 2019 notes and Tranche B notes, take control of our pledged assets, potentially requiring us to renegotiate the terms of our indebtedness on terms less favorable to us, or to immediately cease operations.</w:t>
      </w:r>
    </w:p>
    <w:p>
      <w:pPr>
        <w:spacing w:after="0" w:line="17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If we enter into additional debt arrangements, the terms of such additional arrangements could further restrict our operating and financial flexibility. In the event we must cease operations and liquidate our assets, the rights of any holders of our outstanding debt would be senior to the rights of the holders of our common stock to receive any proceeds from the liquidation.</w:t>
      </w: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will be harmed and the market price of our common stock could decline.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94"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AFREZZA;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extent to which our clinical studies compete for clinical sites and eligible subjects with clinical studies sponsored by other companies;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enter into sales and marketing collaborations for AFREZZA;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will be required to reduce expenses by delaying, reducing or curtailing our development of AFREZZA.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may decline.</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ectPr>
          <w:pgSz w:w="11900" w:h="16838" w:orient="portrait"/>
          <w:cols w:equalWidth="0" w:num="1">
            <w:col w:w="11400"/>
          </w:cols>
          <w:pgMar w:left="240" w:top="459"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45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AFREZZA, we may not be able to execute on our business model.</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AFREZZA. To date we have not reached an agreement on a collaboration with any of these companies. We cannot predict when, if ever, we will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studies, manufacturing and/or marketing activities at our own expense, which would delay or otherwise impede the commercialization of AFREZZA. Our product candidates are intended to be used by a large number of healthcare professionals who will require substantial education and support. For example, a broad base of physicians, including primary care physicians and endocrinologists, treat patients with diabetes. A large sales force would be required in order to educate these physicians about the benefits and advantages of AFREZZA and to provide adequate support for them. With respect to the commercialization of AFREZZA, if approved, if we fail to enter into collaborations, we would be required to establish our own direct sales, marketing and distribution capabilities. Establishing these capabilities can be time-consuming and expensive and would delay our ability to commercialize AFREZZA. Because we lack experience in selling pharmaceutical products to the diabetes market, we would be at a disadvantage compared to our potential competitors, many of whom have substantially more resources and experience than we do.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16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efforts.</w:t>
      </w:r>
    </w:p>
    <w:p>
      <w:pPr>
        <w:spacing w:after="0" w:line="301"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studies,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28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other product candidates may not yield successful results, and even if it does, we may still be unable to commercialize our product candidates.*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prevent commercialization of any of our product candidates, including the following:</w:t>
      </w:r>
    </w:p>
    <w:p>
      <w:pPr>
        <w:spacing w:after="0" w:line="87" w:lineRule="exact"/>
        <w:rPr>
          <w:sz w:val="20"/>
          <w:szCs w:val="20"/>
          <w:color w:val="auto"/>
        </w:rPr>
      </w:pPr>
    </w:p>
    <w:p>
      <w:pPr>
        <w:ind w:left="900" w:right="240" w:hanging="325"/>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w:t>
      </w:r>
    </w:p>
    <w:p>
      <w:pPr>
        <w:spacing w:after="0" w:line="29" w:lineRule="exact"/>
        <w:rPr>
          <w:rFonts w:ascii="Arial" w:cs="Arial" w:eastAsia="Arial" w:hAnsi="Arial"/>
          <w:sz w:val="16"/>
          <w:szCs w:val="16"/>
          <w:color w:val="auto"/>
        </w:rPr>
      </w:pPr>
    </w:p>
    <w:p>
      <w:pPr>
        <w:ind w:left="900" w:right="1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after reviewing preclinical and/or clinical data, we or any potential collaborators may abandon projects that we previously believed were promising; and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459" w:right="2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Forecasts about the effects of the use of drugs, including AFREZZA, over terms longer than the clinical studies or in much larger populations may not be consistent with the clinical results. If use of a drug results in adverse health effects or reduced efficacy or both, the FDA or other regulatory agencies may terminate our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and results of operations and the market price of our common stock may decline.</w:t>
      </w:r>
    </w:p>
    <w:p>
      <w:pPr>
        <w:spacing w:after="0" w:line="28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spacing w:after="0" w:line="1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For AFREZZA to be commercially viable, we need access to sufficient, reliable and affordable supplies of insulin, our AFREZZA inhaler, the related cartridges and other materials. 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287" w:lineRule="exact"/>
        <w:rPr>
          <w:sz w:val="20"/>
          <w:szCs w:val="20"/>
          <w:color w:val="auto"/>
        </w:rPr>
      </w:pPr>
    </w:p>
    <w:p>
      <w:pPr>
        <w:ind w:right="160"/>
        <w:spacing w:after="0" w:line="375" w:lineRule="auto"/>
        <w:rPr>
          <w:sz w:val="20"/>
          <w:szCs w:val="20"/>
          <w:color w:val="auto"/>
        </w:rPr>
      </w:pPr>
      <w:r>
        <w:rPr>
          <w:rFonts w:ascii="Arial" w:cs="Arial" w:eastAsia="Arial" w:hAnsi="Arial"/>
          <w:sz w:val="15"/>
          <w:szCs w:val="15"/>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use our Danbury, Connecticut facility to formulate AFREZZA inhalation powder, fill plastic cartridges with the powder, package the cartridges in blister packs, and place the blister packs into foil pouches. We will utilize a contract packager to do the final kitting and cartoning of foil pouched blisters containing cartridges, as well as inhalers and the package insert. Although the Danbury facility has been qualified and undergone two inspections by the FDA, our facility may need to undergo further inspection before we can distribute AFREZZA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9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Any of these factors could cause us to delay or suspend clinical studies, regulatory submissions or required approvals of our product candidates, could entail higher costs and may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2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any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AFREZZA and our other product candidates are new and unproven. Even if any of our product candidates obtain regulatory approval, they may not gain market acceptance among physicians, patients, third-party payors and the healthcare community. Failure to achieve market acceptance would limit our ability to generate revenue and would adversely affect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our other product candidates will depend on many factors, including the:</w:t>
      </w:r>
    </w:p>
    <w:p>
      <w:pPr>
        <w:spacing w:after="0" w:line="13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claims for which FDA approval can be obtained, including superiority claims;</w:t>
      </w:r>
    </w:p>
    <w:p>
      <w:pPr>
        <w:spacing w:after="0" w:line="130" w:lineRule="exact"/>
        <w:rPr>
          <w:rFonts w:ascii="Arial" w:cs="Arial" w:eastAsia="Arial" w:hAnsi="Arial"/>
          <w:sz w:val="18"/>
          <w:szCs w:val="18"/>
          <w:color w:val="auto"/>
        </w:rPr>
      </w:pPr>
    </w:p>
    <w:p>
      <w:pPr>
        <w:ind w:left="900" w:right="200" w:hanging="325"/>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effectiveness of our or our third party collaborator(s) efforts to educate physicians about the benefits and advantages of AFREZZA or our other products and to provide adequate support for them, and the perceived advantages and disadvantages of competitive products;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Because of these and other factors, any product that we may develop may not gain market acceptance, which would materially harm our business, financial condition and results of operations.</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any products for which we receive regulatory approval or adequately reimburse consumers for any such products, our products might not be used or purchased, which would adversely affect our revenues.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future revenues and ability to generate positive cash flow from operations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18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would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6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9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If we are unable to obtain coverage of, and adequate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 even if we have products that are approved.</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In March 2010, the Patient Protection and Affordable Care Act, as amended by the Health Care and Education Affordability Reconciliation Act, or collectively, PPACA, became law in the United States. PPACA substantially changes the way healthcare is financed by both governmental and private insurers and significantly affects the healthcare industry. Among the provisions of PPACA of importance to our potential product candidates are the following:</w:t>
      </w:r>
    </w:p>
    <w:p>
      <w:pPr>
        <w:spacing w:after="0" w:line="94" w:lineRule="exact"/>
        <w:rPr>
          <w:sz w:val="20"/>
          <w:szCs w:val="20"/>
          <w:color w:val="auto"/>
        </w:rPr>
      </w:pPr>
    </w:p>
    <w:p>
      <w:pPr>
        <w:ind w:left="900" w:right="4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drug-device combination products;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 and 13% of the average manufacturer price for most branded and generic drugs, respectively;</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certain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120" w:hanging="325"/>
        <w:spacing w:after="0" w:line="276"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new requirements to report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 with reporting to the Centers for Medicare &amp; Medicaid Services, or CMS, required by March 31, 2014 and by the 90th day of each subsequent calendar year;</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other legislative changes have been proposed and adopted since PPACA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On January 2, 2013, President Obama signed into law the American Taxpayer Relief Act of 2012, or the ATRA, which, among other things,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16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6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biopharmaceutical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laws that may affect our ability to operate include:</w:t>
      </w:r>
    </w:p>
    <w:p>
      <w:pPr>
        <w:spacing w:after="0" w:line="92" w:lineRule="exact"/>
        <w:rPr>
          <w:sz w:val="20"/>
          <w:szCs w:val="20"/>
          <w:color w:val="auto"/>
        </w:rPr>
      </w:pPr>
    </w:p>
    <w:p>
      <w:pPr>
        <w:ind w:left="900" w:right="320" w:hanging="325"/>
        <w:spacing w:after="0" w:line="279"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Anti-Kickback Statute, which constrains our marketing practices, educational programs, pricing policies, and relationships with healthcare providers or other entities,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ectPr>
          <w:pgSz w:w="11900" w:h="16838" w:orient="portrait"/>
          <w:cols w:equalWidth="0" w:num="1">
            <w:col w:w="11420"/>
          </w:cols>
          <w:pgMar w:left="240" w:top="459" w:right="239" w:bottom="1081"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081"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42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86" w:lineRule="exact"/>
        <w:rPr>
          <w:rFonts w:ascii="Arial" w:cs="Arial" w:eastAsia="Arial" w:hAnsi="Arial"/>
          <w:sz w:val="18"/>
          <w:szCs w:val="18"/>
          <w:color w:val="auto"/>
        </w:rPr>
      </w:pPr>
    </w:p>
    <w:p>
      <w:pPr>
        <w:ind w:left="900" w:right="400" w:hanging="325"/>
        <w:spacing w:after="0" w:line="308"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new federal criminal statutes that prohibit executing a scheme to defraud any healthcare benefit program or making false statements relating to healthcare matters;</w:t>
      </w:r>
    </w:p>
    <w:p>
      <w:pPr>
        <w:spacing w:after="0" w:line="51" w:lineRule="exact"/>
        <w:rPr>
          <w:rFonts w:ascii="Arial" w:cs="Arial" w:eastAsia="Arial" w:hAnsi="Arial"/>
          <w:sz w:val="17"/>
          <w:szCs w:val="17"/>
          <w:color w:val="auto"/>
        </w:rPr>
      </w:pPr>
    </w:p>
    <w:p>
      <w:pPr>
        <w:ind w:left="900" w:right="10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which imposes certain requirements relating to the privacy, security and transmission of individually identifiable health information; and</w:t>
      </w:r>
    </w:p>
    <w:p>
      <w:pPr>
        <w:spacing w:after="0" w:line="86"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Because of the breadth of these laws and the narrowness of available statutory and regulatory exceptions, it is possible that some of our business activities could be subject to challenge under one or more of such laws. To the extent that any of our product candidates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imprisonment, exclusion of products from reimbursement under U.S. federal or state healthcare programs,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liability insurance in the amount of $10.0 million. In addition, we carry local policies per study in each country in which we conduct clinical studies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our product candidates successfully, we may be required to expand our work force, particularly in the areas of manufacturing, and, if we are unable to enter into collaborations with third parties to commercialize AFREZZA or any other approved products,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3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internal controls over financial reporting are not considered effective, our business and stock price could be adversely affected.</w:t>
      </w:r>
    </w:p>
    <w:p>
      <w:pPr>
        <w:spacing w:after="0" w:line="1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In addition, we are headquartered in Valencia, California. This facility contains our principal executive offices and is used to provide support for the development of our AFREZZA programs. We depend on our facilities and on collaborators, contractors and vendors for the continued operation of our business, some of whom are located in Europe.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research and development work involves the controlled storage and use of hazardous materials, including chemical and biological materials. In addition, our manufacturing operations involve the use of a chemical that may form an explosive mixture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 in the amount of $1.625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and results of operations may be harmed.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Our product candidates must undergo costly and time-consuming rigorous nonclinical and clinical testing and we must obtain regulatory approval prior to the sale and marketing of any product. The results of this testing or issues that develop in the review and approval by a regulatory agency may subject us to unanticipated delays or prevent us from marketing any products.</w:t>
      </w:r>
    </w:p>
    <w:p>
      <w:pPr>
        <w:spacing w:after="0" w:line="73" w:lineRule="exact"/>
        <w:rPr>
          <w:sz w:val="20"/>
          <w:szCs w:val="20"/>
          <w:color w:val="auto"/>
        </w:rPr>
      </w:pPr>
    </w:p>
    <w:p>
      <w:pPr>
        <w:jc w:val="both"/>
        <w:ind w:right="72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studies of our product candidates may not be completed on schedule, the FDA or foreign regulatory agencies may order us to stop or modify our research, or these agencies may not ultimately approve any of our product candidates for commercial sale. The data collected from our clinical studies may not be sufficient to support regulatory approval of our various product candidates, including AFREZZA. Even if we believe the data collected from our clinical studies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inhaled insulin products that follow, including AFREZZA.</w:t>
      </w:r>
    </w:p>
    <w:p>
      <w:pPr>
        <w:sectPr>
          <w:pgSz w:w="11900" w:h="16838" w:orient="portrait"/>
          <w:cols w:equalWidth="0" w:num="1">
            <w:col w:w="11400"/>
          </w:cols>
          <w:pgMar w:left="240" w:top="459" w:right="259" w:bottom="1440" w:gutter="0" w:footer="0" w:header="0"/>
        </w:sectPr>
      </w:pP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59" w:right="2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FDA is regulating AFREZZA as a “combination product” because of the complex nature of the system that includes the combination of a new drug (AFREZZA) and a new medical device (the inhaler used to administer the insulin). The review of our NDA for AFREZZA involves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 or that we will obtain approval of the NDA in a timely manner or at all.</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 Other product candidates that we may develop could face similar obstacles and costs.</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will not be able to commercialize AFREZZA or any other product candidates unless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29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2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studies. Regulatory authorities may limit the segments of the diabetes population to which we or others may market AFREZZA or limit the target population for our other product candidates. There are no assurances that any advantages of AFREZZA will be agreed to by the FDA or otherwise included in product labeling or advertising and, as a result, AFREZZA may not have our expected competitive advantages when compared to other insulin products.</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manufacture, marketing and sale of any of our product candidates will be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ectPr>
          <w:pgSz w:w="11900" w:h="16838" w:orient="portrait"/>
          <w:cols w:equalWidth="0" w:num="1">
            <w:col w:w="11420"/>
          </w:cols>
          <w:pgMar w:left="240" w:top="459" w:right="239" w:bottom="1440" w:gutter="0" w:footer="0" w:header="0"/>
        </w:sectPr>
      </w:pP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will be subject to FDA inspection before the agency approves an NDA for AFREZZA.</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When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2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studies could delay or prevent us from obtaining regulatory approval or negatively impact public perception of our product candidates.</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At present, there are a number of clinical studies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studies involving insulin therapies, we could encounter delays in the timing of our clinical studies, difficulties in obtaining approval of AFREZZA or be subject to class warnings in the label for AFREZZA, if approved. In addition,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17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competitive with, our other product candidates. Adverse results reported by these other companies in their clinical studies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some patents providing protection for our AFREZZA inhalation powder expired in 2012. Other patents providing similar protection have terms extending into 2020, 2030 and 2031. In addition, patents providing protection for our inhaler and cartridges have terms extending into 2023, 2031 and 2032, and we have method of treatment claims that extend into 2026 and 2029.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United States patent law. These include provisions that affect the way patent applications will be prosecuted, subjected to post-grant challenge, and may also affect patent litigation. The United States Patent and Trademark Office, or USPTO is continuing to develop regulations and procedures to govern administration of the Leahy-Smith Act, and while all of the substantive changes to patent law associated with the Leahy-Smith Act have become effective, many changes have only recently become effective. Moreover there will be a transitional period of many years during which some applications may be eligible for prosecution under the previous rules. There are many ambiguities in this new law and how the courts will interpret it cannot be predicted with confidence. Accordingly, it is not clear what, if any, impact the Leahy-Smith Act will have on the operation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Moreover, patent law continues to evolve. Several further changes to patent law are before Congress. The United States Supreme Court has exhibited an increased interest in patent law and several of its recent decisions have tended to narrow the scope of patentable subject matter related to medical products and methods. In March 2014 the USPTO, in response to Supreme Court decisions, issued new examination guidelines which call into question the patentability of biological inventions that had previously been considered patentable. While none of this has an immediately apparent impact on our core technology and patents, the full and ultimate effect of these developments is not yet known.</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Interference proceedings brought by the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Litigation, post-grant 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29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Moreover, certain components of AFREZZA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Although we own a number of domestic and foreign patents and patent applications relating to AFREZZA, we have identified certain third-party patents having claims relating to pulmonary insulin delivery that may trigger an allegation of infringement upon the commercial manufacture and sale of AFREZZA. If a court were to determine that AFREZZA was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not selected trade names for some of our product candidates; therefore, we have not filed trademark registrations for all of our potential trade names for our product candidates in all jurisdictions, nor can we assure that we will be granted registration of those potential trade names for which we have filed.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5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and results of our clinical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existence of, and the issuance of shares of our common stock pursuant to, the share lending agreement and the short sales of our common stock effected in connection with the sale of our 2015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conversion of any of our 2015 notes into shares of our common stock; and</w:t>
      </w:r>
    </w:p>
    <w:p>
      <w:pPr>
        <w:spacing w:after="0" w:line="13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8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At March 21, 2014, our Chairman and Chief Executive Officer, Alfred E. Mann beneficially owned 39.7% of our outstanding shares of capital stock.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3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the conversion of our senior convertible notes into common stock or the exercise of our warrants for common stock could negatively affect our stock price.*</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May 5, 2014, we had 388,615,163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or upon the exercise of some or all of the warrants we issued in February 2012, could adversely affect the trading price of our common stock. In addition, the existence of these notes and warrants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ectPr>
          <w:pgSz w:w="11900" w:h="16838" w:orient="portrait"/>
          <w:cols w:equalWidth="0" w:num="1">
            <w:col w:w="11420"/>
          </w:cols>
          <w:pgMar w:left="240" w:top="459"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including through the ATM Agreements, or additional convertible debt, the market price of our common stock may decline and our existing stockholders may experience significant dilution.</w:t>
      </w:r>
    </w:p>
    <w:p>
      <w:pPr>
        <w:spacing w:after="0" w:line="289"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expect to pay dividends in the foreseeable future, you must rely on stock appreciation for any return on your investment.</w:t>
      </w:r>
    </w:p>
    <w:p>
      <w:pPr>
        <w:spacing w:after="0" w:line="1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283" w:lineRule="exact"/>
        <w:rPr>
          <w:sz w:val="20"/>
          <w:szCs w:val="20"/>
          <w:color w:val="auto"/>
        </w:rPr>
      </w:pPr>
    </w:p>
    <w:p>
      <w:pPr>
        <w:ind w:right="430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May 6, 2014, Deerfield purchased Tranche B notes in the aggregate principal amount of $20.0 million in accordance with the provisions of the amended Facility Agreement.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Tranche B notes bear interest at the rate of 9.75% per year, subject to reduction to 8.75% if we enter into a collaboration with a third party to commercialize AFREZZA, on the outstanding principal amount, payable in cash quarterly in arrears on the last business day of March, June, September and December of each year, beginning in June 2014. We are required to repay 25% of the original principal amount of the Tranche B notes on the third, fourth, fifth and sixth anniversaries of their issue date, provided that the entire outstanding principal amount will become due and payable no later than December 31, 2019. The Tranche B notes will be prepayable by us without penalty or premium commencing two years after issuance. If we undergo certain Major Transactions, as defined in the Facility Agreement, the holders of the Tranche B notes will have the option to require us to repurchase all or any portion of the Tranche B notes at a repurchase price of 100% of the principal amount of such notes to be repurchased plus accrued and unpaid interest, if any.</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one or more events of default under the Facility Agreement occurs and continues beyond any applicable cure period, the holders of the Tranche B notes may declare all or any portion of the Tranche B notes to be immediately due and payable. Events of default under the Facility Agreement include: our failure to timely make payments due under the 2019 notes or the Tranche B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our loan arrangement with The Mann Group, falling below $25.0 million as of the last day of any fiscal quarter; our failure to timely deliver any shares issuable upon conversion of the 2019 notes; and our failure to cause the shares issuable upon conversion of the 2019 notes to be freely tradable within certain agreed upon timeframes.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foregoing description of the Tranche B notes does not purport to be complete and is qualified in its entirety by reference to the form of Tranche B note, which has been filed as Exhibit 4.8 to this quarterly report.</w:t>
      </w:r>
    </w:p>
    <w:p>
      <w:pPr>
        <w:sectPr>
          <w:pgSz w:w="11900" w:h="16838" w:orient="portrait"/>
          <w:cols w:equalWidth="0" w:num="1">
            <w:col w:w="11400"/>
          </w:cols>
          <w:pgMar w:left="240" w:top="459" w:right="259" w:bottom="1135"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459" w:right="259" w:bottom="1135"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1034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10340" w:type="dxa"/>
            <w:vAlign w:val="bottom"/>
          </w:tcPr>
          <w:p>
            <w:pPr>
              <w:ind w:left="440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Amended and Restated Certificate of Incorporation (incorporated by reference to MannKind’s Registration Statement on Form S-1 (File No.</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333-115020), originally filed with the SEC on April 30, 2004, as amended).</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Certificate of Amendment of Amended and Restated Certificate of Incorporation (incorporated by reference to MannKind’s Quarterly Report</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on Form 10-Q (File No. 000-50865), originally filed with the SEC on August 9, 2007).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Certificate of Amendment of Amended and Restated Certificate of Incorporation (incorporated by reference to MannKind’s Quarterly report on</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10-Q (File No. 000-50865), originally filed with the SEC on August 2,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Certificate of Amendment of Amended and Restated Certificate of Incorporation (incorporated by reference to MannKind’s Current Report on</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8-K (File No. 000-50865), originally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Amended and Restated Bylaws (incorporated by reference to MannKind’s Current Report on Form 8-K (File No. 000-50865), originally filed</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with the SEC on November 19, 2007).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Form of common stock certificate (incorporated by reference to MannKind’s Annual Report on Form 10-K (File No. 000-50865), originally</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with the SEC on March 18,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Registration Rights Agreement, dated October 15, 1998 by and among CTL Immuno Therapies Corp., Medical Research Group, LLC, McLean</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Watson Advisory Inc. and Alfred E. Mann, as amended (incorporated by reference to MannKind’s Registration Statement on Form S-1 (File</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No. 333-115020), originally filed with the SEC on April 30, 2004, as amended).</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Indenture, by and between MannKind and Wells Fargo Bank, N.A., dated August 24, 2010 (incorporated by reference to MannKind’s Current</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Report on Form 8-K (File No. 000-50865), originally filed with the SEC on August 24,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Form of 5.75% Senior Convertible Note due 2015 (incorporated by reference to MannKind’s Current Report on Form 8-K (File No. 000-</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50865), originally filed with the SEC on August 24,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Warrant to Purchase Common Stock issued February 8, 2012 (incorporated by reference to MannKind’s Current Report on Form 8-K</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000-50865), originally filed with the SEC on February 6, 2012).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Form of 9.75% Senior Secured Convertible Promissory Note due 2019 (incorporated by reference to MannKind’s current report on Form 8-K</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000-50865), originally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Form of Amended and Restated 9.75% Senior Secured Convertible Promissory Note due 2019 (incorporated by reference to MannKind’s</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Annual Report on Form 10-K (File No. 000-50865), originally filed with the SEC on March 3, 2014).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of Tranche B Senior Secured Note.</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Milestone Rights Purchase Agreement, dated as of July 1, 2013, by and among MannKind, Deerfield Private Design Fund II, L.P. and Horizon</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Santé FLML SÁRL (incorporated by reference to MannKind’s Current Report on Form 8-K (File No. 000-50865), originally filed with the</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Guaranty and Security Agreement, dated as of July 1, 2013, by and among MannKind, MannKind LLC, Deerfield Private Design Fund II, L.P.,</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Deerfield Private Design International II, L.P. and Horizon Santé FLML SÁRL (incorporated by reference to MannKind’s Current Report on</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8-K (File No. 000-50865), originally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Registration Rights Agreement, dated as of July 1, 2013, by and among MannKind, Deerfield Private Design Fund II, L.P. and Deerfield</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Private Design International II, L.P. (incorporated by reference to MannKind’s Current Report on Form 8-K (File No. 000-50865), originally</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Facility Agreement, dated as of July 1, 2013, by and among MannKind Corporation, Deerfield Private Design Fund II, L.P. and Deerfield</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Private Design International II, L.P. (incorporated by reference to MannKind’s Current Report on Form 8-K (File No. 000-50865), originally</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with the SEC on July 1, 2013).</w:t>
            </w:r>
          </w:p>
        </w:tc>
      </w:tr>
      <w:tr>
        <w:trPr>
          <w:trHeight w:val="365"/>
        </w:trPr>
        <w:tc>
          <w:tcPr>
            <w:tcW w:w="520" w:type="dxa"/>
            <w:vAlign w:val="bottom"/>
          </w:tcPr>
          <w:p>
            <w:pPr>
              <w:spacing w:after="0"/>
              <w:rPr>
                <w:sz w:val="24"/>
                <w:szCs w:val="24"/>
                <w:color w:val="auto"/>
              </w:rPr>
            </w:pPr>
          </w:p>
        </w:tc>
        <w:tc>
          <w:tcPr>
            <w:tcW w:w="10900" w:type="dxa"/>
            <w:vAlign w:val="bottom"/>
            <w:gridSpan w:val="2"/>
          </w:tcPr>
          <w:p>
            <w:pPr>
              <w:jc w:val="right"/>
              <w:ind w:right="553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left="700" w:right="200" w:hanging="688"/>
        <w:spacing w:after="0" w:line="264" w:lineRule="auto"/>
        <w:tabs>
          <w:tab w:leader="none" w:pos="6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First Amendment to Facility Agreement and Registration Rights Agreement, dated as of February 28, 2014, by and among MannKind, Deerfield Private Design Fund II, L.P. and Deerfield Private Design International II, L.P. (incorporated by reference to MannKind’s Annual Report on Form 10-K (File No. 000-50865), originally filed with the SEC on March 3, 2014).</w:t>
      </w:r>
    </w:p>
    <w:p>
      <w:pPr>
        <w:spacing w:after="0" w:line="73" w:lineRule="exact"/>
        <w:rPr>
          <w:sz w:val="20"/>
          <w:szCs w:val="20"/>
          <w:color w:val="auto"/>
        </w:rPr>
      </w:pPr>
    </w:p>
    <w:p>
      <w:pPr>
        <w:ind w:left="700" w:right="300" w:hanging="688"/>
        <w:spacing w:after="0" w:line="277"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At-The-Market Issuance Sales Agreement, dated March 3, 2014, by and between MannKind and MLV &amp; Co. LLC (incorporated by reference to MannKind’s Annual Report on Form 10-K (File No. 000-50865), originally filed with the SEC on March 3, 2014).</w:t>
      </w:r>
    </w:p>
    <w:p>
      <w:pPr>
        <w:spacing w:after="0" w:line="62" w:lineRule="exact"/>
        <w:rPr>
          <w:sz w:val="20"/>
          <w:szCs w:val="20"/>
          <w:color w:val="auto"/>
        </w:rPr>
      </w:pPr>
    </w:p>
    <w:p>
      <w:pPr>
        <w:ind w:left="700" w:hanging="688"/>
        <w:spacing w:after="0" w:line="264" w:lineRule="auto"/>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At-The-Market Issuance Sales Agreement, dated March 3, 2014, by and between MannKind and Meyers Associates, L.P. (doing business as Brinson Patrick, a division of Meyers Associates, L.P.) (incorporated by reference to MannKind’s Annual Report on Form 10-K (File No. 000-50865), originally filed with the SEC on March 3, 2014).</w:t>
      </w:r>
    </w:p>
    <w:p>
      <w:pPr>
        <w:spacing w:after="0" w:line="73" w:lineRule="exact"/>
        <w:rPr>
          <w:sz w:val="20"/>
          <w:szCs w:val="20"/>
          <w:color w:val="auto"/>
        </w:rPr>
      </w:pPr>
    </w:p>
    <w:p>
      <w:pPr>
        <w:ind w:left="700" w:right="160" w:hanging="688"/>
        <w:spacing w:after="0" w:line="264" w:lineRule="auto"/>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First Amendment to Facility Agreement and Registration Rights Agreement, dated as of February 28, 2014, by and among MannKind, Deerfield Private Design Fund II, L.P., and Deerfield Private Design International II, L.P. (incorporated by reference to MannKind’s Annual Report on Form 10-K (File No. 000-50865), originally filed with the SEC on March 3, 2014)</w:t>
      </w:r>
    </w:p>
    <w:p>
      <w:pPr>
        <w:spacing w:after="0" w:line="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Rules 13a-14(a) and 15d-14(a) of the Securities Exchange Act of 1934, as amended.</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Rules 13a-14(a) and 15d-14(a) of the Securities Exchange Act of 1934, as amended.</w:t>
      </w:r>
    </w:p>
    <w:p>
      <w:pPr>
        <w:spacing w:after="0" w:line="117" w:lineRule="exact"/>
        <w:rPr>
          <w:sz w:val="20"/>
          <w:szCs w:val="20"/>
          <w:color w:val="auto"/>
        </w:rPr>
      </w:pPr>
    </w:p>
    <w:p>
      <w:pPr>
        <w:ind w:left="700" w:right="60" w:hanging="692"/>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pursuant to Rules 13a-14(b) and 15d-14(b) of the Securities Exchange Act of 1934, as amended and Section 1350 of Chapter 63 of Title 18 of the United States Code (18 U.S.C. §1350).</w:t>
      </w:r>
    </w:p>
    <w:p>
      <w:pPr>
        <w:spacing w:after="0" w:line="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220"/>
          </w:cols>
          <w:pgMar w:left="240" w:top="459"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Dated: May 12, 2014</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MANNKIND CORPORATION</w:t>
      </w:r>
    </w:p>
    <w:p>
      <w:pPr>
        <w:spacing w:after="0" w:line="200" w:lineRule="exact"/>
        <w:rPr>
          <w:sz w:val="20"/>
          <w:szCs w:val="20"/>
          <w:color w:val="auto"/>
        </w:rPr>
      </w:pPr>
    </w:p>
    <w:p>
      <w:pPr>
        <w:sectPr>
          <w:pgSz w:w="11900" w:h="16838" w:orient="portrait"/>
          <w:cols w:equalWidth="0" w:num="2">
            <w:col w:w="5120" w:space="720"/>
            <w:col w:w="5380"/>
          </w:cols>
          <w:pgMar w:left="240" w:top="459" w:right="439" w:bottom="1440" w:gutter="0" w:footer="0" w:header="0"/>
          <w:type w:val="continuous"/>
        </w:sectPr>
      </w:pPr>
    </w:p>
    <w:p>
      <w:pPr>
        <w:spacing w:after="0" w:line="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 M</w:t>
      </w:r>
      <w:r>
        <w:rPr>
          <w:rFonts w:ascii="Arial" w:cs="Arial" w:eastAsia="Arial" w:hAnsi="Arial"/>
          <w:sz w:val="13"/>
          <w:szCs w:val="13"/>
          <w:color w:val="auto"/>
        </w:rPr>
        <w:t>ATTHEW</w:t>
      </w:r>
      <w:r>
        <w:rPr>
          <w:rFonts w:ascii="Arial" w:cs="Arial" w:eastAsia="Arial" w:hAnsi="Arial"/>
          <w:sz w:val="16"/>
          <w:szCs w:val="16"/>
          <w:color w:val="auto"/>
        </w:rPr>
        <w:t xml:space="preserve"> J. P</w:t>
      </w:r>
      <w:r>
        <w:rPr>
          <w:rFonts w:ascii="Arial" w:cs="Arial" w:eastAsia="Arial" w:hAnsi="Arial"/>
          <w:sz w:val="13"/>
          <w:szCs w:val="13"/>
          <w:color w:val="auto"/>
        </w:rPr>
        <w:t>FEFFER</w:t>
      </w:r>
    </w:p>
    <w:p>
      <w:pPr>
        <w:spacing w:after="0" w:line="46" w:lineRule="exact"/>
        <w:rPr>
          <w:sz w:val="20"/>
          <w:szCs w:val="20"/>
          <w:color w:val="auto"/>
        </w:rPr>
      </w:pPr>
    </w:p>
    <w:p>
      <w:pPr>
        <w:sectPr>
          <w:pgSz w:w="11900" w:h="16838" w:orient="portrait"/>
          <w:cols w:equalWidth="0" w:num="2">
            <w:col w:w="7220" w:space="720"/>
            <w:col w:w="3280"/>
          </w:cols>
          <w:pgMar w:left="240" w:top="459" w:right="439" w:bottom="1440" w:gutter="0" w:footer="0" w:header="0"/>
          <w:type w:val="continuous"/>
        </w:sectPr>
      </w:pPr>
    </w:p>
    <w:p>
      <w:pPr>
        <w:jc w:val="center"/>
        <w:ind w:left="6280"/>
        <w:spacing w:after="0"/>
        <w:rPr>
          <w:sz w:val="20"/>
          <w:szCs w:val="20"/>
          <w:color w:val="auto"/>
        </w:rPr>
      </w:pPr>
      <w:r>
        <w:rPr>
          <w:rFonts w:ascii="Arial" w:cs="Arial" w:eastAsia="Arial" w:hAnsi="Arial"/>
          <w:sz w:val="18"/>
          <w:szCs w:val="18"/>
          <w:b w:val="1"/>
          <w:bCs w:val="1"/>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5"/>
          <w:szCs w:val="15"/>
          <w:b w:val="1"/>
          <w:bCs w:val="1"/>
          <w:i w:val="1"/>
          <w:iCs w:val="1"/>
          <w:color w:val="auto"/>
        </w:rPr>
        <w:t>Corporate Vice President and Chief Financial Officer</w:t>
      </w:r>
    </w:p>
    <w:p>
      <w:pPr>
        <w:spacing w:after="0" w:line="44"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20"/>
          </w:cols>
          <w:pgMar w:left="240" w:top="459" w:right="439" w:bottom="1440" w:gutter="0" w:footer="0" w:header="0"/>
          <w:type w:val="continuous"/>
        </w:sectPr>
      </w:pPr>
    </w:p>
    <w:bookmarkStart w:id="41" w:name="page42"/>
    <w:bookmarkEnd w:id="41"/>
    <w:p>
      <w:pPr>
        <w:ind w:left="10600"/>
        <w:spacing w:after="0"/>
        <w:rPr>
          <w:sz w:val="20"/>
          <w:szCs w:val="20"/>
          <w:color w:val="auto"/>
        </w:rPr>
      </w:pPr>
      <w:r>
        <w:rPr>
          <w:rFonts w:ascii="Arial" w:cs="Arial" w:eastAsia="Arial" w:hAnsi="Arial"/>
          <w:sz w:val="16"/>
          <w:szCs w:val="16"/>
          <w:b w:val="1"/>
          <w:bCs w:val="1"/>
          <w:color w:val="auto"/>
        </w:rPr>
        <w:t>Exhibit 4.8</w:t>
      </w:r>
    </w:p>
    <w:p>
      <w:pPr>
        <w:spacing w:after="0" w:line="200"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THE SECURITY REPRESENTED BY THIS CERTIFICATE HAS NOT BEEN REGISTERED UNDER THE SECURITIES ACT OF 1933, OR APPLICABLE STATE SECURITIES LAWS. THIS SECURITY MAY NOT BE SOLD, TRANSFERRED OR ASSIGNED, PLEDGED, HYPOTHECATED OR OTHERWISE DISPOSED OF IN THE ABSENCE OF AN EFFECTIVE REGISTRATION STATEMENT FOR THE SECURITIES UNDER SAID ACT, OR PURSUANT TO AN EXEMPTION FROM REGISTRATION UNDER SAID ACT INCLUDING, WITHOUT LIMITATION, PURSUANT TO RULE 144 UNDER SAID ACT.</w:t>
      </w:r>
    </w:p>
    <w:p>
      <w:pPr>
        <w:spacing w:after="0" w:line="11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THIS NOTE MAY BE ISSUED WITH ORIGINAL ISSUE DISCOUNT (“OID”) FOR U.S. FEDERAL INCOME TAX PURPOSES. THE ISSUE PRICE OF THIS NOTE SHALL BE MUTUALLY DETERMINED BY THE ORIGINAL HOLDER AND THE COMPANY IN GOOD FAITH AND IN ACCORDANCE WITH THE APPLICABLE PROVISIONS OF SECTIONS 1271 THROUGH 1275 OF THE U.S. INTERNAL REVENUE CODE. THE ISSUE PRICE, AMOUNT OF OID, ISSUE DATE AND YIELD TO MATURITY WITH RESPECT TO THIS NOTE MAY BE OBTAINED BY WRITING TO THE BORROWER AT THE FOLLOWING ADDRESS: 28903 NORTH AVENUE PAINE; VALENCIA, CALIFORNIA 91355; ATTENTION: MATTHEW PFEFFER FAX NUMBER: (661) 775-2099.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TRANCHE B SENIOR SECURED NOTE</w:t>
            </w:r>
          </w:p>
        </w:tc>
        <w:tc>
          <w:tcPr>
            <w:tcW w:w="102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37"/>
        </w:trPr>
        <w:tc>
          <w:tcPr>
            <w:tcW w:w="1400" w:type="dxa"/>
            <w:vAlign w:val="bottom"/>
          </w:tcPr>
          <w:p>
            <w:pPr>
              <w:spacing w:after="0"/>
              <w:rPr>
                <w:sz w:val="20"/>
                <w:szCs w:val="20"/>
                <w:color w:val="auto"/>
              </w:rPr>
            </w:pPr>
            <w:r>
              <w:rPr>
                <w:rFonts w:ascii="Arial" w:cs="Arial" w:eastAsia="Arial" w:hAnsi="Arial"/>
                <w:sz w:val="18"/>
                <w:szCs w:val="18"/>
                <w:color w:val="auto"/>
              </w:rPr>
              <w:t>Issuance Date: [</w:t>
            </w:r>
          </w:p>
        </w:tc>
        <w:tc>
          <w:tcPr>
            <w:tcW w:w="2720" w:type="dxa"/>
            <w:vAlign w:val="bottom"/>
          </w:tcPr>
          <w:p>
            <w:pPr>
              <w:jc w:val="right"/>
              <w:ind w:right="1872"/>
              <w:spacing w:after="0"/>
              <w:rPr>
                <w:sz w:val="20"/>
                <w:szCs w:val="20"/>
                <w:color w:val="auto"/>
              </w:rPr>
            </w:pPr>
            <w:r>
              <w:rPr>
                <w:rFonts w:ascii="Arial" w:cs="Arial" w:eastAsia="Arial" w:hAnsi="Arial"/>
                <w:sz w:val="18"/>
                <w:szCs w:val="18"/>
                <w:color w:val="auto"/>
              </w:rPr>
              <w:t>], 2014</w:t>
            </w:r>
          </w:p>
        </w:tc>
        <w:tc>
          <w:tcPr>
            <w:tcW w:w="460" w:type="dxa"/>
            <w:vAlign w:val="bottom"/>
          </w:tcPr>
          <w:p>
            <w:pPr>
              <w:spacing w:after="0"/>
              <w:rPr>
                <w:sz w:val="24"/>
                <w:szCs w:val="24"/>
                <w:color w:val="auto"/>
              </w:rPr>
            </w:pPr>
          </w:p>
        </w:tc>
        <w:tc>
          <w:tcPr>
            <w:tcW w:w="5800" w:type="dxa"/>
            <w:vAlign w:val="bottom"/>
            <w:gridSpan w:val="2"/>
          </w:tcPr>
          <w:p>
            <w:pPr>
              <w:ind w:left="1300"/>
              <w:spacing w:after="0"/>
              <w:rPr>
                <w:sz w:val="20"/>
                <w:szCs w:val="20"/>
                <w:color w:val="auto"/>
              </w:rPr>
            </w:pPr>
            <w:r>
              <w:rPr>
                <w:rFonts w:ascii="Arial" w:cs="Arial" w:eastAsia="Arial" w:hAnsi="Arial"/>
                <w:sz w:val="18"/>
                <w:szCs w:val="18"/>
                <w:color w:val="auto"/>
              </w:rPr>
              <w:t>Principal: U.S. $[]</w:t>
            </w:r>
          </w:p>
        </w:tc>
        <w:tc>
          <w:tcPr>
            <w:tcW w:w="1020" w:type="dxa"/>
            <w:vAlign w:val="bottom"/>
          </w:tcPr>
          <w:p>
            <w:pPr>
              <w:spacing w:after="0"/>
              <w:rPr>
                <w:sz w:val="24"/>
                <w:szCs w:val="24"/>
                <w:color w:val="auto"/>
              </w:rPr>
            </w:pPr>
          </w:p>
        </w:tc>
      </w:tr>
      <w:tr>
        <w:trPr>
          <w:trHeight w:val="366"/>
        </w:trPr>
        <w:tc>
          <w:tcPr>
            <w:tcW w:w="10380" w:type="dxa"/>
            <w:vAlign w:val="bottom"/>
            <w:gridSpan w:val="5"/>
          </w:tcPr>
          <w:p>
            <w:pPr>
              <w:ind w:left="460"/>
              <w:spacing w:after="0"/>
              <w:rPr>
                <w:sz w:val="20"/>
                <w:szCs w:val="20"/>
                <w:color w:val="auto"/>
              </w:rPr>
            </w:pPr>
            <w:r>
              <w:rPr>
                <w:rFonts w:ascii="Arial" w:cs="Arial" w:eastAsia="Arial" w:hAnsi="Arial"/>
                <w:sz w:val="18"/>
                <w:szCs w:val="18"/>
                <w:b w:val="1"/>
                <w:bCs w:val="1"/>
                <w:color w:val="auto"/>
                <w:w w:val="97"/>
              </w:rPr>
              <w:t xml:space="preserve">FOR VALUE RECEIVED, MANNKIND CORPORATION, </w:t>
            </w:r>
            <w:r>
              <w:rPr>
                <w:rFonts w:ascii="Arial" w:cs="Arial" w:eastAsia="Arial" w:hAnsi="Arial"/>
                <w:sz w:val="18"/>
                <w:szCs w:val="18"/>
                <w:color w:val="auto"/>
                <w:w w:val="97"/>
              </w:rPr>
              <w:t>a Delaware corporation (the “</w:t>
            </w:r>
            <w:r>
              <w:rPr>
                <w:rFonts w:ascii="Arial" w:cs="Arial" w:eastAsia="Arial" w:hAnsi="Arial"/>
                <w:sz w:val="18"/>
                <w:szCs w:val="18"/>
                <w:b w:val="1"/>
                <w:bCs w:val="1"/>
                <w:color w:val="auto"/>
                <w:w w:val="97"/>
              </w:rPr>
              <w:t>Company</w:t>
            </w:r>
            <w:r>
              <w:rPr>
                <w:rFonts w:ascii="Arial" w:cs="Arial" w:eastAsia="Arial" w:hAnsi="Arial"/>
                <w:sz w:val="18"/>
                <w:szCs w:val="18"/>
                <w:color w:val="auto"/>
                <w:w w:val="97"/>
              </w:rPr>
              <w:t>”), hereby promises to pay to [</w:t>
            </w:r>
          </w:p>
        </w:tc>
        <w:tc>
          <w:tcPr>
            <w:tcW w:w="1020" w:type="dxa"/>
            <w:vAlign w:val="bottom"/>
          </w:tcPr>
          <w:p>
            <w:pPr>
              <w:ind w:left="440"/>
              <w:spacing w:after="0"/>
              <w:rPr>
                <w:sz w:val="20"/>
                <w:szCs w:val="20"/>
                <w:color w:val="auto"/>
              </w:rPr>
            </w:pPr>
            <w:r>
              <w:rPr>
                <w:rFonts w:ascii="Arial" w:cs="Arial" w:eastAsia="Arial" w:hAnsi="Arial"/>
                <w:sz w:val="18"/>
                <w:szCs w:val="18"/>
                <w:color w:val="auto"/>
              </w:rPr>
              <w:t>], or its</w:t>
            </w:r>
          </w:p>
        </w:tc>
      </w:tr>
      <w:tr>
        <w:trPr>
          <w:trHeight w:val="228"/>
        </w:trPr>
        <w:tc>
          <w:tcPr>
            <w:tcW w:w="4580" w:type="dxa"/>
            <w:vAlign w:val="bottom"/>
            <w:gridSpan w:val="3"/>
          </w:tcPr>
          <w:p>
            <w:pPr>
              <w:spacing w:after="0"/>
              <w:rPr>
                <w:sz w:val="20"/>
                <w:szCs w:val="20"/>
                <w:color w:val="auto"/>
              </w:rPr>
            </w:pPr>
            <w:r>
              <w:rPr>
                <w:rFonts w:ascii="Arial" w:cs="Arial" w:eastAsia="Arial" w:hAnsi="Arial"/>
                <w:sz w:val="18"/>
                <w:szCs w:val="18"/>
                <w:color w:val="auto"/>
                <w:w w:val="99"/>
              </w:rPr>
              <w:t>registered assigns (the “</w:t>
            </w:r>
            <w:r>
              <w:rPr>
                <w:rFonts w:ascii="Arial" w:cs="Arial" w:eastAsia="Arial" w:hAnsi="Arial"/>
                <w:sz w:val="18"/>
                <w:szCs w:val="18"/>
                <w:b w:val="1"/>
                <w:bCs w:val="1"/>
                <w:color w:val="auto"/>
                <w:w w:val="99"/>
              </w:rPr>
              <w:t>Holder</w:t>
            </w:r>
            <w:r>
              <w:rPr>
                <w:rFonts w:ascii="Arial" w:cs="Arial" w:eastAsia="Arial" w:hAnsi="Arial"/>
                <w:sz w:val="18"/>
                <w:szCs w:val="18"/>
                <w:color w:val="auto"/>
                <w:w w:val="99"/>
              </w:rPr>
              <w:t>”) the principal amount of [</w:t>
            </w:r>
          </w:p>
        </w:tc>
        <w:tc>
          <w:tcPr>
            <w:tcW w:w="6820" w:type="dxa"/>
            <w:vAlign w:val="bottom"/>
            <w:gridSpan w:val="3"/>
          </w:tcPr>
          <w:p>
            <w:pPr>
              <w:ind w:left="440"/>
              <w:spacing w:after="0"/>
              <w:rPr>
                <w:sz w:val="20"/>
                <w:szCs w:val="20"/>
                <w:color w:val="auto"/>
              </w:rPr>
            </w:pPr>
            <w:r>
              <w:rPr>
                <w:rFonts w:ascii="Arial" w:cs="Arial" w:eastAsia="Arial" w:hAnsi="Arial"/>
                <w:sz w:val="18"/>
                <w:szCs w:val="18"/>
                <w:color w:val="auto"/>
                <w:w w:val="89"/>
              </w:rPr>
              <w:t>] Dollars ($[]) (the “</w:t>
            </w:r>
            <w:r>
              <w:rPr>
                <w:rFonts w:ascii="Arial" w:cs="Arial" w:eastAsia="Arial" w:hAnsi="Arial"/>
                <w:sz w:val="18"/>
                <w:szCs w:val="18"/>
                <w:b w:val="1"/>
                <w:bCs w:val="1"/>
                <w:color w:val="auto"/>
                <w:w w:val="89"/>
              </w:rPr>
              <w:t>Principal</w:t>
            </w:r>
            <w:r>
              <w:rPr>
                <w:rFonts w:ascii="Arial" w:cs="Arial" w:eastAsia="Arial" w:hAnsi="Arial"/>
                <w:sz w:val="18"/>
                <w:szCs w:val="18"/>
                <w:color w:val="auto"/>
                <w:w w:val="89"/>
              </w:rPr>
              <w:t>”) pursuant to, and in accordance with, the terms of that</w:t>
            </w:r>
          </w:p>
        </w:tc>
      </w:tr>
    </w:tbl>
    <w:p>
      <w:pPr>
        <w:ind w:right="20"/>
        <w:spacing w:after="0" w:line="287" w:lineRule="auto"/>
        <w:rPr>
          <w:sz w:val="20"/>
          <w:szCs w:val="20"/>
          <w:color w:val="auto"/>
        </w:rPr>
      </w:pPr>
      <w:r>
        <w:rPr>
          <w:rFonts w:ascii="Arial" w:cs="Arial" w:eastAsia="Arial" w:hAnsi="Arial"/>
          <w:sz w:val="16"/>
          <w:szCs w:val="16"/>
          <w:color w:val="auto"/>
        </w:rPr>
        <w:t>certain Facility Agreement, dated as of July 1, 2013, as amended on February 28, 2014, by and among the Company and the Purchasers party thereto (together with all exhibits and schedules thereto and as may be amended, restated, modified and supplemented from time to time, the “</w:t>
      </w:r>
      <w:r>
        <w:rPr>
          <w:rFonts w:ascii="Arial" w:cs="Arial" w:eastAsia="Arial" w:hAnsi="Arial"/>
          <w:sz w:val="16"/>
          <w:szCs w:val="16"/>
          <w:b w:val="1"/>
          <w:bCs w:val="1"/>
          <w:color w:val="auto"/>
        </w:rPr>
        <w:t>Facility Agreement</w:t>
      </w:r>
      <w:r>
        <w:rPr>
          <w:rFonts w:ascii="Arial" w:cs="Arial" w:eastAsia="Arial" w:hAnsi="Arial"/>
          <w:sz w:val="16"/>
          <w:szCs w:val="16"/>
          <w:color w:val="auto"/>
        </w:rPr>
        <w:t>”). The Company hereby promises to pay accrued and unpaid Interest (as defined below) and premium, if any, on the Principal on the dates, at the rates and in the manner provided for in the Facility Agreement. This Tranche B Senior Secured Note (including all Tranche B Senior Secured Notes issued in exchange, transfer or replacement hereof, and as any of the foregoing may be amended, restated, supplemented or otherwise modified from time, this “</w:t>
      </w:r>
      <w:r>
        <w:rPr>
          <w:rFonts w:ascii="Arial" w:cs="Arial" w:eastAsia="Arial" w:hAnsi="Arial"/>
          <w:sz w:val="16"/>
          <w:szCs w:val="16"/>
          <w:b w:val="1"/>
          <w:bCs w:val="1"/>
          <w:color w:val="auto"/>
        </w:rPr>
        <w:t>Note</w:t>
      </w:r>
      <w:r>
        <w:rPr>
          <w:rFonts w:ascii="Arial" w:cs="Arial" w:eastAsia="Arial" w:hAnsi="Arial"/>
          <w:sz w:val="16"/>
          <w:szCs w:val="16"/>
          <w:color w:val="auto"/>
        </w:rPr>
        <w:t>”) is one of the Tranche B Senior Secured Notes issued pursuant to the Facility Agreement (collectively, including Tranche B Senior Secured Notes to be issued pursuant to the Facility Agreement in the future, all Tranche B Senior Secured Notes issued in exchange, transfer or replacement thereof, as well as any of the foregoing may be amended, restated, supplemented or otherwise modified from time to time, the “</w:t>
      </w:r>
      <w:r>
        <w:rPr>
          <w:rFonts w:ascii="Arial" w:cs="Arial" w:eastAsia="Arial" w:hAnsi="Arial"/>
          <w:sz w:val="16"/>
          <w:szCs w:val="16"/>
          <w:b w:val="1"/>
          <w:bCs w:val="1"/>
          <w:color w:val="auto"/>
        </w:rPr>
        <w:t>Notes</w:t>
      </w:r>
      <w:r>
        <w:rPr>
          <w:rFonts w:ascii="Arial" w:cs="Arial" w:eastAsia="Arial" w:hAnsi="Arial"/>
          <w:sz w:val="16"/>
          <w:szCs w:val="16"/>
          <w:color w:val="auto"/>
        </w:rPr>
        <w:t>”). All capitalized terms used and not otherwise defined herein shall have the respective meanings set forth in the Facility Agreement.</w:t>
      </w:r>
    </w:p>
    <w:p>
      <w:pPr>
        <w:sectPr>
          <w:pgSz w:w="11900" w:h="16838" w:orient="portrait"/>
          <w:cols w:equalWidth="0" w:num="1">
            <w:col w:w="11420"/>
          </w:cols>
          <w:pgMar w:left="240" w:top="125" w:right="239" w:bottom="1440" w:gutter="0" w:footer="0" w:header="0"/>
        </w:sectPr>
      </w:pPr>
    </w:p>
    <w:bookmarkStart w:id="42" w:name="page43"/>
    <w:bookmarkEnd w:id="42"/>
    <w:p>
      <w:pPr>
        <w:ind w:right="3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expressly provided in the Facility Agreement, the Company has no right, but under certain circumstances may have an obligation, to make payments of Principal prior to the Final Payment Date. At any time an Event of Default exists, the Principal of this Note, together with all accrued and unpaid Interest and any applicable premium due, if any, may be declared, or shall otherwise become, due and payable in the manner, at the price and with the effect provided in the Facility Agreement.</w:t>
      </w:r>
    </w:p>
    <w:p>
      <w:pPr>
        <w:spacing w:after="0" w:line="143" w:lineRule="exact"/>
        <w:rPr>
          <w:sz w:val="20"/>
          <w:szCs w:val="20"/>
          <w:color w:val="auto"/>
        </w:rPr>
      </w:pPr>
    </w:p>
    <w:p>
      <w:pPr>
        <w:ind w:left="1100" w:hanging="179"/>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purposes of this Note, the following terms shall have the following meanings:</w:t>
      </w:r>
    </w:p>
    <w:p>
      <w:pPr>
        <w:spacing w:after="0" w:line="165" w:lineRule="exact"/>
        <w:rPr>
          <w:rFonts w:ascii="Arial" w:cs="Arial" w:eastAsia="Arial" w:hAnsi="Arial"/>
          <w:sz w:val="18"/>
          <w:szCs w:val="18"/>
          <w:color w:val="auto"/>
        </w:rPr>
      </w:pPr>
    </w:p>
    <w:p>
      <w:pPr>
        <w:ind w:firstLine="1948"/>
        <w:spacing w:after="0" w:line="296" w:lineRule="auto"/>
        <w:tabs>
          <w:tab w:leader="none" w:pos="2150" w:val="left"/>
        </w:tabs>
        <w:numPr>
          <w:ilvl w:val="2"/>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any person or entity that, directly or indirectly through one or more intermediaries, controls or is controlled by or is under common control with a person or entity, as such terms are used in and construed under Rule 144 under the Securities Act. With respect to a Holder, any investment fund or managed account that is managed on a discretionary basis by the same investment manager as such Holder will be deemed to be an Affiliate of such Holder. As used in this definition of “Affiliate,” the term “control” means the possession, directly or indirectly, of the power to direct or cause the direction of the management and policies of a Person, whether through ownership of voting securities or partnership or other ownership interest, by contract, or otherwise.</w:t>
      </w:r>
    </w:p>
    <w:p>
      <w:pPr>
        <w:spacing w:after="0" w:line="107" w:lineRule="exact"/>
        <w:rPr>
          <w:rFonts w:ascii="Arial" w:cs="Arial" w:eastAsia="Arial" w:hAnsi="Arial"/>
          <w:sz w:val="16"/>
          <w:szCs w:val="16"/>
          <w:color w:val="auto"/>
        </w:rPr>
      </w:pPr>
    </w:p>
    <w:p>
      <w:pPr>
        <w:ind w:left="2200" w:hanging="252"/>
        <w:spacing w:after="0"/>
        <w:tabs>
          <w:tab w:leader="none" w:pos="2200" w:val="left"/>
        </w:tabs>
        <w:numPr>
          <w:ilvl w:val="2"/>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w:t>
      </w:r>
      <w:r>
        <w:rPr>
          <w:rFonts w:ascii="Arial" w:cs="Arial" w:eastAsia="Arial" w:hAnsi="Arial"/>
          <w:sz w:val="16"/>
          <w:szCs w:val="16"/>
          <w:color w:val="auto"/>
        </w:rPr>
        <w:t>” means any interest (including any default interest) accrued on the Principal pursuant to the terms of this Note and the</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Facility Agreement.</w:t>
      </w:r>
    </w:p>
    <w:p>
      <w:pPr>
        <w:sectPr>
          <w:pgSz w:w="11900" w:h="16838" w:orient="portrait"/>
          <w:cols w:equalWidth="0" w:num="1">
            <w:col w:w="11420"/>
          </w:cols>
          <w:pgMar w:left="240" w:top="280" w:right="239" w:bottom="1440" w:gutter="0" w:footer="0" w:header="0"/>
        </w:sectPr>
      </w:pPr>
    </w:p>
    <w:p>
      <w:pPr>
        <w:spacing w:after="0" w:line="159" w:lineRule="exact"/>
        <w:rPr>
          <w:sz w:val="20"/>
          <w:szCs w:val="20"/>
          <w:color w:val="auto"/>
        </w:rPr>
      </w:pPr>
    </w:p>
    <w:p>
      <w:pPr>
        <w:ind w:left="2260" w:hanging="312"/>
        <w:spacing w:after="0"/>
        <w:tabs>
          <w:tab w:leader="none" w:pos="22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Issuance Date</w:t>
      </w:r>
      <w:r>
        <w:rPr>
          <w:rFonts w:ascii="Arial" w:cs="Arial" w:eastAsia="Arial" w:hAnsi="Arial"/>
          <w:sz w:val="15"/>
          <w:szCs w:val="15"/>
          <w:color w:val="auto"/>
        </w:rPr>
        <w:t>” means [</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 2014, regardless of any exchange or replacement hereof.</w:t>
      </w:r>
    </w:p>
    <w:p>
      <w:pPr>
        <w:spacing w:after="0" w:line="200" w:lineRule="exact"/>
        <w:rPr>
          <w:sz w:val="20"/>
          <w:szCs w:val="20"/>
          <w:color w:val="auto"/>
        </w:rPr>
      </w:pPr>
    </w:p>
    <w:p>
      <w:pPr>
        <w:sectPr>
          <w:pgSz w:w="11900" w:h="16838" w:orient="portrait"/>
          <w:cols w:equalWidth="0" w:num="2">
            <w:col w:w="4040" w:space="540"/>
            <w:col w:w="6840"/>
          </w:cols>
          <w:pgMar w:left="240" w:top="280" w:right="239" w:bottom="1440" w:gutter="0" w:footer="0" w:header="0"/>
          <w:type w:val="continuous"/>
        </w:sectPr>
      </w:pPr>
    </w:p>
    <w:p>
      <w:pPr>
        <w:ind w:right="300" w:firstLine="1948"/>
        <w:spacing w:after="0" w:line="339" w:lineRule="auto"/>
        <w:tabs>
          <w:tab w:leader="none" w:pos="2237" w:val="left"/>
        </w:tabs>
        <w:numPr>
          <w:ilvl w:val="2"/>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Major Pharmaceutical Company</w:t>
      </w:r>
      <w:r>
        <w:rPr>
          <w:rFonts w:ascii="Arial" w:cs="Arial" w:eastAsia="Arial" w:hAnsi="Arial"/>
          <w:sz w:val="16"/>
          <w:szCs w:val="16"/>
          <w:color w:val="auto"/>
        </w:rPr>
        <w:t>” means any Person engaged in the pharmaceutical or biotechnology industry who, for the immediately preceding fiscal year, had total revenues in excess of $2,000,000,000 (or its equivalent in another currency).</w:t>
      </w:r>
    </w:p>
    <w:p>
      <w:pPr>
        <w:spacing w:after="0" w:line="74" w:lineRule="exact"/>
        <w:rPr>
          <w:rFonts w:ascii="Arial" w:cs="Arial" w:eastAsia="Arial" w:hAnsi="Arial"/>
          <w:sz w:val="16"/>
          <w:szCs w:val="16"/>
          <w:color w:val="auto"/>
        </w:rPr>
      </w:pPr>
    </w:p>
    <w:p>
      <w:pPr>
        <w:ind w:left="2200" w:hanging="252"/>
        <w:spacing w:after="0"/>
        <w:tabs>
          <w:tab w:leader="none" w:pos="22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means the outstanding principal amount of this Note as of any date of determination.</w:t>
      </w:r>
    </w:p>
    <w:p>
      <w:pPr>
        <w:spacing w:after="0" w:line="258" w:lineRule="exact"/>
        <w:rPr>
          <w:rFonts w:ascii="Arial" w:cs="Arial" w:eastAsia="Arial" w:hAnsi="Arial"/>
          <w:sz w:val="18"/>
          <w:szCs w:val="18"/>
          <w:color w:val="auto"/>
        </w:rPr>
      </w:pPr>
    </w:p>
    <w:p>
      <w:pPr>
        <w:ind w:left="1100" w:hanging="179"/>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Book-Entry and Legends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80" w:firstLine="1492"/>
        <w:spacing w:after="0" w:line="291" w:lineRule="auto"/>
        <w:tabs>
          <w:tab w:leader="none" w:pos="1722"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repayment of this Note in accordance with the terms hereof, the Holder shall not be required to physically surrender this Note to the Company unless all of the Principal is being repaid. The Holder and the Company shall maintain records showing the Principal repaid and the dates of such repayments or shall use such other method, reasonably satisfactory to the Holder and the Company, so as not to require physical surrender of this Note upon any such partial repayment. Notwithstanding the foregoing, if this Note is repaid as aforesaid, the Holder may not transfer this Note unless the Holder first physically surrenders this Note to the Company, whereupon the Company will forthwith issue and deliver upon the order of the Holder a new Note of like tenor, registered as the Holder may request, representing in the aggregate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type w:val="continuous"/>
        </w:sectPr>
      </w:pPr>
    </w:p>
    <w:bookmarkStart w:id="43" w:name="page44"/>
    <w:bookmarkEnd w:id="43"/>
    <w:p>
      <w:pPr>
        <w:ind w:right="1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remaining Principal represented by this Note. The Holder and any assignee, by acceptance of this Note, acknowledge and agree that, by reason of the provisions of this paragraph, following repayment of any portion of this Note, the Principal of this Note may be less than the principal amount stated on the face hereof.</w:t>
      </w:r>
    </w:p>
    <w:p>
      <w:pPr>
        <w:spacing w:after="0" w:line="62" w:lineRule="exact"/>
        <w:rPr>
          <w:sz w:val="20"/>
          <w:szCs w:val="20"/>
          <w:color w:val="auto"/>
        </w:rPr>
      </w:pPr>
    </w:p>
    <w:p>
      <w:pPr>
        <w:ind w:right="320" w:firstLine="1492"/>
        <w:spacing w:after="0" w:line="268" w:lineRule="auto"/>
        <w:tabs>
          <w:tab w:leader="none" w:pos="173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The Holder understands that this Note may bear a restrictive legend in substantially the following form (and a stop-transfer order may be placed against transfer of the certificates for such securities):</w:t>
      </w:r>
    </w:p>
    <w:p>
      <w:pPr>
        <w:spacing w:after="0" w:line="51" w:lineRule="exact"/>
        <w:rPr>
          <w:sz w:val="20"/>
          <w:szCs w:val="20"/>
          <w:color w:val="auto"/>
        </w:rPr>
      </w:pPr>
    </w:p>
    <w:p>
      <w:pPr>
        <w:ind w:left="460" w:right="240"/>
        <w:spacing w:after="0" w:line="255" w:lineRule="auto"/>
        <w:rPr>
          <w:sz w:val="20"/>
          <w:szCs w:val="20"/>
          <w:color w:val="auto"/>
        </w:rPr>
      </w:pPr>
      <w:r>
        <w:rPr>
          <w:rFonts w:ascii="Arial" w:cs="Arial" w:eastAsia="Arial" w:hAnsi="Arial"/>
          <w:sz w:val="18"/>
          <w:szCs w:val="18"/>
          <w:color w:val="auto"/>
        </w:rPr>
        <w:t>“THE SECURITY REPRESENTED BY THIS CERTIFICATE HAS NOT BEEN REGISTERED UNDER THE SECURITIES ACT OF 1933, OR APPLICABLE STATE SECURITIES LAWS. THIS SECURITY MAY NOT BE SOLD, TRANSFERRED OR ASSIGNED, PLEDGED, HYPOTHECATED OR OTHERWISE DISPOSED OF IN THE ABSENCE OF AN EFFECTIVE REGISTRATION STATEMENT FOR THE SECURITIES UNDER SAID ACT, OR PURSUANT TO AN EXEMPTION FROM REGISTRATION UNDER SAID ACT INCLUDING, WITHOUT LIMITATION, PURSUANT TO RULE 144 UNDER SAID ACT.”</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u w:val="single" w:color="auto"/>
          <w:color w:val="auto"/>
        </w:rPr>
        <w:t>Amendment; Waiver</w:t>
      </w:r>
      <w:r>
        <w:rPr>
          <w:rFonts w:ascii="Arial" w:cs="Arial" w:eastAsia="Arial" w:hAnsi="Arial"/>
          <w:sz w:val="16"/>
          <w:szCs w:val="16"/>
          <w:color w:val="auto"/>
        </w:rPr>
        <w:t>. The terms and provisions of this Note shall not be amended or waived except in a writing signed by the Company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165" w:lineRule="exact"/>
        <w:rPr>
          <w:sz w:val="20"/>
          <w:szCs w:val="20"/>
          <w:color w:val="auto"/>
        </w:rPr>
      </w:pPr>
    </w:p>
    <w:p>
      <w:pPr>
        <w:ind w:firstLine="921"/>
        <w:spacing w:after="0" w:line="287" w:lineRule="auto"/>
        <w:tabs>
          <w:tab w:leader="none" w:pos="108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Note shall be cumulative and in addition to all other remedies available under this Note, the Facility Agreement, at law or in equity (including a decree of specific performance and/or other injunctive relief). No remedy contained herein shall be deemed a waiver of compliance with the provisions giving rise to such remedy, and nothing herein shall limit the Holder’s right to pursue actual damages for any failure by the Company to comply with the terms of this Note. The Company covenants to the Holder that there shall be no characterization concerning this instrument other than as expressly provided herein. Amounts set forth or provided for herein with respect to payments and the like (and the computation thereof) shall be the amounts to be received by the Holder thereof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22" w:lineRule="exact"/>
        <w:rPr>
          <w:rFonts w:ascii="Arial" w:cs="Arial" w:eastAsia="Arial" w:hAnsi="Arial"/>
          <w:sz w:val="16"/>
          <w:szCs w:val="16"/>
          <w:color w:val="auto"/>
        </w:rPr>
      </w:pPr>
    </w:p>
    <w:p>
      <w:pPr>
        <w:ind w:right="20" w:firstLine="921"/>
        <w:spacing w:after="0" w:line="259" w:lineRule="auto"/>
        <w:tabs>
          <w:tab w:leader="none" w:pos="108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Specific Shall Not Limit General; Construction</w:t>
      </w:r>
      <w:r>
        <w:rPr>
          <w:rFonts w:ascii="Arial" w:cs="Arial" w:eastAsia="Arial" w:hAnsi="Arial"/>
          <w:sz w:val="18"/>
          <w:szCs w:val="18"/>
          <w:color w:val="auto"/>
        </w:rPr>
        <w:t>. No specific provision contained in this Note shall limit or modify any more general provision contained herein. This Note shall be deemed to be jointly drafted by the Company and all purchasers of Notes pursuant to the Facility Agreement and shall not be construed against any Person as the drafter hereof.</w:t>
      </w:r>
    </w:p>
    <w:p>
      <w:pPr>
        <w:spacing w:after="0" w:line="140" w:lineRule="exact"/>
        <w:rPr>
          <w:rFonts w:ascii="Arial" w:cs="Arial" w:eastAsia="Arial" w:hAnsi="Arial"/>
          <w:sz w:val="18"/>
          <w:szCs w:val="18"/>
          <w:color w:val="auto"/>
        </w:rPr>
      </w:pPr>
    </w:p>
    <w:p>
      <w:pPr>
        <w:ind w:right="300" w:firstLine="921"/>
        <w:spacing w:after="0" w:line="268" w:lineRule="auto"/>
        <w:tabs>
          <w:tab w:leader="none" w:pos="108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the Holder in the exercise of any power, right or privilege hereunder shall operate as a waiver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44" w:name="page45"/>
    <w:bookmarkEnd w:id="44"/>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nor shall any single or partial exercise of any such power, right or privilege preclude other or further exercise thereof or of any other right, power or privilege.</w:t>
      </w:r>
    </w:p>
    <w:p>
      <w:pPr>
        <w:spacing w:after="0" w:line="132" w:lineRule="exact"/>
        <w:rPr>
          <w:sz w:val="20"/>
          <w:szCs w:val="20"/>
          <w:color w:val="auto"/>
        </w:rPr>
      </w:pPr>
    </w:p>
    <w:p>
      <w:pPr>
        <w:ind w:right="80" w:firstLine="921"/>
        <w:spacing w:after="0" w:line="268" w:lineRule="auto"/>
        <w:tabs>
          <w:tab w:leader="none" w:pos="1088"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Whenever notice is required to be given under this Note, unless otherwise provided herein, such notice shall be given in accordance with Section 6.1 of the Facility Agreement.</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1492"/>
        <w:spacing w:after="0" w:line="256" w:lineRule="auto"/>
        <w:tabs>
          <w:tab w:leader="none" w:pos="1722"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t>Registration or Exemption Required</w:t>
      </w:r>
      <w:r>
        <w:rPr>
          <w:rFonts w:ascii="Arial" w:cs="Arial" w:eastAsia="Arial" w:hAnsi="Arial"/>
          <w:sz w:val="18"/>
          <w:szCs w:val="18"/>
          <w:color w:val="auto"/>
        </w:rPr>
        <w:t>. This Note has been issued in a transaction exempt from the registration requirements of the Securities Act by virtue of Regulation D. This Note may not be pledged, transferred, sold, assigned, hypothecated or otherwise disposed of except pursuant to an effective registration statement or an exemption to the registration requirements of the Securities Act and applicable state laws including, without limitation, a so-called “4(1) and a half” transaction.</w:t>
      </w:r>
    </w:p>
    <w:p>
      <w:pPr>
        <w:spacing w:after="0" w:line="143" w:lineRule="exact"/>
        <w:rPr>
          <w:rFonts w:ascii="Arial" w:cs="Arial" w:eastAsia="Arial" w:hAnsi="Arial"/>
          <w:sz w:val="18"/>
          <w:szCs w:val="18"/>
          <w:color w:val="auto"/>
        </w:rPr>
      </w:pPr>
    </w:p>
    <w:p>
      <w:pPr>
        <w:ind w:right="120" w:firstLine="1492"/>
        <w:spacing w:after="0" w:line="282" w:lineRule="auto"/>
        <w:tabs>
          <w:tab w:leader="none" w:pos="1732" w:val="left"/>
        </w:tabs>
        <w:numPr>
          <w:ilvl w:val="2"/>
          <w:numId w:val="23"/>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the Holder may sell, transfer, assign, pledge, hypothecate or otherwise dispose of this Note, in whole or in part; provided that (i) the Holder shall deliver a written notice to Company, substantially in the form of the Assignment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indicating the Person or Persons to whom the Note shall be assigned and the respective principal amount of the Note to be assigned to each assignee, (ii) if such transfer is being effected as a so-called “4(1) and a half” transaction or pursuant to Rule 144A, any such transferee Person shall make the representations and agree to the representations set forth on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hereto, (iii) except in the case of any assignment or transfer pursuant to an effective registration statement covering the disposition of the Note or pursuant to Rule 144, the Holder shall deliver to the Company a legal opinion reasonably acceptable to the Company which, in the case of a so-called “4(1) and a half” transaction shall be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(iv) the transferee shall have complied with Section 2.5(d) of the Facility Agreement, and (v) unless an Event of Default shall have occurred and is continuing, no assignment shall be permitted to any (A) Major Pharmaceutical Company and any (B) entity principally engaged in the business of selling insulin or insulin delivery products (an “</w:t>
      </w:r>
      <w:r>
        <w:rPr>
          <w:rFonts w:ascii="Arial" w:cs="Arial" w:eastAsia="Arial" w:hAnsi="Arial"/>
          <w:sz w:val="16"/>
          <w:szCs w:val="16"/>
          <w:b w:val="1"/>
          <w:bCs w:val="1"/>
          <w:color w:val="auto"/>
        </w:rPr>
        <w:t>Applicable Entity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(1) entities that own, directly or indirectly, equity interests in an Applicable Entity as part of a brokerage, insurance business, pension fund (or other benefit fund), investment banking, investment management, investment advisory, lobbying, or publishing business, or</w:t>
      </w:r>
    </w:p>
    <w:p>
      <w:pPr>
        <w:spacing w:after="0" w:line="5" w:lineRule="exact"/>
        <w:rPr>
          <w:rFonts w:ascii="Arial" w:cs="Arial" w:eastAsia="Arial" w:hAnsi="Arial"/>
          <w:sz w:val="16"/>
          <w:szCs w:val="16"/>
          <w:color w:val="auto"/>
        </w:rPr>
      </w:pPr>
    </w:p>
    <w:p>
      <w:pPr>
        <w:ind w:firstLine="8"/>
        <w:spacing w:after="0" w:line="288"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non-profit research or non-profit enterprise, shall not constitute an Applicable Entity, and (v) the Holder shall comply with all additional assignment provisions set forth in Section 6.5 of the Facility Agreement. The Company shall effect the assignment within three (3) business days (the “</w:t>
      </w:r>
      <w:r>
        <w:rPr>
          <w:rFonts w:ascii="Arial" w:cs="Arial" w:eastAsia="Arial" w:hAnsi="Arial"/>
          <w:sz w:val="16"/>
          <w:szCs w:val="16"/>
          <w:b w:val="1"/>
          <w:bCs w:val="1"/>
          <w:color w:val="auto"/>
        </w:rPr>
        <w:t>Transfer Delivery</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and shall deliver to the assignee(s) designated by Holder a Note or Notes of like tenor and terms for the appropriate principal amount. This Note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rights evidenced hereby shall inure to the benefit of and be binding upon the successors and assigns of the Holder. The provisions of this Note are intended to be for the benefit of all Holders from time to time of this Note, and shall be enforceable by any such Holder. For avoidance of doubt, in the event Holder notifies the Company that such sale or transfer is a so called “4(1) and a half” transaction, the parties hereto agree that a legal opinion from outside counsel for the Holder delivered to counsel for the Company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be the only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requirement to satisfy an exemption from registration under the Securities Act to effectuate such “4(1) and half” transaction.</w:t>
      </w:r>
    </w:p>
    <w:p>
      <w:pPr>
        <w:spacing w:after="0" w:line="171" w:lineRule="exact"/>
        <w:rPr>
          <w:sz w:val="20"/>
          <w:szCs w:val="20"/>
          <w:color w:val="auto"/>
        </w:rPr>
      </w:pPr>
    </w:p>
    <w:p>
      <w:pPr>
        <w:ind w:right="100" w:firstLine="921"/>
        <w:spacing w:after="0" w:line="298" w:lineRule="auto"/>
        <w:tabs>
          <w:tab w:leader="none" w:pos="1088"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Payment of Collection, Enforcement and Other Costs</w:t>
      </w:r>
      <w:r>
        <w:rPr>
          <w:rFonts w:ascii="Arial" w:cs="Arial" w:eastAsia="Arial" w:hAnsi="Arial"/>
          <w:sz w:val="16"/>
          <w:szCs w:val="16"/>
          <w:color w:val="auto"/>
        </w:rPr>
        <w:t>. If (a) this Note is placed in the hands of an attorney for collection or enforcement or is collected or enforced through any legal proceeding; or (b) an attorney is retained to represent the Holder in any bankruptcy, reorganization, receivership of the Company or other proceedings affecting Company creditors’ rights and involving a claim under this Note, then the Company shall pay the costs incurred by the Holder for such collection, enforcement or action, including reasonable attorneys’ fees and disbursements.</w:t>
      </w:r>
    </w:p>
    <w:p>
      <w:pPr>
        <w:spacing w:after="0" w:line="112" w:lineRule="exact"/>
        <w:rPr>
          <w:rFonts w:ascii="Arial" w:cs="Arial" w:eastAsia="Arial" w:hAnsi="Arial"/>
          <w:sz w:val="16"/>
          <w:szCs w:val="16"/>
          <w:color w:val="auto"/>
        </w:rPr>
      </w:pPr>
    </w:p>
    <w:p>
      <w:pPr>
        <w:ind w:right="440" w:firstLine="921"/>
        <w:spacing w:after="0" w:line="259" w:lineRule="auto"/>
        <w:tabs>
          <w:tab w:leader="none" w:pos="117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After all Principal, Interest and other amounts at any time owed under, or on account of, this Note have been paid in full in accordance with the terms hereof, this Note shall automatically be deemed cancelled, shall be surrendered to the Company for cancellation and shall not be reissued.</w:t>
      </w:r>
    </w:p>
    <w:p>
      <w:pPr>
        <w:spacing w:after="0" w:line="140" w:lineRule="exact"/>
        <w:rPr>
          <w:rFonts w:ascii="Arial" w:cs="Arial" w:eastAsia="Arial" w:hAnsi="Arial"/>
          <w:sz w:val="18"/>
          <w:szCs w:val="18"/>
          <w:color w:val="auto"/>
        </w:rPr>
      </w:pPr>
    </w:p>
    <w:p>
      <w:pPr>
        <w:ind w:right="100" w:firstLine="921"/>
        <w:spacing w:after="0" w:line="332" w:lineRule="auto"/>
        <w:tabs>
          <w:tab w:leader="none" w:pos="117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Registered Note</w:t>
      </w:r>
      <w:r>
        <w:rPr>
          <w:rFonts w:ascii="Arial" w:cs="Arial" w:eastAsia="Arial" w:hAnsi="Arial"/>
          <w:sz w:val="16"/>
          <w:szCs w:val="16"/>
          <w:color w:val="auto"/>
        </w:rPr>
        <w:t>. This Note may be transferred only upon notation of such transfer on the Register, and no assignment thereof shall be effective until recorded therein.</w:t>
      </w:r>
    </w:p>
    <w:p>
      <w:pPr>
        <w:spacing w:after="0" w:line="85" w:lineRule="exact"/>
        <w:rPr>
          <w:rFonts w:ascii="Arial" w:cs="Arial" w:eastAsia="Arial" w:hAnsi="Arial"/>
          <w:sz w:val="16"/>
          <w:szCs w:val="16"/>
          <w:color w:val="auto"/>
        </w:rPr>
      </w:pPr>
    </w:p>
    <w:p>
      <w:pPr>
        <w:ind w:right="120" w:firstLine="921"/>
        <w:spacing w:after="0" w:line="332" w:lineRule="auto"/>
        <w:tabs>
          <w:tab w:leader="none" w:pos="117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Waiver of Notice</w:t>
      </w:r>
      <w:r>
        <w:rPr>
          <w:rFonts w:ascii="Arial" w:cs="Arial" w:eastAsia="Arial" w:hAnsi="Arial"/>
          <w:sz w:val="16"/>
          <w:szCs w:val="16"/>
          <w:color w:val="auto"/>
        </w:rPr>
        <w:t>. To the extent permitted by law, the Company hereby waives demand, notice, presentment, protest and all other demands and notices in connection with the delivery, acceptance, performance, default or enforcement of this Note and the Facility Agreement.</w:t>
      </w:r>
    </w:p>
    <w:p>
      <w:pPr>
        <w:spacing w:after="0" w:line="85" w:lineRule="exact"/>
        <w:rPr>
          <w:rFonts w:ascii="Arial" w:cs="Arial" w:eastAsia="Arial" w:hAnsi="Arial"/>
          <w:sz w:val="16"/>
          <w:szCs w:val="16"/>
          <w:color w:val="auto"/>
        </w:rPr>
      </w:pPr>
    </w:p>
    <w:p>
      <w:pPr>
        <w:ind w:firstLine="921"/>
        <w:spacing w:after="0" w:line="286" w:lineRule="auto"/>
        <w:tabs>
          <w:tab w:leader="none" w:pos="117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Note shall be governed by the laws of the State of New York applicable to contracts made and to be performed in such State. All legal proceedings concerning the interpretation and enforcement of this Note shall be commenced exclusively in the state and federal courts sitting in The City of New York. The Company hereby and each Holder (by its acceptance of this Note) irrevocably submits to the exclusive jurisdiction of such courts for the adjudication of any dispute hereunder or in connection herewith or with any transaction contemplated hereby, and hereby irrevocably waives, and agrees not to assert in any suit, action or other proceeding, any claim that it is not personally subject to the jurisdiction of any such court, that such suit, action or other proceeding is improper or is an inconvenient venue for such proceeding. The Company hereby and each Holder (by its acceptance of this Note) irrevocably waives personal service of process and consents to process being served in any such suit, action or other proceeding by mailing a copy thereof via registered or certified mail or overnight delivery (with evidence of delivery) to such person at the address in effect for notices to it under Section 6.1 of the Facility Agreement and agrees that such service shall constitute good and sufficient service of process and notice thereof. Nothing contained herein shall be deemed to limit in any way any right to serve process in any other manner permitted by law. EACH OF THE COMPANY AND THE HOLDER (BY ACCEPTANCE HEREOF) IRREVOCABLY WAIVES THE RIGHT TO A TRIAL BY JURY IN ANY ACTION OR PROCEEDING BROUGHT TO ENFORCE ANY PROVISION OF THIS NOTE OR ANY OTHER TRANSACTION DOCUMENT.</w:t>
      </w:r>
    </w:p>
    <w:p>
      <w:pPr>
        <w:spacing w:after="0" w:line="124" w:lineRule="exact"/>
        <w:rPr>
          <w:rFonts w:ascii="Arial" w:cs="Arial" w:eastAsia="Arial" w:hAnsi="Arial"/>
          <w:sz w:val="16"/>
          <w:szCs w:val="16"/>
          <w:color w:val="auto"/>
        </w:rPr>
      </w:pPr>
    </w:p>
    <w:p>
      <w:pPr>
        <w:ind w:left="1180" w:hanging="259"/>
        <w:spacing w:after="0"/>
        <w:tabs>
          <w:tab w:leader="none" w:pos="1180"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Interpretative Matters</w:t>
      </w:r>
      <w:r>
        <w:rPr>
          <w:rFonts w:ascii="Arial" w:cs="Arial" w:eastAsia="Arial" w:hAnsi="Arial"/>
          <w:sz w:val="15"/>
          <w:szCs w:val="15"/>
          <w:color w:val="auto"/>
        </w:rPr>
        <w:t>. Unless the context otherwise requires, (a) all references to Sections or Exhibits are to Sections or Exhibits contained in or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attached to this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46" w:name="page47"/>
    <w:bookmarkEnd w:id="46"/>
    <w:p>
      <w:pPr>
        <w:ind w:right="22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(b) each accounting term not otherwise defined in this Note has the meaning assigned to it in accordance with GAAP, (c) words in the singular or plural include the singular and plural and pronouns stated in either the masculine, the feminine or neuter gender shall include the masculine, feminine and neuter and</w:t>
      </w:r>
    </w:p>
    <w:p>
      <w:pPr>
        <w:ind w:right="180" w:firstLine="8"/>
        <w:spacing w:after="0" w:line="255"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use of the word “including” in this Note shall be by way of example rather than limitation. If a stock split, stock dividend, stock combination or other similar event occurs during any period over which an average price is being determined, then an appropriate adjustment will be made to such average to reflect such event.</w:t>
      </w:r>
    </w:p>
    <w:p>
      <w:pPr>
        <w:spacing w:after="0" w:line="144" w:lineRule="exact"/>
        <w:rPr>
          <w:rFonts w:ascii="Arial" w:cs="Arial" w:eastAsia="Arial" w:hAnsi="Arial"/>
          <w:sz w:val="18"/>
          <w:szCs w:val="18"/>
          <w:color w:val="auto"/>
        </w:rPr>
      </w:pPr>
    </w:p>
    <w:p>
      <w:pPr>
        <w:ind w:firstLine="921"/>
        <w:spacing w:after="0" w:line="254" w:lineRule="auto"/>
        <w:tabs>
          <w:tab w:leader="none" w:pos="1176"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A facsimile, telecopy, PDF or other reproduction of this Note may be delivered by the Company, and an executed copy of this Note may be delivered by the Company by facsimile, e-mail or other similar electronic transmission device pursuant to which the signature of or on behalf of the Company can be seen, and such execution and delivery shall be considered valid, binding and effective for all purposes. The Company hereby agrees that it shall not raise the execution of facsimile, PDF or other reproduction of this Note, or the fact that any signature was transmitted by facsimile, e-mail or other similar electronic transmission device, as a defense to the Company’s execution of this Note. Notwithstanding the foregoing, the Company shall be required to deliver an originally executed Note to the Holder.</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 page follows]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Note to be duly executed as of the date first set forth above.</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MANNKIND CORPORATION</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9759"/>
          </w:cols>
          <w:pgMar w:left="700" w:top="280" w:right="1440" w:bottom="1440" w:gutter="0" w:footer="0" w:header="0"/>
        </w:sectPr>
      </w:pPr>
    </w:p>
    <w:bookmarkStart w:id="48" w:name="page49"/>
    <w:bookmarkEnd w:id="48"/>
    <w:p>
      <w:pPr>
        <w:ind w:left="53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ASSIGNMENT</w:t>
      </w:r>
    </w:p>
    <w:p>
      <w:pPr>
        <w:spacing w:after="0" w:line="17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(To be executed by the registered holder</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desiring to transfer the Note)</w:t>
      </w:r>
    </w:p>
    <w:p>
      <w:pPr>
        <w:spacing w:after="0" w:line="159"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FOR VALUE RECEIVED, the undersigned holder of the attached Tranche B Senior Secured Note (the “</w:t>
      </w:r>
      <w:r>
        <w:rPr>
          <w:rFonts w:ascii="Arial" w:cs="Arial" w:eastAsia="Arial" w:hAnsi="Arial"/>
          <w:sz w:val="15"/>
          <w:szCs w:val="15"/>
          <w:b w:val="1"/>
          <w:bCs w:val="1"/>
          <w:color w:val="auto"/>
        </w:rPr>
        <w:t>Note</w:t>
      </w:r>
      <w:r>
        <w:rPr>
          <w:rFonts w:ascii="Arial" w:cs="Arial" w:eastAsia="Arial" w:hAnsi="Arial"/>
          <w:sz w:val="15"/>
          <w:szCs w:val="15"/>
          <w:color w:val="auto"/>
        </w:rPr>
        <w:t>”) hereby sells, assigns and transfers unto the person or persons below named the right to receive the principal amount of $ from MannKind Corporation, a Delaware corporation, evidenced by the attached Note</w:t>
      </w:r>
    </w:p>
    <w:p>
      <w:pPr>
        <w:ind w:right="340"/>
        <w:spacing w:after="0" w:line="261" w:lineRule="auto"/>
        <w:rPr>
          <w:sz w:val="20"/>
          <w:szCs w:val="20"/>
          <w:color w:val="auto"/>
        </w:rPr>
      </w:pPr>
      <w:r>
        <w:rPr>
          <w:rFonts w:ascii="Arial" w:cs="Arial" w:eastAsia="Arial" w:hAnsi="Arial"/>
          <w:sz w:val="18"/>
          <w:szCs w:val="18"/>
          <w:color w:val="auto"/>
        </w:rPr>
        <w:t>and does hereby irrevocably constitute and appoint attorney to transfer the said Note on the books of the Company, with full power of substitution in the premises.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19551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10795</wp:posOffset>
            </wp:positionV>
            <wp:extent cx="28213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Fill in for new registration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 of assignee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(including zip code number)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signature to the foregoing Assignment must correspond to the name as written upon the face of the attached Note in every particular, without alteration or enlargement or any change whatsoever.</w:t>
      </w:r>
    </w:p>
    <w:p>
      <w:pPr>
        <w:sectPr>
          <w:pgSz w:w="11900" w:h="16838" w:orient="portrait"/>
          <w:cols w:equalWidth="0" w:num="1">
            <w:col w:w="11400"/>
          </w:cols>
          <w:pgMar w:left="240" w:top="274"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INVESTOR REPRESENTATION LETTER]</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20</w:t>
      </w:r>
    </w:p>
    <w:p>
      <w:pPr>
        <w:spacing w:after="0" w:line="171" w:lineRule="exact"/>
        <w:rPr>
          <w:sz w:val="20"/>
          <w:szCs w:val="20"/>
          <w:color w:val="auto"/>
        </w:rPr>
      </w:pPr>
    </w:p>
    <w:p>
      <w:pPr>
        <w:ind w:left="1300" w:hanging="129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Gentlemen:</w:t>
      </w:r>
    </w:p>
    <w:p>
      <w:pPr>
        <w:sectPr>
          <w:pgSz w:w="11900" w:h="16838" w:orient="portrait"/>
          <w:cols w:equalWidth="0" w:num="1">
            <w:col w:w="11420"/>
          </w:cols>
          <w:pgMar w:left="240" w:top="274" w:right="239" w:bottom="1440" w:gutter="0" w:footer="0" w:header="0"/>
        </w:sectPr>
      </w:pPr>
    </w:p>
    <w:p>
      <w:pPr>
        <w:spacing w:after="0" w:line="171" w:lineRule="exact"/>
        <w:rPr>
          <w:sz w:val="20"/>
          <w:szCs w:val="20"/>
          <w:color w:val="auto"/>
        </w:rPr>
      </w:pPr>
    </w:p>
    <w:p>
      <w:pPr>
        <w:ind w:left="540"/>
        <w:spacing w:after="0"/>
        <w:tabs>
          <w:tab w:leader="none" w:pos="1000" w:val="left"/>
          <w:tab w:leader="none" w:pos="3260" w:val="left"/>
          <w:tab w:leader="none" w:pos="8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has agreed to purchase $</w:t>
      </w:r>
      <w:r>
        <w:rPr>
          <w:sz w:val="20"/>
          <w:szCs w:val="20"/>
          <w:color w:val="auto"/>
        </w:rPr>
        <w:tab/>
      </w:r>
      <w:r>
        <w:rPr>
          <w:rFonts w:ascii="Arial" w:cs="Arial" w:eastAsia="Arial" w:hAnsi="Arial"/>
          <w:sz w:val="18"/>
          <w:szCs w:val="18"/>
          <w:color w:val="auto"/>
        </w:rPr>
        <w:t>principal amount of Tranche B Senior Secured Note (the “Note”) of [</w:t>
      </w:r>
      <w:r>
        <w:rPr>
          <w:sz w:val="20"/>
          <w:szCs w:val="20"/>
          <w:color w:val="auto"/>
        </w:rPr>
        <w:tab/>
      </w:r>
      <w:r>
        <w:rPr>
          <w:rFonts w:ascii="Arial" w:cs="Arial" w:eastAsia="Arial" w:hAnsi="Arial"/>
          <w:sz w:val="16"/>
          <w:szCs w:val="16"/>
          <w:color w:val="auto"/>
        </w:rPr>
        <w:t>] (the “Company”) from [</w:t>
      </w:r>
    </w:p>
    <w:p>
      <w:pPr>
        <w:spacing w:after="0" w:line="15" w:lineRule="exact"/>
        <w:rPr>
          <w:sz w:val="20"/>
          <w:szCs w:val="20"/>
          <w:color w:val="auto"/>
        </w:rPr>
      </w:pPr>
    </w:p>
    <w:p>
      <w:pPr>
        <w:spacing w:after="0"/>
        <w:tabs>
          <w:tab w:leader="none" w:pos="700" w:val="left"/>
          <w:tab w:leader="none" w:pos="7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We understand that the Note is a “restricted security.” We represent and warrant that</w:t>
      </w:r>
      <w:r>
        <w:rPr>
          <w:sz w:val="20"/>
          <w:szCs w:val="20"/>
          <w:color w:val="auto"/>
        </w:rPr>
        <w:tab/>
      </w:r>
      <w:r>
        <w:rPr>
          <w:rFonts w:ascii="Arial" w:cs="Arial" w:eastAsia="Arial" w:hAnsi="Arial"/>
          <w:sz w:val="16"/>
          <w:szCs w:val="16"/>
          <w:color w:val="auto"/>
        </w:rPr>
        <w:t>is a sophisticated institutional investor that would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qualify as an “Accredited Investor” as defined in Rule 501 of Regulation D under the Securities Act of 1933, as amended (the “Securities Act”).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15" w:lineRule="exact"/>
        <w:rPr>
          <w:sz w:val="20"/>
          <w:szCs w:val="20"/>
          <w:color w:val="auto"/>
        </w:rPr>
      </w:pPr>
    </w:p>
    <w:p>
      <w:pPr>
        <w:sectPr>
          <w:pgSz w:w="11900" w:h="16838" w:orient="portrait"/>
          <w:cols w:equalWidth="0" w:num="2">
            <w:col w:w="10980" w:space="20"/>
            <w:col w:w="420"/>
          </w:cols>
          <w:pgMar w:left="240" w:top="274" w:right="239" w:bottom="1440" w:gutter="0" w:footer="0" w:header="0"/>
          <w:type w:val="continuous"/>
        </w:sectPr>
      </w:pPr>
    </w:p>
    <w:p>
      <w:pPr>
        <w:spacing w:after="0" w:line="6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represents and warrants as of the date hereof as follows:</w:t>
      </w:r>
    </w:p>
    <w:p>
      <w:pPr>
        <w:spacing w:after="0" w:line="90" w:lineRule="exact"/>
        <w:rPr>
          <w:sz w:val="20"/>
          <w:szCs w:val="20"/>
          <w:color w:val="auto"/>
        </w:rPr>
      </w:pPr>
    </w:p>
    <w:p>
      <w:pPr>
        <w:jc w:val="both"/>
        <w:ind w:left="460" w:right="360" w:firstLine="4"/>
        <w:spacing w:after="0" w:line="305" w:lineRule="auto"/>
        <w:tabs>
          <w:tab w:leader="none" w:pos="636"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That it is acquiring the Note solely for its account for investment and not with a view to or for sale or distribution of said Note or any part thereof in violation of applicable securities laws, except pursuant to sales registered or exempted under the Securities Act; provided, however, that by making the</w:t>
      </w:r>
    </w:p>
    <w:p>
      <w:pPr>
        <w:ind w:left="460" w:right="20"/>
        <w:spacing w:after="0" w:line="281" w:lineRule="auto"/>
        <w:rPr>
          <w:sz w:val="20"/>
          <w:szCs w:val="20"/>
          <w:color w:val="auto"/>
        </w:rPr>
      </w:pPr>
      <w:r>
        <w:rPr>
          <w:rFonts w:ascii="Arial" w:cs="Arial" w:eastAsia="Arial" w:hAnsi="Arial"/>
          <w:sz w:val="16"/>
          <w:szCs w:val="16"/>
          <w:color w:val="auto"/>
        </w:rPr>
        <w:t>representations herein, does not agree, or make any representation or warranty, to hold any of the securities for any minimum or other specific term and reserves the right to dispose of the securities at any time in accordance with or pursuant to a registration statement or an exemption under the Securities</w:t>
      </w:r>
    </w:p>
    <w:p>
      <w:pPr>
        <w:spacing w:after="0" w:line="1" w:lineRule="exact"/>
        <w:rPr>
          <w:sz w:val="20"/>
          <w:szCs w:val="20"/>
          <w:color w:val="auto"/>
        </w:rPr>
      </w:pPr>
    </w:p>
    <w:p>
      <w:pPr>
        <w:ind w:left="460" w:right="100"/>
        <w:spacing w:after="0" w:line="558" w:lineRule="auto"/>
        <w:rPr>
          <w:sz w:val="20"/>
          <w:szCs w:val="20"/>
          <w:color w:val="auto"/>
        </w:rPr>
      </w:pPr>
      <w:r>
        <w:rPr>
          <w:rFonts w:ascii="Arial" w:cs="Arial" w:eastAsia="Arial" w:hAnsi="Arial"/>
          <w:sz w:val="16"/>
          <w:szCs w:val="16"/>
          <w:color w:val="auto"/>
        </w:rPr>
        <w:t>Act. does not presently have any agreement or understanding, directly or indirectly, with any Person to distribute the Note in violation of applicable securities laws. As used in this Agreement, “</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limited liability company, a partnership, a joint venture, a corporation, a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an unincorporated organization and a government or any department or agency thereof. also represents that the entire legal and beneficial interests of the Note is acquiring is being acquired for, and will be held for, its account only;</w:t>
      </w:r>
    </w:p>
    <w:p>
      <w:pPr>
        <w:ind w:left="1000" w:hanging="536"/>
        <w:spacing w:after="0" w:line="193" w:lineRule="auto"/>
        <w:tabs>
          <w:tab w:leader="none" w:pos="1000" w:val="left"/>
        </w:tabs>
        <w:numPr>
          <w:ilvl w:val="0"/>
          <w:numId w:val="29"/>
        </w:numPr>
        <w:rPr>
          <w:rFonts w:ascii="Arial" w:cs="Arial" w:eastAsia="Arial" w:hAnsi="Arial"/>
          <w:sz w:val="7"/>
          <w:szCs w:val="7"/>
          <w:color w:val="auto"/>
        </w:rPr>
      </w:pPr>
      <w:r>
        <w:rPr>
          <w:rFonts w:ascii="Arial" w:cs="Arial" w:eastAsia="Arial" w:hAnsi="Arial"/>
          <w:sz w:val="7"/>
          <w:szCs w:val="7"/>
          <w:color w:val="auto"/>
        </w:rPr>
        <w:t>understands that the Notes have not been registered under the Securities Act in reliance on specific exemptions from the registration requirements of</w:t>
      </w:r>
    </w:p>
    <w:p>
      <w:pPr>
        <w:spacing w:after="0" w:line="202"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United States federal and state securities laws and in reliance in part upon the truth and accuracy of, and such ’s compliance with, the representations, warranties, agreements, acknowledgments and understandings of set forth herein in order to determine the availability of such exemptions and the eligibility of to acquire the securities.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 That the Note must be held indefinitely unless they are subsequently registered under the Securities Act or an exemption from such registration is</w:t>
      </w:r>
    </w:p>
    <w:p>
      <w:pPr>
        <w:spacing w:after="0" w:line="38" w:lineRule="exact"/>
        <w:rPr>
          <w:sz w:val="20"/>
          <w:szCs w:val="20"/>
          <w:color w:val="auto"/>
        </w:rPr>
      </w:pPr>
    </w:p>
    <w:p>
      <w:pPr>
        <w:ind w:left="460"/>
        <w:spacing w:after="0"/>
        <w:tabs>
          <w:tab w:leader="none" w:pos="1700" w:val="left"/>
        </w:tabs>
        <w:rPr>
          <w:sz w:val="20"/>
          <w:szCs w:val="20"/>
          <w:color w:val="auto"/>
        </w:rPr>
      </w:pPr>
      <w:r>
        <w:rPr>
          <w:rFonts w:ascii="Arial" w:cs="Arial" w:eastAsia="Arial" w:hAnsi="Arial"/>
          <w:sz w:val="16"/>
          <w:szCs w:val="16"/>
          <w:color w:val="auto"/>
        </w:rPr>
        <w:t>available.</w:t>
      </w:r>
      <w:r>
        <w:rPr>
          <w:sz w:val="20"/>
          <w:szCs w:val="20"/>
          <w:color w:val="auto"/>
        </w:rPr>
        <w:tab/>
      </w:r>
      <w:r>
        <w:rPr>
          <w:rFonts w:ascii="Arial" w:cs="Arial" w:eastAsia="Arial" w:hAnsi="Arial"/>
          <w:sz w:val="16"/>
          <w:szCs w:val="16"/>
          <w:color w:val="auto"/>
        </w:rPr>
        <w:t>recognizes that the Company has no obligation to register the Note, or to comply with any exemption from such registration;</w:t>
      </w:r>
    </w:p>
    <w:p>
      <w:pPr>
        <w:sectPr>
          <w:pgSz w:w="11900" w:h="16838" w:orient="portrait"/>
          <w:cols w:equalWidth="0" w:num="1">
            <w:col w:w="11420"/>
          </w:cols>
          <w:pgMar w:left="240" w:top="274" w:right="239" w:bottom="1440" w:gutter="0" w:footer="0" w:header="0"/>
          <w:type w:val="continuous"/>
        </w:sectPr>
      </w:pPr>
    </w:p>
    <w:bookmarkStart w:id="50" w:name="page51"/>
    <w:bookmarkEnd w:id="50"/>
    <w:p>
      <w:pPr>
        <w:jc w:val="both"/>
        <w:ind w:left="460" w:firstLine="4"/>
        <w:spacing w:after="0" w:line="259" w:lineRule="auto"/>
        <w:tabs>
          <w:tab w:leader="none" w:pos="636"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Note may not be sold pursuant to Rule 144 adopted under the Securities Act unless certain conditions are met, including, among other things, the existence of a public market for the shares, the availability of certain current public information about the Company, the resale following the required holding period under Rule 144;</w:t>
      </w:r>
    </w:p>
    <w:p>
      <w:pPr>
        <w:spacing w:after="0" w:line="59" w:lineRule="exact"/>
        <w:rPr>
          <w:rFonts w:ascii="Arial" w:cs="Arial" w:eastAsia="Arial" w:hAnsi="Arial"/>
          <w:sz w:val="18"/>
          <w:szCs w:val="18"/>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an “accredited investor” as defined in Regulation D promulgated under the Securities Act;</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it will not make any disposition of all or any part of the Note in any event unless and until:</w:t>
      </w:r>
    </w:p>
    <w:p>
      <w:pPr>
        <w:spacing w:after="0" w:line="90" w:lineRule="exact"/>
        <w:rPr>
          <w:sz w:val="20"/>
          <w:szCs w:val="20"/>
          <w:color w:val="auto"/>
        </w:rPr>
      </w:pPr>
    </w:p>
    <w:p>
      <w:pPr>
        <w:ind w:left="920" w:right="460"/>
        <w:spacing w:after="0" w:line="268" w:lineRule="auto"/>
        <w:rPr>
          <w:sz w:val="20"/>
          <w:szCs w:val="20"/>
          <w:color w:val="auto"/>
        </w:rPr>
      </w:pPr>
      <w:r>
        <w:rPr>
          <w:rFonts w:ascii="Arial" w:cs="Arial" w:eastAsia="Arial" w:hAnsi="Arial"/>
          <w:sz w:val="18"/>
          <w:szCs w:val="18"/>
          <w:color w:val="auto"/>
        </w:rPr>
        <w:t>(i) The Company shall have received a letter secured by from the Securities and Exchange Commission stating that no action will be recommended to the Securities and Exchange Commission with respect to the proposed disposition;</w:t>
      </w:r>
    </w:p>
    <w:p>
      <w:pPr>
        <w:spacing w:after="0" w:line="51" w:lineRule="exact"/>
        <w:rPr>
          <w:sz w:val="20"/>
          <w:szCs w:val="20"/>
          <w:color w:val="auto"/>
        </w:rPr>
      </w:pPr>
    </w:p>
    <w:p>
      <w:pPr>
        <w:ind w:left="920" w:right="320" w:firstLine="1"/>
        <w:spacing w:after="0" w:line="268" w:lineRule="auto"/>
        <w:tabs>
          <w:tab w:leader="none" w:pos="11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said registration statement; or</w:t>
      </w:r>
    </w:p>
    <w:p>
      <w:pPr>
        <w:spacing w:after="0" w:line="50" w:lineRule="exact"/>
        <w:rPr>
          <w:rFonts w:ascii="Arial" w:cs="Arial" w:eastAsia="Arial" w:hAnsi="Arial"/>
          <w:sz w:val="18"/>
          <w:szCs w:val="18"/>
          <w:color w:val="auto"/>
        </w:rPr>
      </w:pPr>
    </w:p>
    <w:p>
      <w:pPr>
        <w:ind w:left="920" w:right="520" w:firstLine="1"/>
        <w:spacing w:after="0" w:line="370" w:lineRule="auto"/>
        <w:tabs>
          <w:tab w:leader="none" w:pos="1754" w:val="left"/>
        </w:tabs>
        <w:numPr>
          <w:ilvl w:val="0"/>
          <w:numId w:val="31"/>
        </w:numPr>
        <w:rPr>
          <w:rFonts w:ascii="Arial" w:cs="Arial" w:eastAsia="Arial" w:hAnsi="Arial"/>
          <w:sz w:val="15"/>
          <w:szCs w:val="15"/>
          <w:color w:val="auto"/>
        </w:rPr>
      </w:pPr>
      <w:r>
        <w:rPr>
          <w:rFonts w:ascii="Arial" w:cs="Arial" w:eastAsia="Arial" w:hAnsi="Arial"/>
          <w:sz w:val="15"/>
          <w:szCs w:val="15"/>
          <w:color w:val="auto"/>
        </w:rPr>
        <w:t>shall have notified the Company of the proposed disposition and, in the case of a sale or transfer in a so called “4(1) and a half” transaction, shall have furnished counsel to the Company with an opinion of counsel, reasonably satisfactory to counsel to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that the Company will place stop orders with respect to the Note shall bear the following restrictive legend:</w:t>
      </w:r>
    </w:p>
    <w:p>
      <w:pPr>
        <w:spacing w:after="0" w:line="171"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“THE SECURITY REPRESENTED BY THIS CERTIFICATE HAS NOT BEEN REGISTERED UNDER THE SECURITIES ACT OF 1933, OR APPLICABLE STATE SECURITIES LAWS. THIS SECURITY MAY NOT BE SOLD, TRANSFERRED OR ASSIGNED, PLEDGED, HYPOTHECATED OR OTHERWISE DISPOSED OF IN THE ABSENCE OF AN EFFECTIVE REGISTRATION STATEMENT FOR THE SECURITIES UNDER SAID ACT, OR PURSUANT TO AN EXEMPTION FROM REGISTRATION UNDER SAID ACT INCLUDING, WITHOUT LIMITATION, PURSUANT TO RULE 144 UNDER SAID ACT.”</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At any time and from time to time after the date hereof, shall, without further consideration, execute and deliver to [ ] or the Company such other instruments or documents and shall take such other actions as they may reasonably request to carry out the transactions contemplated hereby.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220"/>
          </w:cols>
          <w:pgMar w:left="240" w:top="280" w:right="4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OPINION</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20</w:t>
      </w:r>
    </w:p>
    <w:p>
      <w:pPr>
        <w:spacing w:after="0" w:line="171" w:lineRule="exact"/>
        <w:rPr>
          <w:sz w:val="20"/>
          <w:szCs w:val="20"/>
          <w:color w:val="auto"/>
        </w:rPr>
      </w:pPr>
    </w:p>
    <w:p>
      <w:pPr>
        <w:ind w:left="940" w:hanging="932"/>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Mannkind Corporation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171" w:lineRule="exact"/>
        <w:rPr>
          <w:sz w:val="20"/>
          <w:szCs w:val="20"/>
          <w:color w:val="auto"/>
        </w:rPr>
      </w:pPr>
    </w:p>
    <w:p>
      <w:pPr>
        <w:spacing w:after="0"/>
        <w:tabs>
          <w:tab w:leader="none" w:pos="920" w:val="left"/>
          <w:tab w:leader="none" w:pos="2100" w:val="left"/>
          <w:tab w:leader="none" w:pos="8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intends to transfer its Tranche B Senior Secured Note in the principal amount of $</w:t>
      </w:r>
      <w:r>
        <w:rPr>
          <w:sz w:val="20"/>
          <w:szCs w:val="20"/>
          <w:color w:val="auto"/>
        </w:rPr>
        <w:tab/>
      </w:r>
      <w:r>
        <w:rPr>
          <w:rFonts w:ascii="Arial" w:cs="Arial" w:eastAsia="Arial" w:hAnsi="Arial"/>
          <w:sz w:val="16"/>
          <w:szCs w:val="16"/>
          <w:color w:val="auto"/>
        </w:rPr>
        <w:t>(the “Note”) of the Company to</w:t>
      </w:r>
    </w:p>
    <w:p>
      <w:pPr>
        <w:spacing w:after="0" w:line="15" w:lineRule="exact"/>
        <w:rPr>
          <w:sz w:val="20"/>
          <w:szCs w:val="20"/>
          <w:color w:val="auto"/>
        </w:rPr>
      </w:pPr>
    </w:p>
    <w:p>
      <w:pPr>
        <w:ind w:left="880"/>
        <w:spacing w:after="0"/>
        <w:tabs>
          <w:tab w:leader="none" w:pos="1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without registration under the Securities Act of 1933, as amended (the “Securities Act”). In connection herewith, we have examined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documents and issues of law as we have deemed relevant.</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on and subject to the foregoing, we are of the opinion that the transfer of the Note by to may be effected without registration under the Securities Act, provided, however, that the Note to be transferred to contain a legend restricting its transferability pursuant to the Securities Act and that transfer of the Note is subject to a stop order.</w:t>
      </w:r>
    </w:p>
    <w:p>
      <w:pPr>
        <w:spacing w:after="0" w:line="140" w:lineRule="exact"/>
        <w:rPr>
          <w:sz w:val="20"/>
          <w:szCs w:val="20"/>
          <w:color w:val="auto"/>
        </w:rPr>
      </w:pPr>
    </w:p>
    <w:p>
      <w:pPr>
        <w:spacing w:after="0"/>
        <w:tabs>
          <w:tab w:leader="none" w:pos="3900" w:val="left"/>
        </w:tabs>
        <w:rPr>
          <w:sz w:val="20"/>
          <w:szCs w:val="20"/>
          <w:color w:val="auto"/>
        </w:rPr>
      </w:pPr>
      <w:r>
        <w:rPr>
          <w:rFonts w:ascii="Arial" w:cs="Arial" w:eastAsia="Arial" w:hAnsi="Arial"/>
          <w:sz w:val="18"/>
          <w:szCs w:val="18"/>
          <w:color w:val="auto"/>
        </w:rPr>
        <w:t>The foregoing opinion is furnished only to</w:t>
      </w:r>
      <w:r>
        <w:rPr>
          <w:sz w:val="20"/>
          <w:szCs w:val="20"/>
          <w:color w:val="auto"/>
        </w:rPr>
        <w:tab/>
      </w:r>
      <w:r>
        <w:rPr>
          <w:rFonts w:ascii="Arial" w:cs="Arial" w:eastAsia="Arial" w:hAnsi="Arial"/>
          <w:sz w:val="15"/>
          <w:szCs w:val="15"/>
          <w:color w:val="auto"/>
        </w:rPr>
        <w:t>and may not be used, circulated, quoted or otherwise referred to or relied upon by you for any purposes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purpose for which furnished or by any other person for any purpose, without our prior written consent.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00"/>
          </w:cols>
          <w:pgMar w:left="240" w:top="274" w:right="2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225"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2014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12, 2014</w:t>
      </w:r>
      <w:r>
        <w:rPr>
          <w:sz w:val="20"/>
          <w:szCs w:val="20"/>
          <w:color w:val="auto"/>
        </w:rPr>
        <w:tab/>
      </w:r>
      <w:r>
        <w:rPr>
          <w:rFonts w:ascii="Arial" w:cs="Arial" w:eastAsia="Arial" w:hAnsi="Arial"/>
          <w:sz w:val="16"/>
          <w:szCs w:val="16"/>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Alfred E. Mann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225"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2014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12, 2014</w:t>
      </w:r>
      <w:r>
        <w:rPr>
          <w:sz w:val="20"/>
          <w:szCs w:val="20"/>
          <w:color w:val="auto"/>
        </w:rPr>
        <w:tab/>
      </w:r>
      <w:r>
        <w:rPr>
          <w:rFonts w:ascii="Arial" w:cs="Arial" w:eastAsia="Arial" w:hAnsi="Arial"/>
          <w:sz w:val="16"/>
          <w:szCs w:val="16"/>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Matthew J. Pfeffer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Corporate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March 31, 2014,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Chairman of the Board of Directors and Chief Executive Officer of the Company, and Matthew J. Pfeffer, Corporate Vice President and Chief Financial Officer of the Company, each hereby certifies that to the best of his knowledge:</w:t>
      </w:r>
    </w:p>
    <w:p>
      <w:pPr>
        <w:spacing w:after="0" w:line="193" w:lineRule="exact"/>
        <w:rPr>
          <w:sz w:val="20"/>
          <w:szCs w:val="20"/>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225" w:lineRule="exact"/>
        <w:rPr>
          <w:rFonts w:ascii="Arial" w:cs="Arial" w:eastAsia="Arial" w:hAnsi="Arial"/>
          <w:sz w:val="18"/>
          <w:szCs w:val="18"/>
          <w:color w:val="auto"/>
        </w:rPr>
      </w:pPr>
    </w:p>
    <w:p>
      <w:pPr>
        <w:ind w:right="340" w:firstLine="464"/>
        <w:spacing w:after="0" w:line="501"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12, 2014</w:t>
      </w:r>
    </w:p>
    <w:p>
      <w:pPr>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12</w:t>
      </w:r>
      <w:r>
        <w:rPr>
          <w:rFonts w:ascii="Arial" w:cs="Arial" w:eastAsia="Arial" w:hAnsi="Arial"/>
          <w:sz w:val="15"/>
          <w:szCs w:val="15"/>
          <w:color w:val="auto"/>
        </w:rPr>
        <w:t>th</w:t>
      </w:r>
      <w:r>
        <w:rPr>
          <w:rFonts w:ascii="Arial" w:cs="Arial" w:eastAsia="Arial" w:hAnsi="Arial"/>
          <w:sz w:val="18"/>
          <w:szCs w:val="18"/>
          <w:color w:val="auto"/>
        </w:rPr>
        <w:t xml:space="preserve"> day of May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68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Alfred E. Mann</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Chairman of the Board of Directors and Chief Executive Officer</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Corporate Vice President and Chief Financial Officer</w:t>
            </w:r>
          </w:p>
        </w:tc>
      </w:tr>
    </w:tbl>
    <w:p>
      <w:pPr>
        <w:spacing w:after="0" w:line="20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32"/>
    </w:lvl>
  </w:abstractNum>
  <w:abstractNum w:abstractNumId="16">
    <w:nsid w:val="B03E0C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
    <w:nsid w:val="189A769B"/>
    <w:multiLevelType w:val="hybridMultilevel"/>
    <w:lvl w:ilvl="0">
      <w:lvlJc w:val="left"/>
      <w:lvlText w:val="(%1)"/>
      <w:numFmt w:val="lowerRoman"/>
      <w:start w:val="3"/>
    </w:lvl>
  </w:abstractNum>
  <w:abstractNum w:abstractNumId="18">
    <w:nsid w:val="54E49EB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9">
    <w:nsid w:val="71F3245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
    <w:nsid w:val="2CA88611"/>
    <w:multiLevelType w:val="hybridMultilevel"/>
    <w:lvl w:ilvl="0">
      <w:lvlJc w:val="left"/>
      <w:lvlText w:val="(%1)"/>
      <w:numFmt w:val="lowerLetter"/>
      <w:start w:val="2"/>
    </w:lvl>
  </w:abstractNum>
  <w:abstractNum w:abstractNumId="21">
    <w:nsid w:val="836C40E"/>
    <w:multiLevelType w:val="hybridMultilevel"/>
    <w:lvl w:ilvl="0">
      <w:lvlJc w:val="left"/>
      <w:lvlText w:val="%1."/>
      <w:numFmt w:val="decimal"/>
      <w:start w:val="4"/>
    </w:lvl>
  </w:abstractNum>
  <w:abstractNum w:abstractNumId="22">
    <w:nsid w:val="2901D82"/>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23">
    <w:nsid w:val="3A95F874"/>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4">
    <w:nsid w:val="8138641"/>
    <w:multiLevelType w:val="hybridMultilevel"/>
    <w:lvl w:ilvl="0">
      <w:lvlJc w:val="left"/>
      <w:lvlText w:val="%1."/>
      <w:numFmt w:val="decimal"/>
      <w:start w:val="9"/>
    </w:lvl>
  </w:abstractNum>
  <w:abstractNum w:abstractNumId="25">
    <w:nsid w:val="1E7FF521"/>
    <w:multiLevelType w:val="hybridMultilevel"/>
    <w:lvl w:ilvl="0">
      <w:lvlJc w:val="left"/>
      <w:lvlText w:val="(%1)"/>
      <w:numFmt w:val="lowerLetter"/>
      <w:start w:val="4"/>
    </w:lvl>
    <w:lvl w:ilvl="1">
      <w:lvlJc w:val="left"/>
      <w:lvlText w:val="%2."/>
      <w:numFmt w:val="decimal"/>
      <w:start w:val="15"/>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2"/>
    </w:lvl>
  </w:abstractNum>
  <w:abstractNum w:abstractNumId="29">
    <w:nsid w:val="22221A70"/>
    <w:multiLevelType w:val="hybridMultilevel"/>
    <w:lvl w:ilvl="0">
      <w:lvlJc w:val="left"/>
      <w:lvlText w:val="%1."/>
      <w:numFmt w:val="decimal"/>
      <w:start w:val="4"/>
    </w:lvl>
  </w:abstractNum>
  <w:abstractNum w:abstractNumId="30">
    <w:nsid w:val="4516DDE9"/>
    <w:multiLevelType w:val="hybridMultilevel"/>
    <w:lvl w:ilvl="0">
      <w:lvlJc w:val="left"/>
      <w:lvlText w:val="(%1)"/>
      <w:numFmt w:val="lowerRoman"/>
      <w:start w:val="2"/>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2019-12-06T08:12:49Z</dcterms:created>
  <dcterms:modified xsi:type="dcterms:W3CDTF">2019-12-06T08:12:49Z</dcterms:modified>
</cp:coreProperties>
</file>