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453"/>
        </w:trPr>
        <w:tc>
          <w:tcPr>
            <w:tcW w:w="442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000-50865</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28903 North Avenue Paine</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Valencia, California</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91355</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(661) 775-5300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420" w:space="180"/>
            <w:col w:w="260" w:space="80"/>
            <w:col w:w="160" w:space="180"/>
            <w:col w:w="220" w:space="100"/>
            <w:col w:w="282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August 7, 2015, there were 414,033,866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8120" w:type="dxa"/>
            <w:vAlign w:val="bottom"/>
            <w:gridSpan w:val="10"/>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0000EE"/>
            </w:tcBorders>
            <w:gridSpan w:val="10"/>
            <w:vMerge w:val="continue"/>
          </w:tcPr>
          <w:p>
            <w:pPr>
              <w:spacing w:after="0"/>
              <w:rPr>
                <w:sz w:val="13"/>
                <w:szCs w:val="13"/>
                <w:color w:val="auto"/>
              </w:rPr>
            </w:pPr>
          </w:p>
        </w:tc>
        <w:tc>
          <w:tcPr>
            <w:tcW w:w="8120" w:type="dxa"/>
            <w:vAlign w:val="bottom"/>
            <w:gridSpan w:val="10"/>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June 30, 2015 and December 31,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Three and six months ended June 30, 2015 and 2014</w:t>
              </w:r>
            </w:hyperlink>
          </w:p>
        </w:tc>
        <w:tc>
          <w:tcPr>
            <w:tcW w:w="34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Three and six months ended June 30, 2015 and 2014</w:t>
              </w:r>
            </w:hyperlink>
          </w:p>
        </w:tc>
        <w:tc>
          <w:tcPr>
            <w:tcW w:w="27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Six months ended June 30, 2015 and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1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40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 Controls and Procedures</w:t>
              </w:r>
            </w:hyperlink>
          </w:p>
        </w:tc>
        <w:tc>
          <w:tcPr>
            <w:tcW w:w="86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4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942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Item 2. Unregistered Sales of Equity Securities and Use of Proceeds</w:t>
              </w:r>
            </w:hyperlink>
          </w:p>
        </w:tc>
        <w:tc>
          <w:tcPr>
            <w:tcW w:w="61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3. 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3"/>
          </w:tcPr>
          <w:p>
            <w:pPr>
              <w:spacing w:after="0"/>
              <w:rPr>
                <w:sz w:val="17"/>
                <w:szCs w:val="17"/>
                <w:color w:val="auto"/>
              </w:rPr>
            </w:pPr>
          </w:p>
        </w:tc>
        <w:tc>
          <w:tcPr>
            <w:tcW w:w="81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Item 5. Other Information</w:t>
              </w:r>
            </w:hyperlink>
          </w:p>
        </w:tc>
        <w:tc>
          <w:tcPr>
            <w:tcW w:w="914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6. 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2"/>
          </w:tcPr>
          <w:p>
            <w:pPr>
              <w:spacing w:after="0" w:line="196"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SIGNATURES</w:t>
              </w:r>
            </w:hyperlink>
          </w:p>
        </w:tc>
        <w:tc>
          <w:tcPr>
            <w:tcW w:w="986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4700" w:type="dxa"/>
            <w:vAlign w:val="bottom"/>
            <w:gridSpan w:val="14"/>
          </w:tcPr>
          <w:p>
            <w:pPr>
              <w:jc w:val="right"/>
              <w:ind w:right="4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2015</w:t>
            </w: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196"/>
        </w:trPr>
        <w:tc>
          <w:tcPr>
            <w:tcW w:w="8660" w:type="dxa"/>
            <w:vAlign w:val="bottom"/>
            <w:tcBorders>
              <w:top w:val="single" w:sz="8" w:color="CCEEFF"/>
            </w:tcBorders>
            <w:shd w:val="clear" w:color="auto" w:fill="CCEEFF"/>
          </w:tcPr>
          <w:p>
            <w:pPr>
              <w:ind w:left="374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107,187</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120,841</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Receivables from collaboration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50,436</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14,076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20,206</w:t>
            </w:r>
          </w:p>
        </w:tc>
        <w:tc>
          <w:tcPr>
            <w:tcW w:w="0" w:type="dxa"/>
            <w:vAlign w:val="bottom"/>
          </w:tcPr>
          <w:p>
            <w:pPr>
              <w:spacing w:after="0"/>
              <w:rPr>
                <w:sz w:val="1"/>
                <w:szCs w:val="1"/>
                <w:color w:val="auto"/>
              </w:rPr>
            </w:pPr>
          </w:p>
        </w:tc>
      </w:tr>
      <w:tr>
        <w:trPr>
          <w:trHeight w:val="75"/>
        </w:trPr>
        <w:tc>
          <w:tcPr>
            <w:tcW w:w="86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201,153</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193,868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192,127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costs from collaboration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75"/>
        </w:trPr>
        <w:tc>
          <w:tcPr>
            <w:tcW w:w="86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352,551</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394,439</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LIABILITIES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5,190</w:t>
            </w:r>
          </w:p>
        </w:tc>
        <w:tc>
          <w:tcPr>
            <w:tcW w:w="34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13,930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26,206</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Facility financing obligation</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73,757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72,995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convertible notes-current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64,123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99,355</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Deferred product sales from collaboration</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13,404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payments from collaboration</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6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342,254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403,353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Sanofi loan facility and loss share obligation</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28,415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notes-long term</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12,123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75"/>
        </w:trPr>
        <w:tc>
          <w:tcPr>
            <w:tcW w:w="86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468,209</w:t>
            </w:r>
          </w:p>
        </w:tc>
        <w:tc>
          <w:tcPr>
            <w:tcW w:w="0" w:type="dxa"/>
            <w:vAlign w:val="bottom"/>
          </w:tcPr>
          <w:p>
            <w:pPr>
              <w:spacing w:after="0"/>
              <w:rPr>
                <w:sz w:val="1"/>
                <w:szCs w:val="1"/>
                <w:color w:val="auto"/>
              </w:rPr>
            </w:pPr>
          </w:p>
        </w:tc>
      </w:tr>
      <w:tr>
        <w:trPr>
          <w:trHeight w:val="291"/>
        </w:trPr>
        <w:tc>
          <w:tcPr>
            <w:tcW w:w="86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60" w:type="dxa"/>
            <w:vAlign w:val="bottom"/>
          </w:tcPr>
          <w:p>
            <w:pPr>
              <w:spacing w:after="0" w:line="201" w:lineRule="exact"/>
              <w:rPr>
                <w:sz w:val="20"/>
                <w:szCs w:val="20"/>
                <w:color w:val="auto"/>
              </w:rPr>
            </w:pPr>
            <w:r>
              <w:rPr>
                <w:rFonts w:ascii="Arial" w:cs="Arial" w:eastAsia="Arial" w:hAnsi="Arial"/>
                <w:sz w:val="18"/>
                <w:szCs w:val="18"/>
                <w:color w:val="auto"/>
                <w:w w:val="95"/>
              </w:rPr>
              <w:t>Undesignated preferred stock, $0.01 par value — 10,000,000 shares authorized; no shares issued or outstanding</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180"/>
              <w:spacing w:after="0"/>
              <w:rPr>
                <w:sz w:val="20"/>
                <w:szCs w:val="20"/>
                <w:color w:val="auto"/>
              </w:rPr>
            </w:pPr>
            <w:r>
              <w:rPr>
                <w:rFonts w:ascii="Arial" w:cs="Arial" w:eastAsia="Arial" w:hAnsi="Arial"/>
                <w:sz w:val="18"/>
                <w:szCs w:val="18"/>
                <w:color w:val="auto"/>
              </w:rPr>
              <w:t>at June 30, 2015 and December 31, 2014</w:t>
            </w:r>
          </w:p>
        </w:tc>
        <w:tc>
          <w:tcPr>
            <w:tcW w:w="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$0.01 par value — 550,000,000 shares authorized at June 30, 2015 and December 31, 2014;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412,316,619 and 406,059,089 shares issued and outstanding at June 30, 2015 and December 31, 2014,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2,434,777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2,416,967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(2,554,353)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(2,494,784)</w:t>
            </w:r>
          </w:p>
        </w:tc>
        <w:tc>
          <w:tcPr>
            <w:tcW w:w="0" w:type="dxa"/>
            <w:vAlign w:val="bottom"/>
          </w:tcPr>
          <w:p>
            <w:pPr>
              <w:spacing w:after="0"/>
              <w:rPr>
                <w:sz w:val="1"/>
                <w:szCs w:val="1"/>
                <w:color w:val="auto"/>
              </w:rPr>
            </w:pPr>
          </w:p>
        </w:tc>
      </w:tr>
      <w:tr>
        <w:trPr>
          <w:trHeight w:val="75"/>
        </w:trPr>
        <w:tc>
          <w:tcPr>
            <w:tcW w:w="86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(115,475)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(73,770)</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660" w:type="dxa"/>
            <w:vAlign w:val="bottom"/>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352,551</w:t>
            </w:r>
          </w:p>
        </w:tc>
        <w:tc>
          <w:tcPr>
            <w:tcW w:w="340" w:type="dxa"/>
            <w:vAlign w:val="bottom"/>
          </w:tcPr>
          <w:p>
            <w:pPr>
              <w:spacing w:after="0"/>
              <w:rPr>
                <w:sz w:val="24"/>
                <w:szCs w:val="24"/>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394,439</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4"/>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10,623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32,523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21,102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manufacturing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24,051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69,846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45,790</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111,258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8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(24,051)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(69,846)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(45,790)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(4,131)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(13,753)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60" w:type="dxa"/>
            <w:vAlign w:val="bottom"/>
            <w:gridSpan w:val="2"/>
          </w:tcPr>
          <w:p>
            <w:pPr>
              <w:spacing w:after="0"/>
              <w:rPr>
                <w:sz w:val="20"/>
                <w:szCs w:val="20"/>
                <w:color w:val="auto"/>
              </w:rPr>
            </w:pPr>
            <w:r>
              <w:rPr>
                <w:rFonts w:ascii="Arial" w:cs="Arial" w:eastAsia="Arial" w:hAnsi="Arial"/>
                <w:sz w:val="18"/>
                <w:szCs w:val="18"/>
                <w:color w:val="auto"/>
              </w:rPr>
              <w:t>Loss before benefit for income taxes</w:t>
            </w:r>
          </w:p>
        </w:tc>
        <w:tc>
          <w:tcPr>
            <w:tcW w:w="100" w:type="dxa"/>
            <w:vAlign w:val="bottom"/>
          </w:tcPr>
          <w:p>
            <w:pPr>
              <w:spacing w:after="0"/>
              <w:rPr>
                <w:sz w:val="24"/>
                <w:szCs w:val="2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(28,910)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(73,365)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(59,569)</w:t>
            </w: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(28,910)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(73,365)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(59,569)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(125,422)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860" w:type="dxa"/>
            <w:vAlign w:val="bottom"/>
            <w:gridSpan w:val="2"/>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401,018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380,770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399,972</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374,810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14"/>
                <w:szCs w:val="14"/>
                <w:color w:val="auto"/>
              </w:rPr>
            </w:pPr>
          </w:p>
        </w:tc>
        <w:tc>
          <w:tcPr>
            <w:tcW w:w="17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17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$(28,910)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$(73,365)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$(59,569)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$(125,422)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(loss) gain</w:t>
            </w:r>
          </w:p>
        </w:tc>
        <w:tc>
          <w:tcPr>
            <w:tcW w:w="1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holding gain (loss) during the period</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Less: reclassification adjustment for gains (losses) included in net loss</w:t>
            </w:r>
          </w:p>
        </w:tc>
        <w:tc>
          <w:tcPr>
            <w:tcW w:w="10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 on investments</w:t>
            </w:r>
          </w:p>
        </w:tc>
        <w:tc>
          <w:tcPr>
            <w:tcW w:w="10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Other comprehensive loss</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(28,909)</w:t>
            </w:r>
          </w:p>
        </w:tc>
        <w:tc>
          <w:tcPr>
            <w:tcW w:w="880" w:type="dxa"/>
            <w:vAlign w:val="bottom"/>
            <w:gridSpan w:val="3"/>
            <w:shd w:val="clear" w:color="auto" w:fill="CCEEFF"/>
          </w:tcPr>
          <w:p>
            <w:pPr>
              <w:ind w:lef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(73,365)</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(59,575)</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(125,422)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Six months ended</w:t>
      </w:r>
    </w:p>
    <w:p>
      <w:pPr>
        <w:jc w:val="center"/>
        <w:ind w:left="94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2640" w:type="dxa"/>
            <w:vAlign w:val="bottom"/>
            <w:gridSpan w:val="3"/>
          </w:tcPr>
          <w:p>
            <w:pPr>
              <w:jc w:val="right"/>
              <w:ind w:right="260"/>
              <w:spacing w:after="0"/>
              <w:rPr>
                <w:sz w:val="20"/>
                <w:szCs w:val="20"/>
                <w:color w:val="auto"/>
              </w:rPr>
            </w:pPr>
            <w:r>
              <w:rPr>
                <w:rFonts w:ascii="Arial" w:cs="Arial" w:eastAsia="Arial" w:hAnsi="Arial"/>
                <w:sz w:val="18"/>
                <w:szCs w:val="18"/>
                <w:color w:val="auto"/>
              </w:rPr>
              <w:t>$ (59,569)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Depreciation and accretion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6,624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Loss on disposal of property and equipment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Write off of derivative liability</w:t>
            </w:r>
          </w:p>
        </w:tc>
        <w:tc>
          <w:tcPr>
            <w:tcW w:w="1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264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060"/>
              <w:spacing w:after="0"/>
              <w:rPr>
                <w:sz w:val="20"/>
                <w:szCs w:val="20"/>
                <w:color w:val="auto"/>
              </w:rPr>
            </w:pPr>
            <w:r>
              <w:rPr>
                <w:rFonts w:ascii="Arial" w:cs="Arial" w:eastAsia="Arial" w:hAnsi="Arial"/>
                <w:sz w:val="18"/>
                <w:szCs w:val="18"/>
                <w:color w:val="auto"/>
              </w:rPr>
              <w:t>Inventory</w:t>
            </w:r>
          </w:p>
        </w:tc>
        <w:tc>
          <w:tcPr>
            <w:tcW w:w="2640" w:type="dxa"/>
            <w:vAlign w:val="bottom"/>
            <w:gridSpan w:val="3"/>
          </w:tcPr>
          <w:p>
            <w:pPr>
              <w:jc w:val="right"/>
              <w:ind w:right="260"/>
              <w:spacing w:after="0"/>
              <w:rPr>
                <w:sz w:val="20"/>
                <w:szCs w:val="20"/>
                <w:color w:val="auto"/>
              </w:rPr>
            </w:pPr>
            <w:r>
              <w:rPr>
                <w:rFonts w:ascii="Arial" w:cs="Arial" w:eastAsia="Arial" w:hAnsi="Arial"/>
                <w:sz w:val="18"/>
                <w:szCs w:val="18"/>
                <w:color w:val="auto"/>
              </w:rPr>
              <w:t>(10,146)</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Receivables from Collaboration</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45,688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6,130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product costs from collaboration</w:t>
            </w:r>
          </w:p>
        </w:tc>
        <w:tc>
          <w:tcPr>
            <w:tcW w:w="2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2640" w:type="dxa"/>
            <w:vAlign w:val="bottom"/>
            <w:gridSpan w:val="3"/>
          </w:tcPr>
          <w:p>
            <w:pPr>
              <w:jc w:val="right"/>
              <w:ind w:right="26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2640" w:type="dxa"/>
            <w:vAlign w:val="bottom"/>
            <w:gridSpan w:val="3"/>
          </w:tcPr>
          <w:p>
            <w:pPr>
              <w:jc w:val="right"/>
              <w:ind w:right="260"/>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product sales from collaboration</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12,968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1060"/>
              <w:spacing w:after="0"/>
              <w:rPr>
                <w:sz w:val="20"/>
                <w:szCs w:val="20"/>
                <w:color w:val="auto"/>
              </w:rPr>
            </w:pPr>
            <w:r>
              <w:rPr>
                <w:rFonts w:ascii="Arial" w:cs="Arial" w:eastAsia="Arial" w:hAnsi="Arial"/>
                <w:sz w:val="18"/>
                <w:szCs w:val="18"/>
                <w:color w:val="auto"/>
              </w:rPr>
              <w:t>Other liabilities</w:t>
            </w:r>
          </w:p>
        </w:tc>
        <w:tc>
          <w:tcPr>
            <w:tcW w:w="1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2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(14,789)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(60,408)</w:t>
            </w: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2640" w:type="dxa"/>
            <w:vAlign w:val="bottom"/>
            <w:gridSpan w:val="3"/>
          </w:tcPr>
          <w:p>
            <w:pPr>
              <w:jc w:val="right"/>
              <w:ind w:right="320"/>
              <w:spacing w:after="0"/>
              <w:rPr>
                <w:sz w:val="20"/>
                <w:szCs w:val="20"/>
                <w:color w:val="auto"/>
              </w:rPr>
            </w:pPr>
            <w:r>
              <w:rPr>
                <w:rFonts w:ascii="Arial" w:cs="Arial" w:eastAsia="Arial" w:hAnsi="Arial"/>
                <w:sz w:val="18"/>
                <w:szCs w:val="18"/>
                <w:color w:val="auto"/>
              </w:rPr>
              <w:t>12,820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Tranche B of the facility financing obligation</w:t>
            </w:r>
          </w:p>
        </w:tc>
        <w:tc>
          <w:tcPr>
            <w:tcW w:w="1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Milestone payment</w:t>
            </w:r>
          </w:p>
        </w:tc>
        <w:tc>
          <w:tcPr>
            <w:tcW w:w="2640" w:type="dxa"/>
            <w:vAlign w:val="bottom"/>
            <w:gridSpan w:val="3"/>
          </w:tcPr>
          <w:p>
            <w:pPr>
              <w:jc w:val="right"/>
              <w:ind w:right="260"/>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Proceeds from issuance of common stock pursuant to ATM issuance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2,050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2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6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(13,654)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107,187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41,214</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in cash, net of amounts capitalized</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Issuance of common stock pursuant to conversion of facility financing obligation</w:t>
            </w:r>
          </w:p>
        </w:tc>
        <w:tc>
          <w:tcPr>
            <w:tcW w:w="16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construction in progress and property and equipment</w:t>
            </w:r>
          </w:p>
        </w:tc>
        <w:tc>
          <w:tcPr>
            <w:tcW w:w="2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Reclassification of share-based awards to liability</w:t>
            </w:r>
          </w:p>
        </w:tc>
        <w:tc>
          <w:tcPr>
            <w:tcW w:w="16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Tranche B Commitment Asset</w:t>
            </w:r>
          </w:p>
        </w:tc>
        <w:tc>
          <w:tcPr>
            <w:tcW w:w="1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2014 filed with the SEC on March 2, 2015 (the “Annual Report”).</w:t>
      </w:r>
    </w:p>
    <w:p>
      <w:pPr>
        <w:spacing w:after="0" w:line="16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2015 may not be indicative of the results that may be expected for the full year.</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and deferred product costs for impairment, accrued expenses, valuation of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Business — </w:t>
      </w:r>
      <w:r>
        <w:rPr>
          <w:rFonts w:ascii="Arial" w:cs="Arial" w:eastAsia="Arial" w:hAnsi="Arial"/>
          <w:sz w:val="17"/>
          <w:szCs w:val="17"/>
          <w:color w:val="auto"/>
        </w:rPr>
        <w:t>MannKind is a biopharmaceutical company focused on the discovery and development of therapeutic products for diseases such as diabetes.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only approved product, AFREZZA (insulin human [rDNA origin]) inhalation powder, is a rapid-acting inhaled insulin that was approved by the U.S. Food and Drug Administration (the “FDA”) on June 27, 2014 to improve glycemic control in adult patients with diabetes. In August 2014, the Company entered into a license and collaboration agreement (the “Sanofi License Agreement”) with Sanofi-Aventis Deutschland GmbH (which subsequently assigned its rights and obligations under the agreement to Sanofi-Aventis U.S. LLC (“Sanofi”)), pursuant to which Sanofi is responsible for global commercial, regulatory and development activities for AFREZZA. The Sanofi License Agreement became effective on September 23, 2014. The Company manufactures AFREZZA at its manufacturing facility in Danbury, Connecticut to supply Sanofi’s demand for the product. In addition, the Company and Sanofi are planning to collaborate to expand manufacturing capacity to meet global demand as necessary (see Note 7 – Collaboration arrangement). AFREZZA became available by prescription in United States retail pharmacies in February 2015.</w:t>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Company’s primary activities since incorporation have been establishing its facilities, recruiting personnel, conducting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development, business development, business and financial planning, raising capital, and undertaking pre-commercialization and commercialization activities related to AFREZZA. It is costly to develop therapeutic products and conduct associated clinical studies. As of June 30, 2015, the Company had an accumulated deficit of $2.6 billion and a stockholders’ deficit of $115.5 million. Historically the Company has reported negative cash flow from operations other than for the nine months ended September 30, 2014, the year ended December 31, 2014, and for the three months ended March 31, 2015, as a result of receipt of the upfront payment and milestone payments under the Sanofi License Agreement.</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June 30, 2015, the Company’s capital resources consisted of cash and cash equivalents of $107.2 million. The Company expects to continue to incur significant expenditures to support commercial manufacturing of AFREZZA and the development of other product candidates. In addition, the Company had $244.9 million principal amount of outstanding debt as of June 30, 2015, including $100.0 million principal amount of outstanding 5.75% Senior Convertible Notes due 2015 (the “2015 notes”), which have a maturity date of August 15, 2015. See Note 5 – Related-party arrangements, Note 6 – Senior convertible notes, Note 7 – Collaboration arrangement—Sanofi Loan Facility, Note 14 – Facility Agreement, and Note 15 – Subsequent events. In addition, the Company’s facility agreement (the “Facility Agreement”) with Deerfield Private Design Fund II, L.P. and Deerfield Private Design International II, L.P. (collectively, “Deerfield”) (see Note 14 – Facility Agreement) contains a financial covenant that requires the Company’s cash and cash equivalents, which include available borrowings under the Company’s loan arrangement (the “Loan Arrangement”) with The Mann Group LLC (“The Mann Group”), on the last day of each fiscal quarter to not be less than $25.0 million. As of August 10, 2015, pursuant to privately-negotiated exchange agreements with select holders of 2015 notes, the Company issued $27.7 million aggregate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principal in 2018 notes. In addition, the Company issued 1.9 million shares of the Company’s common stock in exchange for $8.0 million aggregate principal of 2015 notes. Unless the holders of the remaining outstanding 2015 notes or the holders of the new 2015 notes elect to convert such notes into the Company’s common stock prior to their due date, the Company intends to settle the unconverted notes with either available cash or raise additional funds. However, the Company cannot provide assurance that such additional funds will be available on acceptable terms or at all. The Company cannot be certain that it will achieve its projected cashflows , which raises substantial doubt about the Company’s ability to continue as a going concern. The financial statements do not include any adjustments that might result from the outcome of these uncertainties.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Sanofi License Agreement, Sanofi paid the Company an up-front cash payment of $150.0 million in the third quarter of 2014, and $50.0 million in milestone payments in the first quarter of 2015. The foregoing milestone payments were earned as of December 31, 2014. We are also eligible to receive up to $725.0 million in additional milestone payments under the Sanofi License Agreement if certain development, regulatory and sales milestones are achieved.</w:t>
      </w:r>
    </w:p>
    <w:p>
      <w:pPr>
        <w:ind w:right="280"/>
        <w:spacing w:after="0" w:line="295" w:lineRule="auto"/>
        <w:rPr>
          <w:sz w:val="20"/>
          <w:szCs w:val="20"/>
          <w:color w:val="auto"/>
        </w:rPr>
      </w:pPr>
      <w:r>
        <w:rPr>
          <w:rFonts w:ascii="Arial" w:cs="Arial" w:eastAsia="Arial" w:hAnsi="Arial"/>
          <w:sz w:val="16"/>
          <w:szCs w:val="16"/>
          <w:color w:val="auto"/>
        </w:rPr>
        <w:t>Worldwide profits and losses, which are determined based on the difference between the net sales of AFREZZA and the costs and expenses incurred by us and Sanofi that are specifically attributable or related to the development, regulatory filings, manufacturing, or commercialization of AFREZZA, will be shared 65% by Sanofi and 35% by the Company. In connection with the Sanofi License Agreement, an affiliate of Sanofi provided us with a secured loan facility (the “Sanofi Loan Facility”) of up to $175.0 million to fund the Company’s share of net losses under the Sanofi License Agreement.</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 funding sources that are, or in certain circumstances may be available to the Company, include approximately $30.1 million principal amount of available borrowings under its Loan Arrangement (see Note 5 – Related-party arrangements) and potential proceeds from the exercise of warrants issued in its February 2012 public offering of approximately $9.8 million, and the Company’s at-the-market issuance sales agreements which allow the Company to sell up to $47.9 million in common stock provided no sales may be made except pursuant to an effective registration statement. In April 2015, the Company sold $2.1 million in common stock under the at-the-market sales agreement. The registration statement under which the shares that may be sold pursuant to the at-the-market issuance sales agreements are registered will expire on August 31, 2015. The Company cannot provide assurances that its plans will not change or that changed circumstances will not result in the depletion of its capital resources more rapidly than it currently anticipates. The Company may need to raise additional capital, whether through a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its other ongoing activities. However, the Company cannot provide assurances that such additional capital will be available on acceptable terms or at all.</w:t>
      </w:r>
    </w:p>
    <w:p>
      <w:pPr>
        <w:spacing w:after="0" w:line="18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 xml:space="preserve">Fair Value of Financial Instruments — </w:t>
      </w:r>
      <w:r>
        <w:rPr>
          <w:rFonts w:ascii="Arial" w:cs="Arial" w:eastAsia="Arial" w:hAnsi="Arial"/>
          <w:sz w:val="17"/>
          <w:szCs w:val="17"/>
          <w:color w:val="auto"/>
        </w:rPr>
        <w:t>The carrying amounts reported in the accompanying financial statements for cash and cash equivalents,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accrued liabilities approximate their fair value due to their relatively short maturities. The fair value of the cash equivalents, note payable to related party, senior convertible notes, and the Facility Agreement are discussed in Note 8 – Fair Value of Financial Instruments.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Deferred product costs from collaboration — </w:t>
      </w:r>
      <w:r>
        <w:rPr>
          <w:rFonts w:ascii="Arial" w:cs="Arial" w:eastAsia="Arial" w:hAnsi="Arial"/>
          <w:sz w:val="18"/>
          <w:szCs w:val="18"/>
          <w:color w:val="auto"/>
        </w:rPr>
        <w:t>Deferred product costs represent the costs of product manufactured and sold to Sanofi, as long as they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than the amount of deferred product sales related to the collaboration, for which recognition of revenue has been deferred. Given that the costs of inventory delivered to a customer, but for which revenue may not yet be recognized, meet both the definition and characteristics of an “asset” and the Company believes that it is probable that the amount of future revenue will exceed the amount of deferred costs (i.e., the asset would be realizable through the recognition of probable future income), the Company has elected to account for the deferred costs related to the product sold to Sanofi as an asset and carry forward to future periods until the related revenue is recognized.</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Recently Issued Accounting Standards — </w:t>
      </w:r>
      <w:r>
        <w:rPr>
          <w:rFonts w:ascii="Arial" w:cs="Arial" w:eastAsia="Arial" w:hAnsi="Arial"/>
          <w:sz w:val="18"/>
          <w:szCs w:val="18"/>
          <w:color w:val="auto"/>
        </w:rPr>
        <w:t>From time to time, new accounting pronouncements are issued by the Financial Accounting Standards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May 2014, a new standard was issued related to revenue recognition, which requires an entity to recognize the amount of revenue to which it expects to be entitled for the transfer of promised goods or services to customers. The guidance requires a company to recognize revenue to depict the transfer of goods or services to customers in an amount that reflects the consideration it expects to be entitled to receive in exchange for those goods or services. In July 2015, the FASB decided to delay the effective date of the new revenue standard by one year. The FASB also agreed to allow entities to choose to adopt the standard as of the original effective date. The standard is effective beginning the first quarter of the Company’s 2018 fiscal year and may be adopted either by restating all years presented in the Company’s financial statements or by recording the impact of adoption as an adjustment to retained earnings at the beginning of fiscal 2018. The Company is assessing the potential impact of the new standard on its consolidated statements of financial position and results of operations and comprehensive income (loss) and has not yet selected a transition method.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August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The Company is evaluating the impact the adoption of ASU 2014-15 will have on its consolidated financial statements.</w:t>
      </w:r>
    </w:p>
    <w:p>
      <w:pPr>
        <w:spacing w:after="0" w:line="16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 April 2015, the FASB issued ASU 2015-03, “Simplifying the Presentation of Debt Issuance Costs.” The guidance requires debt issuance costs to be presented in the balance sheet as a direct deduction from the carrying value of the associated debt, consistent with the presentation of a debt discount. The guidance is effective for annual reporting periods beginning after December 15, 2015 and interim periods thereafter. Early adoption is permitted. The Company does not believe the adoption of the new standard will have a material impact on its consolidated financial statements and disclosures.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2015, The FASB has issued ASU 2015-11, Inventory (Topic 330): Simplifying the Measurement of Inventory. Topic 330, Inventory, currently requires an entity to measure inventory at the lower of cost or market. Market could be replacement cost, net realizable value, or net realizable value less an approximately normal profit margin. The amendments do not apply to inventory that is measured using last-in, first-out (LIFO) or the retail inventory method. The amendments apply to all other inventory, which includes inventory that is measured using first-in, first-out (FIFO) or average cost. The amendments are effective for fiscal years beginning after December 15, 2016, including interim periods within those fiscal years. The amendments should be applied prospectively with earlier application permitted as of the beginning of an interim or annual reporting period. The Company is evaluating the impact the adoption of ASU 2015-11 will have on its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500" w:type="dxa"/>
            <w:vAlign w:val="bottom"/>
            <w:gridSpan w:val="4"/>
          </w:tcPr>
          <w:p>
            <w:pPr>
              <w:ind w:left="5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8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$16,038</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Work-in-process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3,757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91"/>
        </w:trPr>
        <w:tc>
          <w:tcPr>
            <w:tcW w:w="6580" w:type="dxa"/>
            <w:vAlign w:val="bottom"/>
          </w:tcPr>
          <w:p>
            <w:pPr>
              <w:spacing w:after="0"/>
              <w:rPr>
                <w:sz w:val="20"/>
                <w:szCs w:val="20"/>
                <w:color w:val="auto"/>
              </w:rPr>
            </w:pPr>
            <w:r>
              <w:rPr>
                <w:rFonts w:ascii="Arial" w:cs="Arial" w:eastAsia="Arial" w:hAnsi="Arial"/>
                <w:sz w:val="18"/>
                <w:szCs w:val="18"/>
                <w:color w:val="auto"/>
              </w:rPr>
              <w:t>Total inventories</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19,816</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24"/>
                <w:szCs w:val="24"/>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Useful</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Life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0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Buildings</w:t>
            </w:r>
          </w:p>
        </w:tc>
        <w:tc>
          <w:tcPr>
            <w:tcW w:w="2960" w:type="dxa"/>
            <w:vAlign w:val="bottom"/>
            <w:gridSpan w:val="3"/>
          </w:tcPr>
          <w:p>
            <w:pPr>
              <w:jc w:val="right"/>
              <w:ind w:right="260"/>
              <w:spacing w:after="0"/>
              <w:rPr>
                <w:sz w:val="20"/>
                <w:szCs w:val="20"/>
                <w:color w:val="auto"/>
              </w:rPr>
            </w:pPr>
            <w:r>
              <w:rPr>
                <w:rFonts w:ascii="Arial" w:cs="Arial" w:eastAsia="Arial" w:hAnsi="Arial"/>
                <w:sz w:val="18"/>
                <w:szCs w:val="18"/>
                <w:color w:val="auto"/>
              </w:rPr>
              <w:t>39-40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54,948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2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131,300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114,131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960" w:type="dxa"/>
            <w:vAlign w:val="bottom"/>
            <w:gridSpan w:val="3"/>
          </w:tcPr>
          <w:p>
            <w:pPr>
              <w:jc w:val="right"/>
              <w:ind w:right="26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102,996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80,919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96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10,355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39,580</w:t>
            </w:r>
          </w:p>
        </w:tc>
        <w:tc>
          <w:tcPr>
            <w:tcW w:w="0" w:type="dxa"/>
            <w:vAlign w:val="bottom"/>
          </w:tcPr>
          <w:p>
            <w:pPr>
              <w:spacing w:after="0"/>
              <w:rPr>
                <w:sz w:val="1"/>
                <w:szCs w:val="1"/>
                <w:color w:val="auto"/>
              </w:rPr>
            </w:pPr>
          </w:p>
        </w:tc>
      </w:tr>
      <w:tr>
        <w:trPr>
          <w:trHeight w:val="75"/>
        </w:trPr>
        <w:tc>
          <w:tcPr>
            <w:tcW w:w="4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317,022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310,348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(123,154)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(118,221)</w:t>
            </w:r>
          </w:p>
        </w:tc>
        <w:tc>
          <w:tcPr>
            <w:tcW w:w="0" w:type="dxa"/>
            <w:vAlign w:val="bottom"/>
          </w:tcPr>
          <w:p>
            <w:pPr>
              <w:spacing w:after="0"/>
              <w:rPr>
                <w:sz w:val="1"/>
                <w:szCs w:val="1"/>
                <w:color w:val="auto"/>
              </w:rPr>
            </w:pPr>
          </w:p>
        </w:tc>
      </w:tr>
      <w:tr>
        <w:trPr>
          <w:trHeight w:val="75"/>
        </w:trPr>
        <w:tc>
          <w:tcPr>
            <w:tcW w:w="4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2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193,868</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192,127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80" w:type="dxa"/>
            <w:vAlign w:val="bottom"/>
            <w:vMerge w:val="restart"/>
          </w:tcPr>
          <w:p>
            <w:pPr>
              <w:jc w:val="right"/>
              <w:ind w:right="127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and six months ended June 30, 2015 and 2014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gridSpan w:val="7"/>
          </w:tcPr>
          <w:p>
            <w:pPr>
              <w:ind w:left="100"/>
              <w:spacing w:after="0"/>
              <w:rPr>
                <w:sz w:val="20"/>
                <w:szCs w:val="20"/>
                <w:color w:val="auto"/>
              </w:rPr>
            </w:pPr>
            <w:r>
              <w:rPr>
                <w:rFonts w:ascii="Arial" w:cs="Arial" w:eastAsia="Arial" w:hAnsi="Arial"/>
                <w:sz w:val="14"/>
                <w:szCs w:val="14"/>
                <w:b w:val="1"/>
                <w:bCs w:val="1"/>
                <w:color w:val="auto"/>
                <w:w w:val="98"/>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72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$ 2,740</w:t>
            </w:r>
          </w:p>
        </w:tc>
        <w:tc>
          <w:tcPr>
            <w:tcW w:w="38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$ 2,449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expenses and other current liabilities</w:t>
            </w: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90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7"/>
          </w:tcPr>
          <w:p>
            <w:pPr>
              <w:ind w:left="2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Accrued interest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2,396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920" w:type="dxa"/>
            <w:vAlign w:val="bottom"/>
            <w:vMerge w:val="restart"/>
          </w:tcPr>
          <w:p>
            <w:pPr>
              <w:spacing w:after="0"/>
              <w:rPr>
                <w:sz w:val="6"/>
                <w:szCs w:val="6"/>
                <w:color w:val="auto"/>
              </w:rPr>
            </w:pPr>
          </w:p>
        </w:tc>
        <w:tc>
          <w:tcPr>
            <w:tcW w:w="5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4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13,930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Related-party arrangements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October 2007, the Company entered into a $350.0 million loan arrangement with its principal stockholder. The Loan Arrangement has been amended from time to time. On October 31, 2013, the promissory note underlying the Loan Arrangement was amended to, among other things, extend the maturity date of the loan to January 5, 2020, extend the date through which the Company can borrow under the Loan Arrangement to December 31, 2019, increase the aggregate borrowing amount under the Loan Arrangement from $350.0 million to $370.0 million and provide that repayments or cancellations of principal under the Loan Arrangement will not be available for reborrowing.</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June 30, 2015, the total principal amount outstanding under the Loan Arrangement was $49.5 million, and the amount available for future borrowings was $30.1 million. Interest, at a fixed rate of 5.84%,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as additional borrowings at any time and would be classified as non-current upon mutual agreement of both parties. As of June 30, 2015, the Company had accrued $4.9 million of interest in other liabilities related to the Loan Arrangement.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Loan Arrangement until the Company’s payment obligations to Deerfield under the Facility Agreement have been satisfied in full. Subject to the foregoing, in the event of a default under the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2015, there were no additional borrowings under or amendments to the Loan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Senior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June 30,</w:t>
            </w:r>
          </w:p>
        </w:tc>
        <w:tc>
          <w:tcPr>
            <w:tcW w:w="122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 notes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Principal amount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6440" w:type="dxa"/>
            <w:vAlign w:val="bottom"/>
          </w:tcPr>
          <w:p>
            <w:pPr>
              <w:spacing w:after="0"/>
              <w:rPr>
                <w:sz w:val="20"/>
                <w:szCs w:val="20"/>
                <w:color w:val="auto"/>
              </w:rPr>
            </w:pPr>
            <w:r>
              <w:rPr>
                <w:rFonts w:ascii="Arial" w:cs="Arial" w:eastAsia="Arial" w:hAnsi="Arial"/>
                <w:sz w:val="18"/>
                <w:szCs w:val="18"/>
                <w:color w:val="auto"/>
              </w:rPr>
              <w:t>Net carrying amount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99,836</w:t>
            </w:r>
          </w:p>
        </w:tc>
        <w:tc>
          <w:tcPr>
            <w:tcW w:w="32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99,355</w:t>
            </w:r>
          </w:p>
        </w:tc>
        <w:tc>
          <w:tcPr>
            <w:tcW w:w="120" w:type="dxa"/>
            <w:vAlign w:val="bottom"/>
          </w:tcPr>
          <w:p>
            <w:pPr>
              <w:spacing w:after="0"/>
              <w:rPr>
                <w:sz w:val="24"/>
                <w:szCs w:val="24"/>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August 18, 2010, the Company completed a Rule 144A offering of $100.0 million aggregate principal amount of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In connection with the 2015 notes, the Company had accrued interest of $2.4 million as of both June 30, 2015 and December 31, 2014.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any outstanding, unconverted securities. Holders of the 2015 notes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2015 notes, which amount, if any, will be based on the Company’s common stock price and the effective date of the fundamental change, and (2) each holder of 2015 notes will have the option to require the Company to repurchase all or any portion of such holder’s 2015 notes at a repurchase price of 100% of the principal amount of the 2015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 The redemption price will equal 100% of the principal amount of the 2015 notes to be redeemed, plus accrued and unpaid interest, if any, up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of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2015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39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 incurred approximately $4.2 million in issuance costs which are recorded as an offset to the 2015 notes in the accompanying condensed consolidated balance sheets. These costs are being accreted to interest expense using the effective interest method over the term of the 2015 notes.</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2015 notes provide that upon an acceleration of certain indebtedness, including the 9.75% Senior Convertible Notes due 2019 (the “2019 notes”) and the 8.75% Senior Convertible Notes due 2019 (the “Tranche B notes”) issued to Deerfield pursuant to the Facility Agreement (see Note 14 – Facility Agreement),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Accretion of debt issuance expense in connection with the 2015 notes during the three and six months ended June 30, 2015 and 2014 were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6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7320" w:type="dxa"/>
            <w:vAlign w:val="bottom"/>
          </w:tcPr>
          <w:p>
            <w:pPr>
              <w:spacing w:after="0"/>
              <w:rPr>
                <w:sz w:val="14"/>
                <w:szCs w:val="14"/>
                <w:color w:val="auto"/>
              </w:rPr>
            </w:pPr>
          </w:p>
        </w:tc>
        <w:tc>
          <w:tcPr>
            <w:tcW w:w="1000" w:type="dxa"/>
            <w:vAlign w:val="bottom"/>
            <w:gridSpan w:val="3"/>
          </w:tcPr>
          <w:p>
            <w:pPr>
              <w:jc w:val="center"/>
              <w:ind w:left="344"/>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7320" w:type="dxa"/>
            <w:vAlign w:val="bottom"/>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243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$ 481</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License Agreement and Sanofi Supply Agreement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August 11, 2014, the Company and Sanofi entered into the Sanofi License Agreement, which became effective on September 23, 2014. Under the terms of the Sanofi License Agreement, the Company granted to Sanofi exclusive, worldwide licenses to certain of the Company’s patents, trademarks and know-how for the development and commercialization of AFREZZA. Under the terms of the Sanofi License Agreement, Sanofi has the exclusive right and responsibility to develop AFREZZA worldwide, subject to certain development activities that will be performed by the Company. Sanofi will also be obligated to use commercially reasonable efforts to file for, obtain and maintain marketing approvals for AFREZZA in certain major markets and countries. In addition, Sanofi will have exclusive, worldwide rights to commercialize AFREZZA and will be obligated to use commercially reasonable efforts to market, promote and commercialize AFREZZA in all countries in the world where regulatory approval for AFREZZA has been received. Under the Sanofi License Agreement, Sanofi paid the Company an up-front cash payment of $150.0 million in the third quarter of 2014 and a subsequent payment of $50.0 million in the first quarter of 2015 for the achievement of two manufacturing milestones as of December 31, 2014. If certain development, regulatory and sales milestones are achieved, the Company will also be eligible to receive up to $725.0 million in additional milestone payments, of which $25.0 million relates to a development milestone event, $50.0 million relates to the filing and completion of regulatory approvals and $650.0 million relates to the achievement of certain product sales milestones. In addition, worldwide profits and losses, which are determined based on the difference between the net sales of AFREZZA and the costs and expenses incurred by the Company and Sanofi that are specifically attributable or related to the development, improvement, regulatory filings, manufacturing, and commercialization of AFREZZA will be shared 65% by Sanofi and 35% by the Company. In accordance with the terms of the Sanofi License Agreement, profit and loss sharing commenced in the fourth quarter of 2014.</w:t>
      </w:r>
    </w:p>
    <w:p>
      <w:pPr>
        <w:spacing w:after="0" w:line="1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Pursuant to the terms of the Sanofi Supply Agreement, the Company will be the exclusive manufacturer and supplier of AFREZZA until the specified conditions are met, upon which a portion of the manufacturing activities may be assumed by Sanofi.</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Company analyzed the agreements entered into with Sanofi under the provisions of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to determine whether the consideration,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 In addition, revenue arrangements with multiple elements are divided into separate units of accounting if certain criteria are met, including whether the delivered element has stand-alone value to the customer. When deliverables are separable, consideration received is allocated to the separate units of accounting based on the relative selling price of each deliverable and the appropriate revenue recognition principles are applied to each unit.</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assessment of multiple element arrangements requires judgment in order to determine the appropriate units of accounting and the points in time that, or periods over which, revenue should be recognized. Under the terms of the Sanofi License Agreement, Sanofi Supply Agreement and the Sanofi Loan Facility the Company determined that the arrangement contained significant deliverables including (i) licenses to develop and commercialize AFREZZA and to use the Company’s trademarks, (ii) development activities, and (iii) manufacture and supply services for AFREZZA. Due to the proprietary nature of the manufacturing services being provided by the Company, the Company determined that all of the significant deliverables should be combined into a single unit of accounting. The Company believes that the manufacturing services are proprietary due to the fact that since the late 1990’s, the Company has developed proprietary knowledge and patented equipment and tools that are used in the manufacturing process of AFREZZA. Due to the complexities of particle formulation and the specialized knowledge and equipment needed to handle the AFREZZA powder, neither Sanofi nor any third-party contract manufacturing organization currently possesses the capability of manufacturing AFREZZA.</w:t>
      </w:r>
    </w:p>
    <w:p>
      <w:pPr>
        <w:spacing w:after="0" w:line="18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order for revenue to be recognized, the seller’s price to the buyer must be fixed and determinable. Given that as of June 30, 2015, the Company did not have the ability to estimate the amount of costs that would potentially be incurred under the loss share provision related to the Sanofi License Agreement and the Sanofi Supply Agreement, the Company believes this requirement for revenue recognition has not been met.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such, the Company did not recognize any revenue pursuant to the Sanofi License Agreement or the Sanofi Supply Agreement for the three or six months ended June 30, 2015. The Company has recorded the $150.0 million up-front payment and $50.0 million from milestone payments as deferred payments from collaboration. In addition, as of June 30, 2015 the Company has recorded $13.4 million in AFREZZA product shipments to Sanofi as deferred product sales from collaboration and recorded $10.8 million as deferred product costs from collaboration. Deferred product costs represent the costs of product manufactured and shipped to Sanofi, not to exceed the amount of deferred product sales, for which recognition of revenue has been deferred. During the three months ended March 31, 2015 and June 30, 2015, the Company’s portion of the loss sharing was $12.4 million and $12.8 million, respectively, which resulted in the reclassification from current deferred payments from collaboration to Sanofi loan facility and loss share obligation.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Loan Facility</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September 23, 2014, the Company entered into the Sanofi Loan Facility, consisting of a senior secured revolving promissory note (the “Note”) and a guaranty and security agreement (the “Security Agreement”) with an affiliate of Sanofi which provides the Company with a secured loan facility of up to $175.0 million to fund the Company’s share of net losses under the Sanofi License Agreement. In the event of certain future defaults under the Sanofi Loan facility agreement for which the Company is not able to obtain waivers, the lender under the Sanofi Loan Facility may accelerate all of the Company’s repayment obligations, and take control of the Company’s pledged assets, potentially requiring the Company to renegotiate the terms of its indebtedness on terms less favorable to the Company, or to immediately cease operations.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Advances under the Sanofi Loan Facility bear interest at a rate of 8.5% per annum and are payable in-kind and compounded quarterly and added to the outstanding principal balance under the Sanofi Loan Facility. The Company is required to make mandatory prepayments on the outstanding loans under the Sanofi Loan Facility from its share of any Profits (as defined in the Sanofi License Agreement) under the Sanofi License Agreement within 30 days of receipt of its share of any such Profits. No advances may be made under the Sanofi Loan Agreement if Deerfield has commenced enforcement proceedings in connection with an event of default under the Facility Agreement.</w:t>
      </w:r>
    </w:p>
    <w:p>
      <w:pPr>
        <w:spacing w:after="0" w:line="18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outstanding principal of all loans under the Sanofi Loan Facility, if not prepaid, will become due and payable on September 23, 2024 unless accelerated pursuant to the terms of the Sanofi Loan Facility. Additionally, if the Company sells its Valencia facility, the Company is required to prepay the loans under the Sanofi Loan Facility in an amount equal to 100% of the net cash proceeds of the sale within five business days of receipt.</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order to fund the Company’s portion of the loss sharing during the three months ended June 30, 2015, subsequent to June 30, 2015, the Company borrowed $12.8 million under the Sanofi Loan Facility to finance the portion of the Company’s loss from the quarter ended June 30, 2015. As of August 10, 2015, the total amount owed to Sanofi under the Sanofi Loan Facility was $28.4 million, which includes $0.2 million in paid-in-kind interest.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for identical instruments in active markets.</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Significant inputs to the valuation model are unobservable.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June 30, 2015 and December 31, 2014, the Company held $107.2 million and $120.8 million, respectively, of cash and cash equivalents, consisting primarily of money market funds of $104.7 million and $118.5 million, respectively, and the remaining in non-interest bearing checking accounts. The fair value of these money market funds was determined by using quoted prices for identical investments in an active market, which equals carrying value (Level 1 in the fair value hierarchy).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Arrangement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fair value of the note payable to our principal stockholder cannot be reasonably estimated as the Company would not be able to obtain a similar credit arrangement in the current economic environment.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convertible notes and facility financing obligation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carrying values and estimated fair values of the 2015 notes and the facility financing obligation (i.e.,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Tranche B notes) (in millions):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ind w:left="360"/>
              <w:spacing w:after="0"/>
              <w:rPr>
                <w:sz w:val="20"/>
                <w:szCs w:val="20"/>
                <w:color w:val="auto"/>
              </w:rPr>
            </w:pPr>
            <w:r>
              <w:rPr>
                <w:rFonts w:ascii="Arial" w:cs="Arial" w:eastAsia="Arial" w:hAnsi="Arial"/>
                <w:sz w:val="14"/>
                <w:szCs w:val="14"/>
                <w:b w:val="1"/>
                <w:bCs w:val="1"/>
                <w:color w:val="auto"/>
                <w:w w:val="92"/>
              </w:rPr>
              <w:t>June 30, 2015</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2014</w:t>
            </w:r>
          </w:p>
        </w:tc>
      </w:tr>
      <w:tr>
        <w:trPr>
          <w:trHeight w:val="119"/>
        </w:trPr>
        <w:tc>
          <w:tcPr>
            <w:tcW w:w="4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Estimated</w:t>
            </w:r>
          </w:p>
        </w:tc>
        <w:tc>
          <w:tcPr>
            <w:tcW w:w="54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Estimated</w:t>
            </w:r>
          </w:p>
        </w:tc>
        <w:tc>
          <w:tcPr>
            <w:tcW w:w="10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fair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notes</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Facility financing obligation</w:t>
            </w:r>
          </w:p>
        </w:tc>
        <w:tc>
          <w:tcPr>
            <w:tcW w:w="2260" w:type="dxa"/>
            <w:vAlign w:val="bottom"/>
            <w:gridSpan w:val="2"/>
          </w:tcPr>
          <w:p>
            <w:pPr>
              <w:ind w:left="2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73.8</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73.0</w:t>
            </w:r>
          </w:p>
        </w:tc>
        <w:tc>
          <w:tcPr>
            <w:tcW w:w="4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r>
    </w:tbl>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estimated fair value of the 2015 notes was calculated based on model-derived valuations whose inputs were observable, such as the Company’s stock price, and non-observable, such as the Company’s longer-term historical volatility (Level 3 in the fair value hierarchy). As there is no current observable market for the 2015 notes,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Agreement</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discussed in Note 14 — Facility Agreement, in connection with the Facility Agreement, the Company issued 2019 notes and certain rights to receive payments of up to $90.0 million upon the occurrence of specified strategic and sales milestones (the “Milestone Rights”) and subsequently issued Tranche B notes.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At June 30, 2015 the market discount rate was recalculated at 12.0% for the 2019 notes and the Tranche B notes (Level 3 in the fair value hierarchy).</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(15.5%) was selected based on an estimation of required rate of returns for similar investment opportunities using available market data. As of June 30, 2015, the fair value of the Milestone Rights is estimated at $43.9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Loan Facility</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As discussed in Note 7 — the Sanofi Loan Facility, consists of a senior secured revolving promissory note and a guaranty and security agreement with an affiliate of Sanofi which provides the Company with a secured loan facility of up to $175.0 million to fund the Company’s share of net losses under the Sanofi License Agreement. As of June 30, 2015, the Company has borrowed $15.6 million, which includes $0.2 million in paid-in-kind interest, under the Sanofi Loan Facility and the estimated fair value was determined to approximate the carrying value based on the consideration of the key elements of the contractual terms of the Sanofi Loan Facility, market-based estimated cost of capital, and time value of money, namely the amount of time to settlement and the estimated discount rate appropriate for the liability (Level 2 in the fair value hierarchy).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was performed using a discounted cash flow model in which time outstanding and discount rate were the primary variables.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were no material re-measurements to fair value during the six months ended June 30, 2015 of financial assets and liabilities that are not measured at fair value on a recurring basis. There were no transfers of assets or liabilities between the fair value measurement levels during the six months ended June 30,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Included in the common stock outstanding as of June 30, 2015 and December 31, 2014 are 9,000,000 shares of common stock loaned to Bank of America, N.A. under a share lending agreement in connection with the offering of $100.0 million aggregate principal amount of 2015 notes (see Note 6 — Senior convertible notes). Bank of America is obligated to return the borrowed shares (or, in certain circumstances, the cash value thereof) to the Company on or about the 45th business day following the date as of which the entire principal amount of the 2015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 was as follows (in thousands):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90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410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1,775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40,644</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3,778</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51,583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the three months ended March 31, 2015, the Company issued stock awards to employees with a four-year vesting schedule. The grant date fair value of the 36,300 restricted stock units and 73,600 stock options issued was $262,086 and $382,720, respectively, with a grant date fair value per share of $7.22 and $5.20, respectively.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three months ended June 30, 2015, the Company issued stock awards to employees with a four-year vesting schedule. The grant date fair value of the 194,704 restricted stock units and 208,000 stock options issued was $901,480 and $603,802 respectively, with a grant date fair value per share of $4.63 and $2.90, respectively.</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June 30, 2015, there was $7.3 million and $8.6 million of unrecognized compensation cost related to options and restricted stock units, respectively, which are expected to be recognized over the remaining weighted average vesting period of 2.6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common share</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net loss by the weighted average number of common shares outstanding during the period excluding the shares loaned to Bank of America under a share lending arrangement (see Note 9 — Common and preferred stock). As of June 30, 2015, 9,000,000 shares of the Company’s common stock, which were loaned to Bank of America pursuant to the terms of a share lending agreement, were issued and are outstanding, and the holder of the borrowed shares has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40,982,544 shares and 56,844,341 shares as of June 30, 2015 and 2014, respectively, and exclude the 9,000,000 shares loaned under the share lending arrangement.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Litigation — </w:t>
      </w:r>
      <w:r>
        <w:rPr>
          <w:rFonts w:ascii="Arial" w:cs="Arial" w:eastAsia="Arial" w:hAnsi="Arial"/>
          <w:sz w:val="17"/>
          <w:szCs w:val="17"/>
          <w:color w:val="auto"/>
        </w:rPr>
        <w:t>The Company is subject to legal proceedings and claims which arise in the ordinary course of its business. As of the date hereof,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the Company would record a provision for a liability when it is both probable that a liability has been incurred and the amount of the loss can be reasonably estimated.</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Contingencies — </w:t>
      </w:r>
      <w:r>
        <w:rPr>
          <w:rFonts w:ascii="Arial" w:cs="Arial" w:eastAsia="Arial" w:hAnsi="Arial"/>
          <w:sz w:val="18"/>
          <w:szCs w:val="18"/>
          <w:color w:val="auto"/>
        </w:rPr>
        <w:t>In connection with the Facility Agreement, on July 1, 2013 the Company also entered into a Milestone Rights Purchase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“Milestone Agreement”) with Deerfield Private Design Fund and Horizon Santé FLML SÁRL (collectively, the “Milestone 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14 – Facility Agreement).</w:t>
      </w:r>
    </w:p>
    <w:p>
      <w:pPr>
        <w:spacing w:after="0" w:line="18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 xml:space="preserve">Commitments — </w:t>
      </w:r>
      <w:r>
        <w:rPr>
          <w:rFonts w:ascii="Arial" w:cs="Arial" w:eastAsia="Arial" w:hAnsi="Arial"/>
          <w:sz w:val="18"/>
          <w:szCs w:val="18"/>
          <w:color w:val="auto"/>
        </w:rPr>
        <w:t>On July 31, 2014, the Company entered into the Insulin Supply Agreement, (the “Insulin Supply Agreement”), with Amphastar France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Pharmaceuticals S.A.S. (“Amphastar”), pursuant to which the Company agreed to purchase certain annual minimum quantities of insulin for an aggregate total purchase price of approximately €120.1 million for calendar years 2015 through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ASC 740-10-25 </w:t>
      </w:r>
      <w:r>
        <w:rPr>
          <w:rFonts w:ascii="Arial" w:cs="Arial" w:eastAsia="Arial" w:hAnsi="Arial"/>
          <w:sz w:val="17"/>
          <w:szCs w:val="17"/>
          <w:i w:val="1"/>
          <w:iCs w:val="1"/>
          <w:color w:val="auto"/>
        </w:rPr>
        <w:t>Income Taxes Recognition</w:t>
      </w:r>
      <w:r>
        <w:rPr>
          <w:rFonts w:ascii="Arial" w:cs="Arial" w:eastAsia="Arial" w:hAnsi="Arial"/>
          <w:sz w:val="17"/>
          <w:szCs w:val="17"/>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Facility Agreement</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June 30, 2015, there were $60.0 million principal amount of 2019 notes and $20.0 million principal amount of Tranche B notes outstanding. The 2019 notes accrue interest at annual rate of 9.75% and the Tranche B notes accrue interest at an annual rate of 8.75%. The Facility Agreement principal repayment schedule is comprised of annual payments beginning on July 1, 2016 and ending December 9, 2019. The repayment dates correspond to the dates on which the 2019 notes or Tranche B notes, as applicable, were issued.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conjunction with the Facility Agreement, the Company entered into a Milestone Rights Agreement with Deerfield which requires the Company to make contingent payments to Deerfield, totaling up to $90.0 million, upon the Company achieving specified commercialization milestones.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Milestone Rights were initially recorded as a short-term liability equal to $3.2 million included in accrued expenses and other current liabilities in the accompanying condensed consolidated balance sheet and a long-term liability equal to $13.1 million included in other liabilities. During the first quarter of 2015, the second milestone triggering event was achieved following the Company’s product launch on February 3, 2015, which resulted in a $5.8 million incremental charge to interest expense due to the increase in carrying value of the liability to the required $10.0 million payment made in February of 2015. In the first quarter of 2015, the Company determined that it was probable that the first commercial sales related milestone would be achieved within the next twelve months. As of June 30, 2015, the short-term portion of the liability had a balance of $1.6 million and the long-term portion of the liability had a balance of $7.3 million.</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Accretion of debt issuance cost and debt discount in connection with the Facility financing agreement during the three and six months ended June 30, 2015 and 2014 are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43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 debt issuance cost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Accretion expense – debt discount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745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6,883</w:t>
            </w:r>
          </w:p>
        </w:tc>
      </w:tr>
    </w:tbl>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Facility Agreement contains a financial covenant that requires the Company’s cash and cash equivalents, which include available borrowings under the Loan Arrangement, on the last day of each fiscal quarter to not be less than $25.0 million. If the Company fails to satisfy this financial covenant, or another event of default occurs under the Facility Agreement, Deerfield may declare all or any portion of the 2019 notes and/or Tranche B notes to be immediately due and payable.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new 5.75% Convertible Senior Subordinated Exchange Notes due 2018 in exchange for 2015 notes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28, 2015, the Company entered into privately-negotiated exchange agreements (the “Note Exchange Agreements”) with select holders of 2015 notes, pursuant to which the Company agreed to issue $27.7 million aggregate principal amount of new 5.75% Convertible Senior Subordinated Exchange Notes due 2018 (the “2018 notes”) to such holders in exchange for the delivery to the Company of the same principal amount of 2015 notes. The 2018 notes were issued at the closing of the exchange on August 10, 2015.</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2018 notes will be the Company’s general, unsecured, senior obligations, except that the 2018 notes will be subordinated in right of payment to the outstanding notes issued pursuant to the Facility Agreement and the Company’s borrowings under its secured loan facility with an affiliate of Sanofi-Aventis U.S. LLC. The 2018 notes will rank equally in right of payment with the Company’s other unsecured senior debt, including any 2015 notes that remain outstanding after the completion of the exchange transactions. The 2018 notes will bear interest at the rate of 5.75% per year on the principal amount, payable semiannually in arrears in cash on February 15 and August 15 of each year, beginning February 15, 2016, with interest accruing from August 15, 2015. The 2018 notes will mature on August 15, 2018.</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2018 notes will be convertible, at the option of the holder, at any time on or prior to the close of business on the business day immediately preceding the stated maturity date, into shares of the Company’s common stock at a conversion rate of 147.0859 shares per $1,000 principal amount of 2018 notes, which is equal to a conversion price of approximately $6.80 per share, the same conversion price as that of the 2015 notes. The conversion rate is subject to adjustment under certain circumstances described in an indenture governing the 2018 notes dated August 10, 2015 with Wells Fargo, National Association (the “2018 Note Indenture”), including in connection with a make-whole fundamental change.</w:t>
      </w:r>
    </w:p>
    <w:p>
      <w:pPr>
        <w:spacing w:after="0" w:line="173"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If certain fundamental changes occur, the Company will be obligated to pay a fundamental change make-whole premium on any 2018 notes converted in connection with such fundamental change by increasing the conversion rate on such 2018 notes. In such instances, the amount of the fundamental change make-whole premium will be based on the Company’s common stock price and the effective date of the applicable fundamental 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the Company undergoes certain fundamental changes, except in certain circumstances, each holder of 2018 notes will have the option to require the Company to repurchase all or any portion of that holder’s 2018 notes. The fundamental change repurchase price will be 100% of the principal amount of the 2018 notes to be repurchased plus accrued and unpaid interest, if any.</w:t>
      </w:r>
    </w:p>
    <w:p>
      <w:pPr>
        <w:spacing w:after="0" w:line="181"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On or after the date that is one year following the original issue date of the 2018 notes, the Company will have the right to redeem for cash all or part of the 2018 notes if the last reported sale price of its common stock exceeds 130% of the conversion price then in effect for 20 or more trading days during the 30 consecutive trading day period ending on the trading day immediately prior to the date of the redemption notice. The redemption price will equal the sum of 100% of the principal amount of the 2018 notes to be redeemed, plus accrued and unpaid interest.</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$27.7 million principal amount of 2018 notes were issued in exchange for the cancellation of the same principal amount of 2015 notes after June 30, 2015 but prior to the issuance of our quarterly report on Form 10-Q. As a result, in accordance with ASC 470 we reclassified $27.7 million principal amount of our 2015 notes that were outstanding as of June 30, 2015 from current liabilities to non-current liabilities.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 in exchange for 2015 notes</w:t>
      </w:r>
    </w:p>
    <w:p>
      <w:pPr>
        <w:spacing w:after="0" w:line="117"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On July 28, 2015 and August 3, 2015, the Company entered into separate, privately-negotiated exchange agreements (the “Stock-for-Note Exchange Agreements”) with other select holders of the 2015 notes pursuant to which the Company agreed to issue shares of its common stock to such holders in exchange for the delivery to the Company of up to $61.8 million aggregate principal amount of 2015 notes.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Pursuant to the Stock-for-Note Exchange Agreements, the parties agreed to price the exchange transactions over a 10 trading day period spanning from July 29, 2015 to and including August 11, 2015 (each, an “Exchange Date”). Between July 28, 2015 and August 10, 2015, the Company issued an aggregate of 1.9 million shares of common stock to such holders in exchange for such holders’ delivery to the Company of $8.0 million aggregate principal amount of 2015 notes, resulting in a weighted-average exchange price of $4.40 per share. As of August 10, 2015, $64.3 million aggregate principal amount of 2015 notes remained outstanding.</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a result in accordance with ASC 470, we reclassified $8.0 million of our 2015 notes that were outstanding as of the balance sheet date from current liabilities to non-current liabilities.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offered and issued the foregoing shares of common stock and the 2018 notes in reliance on the exemption from registration provided by Section 4(a)(2) of the Securities Act of 1933, as amended.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under Sanofi Loan Facility</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July 28, 2015, we borrowed $12.8 million under the Sanofi Loan Facility to finance the portion of our losses for the three months ended June 30, 2015 (see Note 7 — Collaboration arrangement).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2014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a biopharmaceutical company focused on the discovery and development of therapeutic products for diseases such as diabetes. Our only approved product, AFREZZA, is a rapid-acting inhaled insulin that was approved by the FDA on June 27, 2014 to improve glycemic control in adult patients with diabetes. Pursuant to the Sanofi License Agreement, all sales and marketing activities related to AFREZZA are conducted by Sanofi. AFREZZA became available by prescription in United States retail pharmacies in February 2015. In April 2015, the FDA approved a 12 unit cartridge strength of AFREZZA (insulin human) inhalation powder to improve glycemic control in adult patients with diabetes. We have initiated manufacturing the 12 unit cartridge strength of AFREZZA and expect it to be launched by Sanofi in the second half of 2015.</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June 30, 2015, we had an accumulated deficit of $2.6 billion and a stockholders’ deficit of $115.5 million. To date, we have funded our operations through the sale of equity securities and convertible debt securities, borrowings under the Facility Agreement, borrowings under the Loan Arrangement, and receipt of upfront and milestone payments under the Sanofi License Agreement and borrowings under the Sanofi Loan Facility to fund our portion of the loss share. As discussed below in “Liquidity and Capital Resources,” if we are unable to obtain additional funding in the future, there could be substantial doubt about our ability to continue as a going concern.</w:t>
      </w:r>
    </w:p>
    <w:p>
      <w:pPr>
        <w:spacing w:after="0" w:line="18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Our business is subject to significant risks, including but not limited to our ability to support the commercialization of AFREZZA through our marketing partner, Sanofi, by manufacturing sufficient quantities of AFREZZA to meet Sanofi’s demands in a timely and cost-efficient manner, Sanofi’s ability to successfully market and sell AFREZZA, Sanofi’s ability to obtain regulatory approval for AFREZZA outside of the United States, and the risks inherent in our ongoing clinical trials and the regulatory approval process. Additional significant risks also include the results of our research and development efforts, competition from other products and technologies and uncertainties associated with obtaining and enforcing patent rights.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Historically our research and development expenses have consisted mainly of costs associated with research and development of our product candidates, including associated clinical trials, and manufacturing process development. This includes the salaries, benefits and stock-based compensation of research and development personnel, raw materials, such as insulin purchases,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78"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process development and related activities. This staff is located in our facilities in Valencia, California and Danbury, Connecticut. We expense research and development costs as we incur them.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general and administrative expenses are driven by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MANUFACTURING EXPENSES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 manufacturing expenses are the costs in connection with producing commercial and clinical supplies of AFREZZA. As of June 30, 2015, we recorded $10.8 million as deferred product costs associated with the deferred product sales from collaboration. Product manufacturing expenses were $5.7 million and $7.6 million for the three and six months ended June 30, 2015, respectively, due to product manufacturing costs associated with AFREZZA product sales, which cannot be capitalized. Product manufacturing expenses represent under absorbed labor and overhead, which are expensed in the period in which they are incurred rather than as a portion of the inventory cost.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Item 7 of the Annual Report. We added deferred costs to our critical accounting policies during the six months ended June 30, 2015.</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product costs from collaboration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manufacture commercial supplies of AFREZZA product for Sanofi. Cost of product manufacturing includes costs in connection with producing commercial product for Sanofi. Deferred costs represent the costs of product manufactured and shipped to Sanofi, not to exceed the amount of deferred product sales related to the collaboration, for which recognition of revenue has been deferred. Given that the costs of inventory delivered to a customer, but for which revenue may not yet be recognized, meet both the definition and characteristics of an “asset” and management believes that it is probable that the amount of future revenue will exceed the amount of deferred costs (i.e., the asset would be realizable through the recognition of probable future income), we have elected to account for the deferred costs related to the product sold to Sanofi as an asset and carry forward to future periods until the related revenue is recognized.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May 2014, a new standard was issued related to revenue recognition, which requires an entity to recognize the amount of revenue to which it expects to be entitled for the transfer of promised goods or services to customers. The guidance requires a company to recognize revenue to depict the transfer of goods or services to customers in an amount that reflects the consideration it expects to be entitled to receive in exchange for those goods or services. In July 2015, the FASB decided to delay the effective date of the new revenue standard by one year. The FASB also agreed to allow entities to choose to adopt the standard as of the original effective date. The standard is effective beginning the first quarter of our 2018 fiscal year and may be adopted either by restating all years presented in our financial statements or by recording the impact of adoption as an adjustment to retained earnings at the beginning of fiscal 2018. We are assessing the potential impact of the new standard on our consolidated statements of financial position and results of operations and comprehensive income (loss) and have not yet selected a transition method.</w:t>
      </w:r>
    </w:p>
    <w:p>
      <w:pPr>
        <w:spacing w:after="0" w:line="1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We are evaluating the impact the adoption of ASU 2014-15 will have on our consolidated financial statements.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April 2015, the FASB issued ASU 2015-03, “Simplifying the Presentation of Debt Issuance Costs.” The guidance requires debt issuance costs to be presented in the balance sheet as a direct deduction from the carrying value of the associated debt, consistent with the presentation of a debt discount. The guidance is effective for annual reporting periods beginning after December 15, 2015 and interim periods thereafter. Early adoption is permitted. We do not believe the adoption of the new standard will have a material impact on our consolidated financial statements and disclosures.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2015, The FASB has issued Accounting Standards Update (ASU) No, 2015-11, Inventory (Topic 330): Simplifying the Measurement of Inventory. Topic 330, Inventory, currently requires an entity to measure inventory at the lower of cost or market. Market could be replacement cost, net realizable value, or net realizable value less an approximately normal profit margin. The amendments do not apply to inventory that is measured using last-in, first-out (LIFO) or the retail inventory method. The amendments apply to all other inventory, which includes inventory that is measured using first-in, first-out (FIFO) or average cost. The amendments are effective for fiscal years beginning after December 15, 2016, including interim periods within those fiscal years. The amendments should be applied prospectively with earlier application permitted as of the beginning of an interim or annual reporting period. We are evaluating the impact the adoption of ASU 2015-11 will have on our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did not recognize any revenue for the three and six months ended June 30, 2015 or 2014. However, for the three and six months ended June 30, 2015, we had $5.9 million and $13.0 million, respectively, in AFREZZA product sales to Sanofi, which were recorded as deferred product sales from collaboration as the criteria for revenue recognition had not been met.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and six months ended June 30, 2015 and 2014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8"/>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82"/>
              </w:rPr>
              <w:t>June 30,</w:t>
            </w:r>
          </w:p>
        </w:tc>
        <w:tc>
          <w:tcPr>
            <w:tcW w:w="2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42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4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(4,602)</w:t>
            </w:r>
          </w:p>
        </w:tc>
        <w:tc>
          <w:tcPr>
            <w:tcW w:w="42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Manufacturing process development</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3,951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11,102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(7,151)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000" w:type="dxa"/>
            <w:vAlign w:val="bottom"/>
            <w:gridSpan w:val="5"/>
          </w:tcPr>
          <w:p>
            <w:pPr>
              <w:jc w:val="right"/>
              <w:ind w:right="268"/>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17,799</w:t>
            </w:r>
          </w:p>
        </w:tc>
        <w:tc>
          <w:tcPr>
            <w:tcW w:w="4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(17,249)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7,737</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37,323</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(29,586)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42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vMerge w:val="continue"/>
          </w:tcPr>
          <w:p>
            <w:pPr>
              <w:spacing w:after="0"/>
              <w:rPr>
                <w:sz w:val="12"/>
                <w:szCs w:val="12"/>
                <w:color w:val="auto"/>
              </w:rPr>
            </w:pPr>
          </w:p>
        </w:tc>
        <w:tc>
          <w:tcPr>
            <w:tcW w:w="42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$ 5,960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15,915</w:t>
            </w:r>
          </w:p>
        </w:tc>
        <w:tc>
          <w:tcPr>
            <w:tcW w:w="400" w:type="dxa"/>
            <w:vAlign w:val="bottom"/>
            <w:tcBorders>
              <w:left w:val="single" w:sz="8" w:color="CCEEFF"/>
            </w:tcBorders>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(9,955)</w:t>
            </w:r>
          </w:p>
        </w:tc>
        <w:tc>
          <w:tcPr>
            <w:tcW w:w="42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Manufacturing process development</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7,357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21,850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(14,493)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000" w:type="dxa"/>
            <w:vAlign w:val="bottom"/>
            <w:gridSpan w:val="5"/>
          </w:tcPr>
          <w:p>
            <w:pPr>
              <w:jc w:val="right"/>
              <w:ind w:right="268"/>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22,648</w:t>
            </w:r>
          </w:p>
        </w:tc>
        <w:tc>
          <w:tcPr>
            <w:tcW w:w="4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(21,267)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17,115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63,506</w:t>
            </w:r>
          </w:p>
        </w:tc>
        <w:tc>
          <w:tcPr>
            <w:tcW w:w="4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(46,391)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decrease in research and development expenses for the three months ended June 30, 2015 compared to the three months ended June 30, 2014 was primarily due to a decrease of $17.2 million in stock-based compensation expense resulting from the non-recurring 2014 modification of the settlement terms, or the Modification, for certain performance-based restricted stock units and the achievement of performance-based grants in 2014 and the first quarter of 2015. The Modification resulted in the reclassification of these performance grants from equity awards to liability awards, which required re-measurement on the modification date and resulted in incremental stock-based compensation expense. Further, the reductions in research and development expenses were due to the shift to commercial production of AFREZZA, as well as a decrease in clinical expenses of $2.3 million upon the completion of the affinity trials in 2014 and the resulting reduction in expenses associated with clinical staff and contract labor of $2.3 million.</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decrease in research and development expenses of $46.4 million for the six months ended June 30, 2015 compared to the six months ended June 30, 2014 was primarily due to a decrease of $21.3 million in stock-based compensation expense resulting from the non-recurring Modification and the achievement of performance-based grants in 2014 and the first quarter of 2015. Further, the reductions in research and development expenses were due to a $14.5 million decrease in manufacturing process development due to the shift to commercial production of AFREZZA, as well as a decrease in clinical expenses of $6.8 million upon the completion of the affinity trials and the resulting reduction in expenses associated with clinical staff and contract labor of $3.2 million.</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anticipate that our overall research and development expenses will decrease in the second half of 2015 compared to the second half of 2014 as a result of manufacturing costs associated with the production of AFREZZA being attributed to product manufacturing expenses rather than research and development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and six months ended June 30, 2015 and 2014 (dollars in thousands):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18"/>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48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48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(566)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22,845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(21,620)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10,623</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32,523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(21,900)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18"/>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48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48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10,333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10,149</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184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28,934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(26,537)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21,102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47,752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(26,650)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General and administrative expenses for the three and six months ended June 30, 2015 decreased compared to the three and six months ended June 30, 2014, primarily due to a decrease in stock-based compensation expense of $21.6 million and $26.5 million, respectively, resulting from the Modification and achievement of performance-based grants in 2014 and the first quarter of 2015.</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general and administrative expenses for the full year to decrease in the second half of 2015 as compared to the second half of 2014 due to reduced professional fees and stock-based compensation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Manufacturing Expenses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Product manufacturing expenses were $5.7 million and $7.6 million for the three and six months ended June 30, 2015, respectively, due to product manufacturing costs associated with AFREZZA product sales, which cannot be capitalized. We had no product manufacturing expense for the three or six months ended June 30, 2014, as pre-commercial manufacturing costs associated with AFREZZA were accounted for as research and development expenses. Product manufacturing expenses represent under absorbed labor and overhead, which are expensed in the period in which they are incurred rather than as a portion of the inventory cost.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income for the six months ended June 30, 2015 of $1.4 million was primarily attributable to the relief of an accrual for potential expenses associated with the sale of intellectual property related to oncology in 2014, which was subsequently resolved without payment in the first quarter of 2015. Other expense of $6.3 million for the six months ended June 30, 2014 was primarily due to a non-cash charge recognized upon the conversion of 2019 notes into equity.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Interest expense increased by $1.7 million for the three months ended June 30, 2015 compared to the three months ended June 30, 2014 and by $7.3 million for the six months ended June 30, 2015 compared to the six months ended June 30, 2014. The increase for the three months ended June 30, 2015 was due to incremental interest expense associated with the Tranche 4 notes, due to timing of the issuance, and incremental interest related to the Sanofi Loan Facility.</w:t>
      </w:r>
    </w:p>
    <w:p>
      <w:pPr>
        <w:spacing w:after="0" w:line="255" w:lineRule="auto"/>
        <w:rPr>
          <w:sz w:val="20"/>
          <w:szCs w:val="20"/>
          <w:color w:val="auto"/>
        </w:rPr>
      </w:pPr>
      <w:r>
        <w:rPr>
          <w:rFonts w:ascii="Arial" w:cs="Arial" w:eastAsia="Arial" w:hAnsi="Arial"/>
          <w:sz w:val="18"/>
          <w:szCs w:val="18"/>
          <w:color w:val="auto"/>
        </w:rPr>
        <w:t>The increase for the six months ended June 30, 2015 was due to an incremental interest expense related to Tranche 4 notes, incremental interest related to the Sanofi Loan Facility and interest expense of $5.8 million resulting from the achievement and re-measurement of the second milestone under the Milestone Agreement in the first quarter of 2015.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Loan Arrangement with The Mann Group, borrowings under the Facility Agreement with Deerfield, and receipt of upfront, milestone payments under the Sanofi License Agreement, and borrowings under the Sanofi Loan Facility.</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we had $244.9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 million principal amount of 2015 notes bearing interest at 5.75% per annum and maturing on August 15, 2015;</w:t>
      </w:r>
    </w:p>
    <w:p>
      <w:pPr>
        <w:spacing w:after="0" w:line="130"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the balance of which is due and payable in December 2019;</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Loan Arrangement bearing interest at 5.84% and maturing and due on January 5, 2020;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$15.4 million principal amount borrowed under the Sanofi Loan Facility to fund our share of net losses under the Sanofi License Agreement.</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August 10, 2015, we exchanged shares of our common stock for $8.0 million aggregate principal amount of 2015 notes and $27.7 million aggregate principal amount of 2018 notes for 2015 notes. For additional information, see “Note 15 – Subsequent events” contained in the notes to condensed consolidated financial statements in this report. There can be no assurance that we will complete any additional stock-for-note or other exchange transactions with respect to the remaining outstanding 2015 notes prior to their maturity date of August 15, 2015.</w:t>
      </w:r>
    </w:p>
    <w:p>
      <w:pPr>
        <w:spacing w:after="0" w:line="18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As of June 30, 2015, the amount available for future borrowings under the Loan Arrangement was $30.1 million. We anticipate using a portion of these available borrowings to capitalize accrued interest into principal, upon mutual agreement of the parties, as it becomes due and payable under the Loan Arrangement. As of June 30, 2015 the accrued interest under the Loan arrangement was $4.2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Subsequent to June 30, 2015, we borrowed an additional $12.8 million under the Sanofi Loan Facility to finance our share of the net losses for the second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quarter of 2015, which was reclassified from current deferred payments from collaboration to Sanofi loan facility and loss share obligation, for a total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$28.4 million, which includes $0.2 million in paid-in-kind interest. We will be required to make mandatory prepayments on any outstanding loans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Sanofi Loan Facility from our share of any profits under the Sanofi License Agreement.</w:t>
      </w:r>
    </w:p>
    <w:p>
      <w:pPr>
        <w:spacing w:after="0" w:line="21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w:t>
      </w:r>
    </w:p>
    <w:p>
      <w:pPr>
        <w:spacing w:after="0" w:line="16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the first quarter of 2015, the second milestone triggering event was achieved following our product launch on February 3, 2015. In connection with the milestone triggering event, we paid a $10.0 million payment to Deerfield pursuant to the terms of the Milestone Agreement in the first quarter of 2015.</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2014, we entered into an At-The-Market Issuance Sales Agreement with MLV &amp; Co. LLC (“MLV”) and an At-The-Market Issuance Sales Agreement with Meyers Associates, L.P. (doing business as Brinson Patrick, a division of Meyers Associates, L.P.) (“Brinson Patrick”). We refer to the foregoing agreements as the “ATM Agreements.” Under each ATM Agreement, we may issue or sell shares of our common stock having an aggregate offering price of up to $50.0 million from time to time through MLV or Brinson Patrick, as our sales agents, provided in no event may we sell more than $50.0 million of common stock under both agreements in the aggregate, and provided no sales may be made except pursuant to an effective registration statement. The registration statement under which the shares that may be sold pursuant to the ATM Agreements are registered will expire on August 31, 2015. During the three months ended June 30, 2015, we raised gross proceeds of $2.1 million from the sale of 289,197 shares of common stock under the ATM Agreements, resulting in net proceeds of $2.0 million after issuance costs. There were no issuances under the ATM Agreement prior to the second quarter of 2015.</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11, 2014, we and Sanofi executed the Sanofi License Agreement, which subsequently became effective on September 23, 2014. Pursuant to the Sanofi License Agreement, we received a $150.0 million upfront payment and subsequent milestone payments of $50.0 million upon satisfaction of certain manufacturing milestones specified in the Sanofi License Agreement. We are eligible to earn up to $725.0 million in further development, regulatory and sales milestones, and are also eligible to receive a share of profits on sales of AFREZZA. Worldwide profits and losses will be shared 65% by Sanofi and 35% by us. Pursuant to a separate supply agreement, we will manufacture AFREZZA at our manufacturing facility in Danbury, Connecticut to supply Sanofi’s demand for AFREZZA.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Pursuant to the Insulin Supply Agreement with Amphastar, we have agreed to purchase annual minimum quantities of insulin under the Insulin Supply Agreement of an aggregate total of approximately €120.1 million in calendar years 2015 through 2019.</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six months ended June 30, 2015, our operations used $14.8 million of cash and we had a net loss of $59.6 million, which included $10.4 million of non-cash charges consisting of depreciation and accretion, and stock-based compensation. For the six months ended June 30, 2014, we used $60.4 million of cash for our operations and had a net loss of $125.4 million, which included $64.2 million of non-cash charges consisting of depreciation and accretion, and stock-based compensation. The operating cash flow increased by $45.6 million primarily due to the receipt of a $50.0 million milestone payment from Sanofi, earned as of December 31, 2014, offset by $5.8 million interest expense associated with the achievement and payment of the second milestone to Deerfield for product launch on February 3, 2015 and decreases in accrued expenses primarily due to a $4.9 million inventory payment to Amphastar and the remaining decrease was related to interest payments for the 2015 notes. During the six months ended June 30, 2014, operating cash flow increased by $1.4 million primarily due to a decrease in accrued interest associated with our Loan Arrangement with The Mann Group partially offset by increases in accrued interest related to other financing arrangements. We generally expect our operating cash flow to be negative at least until we achieve profitability with AFREZZA.</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used $8.7 million of cash for investing activities during the six months ended June 30, 2015, compared to $9.7 million of cash used for the six months ended June 30, 2014. The increase was due to purchases of additional machinery and equipment for the commercialization of AFREZZA in 2015 compared to 2014.</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financing activities provided $9.9 million of cash for the six months ended June 30, 2015, compared to $40.5 million for the six months ended June 30, 2014. For the six months ended June 30, 2015, cash provided by financing activities was $12.8 million provided from the exercises of stock options and warrants and $2.1 million provided from at the market sales of stock. This was offset by a $4.2 million outflow associated with the achievement and payment of the second milestone to Deerfield for product launch on February 3, 2015 and $0.8 million for the payment of employment taxes related to vested restricted stock units. For the six months ended June 30, 2014, cash provided by financing activities was comprised of $20.0 million from the sale of Tranche B notes to Deerfield, $14.1 million from warrant exercises, and $6.5 million from the exercise of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2015, we had $107.2 million in cash and cash equivalents. We expect to continue to incur significant expenditures to support commercial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manufacturing of AFREZZA and the development of other product candidates. In addition, as of August 10, 2015, an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$64.3 million in 2015 notes remained outstanding with a maturity date of August 15, 2015, subsequent to exchanges pursuant to the privately-negotiated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agreements with select holders of 2015 notes, and payment on the outstanding amount is due in full, if not previously converted into or exchanged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common shares, on that date. Unless the holders of the remaining outstanding 2015 notes or the holders of the new 2015 notes elect to convert such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our common stock prior to their due date, we intend to settle the unconverted notes with either available cash or raise additional funds, whether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sale of equity or debt securities, additional strategic business collaborations, the establishment of other funding facilities, licensing arrangements, asset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or other means. However, we cannot provide assurances that such additional capital, if needed, will be available through these or other means.</w:t>
      </w:r>
    </w:p>
    <w:p>
      <w:pPr>
        <w:spacing w:after="0" w:line="22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intend to use our capital resources to support the commercialization of AFREZZA. We are expending a portion of our capital resources to scale up our manufacturing and development activity capabilities in our Danbury facilities and to develop our other product candidates. We also intend to use our capital resources for general corporate purposes.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enter into strategic business collaborations with respect to our other product candidates, we would expect, as part of the transaction, to receive additional capital. In addition, we may in the future pursue the sale of equity and/or debt securities or seek to establish other funding facilities to fund our operations.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if needed, through equity or debt financing or entering business collaborations, we may be required to reduce expenses through the delay, reduction or curtailment of our projects, or further reduction of costs for facilities and administration, and there could be substantial doubt about our ability to continue as a going concern.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Due to the fixed interest rates of our debt, we currently do not have an exposure to changes in our interest expense as a result of changes in interest rates. The interest rate on amounts borrowed under our Loan Arrangement with The Mann Group for the six months ended June 30, 2015 was a fixed rate equal to</w:t>
      </w:r>
    </w:p>
    <w:p>
      <w:pPr>
        <w:jc w:val="both"/>
        <w:ind w:right="300"/>
        <w:spacing w:after="0" w:line="255" w:lineRule="auto"/>
        <w:rPr>
          <w:sz w:val="20"/>
          <w:szCs w:val="20"/>
          <w:color w:val="auto"/>
        </w:rPr>
      </w:pPr>
      <w:r>
        <w:rPr>
          <w:rFonts w:ascii="Arial" w:cs="Arial" w:eastAsia="Arial" w:hAnsi="Arial"/>
          <w:sz w:val="18"/>
          <w:szCs w:val="18"/>
          <w:color w:val="auto"/>
        </w:rPr>
        <w:t>5.84%. As of June 30, 2015, the total principal amount outstanding under the Loan Arrangement was $49.5 million. As of June 30, 2015, we also had debt related to the 2015 notes at a fixed interest rate of 5.75%, debt related to the 2019 notes at a fixed interest rate of 9.75%, and debt related to the Tranche B notes at a fixed interest rate of 8.75%.</w:t>
      </w:r>
    </w:p>
    <w:p>
      <w:pPr>
        <w:spacing w:after="0" w:line="19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 change in interest rates equal to 10% of the interest rates on June 30, 2015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incur and will continue to incur significant expenditures for insulin supply obligation under our supply agreement with Amphastar. Such obligations are denominated in the euros. At the end of each reporting period, these liabilities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During the six months ended June 30, 2015, we were required to purchase the minimum quarterly supply purchases of insulin contemplated under our supply agreement with Amphastar, and if a change in the U.S. dollar to euro exchange rate equal to 10% of the U.S. dollar to euro exchange rate on June 30, 2015 were to have occurred on June 30, 2015, this change would not have had a material effect on our results of operations or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June 30,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2015, our Chief Executive Officer and Chief Financial Officer concluded that, as of such date, our disclosure controls and procedures were effective at a reasonable assurance level.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Management determined that, as of June 30, 2015,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the successful commercialization of our only approved product, AFREZZA.</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expended significant time, money and effort in the development of our only approved product, AFREZZA. We anticipate that in the near term, our ability to generate revenues will depend on the successful commercialization of AFREZZA. On August 11, 2014, we executed the Sanofi License Agreement, which became effective on September 23, 2014. Pursuant to the Sanofi License Agreement, Sanofi is responsible for global commercial, regulatory and development activities for AFREZZA and we are responsible for manufacturing AFREZZA at our facility in Danbury, Connecticut to supply Sanofi’s demand for the product. On February 3, 2015, we and Sanofi announced that AFREZZA had become available by prescription in United States retail pharmacies. We and Sanofi must receive the necessary approvals from foreign regulatory agencies before AFREZZA can be marketed outside of the United States.</w:t>
      </w:r>
    </w:p>
    <w:p>
      <w:pPr>
        <w:spacing w:after="0" w:line="16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Even with such regulatory approval, we and Sanofi,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successfully, our business, financial condition and results of operations will be materially and adversely affected.</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sought to develop our other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other product candidates, or if we are significantly delayed in doing so, our business, financial condition and results of operations will be harmed and the market price of our common stock and other securities could decline.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are dependent on our collaboration with Sanofi to further develop and to commercialize AFREZZA worldwide. This collaboration places the development and commercialization largely outside our control, and poor performance under or failure to maintain the collaboration agreement between us and Sanofi could have a material and adverse impact on our business, financial condition and results of operations and the market price of our common stock and other securities could decline.</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entered into the Sanofi License Agreement to provide for the future development and commercialization of AFREZZA. We cannot be certain that our collaboration with Sanofi will continue for as long as there is a potential market for AFREZZA. Both we and Sanofi have certain rights to terminate the collaboration agreement, in certain circumstances, including a right by Sanofi to terminate the agreement upon specified prior written notice. If the agreement is terminated prior to the end of the commercial life of AFREZZA, we may not be able to find another collaborator for the development and commercialization of AFREZZA, and even if we elected to pursue further development and commercialization of AFREZZA on our own, we might not be able to do so successfully and would experience substantially increased capital requirements that we might not be able to fund. Our dependence on Sanofi and the Sanofi License Agreement subjects us to a number of risks, including:</w:t>
      </w:r>
    </w:p>
    <w:p>
      <w:pPr>
        <w:spacing w:after="0" w:line="83" w:lineRule="exact"/>
        <w:rPr>
          <w:sz w:val="20"/>
          <w:szCs w:val="20"/>
          <w:color w:val="auto"/>
        </w:rPr>
      </w:pPr>
    </w:p>
    <w:p>
      <w:pPr>
        <w:ind w:left="900" w:right="68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Sanofi may not perform as expected and we may not be able to control the amount and timing of resources that Sanofi may devote to the development or commercialization of AFREZZA; moreover, Sanofi may elect to prioritize its other insulin products over AFREZZA;</w:t>
      </w:r>
    </w:p>
    <w:p>
      <w:pPr>
        <w:spacing w:after="0" w:line="29" w:lineRule="exact"/>
        <w:rPr>
          <w:rFonts w:ascii="Arial" w:cs="Arial" w:eastAsia="Arial" w:hAnsi="Arial"/>
          <w:sz w:val="16"/>
          <w:szCs w:val="16"/>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Sanofi could disagree as to commercialization and development plans and Sanofi may fail to initiate clinical trials, delay clinical trials or stop a clinical trial;</w:t>
      </w:r>
    </w:p>
    <w:p>
      <w:pPr>
        <w:spacing w:after="0" w:line="75"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may be disputes between us and Sanofi, including disagreements regarding the Sanofi License Agreement, that may result in (a) the delay of (or prevent entirely) the achievement of regulatory and commercial objectives that would result in milestone payments, (b) the delay or termination of the development or commercialization of AFREZZA, and/or (c) costly litigation or arbitration that diverts our management’s attention and resources;</w:t>
      </w:r>
    </w:p>
    <w:p>
      <w:pPr>
        <w:spacing w:after="0" w:line="92"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comply with applicable regulatory guidelines with respect to the development or commercialization of AFREZZA, which could adversely impact the development of or sales of AFREZZA and could result in administrative or judicially imposed sanctions, including warning letters, civil and criminal penalties, injunctions, product seizures or detention, product recalls, total or partial suspension of production and refusal to approve any new drug applications;</w:t>
      </w:r>
    </w:p>
    <w:p>
      <w:pPr>
        <w:spacing w:after="0" w:line="92"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provide us with timely and accurate information regarding sales activities and supply forecasts, which could adversely impact our ability to comply with our manufacturing and supply obligations under our supply agreement with Sanofi and our and Sanofi’s ability to commercialize AFREZZA;</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experience financial difficulties;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combinations or significant changes in Sanofi’s business strategy may also adversely affect Sanofi’s ability to perform its obligations under the Sanofi License Agreement;</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properly maintain or defend our intellectual property rights or may use our proprietary information in such a way as to invite litigation that could jeopardize or invalidate our proprietary information or expose us to potential litigation; and</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notwithstanding the non-competition requirements in the Sanofi License Agreement, Sanofi could independently move forward with a competing product candidate developed either independently or in collaboration with others, including our competitors.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Any failure of Sanofi to adequately perform its obligations under the Sanofi License Agreement or the termination of such agreement could have a material and adverse impact on our business, financial condition and results of operations and the market price of our common stock and other securities could decline.</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never been profitable or generated positive cash flow from cumulative operations to date. Historically, we have reported negative cash flow from operations other than for the nine months ended September 30, 2014, for the year ended December 31, 2014, and for the three months ended March 31, 2015 as a result of our receipt of the upfront payment and milestone payments. As of June 30, 2015, we had an accumulated deficit of $2.6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support the commercialization of AFREZZA, including costs and expenses to manufacture AFREZZA on a commercial scale. In addition, we have agreed to purchase annual minimum quantities of insulin under the Insulin Supply Agreement with Amphastar in the aggregate of approximately €120.1 million in calendar years 2015 through 2019. We may not have the necessary capital resources on hand in order to service this contractual commitment, and we may become obligated to make additional payments under the Insulin Supply Agreement in the event of its termination under certain scenarios. Our cumulative net loss may therefore increase significantly.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To date, we have received cash payments from Sanofi but have deferred revenue recognition of such payments. We will continue to defer revenue recognition of future milestone payments and payments from product sales as and to the extent appropriate under applicable revenue recognition rules. Accordingly, even if we continue to earn and receive milestone payments, revenue recognition may continue to be deferred and our cumulative net loss may therefore be higher than it would be if we recognized the full amount of the milestone payments upon receipt.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June 30, 2015, we had stockholders’ deficit of $115.5 million. Our ability to achieve and sustain positive cash flow from operations and profitability depends heavily upon successfully commercializing AFREZZA in collaboration with Sanofi, and we cannot be sure when we will generate positive cash flow from operations or become profitable, if at 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we may need to raise additional capital to fund our operations.*</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the future, we may need to raise additional capital, whether through the sale of equity or debt securities, additional strategic business collaborations, the establishment of other funding facilities, licensing arrangements, asset sales or other means, in order to support our ongoing activities related to the commercialization of AFREZZA and the development of other product candidates. It may be difficult for us to raise additional funds when and to the extent required or on favorable terms, or at all. As of June 30, 2015, we had stockholders’ deficit of $115.5 million, which may raise concerns about our solvency and affect our ability to raise additional capital. The extent of our additional funding requirements will depend on a number of factors, including:</w:t>
      </w:r>
    </w:p>
    <w:p>
      <w:pPr>
        <w:spacing w:after="0" w:line="64" w:lineRule="exact"/>
        <w:rPr>
          <w:sz w:val="20"/>
          <w:szCs w:val="20"/>
          <w:color w:val="auto"/>
        </w:rPr>
      </w:pPr>
    </w:p>
    <w:p>
      <w:pPr>
        <w:ind w:left="900" w:right="1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demand by any or all of the holders of the 2015 notes, 2018 notes, 2019 notes, and Tranche B notes to require us to repay or repurchase such debt securities if and when required;</w:t>
      </w:r>
    </w:p>
    <w:p>
      <w:pPr>
        <w:spacing w:after="0" w:line="75"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including indebtedness under the 2015 notes which mature on August 15, 2015, and the extent to which the 2015 notes, 2018 notes or any other convertible debt securities we may issue are converted into or exchanged for shares of our common stock;</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to bear our share of net losses under the Sanofi License Agreement;</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degree of success in commercializing AFREZZA;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raised capital in the past through the sale of equity and debt securities and we may in the future pursue the sale of additional equity and/or debt securities, including sales of our common stock through our at-the-market sales agreements, or the establishment of other funding facilities including asset-based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cannot provide assurances that changed or unexpected circumstances, including, among other things, delays in manufacturing AFREZZA on a commercial scale, will not result in the depletion of our capital resources more rapidly than we currently anticipate, in which case we may be required to raise additional capital. There can be no assurances that we will be able to raise additional capital, if needed, on favorable terms, or at all. If we need but cannot raise adequate additional capital in the future we will be required to reduce expenses through the delay, reduction or curtailment of our projects, or further reduction of costs for facilities and administration, and there could be substantial doubt about our ability to continue as a going concern.</w:t>
      </w:r>
    </w:p>
    <w:p>
      <w:pPr>
        <w:spacing w:after="0" w:line="2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have a substantial amount of debt pursuant to the 2015 notes, 2018 notes, 2019 notes, Tranche B notes, and our loan arrangement with The Mann Group LLC, we may incur additional indebtedness under such loan arrangement as well as the Sanofi Loan Facility and we may be unable to make required payments of interest and principal as they become due.*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10, 2015, we had $249.9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$64.3 million principal amount of 2015 notes bearing interest at 5.75% per annum and maturing on August 15,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w:t>
      </w:r>
    </w:p>
    <w:p>
      <w:pPr>
        <w:spacing w:after="0" w:line="130" w:lineRule="exact"/>
        <w:rPr>
          <w:rFonts w:ascii="Arial" w:cs="Arial" w:eastAsia="Arial" w:hAnsi="Arial"/>
          <w:sz w:val="18"/>
          <w:szCs w:val="18"/>
          <w:color w:val="auto"/>
        </w:rPr>
      </w:pPr>
    </w:p>
    <w:p>
      <w:pPr>
        <w:jc w:val="both"/>
        <w:ind w:left="900" w:right="10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the balance of which is due and payable in December 2019; and</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loan arrangement, dated as of October 2, 2007, between us and The Mann Group LLC (as amended, restated or otherwise modified as of the date hereof, the “Loan Arrangement”) bearing interest at 5.84% and maturing and due on January 5, 2020.</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$28.4 million principal amount borrowed under the Sanofi Loan Facility to fund our share of net losses under the Sanofi License Agreement.</w:t>
      </w: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may borrow up to an aggregate $175.0 million pursuant to the Sanofi Loan Facility to fund our share of net losses under the Sanofi License Agreement and an additional $30.1 million under the Loan Arrangement. As of June 30, 2015, our total share of the net losses are $28.4 million, classified as Sanofi loan facility and loss share obligation, and such has been borrowed under the Sanofi Loan Facility as of August 10, 2015. There can be no assurance that we will have sufficient resources to make any required repayments of principal under the 2015 notes, 2018 notes, 2019 notes or Tranche B notes when required. Further, if we undergo a fundamental change, as that term is defined in the indentures governing the terms of the 2015 notes or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2015 notes bear interest at the rate of 5.75% per year on the outstanding principal amount, payable in cash semiannually in arrears on February 15 and August 15 of each year and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Sanofi Loan Facility bear interest at a rate of 8.5% per annum, paid-in-kind on a quarterly basis (2.06% per quarter compounded). Loans under the Loan Arrangement accrue interest at a rate of 5.84% per annum, due and payable quarterly in arrears on the first day of each calendar quarter for the preceding quarter, or at such other time as we and The Mann Group LLC mutually agree. While we have been able to timely make our required interest payments to date, we cannot guarantee that we will be able to do so in the future.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If we fail to pay interest on the 2015 notes, 2018 notes, 2019 notes, Tranche B notes, or on the loans under the Sanofi Loan Facility, or if we fail to repay or repurchase the 2015 notes, 2018 notes, 2019 notes, Tranche B notes, or the loans under the Sanofi Loan Facility when required, we will be in default under the indenture or other applicable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Our obligations under the Sanofi Loan Facility are secured by a first priority mortgage on our facility in Valencia, California, a first priority security interest in certain insulin inventory located in the United States and any contractual rights and obligations pursuant to which we purchase or have purchased such insulin, and a second priority security interest in our assets that secure our obligations under the Facility Agreement.</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the Loan Arrangement, falling below $25.0 million as of the last day of any fiscal quarter.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Similarly, the Sanofi Loan Facility includes customary representations, warranties and covenants by us, including restrictions on our ability to incur additional indebtedness, grant certain liens and make certain changes to our organizational documents. Events of default under the Sanofi Loan Facility include: our failure to make timely payments due under the Sanofi Loan Facility; inaccuracies in our representations and warranties to the lender; our failure to comply with any of our covenants under any of the Sanofi Loan Facility or certain other related security agreements and documents entered into in connection with the Sanofi Loan Facility, subject to a cure period with respect to most covenants; our insolvency or the occurrence of certain bankruptcy-related events; termination by Sanofi of the Sanofi License Agreement as a result of our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the lender may terminate its obligation to make advances under the Sanofi Loan Facility, and, if certain specified events of default (including our failure to timely make payments due under the Sanofi Loan Facility; our failure to comply with the negative covenants under the Sanofi Loan Facility limiting our ability to incur additional indebtedness or grant certain liens; our insolvency or the occurrence of certain bankruptcy-related events; termination by Sanofi of the Sanofi License Agreement as a result of our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lender may accelerate all of our repayment obligations under the Sanofi Loan Facility and otherwise exercise any of its remedies as a secured creditor.</w:t>
      </w:r>
    </w:p>
    <w:p>
      <w:pPr>
        <w:spacing w:after="0" w:line="17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There can be no assurance that we will be able to comply with the covenants under any of the foregoing agreements, and we cannot predict whether the holders of the 2019 notes or Tranche B notes or the lender under the Sanofi Loan Facility would demand repayment of the outstanding balance of the 2019 notes, the Tranche B notes or the loans under the Sanofi Loan Facility as applicable or exercise any other remedies available to such holders if we were unable to comply with these covenants. The covenants and restrictions contained in the foregoing agreements could significantly limit our ability to respond to changes in our business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2015 notes and the 2018 notes. In the event of certain future defaults under the foregoing agreements for which we are not able to obtain waivers, the holders of the 2015 notes, 2018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28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timeframes we announce and expect, our business, financial condition and results of operations will be harmed and the market price of our common stock and other securities could decline.</w:t>
      </w:r>
    </w:p>
    <w:p>
      <w:pPr>
        <w:spacing w:after="0" w:line="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9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 –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our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87" w:lineRule="exact"/>
        <w:rPr>
          <w:sz w:val="20"/>
          <w:szCs w:val="20"/>
          <w:color w:val="auto"/>
        </w:rPr>
      </w:pPr>
    </w:p>
    <w:p>
      <w:pPr>
        <w:jc w:val="both"/>
        <w:ind w:left="900" w:right="16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if they fail to comply with applicable regulations, or if we fail to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We must rely on our suppliers, including Amphastar, to comply with relevant regulatory and other legal requirements, including the production of insulin in accordance with the FDA’s current Good Manufacturing Practices (“cGMPs”) for drug products, and the production of the AFREZZA inhaler and related cartridges in accordance with Quality System Regulations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Pursuant to our supply agreement with Sanofi, we are required to identify alternative suppliers for all critical raw materials for the manufacture of AFREZZA within two years after the date of the agreement. However, there can be no assurance that we will be able to identify and qualify such suppliers within the time period required under the agreement.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effectively support commercialization of AFREZZA. Furthermore, if we or a third-party manufacturer fail to deliver the required commercial quantities of the product or any raw material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 and could result in the termination of the Sanofi License Agreement by Sanofi at its election if specified circumstances exist and certain conditions are met.</w:t>
      </w:r>
    </w:p>
    <w:p>
      <w:pPr>
        <w:spacing w:after="0" w:line="30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will depend on many factors, including the:</w:t>
      </w:r>
    </w:p>
    <w:p>
      <w:pPr>
        <w:spacing w:after="0" w:line="14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effectiveness of efforts by us or our marketing partner(s) to educate physicians about the benefits and advantages of AFREZZA or our other products and to provide adequate support for them, and the perceived advantages and disadvantages of competitive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get approved may not gain market acceptance, which would materially harm our business, financial condition and results of operations.</w:t>
      </w:r>
    </w:p>
    <w:p>
      <w:pPr>
        <w:spacing w:after="0" w:line="2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our marketing partner for AFREZZA, and companies that are prospective collaborators for our product candidates, our ability to commercialize AFREZZA and our product candidates under development may be adversely affected.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or our marketing partner are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our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 *</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Reconciliation Act (collectively,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94" w:lineRule="exact"/>
        <w:rPr>
          <w:sz w:val="20"/>
          <w:szCs w:val="20"/>
          <w:color w:val="auto"/>
        </w:rPr>
      </w:pPr>
    </w:p>
    <w:p>
      <w:pPr>
        <w:ind w:left="900" w:right="4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w:t>
      </w:r>
    </w:p>
    <w:p>
      <w:pPr>
        <w:spacing w:after="0" w:line="75"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80" w:hanging="325"/>
        <w:spacing w:after="0" w:line="30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certain manufacturers and authorized distributors provide to physicians; and</w:t>
      </w:r>
    </w:p>
    <w:p>
      <w:pPr>
        <w:spacing w:after="0" w:line="142"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will stay in effect through 2024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8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If we or our marketing partner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77" w:lineRule="exact"/>
        <w:rPr>
          <w:sz w:val="20"/>
          <w:szCs w:val="20"/>
          <w:color w:val="auto"/>
        </w:rPr>
      </w:pPr>
    </w:p>
    <w:p>
      <w:pPr>
        <w:ind w:left="900" w:hanging="325"/>
        <w:spacing w:after="0" w:line="279"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Anti-Kickback Statute, which constrains our business activities, including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6" w:lineRule="exact"/>
        <w:rPr>
          <w:rFonts w:ascii="Arial" w:cs="Arial" w:eastAsia="Arial" w:hAnsi="Arial"/>
          <w:sz w:val="17"/>
          <w:szCs w:val="17"/>
          <w:color w:val="auto"/>
        </w:rPr>
      </w:pPr>
    </w:p>
    <w:p>
      <w:pPr>
        <w:jc w:val="both"/>
        <w:ind w:left="900" w:right="40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86" w:lineRule="exact"/>
        <w:rPr>
          <w:rFonts w:ascii="Arial" w:cs="Arial" w:eastAsia="Arial" w:hAnsi="Arial"/>
          <w:sz w:val="18"/>
          <w:szCs w:val="18"/>
          <w:color w:val="auto"/>
        </w:rPr>
      </w:pPr>
    </w:p>
    <w:p>
      <w:pPr>
        <w:ind w:left="900" w:right="30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created new federal criminal statutes that prohibit, among other things, executing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900" w:right="8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(“HITECH”) and its implementing regulations, which imposes certain requirements relating to the privacy, security and transmission of individually identifiable health information;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92" w:lineRule="exact"/>
        <w:rPr>
          <w:rFonts w:ascii="Arial" w:cs="Arial" w:eastAsia="Arial" w:hAnsi="Arial"/>
          <w:sz w:val="18"/>
          <w:szCs w:val="18"/>
          <w:color w:val="auto"/>
        </w:rPr>
      </w:pPr>
    </w:p>
    <w:p>
      <w:pPr>
        <w:ind w:left="900" w:right="140" w:hanging="325"/>
        <w:spacing w:after="0" w:line="272"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In addition, we carry local clinical trial insurance policies per study in each country in which we conduct clinical studies that require us to carry coverage based on local statutory requirements. However, our insurance coverage may not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financial condition and results of operations would be harmed and the market price of our common stock and other securities may decline.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16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the FDA is requiring the following post-marketing studies for AFREZZA:</w:t>
      </w:r>
    </w:p>
    <w:p>
      <w:pPr>
        <w:spacing w:after="0" w:line="5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clinical trial to evaluate pharmacokinetics, safety and efficacy in pediatric patients;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clinical trial to evaluate the potential risk of pulmonary malignancy with AFREZZA (as well as cardiovascular risk and the long-term effect of AFREZZA on pulmonary function);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two pharmacokinetic-pharmacodynamic studies, one to characterize dose-response and one to characterize within-subject variability.</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There can be no assurance, in the conduct of an inspection of any of our suppliers that the agency would find that the supplier substantially complies with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9"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present, there are a number of clinical studies being conducted by other pharmaceutical companies involving insulin delivery systems. 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Moreover, the term of a patent is limited and, as a result, the patents protecting our products expire at various dates. For example, some patents providing protection for AFREZZA inhalation powder have terms extending into 2020, 2030 and 2031.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September 16, 2011, the Leahy-Smith America Invents Act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United States Patent and Trademark Office (“USPTO”) is continuing to develop 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There are many ambiguities in this new law and how the courts will interpret it cannot be predicted with confidence.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In March 2014 the USPTO, in response to Supreme Court decisions, issued new examination guidelines which call into question the patentability of biological inventions that had previously been considered patentable. While none of this has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not selected trade names for some of our product candidates;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then due.</w:t>
      </w:r>
    </w:p>
    <w:p>
      <w:pPr>
        <w:spacing w:after="0" w:line="2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 *</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and, in the future, may be reserved for the vesting of restricted stock unit awards; the purchase of shares of common stock under our employee stock purchase program; and the issuance of shares upon exchange or conversion of the 2015 notes, the 2018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2" w:lineRule="exact"/>
        <w:rPr>
          <w:sz w:val="20"/>
          <w:szCs w:val="20"/>
          <w:color w:val="auto"/>
        </w:rPr>
      </w:pPr>
    </w:p>
    <w:p>
      <w:pPr>
        <w:ind w:left="900" w:right="7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of the commercial launch of AFREZZA and other events or circumstances that we or others estimate will impact the future commercialization of AFREZZA;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or Sanofi’s future estimates of AFREZZA sales, prescriptions or other operating metrics;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and results of our preclinical and clinical studies of our product candidates and the post-approval studies of AFREZZA required by the FDA;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collaboration with Sanofi or our relationships with third 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459"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speculative trading based on the expected completion or non-completion of the exchange transactions relating to our 2015 notes, and the issuance of shares upon exchange or conversion of our 2015 notes; and</w:t>
      </w:r>
    </w:p>
    <w:p>
      <w:pPr>
        <w:spacing w:after="0" w:line="75"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Our Executive Chairman and principal stockholder may be able to heavily influence our direction and policies as a result of his ownership of our common stock,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3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June 30, 2015, Alfred E. Mann, our Executive Chairman and principal stockholder, beneficially owned approximately 37.2% of our outstanding shares of capital stock. By virtue of his holdings, Mr. Mann may be able to heavily influence elections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(“AEMMRO”), and AEM Foundation for Biomedical Engineering (“AEMFBE”), not-for-profit medical research foundations that serve as funding organizations for Mr. Mann’s various charities, including the Alfred Mann Foundation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nine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The future sale of our common stock, the exchange or conversion of our 2015 notes or 2018 into common stock or the exercise of our warrants for common stock could negatively affect the market price of our common stock and other securities.*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August 7, 2015, we had 414,033,866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2015 notes or 2018 notes, or upon the exercise of some or all of the warrants we issued in February 2012, could adversely affect the market price of our common stock and other securities. In addition, the existence of these notes and warrants may encourage short selling of our common stock by market participants, which could adversely affect the market price of our common stock and other securities.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9"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2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impair our ability to conduct future financing and other transactions.*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amended and restated certificate of incorporation currently authorizes us to issue up to 550,000,000 shares of common stock and 10,000,000 shares of preferred stock. As of August 7, 2015, we had a total of 135,966,134 shares of common stock that were authorized but unissued, and we have currently reserved a significant number of these shares for future issuance pursuant to outstanding equity awards, our equity plans, our 2015 notes and our 2018 notes. As a result, our ability to issue shares of common stock other than pursuant to existing 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292" w:lineRule="exact"/>
        <w:rPr>
          <w:sz w:val="20"/>
          <w:szCs w:val="20"/>
          <w:color w:val="auto"/>
        </w:rPr>
      </w:pPr>
    </w:p>
    <w:p>
      <w:pPr>
        <w:ind w:right="432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As more fully described in our Current Report on Form 8-K filed on July 29, 2015, on July 28, 2015 we entered into separate, privately-negotiated exchange agreements (the “Stock-for-Note Exchange Agreements”) with select holders of our outstanding 2015 notes, pursuant to which we agreed to issue shares of our common stock (the “Exchange Shares”), to such holders in exchange for their delivery to us of up to $56.9 million aggregate principal amount of 2015 notes, with the exchange price for up to approximately 1/10</w:t>
      </w:r>
      <w:r>
        <w:rPr>
          <w:rFonts w:ascii="Arial" w:cs="Arial" w:eastAsia="Arial" w:hAnsi="Arial"/>
          <w:sz w:val="14"/>
          <w:szCs w:val="14"/>
          <w:color w:val="auto"/>
        </w:rPr>
        <w:t>th</w:t>
      </w:r>
      <w:r>
        <w:rPr>
          <w:rFonts w:ascii="Arial" w:cs="Arial" w:eastAsia="Arial" w:hAnsi="Arial"/>
          <w:sz w:val="17"/>
          <w:szCs w:val="17"/>
          <w:color w:val="auto"/>
        </w:rPr>
        <w:t xml:space="preserve"> of the 2015 notes held by such holders to be determined each trading day over a 10 trading day period ending on, and including, August 11, 2015 (the “Exchange Period”).</w:t>
      </w:r>
    </w:p>
    <w:p>
      <w:pPr>
        <w:spacing w:after="0" w:line="173"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On August 10, 2015, we entered into amendments (the “Amendments”) to the Stock-for-Note Exchange Agreements to allow each holder to increase the principal amount of 2015 notes that may be exchanged on any trading day during the remainder of the Exchange Period, up to the aggregate principal amount of 2015 notes subject to the applicable Stock-for-Note Exchange Agreement and not previously exchanged for Exchange Shares.</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foregoing description of the Amendments does not purport to be complete and is qualified in its entirety by reference to the Amendments, the form of which we expect to file as an exhibit to a subsequent filing with the Securities and Exchange Commission.</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report does not constitute an offer to sell, or a solicitation of an offer to buy, any security and shall not constitute an offer, solicitation or sale in any jurisdiction in which such offering would be unlawful.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459" w:right="239" w:bottom="109"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5087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Certificate of Incorporation (incorporated by reference to MannKind’s Registration Statement on Form S-1 (File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333-115020), originally filed with the SEC on April 30, 2004, as amended).</w:t>
      </w:r>
    </w:p>
    <w:p>
      <w:pPr>
        <w:spacing w:after="0" w:line="103" w:lineRule="exact"/>
        <w:rPr>
          <w:sz w:val="20"/>
          <w:szCs w:val="20"/>
          <w:color w:val="auto"/>
        </w:rPr>
      </w:pPr>
    </w:p>
    <w:p>
      <w:pPr>
        <w:sectPr>
          <w:pgSz w:w="11900" w:h="16838" w:orient="portrait"/>
          <w:cols w:equalWidth="0" w:num="2">
            <w:col w:w="520" w:space="640"/>
            <w:col w:w="10260"/>
          </w:cols>
          <w:pgMar w:left="240" w:top="459" w:right="239" w:bottom="109"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3.2</w:t>
            </w:r>
          </w:p>
        </w:tc>
        <w:tc>
          <w:tcPr>
            <w:tcW w:w="10700" w:type="dxa"/>
            <w:vAlign w:val="bottom"/>
          </w:tcPr>
          <w:p>
            <w:pPr>
              <w:ind w:left="460"/>
              <w:spacing w:after="0"/>
              <w:rPr>
                <w:sz w:val="20"/>
                <w:szCs w:val="20"/>
                <w:color w:val="auto"/>
              </w:rPr>
            </w:pPr>
            <w:r>
              <w:rPr>
                <w:rFonts w:ascii="Arial" w:cs="Arial" w:eastAsia="Arial" w:hAnsi="Arial"/>
                <w:sz w:val="18"/>
                <w:szCs w:val="18"/>
                <w:color w:val="auto"/>
                <w:w w:val="92"/>
              </w:rPr>
              <w:t>Certificate of Amendment of Amended and Restated Certificate of Incorporation (incorporated by reference to MannKind’s Quarterly Report</w:t>
            </w:r>
          </w:p>
        </w:tc>
      </w:tr>
      <w:tr>
        <w:trPr>
          <w:trHeight w:val="230"/>
        </w:trPr>
        <w:tc>
          <w:tcPr>
            <w:tcW w:w="70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on Form 10-Q (File No. 000-50865), originally filed with the SEC on August 9, 2007).</w:t>
            </w:r>
          </w:p>
        </w:tc>
      </w:tr>
      <w:tr>
        <w:trPr>
          <w:trHeight w:val="310"/>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3.3</w:t>
            </w:r>
          </w:p>
        </w:tc>
        <w:tc>
          <w:tcPr>
            <w:tcW w:w="10700" w:type="dxa"/>
            <w:vAlign w:val="bottom"/>
          </w:tcPr>
          <w:p>
            <w:pPr>
              <w:ind w:left="460"/>
              <w:spacing w:after="0"/>
              <w:rPr>
                <w:sz w:val="20"/>
                <w:szCs w:val="20"/>
                <w:color w:val="auto"/>
              </w:rPr>
            </w:pPr>
            <w:r>
              <w:rPr>
                <w:rFonts w:ascii="Arial" w:cs="Arial" w:eastAsia="Arial" w:hAnsi="Arial"/>
                <w:sz w:val="18"/>
                <w:szCs w:val="18"/>
                <w:color w:val="auto"/>
                <w:w w:val="92"/>
              </w:rPr>
              <w:t>Certificate of Amendment of Amended and Restated Certificate of Incorporation (incorporated by reference to MannKind’s Quarterly report</w:t>
            </w:r>
          </w:p>
        </w:tc>
      </w:tr>
      <w:tr>
        <w:trPr>
          <w:trHeight w:val="230"/>
        </w:trPr>
        <w:tc>
          <w:tcPr>
            <w:tcW w:w="70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on Form 10-Q (File No. 000-50865), originally filed with the SEC on August 2, 2010).</w:t>
            </w:r>
          </w:p>
        </w:tc>
      </w:tr>
      <w:tr>
        <w:trPr>
          <w:trHeight w:val="310"/>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3.4</w:t>
            </w:r>
          </w:p>
        </w:tc>
        <w:tc>
          <w:tcPr>
            <w:tcW w:w="10700" w:type="dxa"/>
            <w:vAlign w:val="bottom"/>
          </w:tcPr>
          <w:p>
            <w:pPr>
              <w:ind w:left="460"/>
              <w:spacing w:after="0"/>
              <w:rPr>
                <w:sz w:val="20"/>
                <w:szCs w:val="20"/>
                <w:color w:val="auto"/>
              </w:rPr>
            </w:pPr>
            <w:r>
              <w:rPr>
                <w:rFonts w:ascii="Arial" w:cs="Arial" w:eastAsia="Arial" w:hAnsi="Arial"/>
                <w:sz w:val="18"/>
                <w:szCs w:val="18"/>
                <w:color w:val="auto"/>
                <w:w w:val="93"/>
              </w:rPr>
              <w:t>Certificate of Amendment of Amended and Restated Certificate of Incorporation (incorporated by reference to MannKind’s Current Report</w:t>
            </w:r>
          </w:p>
        </w:tc>
      </w:tr>
      <w:tr>
        <w:trPr>
          <w:trHeight w:val="230"/>
        </w:trPr>
        <w:tc>
          <w:tcPr>
            <w:tcW w:w="70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on Form 8-K (File No. 000-50865), originally filed with the SEC on July 1, 2013).</w:t>
            </w:r>
          </w:p>
        </w:tc>
      </w:tr>
      <w:tr>
        <w:trPr>
          <w:trHeight w:val="310"/>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3.5</w:t>
            </w:r>
          </w:p>
        </w:tc>
        <w:tc>
          <w:tcPr>
            <w:tcW w:w="10700" w:type="dxa"/>
            <w:vAlign w:val="bottom"/>
          </w:tcPr>
          <w:p>
            <w:pPr>
              <w:ind w:left="460"/>
              <w:spacing w:after="0"/>
              <w:rPr>
                <w:sz w:val="20"/>
                <w:szCs w:val="20"/>
                <w:color w:val="auto"/>
              </w:rPr>
            </w:pPr>
            <w:r>
              <w:rPr>
                <w:rFonts w:ascii="Arial" w:cs="Arial" w:eastAsia="Arial" w:hAnsi="Arial"/>
                <w:sz w:val="18"/>
                <w:szCs w:val="18"/>
                <w:color w:val="auto"/>
                <w:w w:val="92"/>
              </w:rPr>
              <w:t>Amended and Restated Bylaws (incorporated by reference to MannKind’s Current Report on Form 8-K (File No. 000-50865), originally filed</w:t>
            </w:r>
          </w:p>
        </w:tc>
      </w:tr>
      <w:tr>
        <w:trPr>
          <w:trHeight w:val="230"/>
        </w:trPr>
        <w:tc>
          <w:tcPr>
            <w:tcW w:w="70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with the SEC on November 19, 2007).</w:t>
            </w:r>
          </w:p>
        </w:tc>
      </w:tr>
      <w:tr>
        <w:trPr>
          <w:trHeight w:val="310"/>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4.1</w:t>
            </w:r>
          </w:p>
        </w:tc>
        <w:tc>
          <w:tcPr>
            <w:tcW w:w="10700" w:type="dxa"/>
            <w:vAlign w:val="bottom"/>
          </w:tcPr>
          <w:p>
            <w:pPr>
              <w:ind w:left="460"/>
              <w:spacing w:after="0"/>
              <w:rPr>
                <w:sz w:val="20"/>
                <w:szCs w:val="20"/>
                <w:color w:val="auto"/>
              </w:rPr>
            </w:pPr>
            <w:r>
              <w:rPr>
                <w:rFonts w:ascii="Arial" w:cs="Arial" w:eastAsia="Arial" w:hAnsi="Arial"/>
                <w:sz w:val="18"/>
                <w:szCs w:val="18"/>
                <w:color w:val="auto"/>
                <w:w w:val="94"/>
              </w:rPr>
              <w:t>Form of common stock certificate (incorporated by reference to MannKind’s Annual Report on Form 10-K (File No. 000-50865), originally</w:t>
            </w:r>
          </w:p>
        </w:tc>
      </w:tr>
      <w:tr>
        <w:trPr>
          <w:trHeight w:val="230"/>
        </w:trPr>
        <w:tc>
          <w:tcPr>
            <w:tcW w:w="70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filed with the SEC on March 18, 2013).</w:t>
            </w:r>
          </w:p>
        </w:tc>
      </w:tr>
      <w:tr>
        <w:trPr>
          <w:trHeight w:val="310"/>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4.2</w:t>
            </w:r>
          </w:p>
        </w:tc>
        <w:tc>
          <w:tcPr>
            <w:tcW w:w="10700" w:type="dxa"/>
            <w:vAlign w:val="bottom"/>
          </w:tcPr>
          <w:p>
            <w:pPr>
              <w:ind w:left="460"/>
              <w:spacing w:after="0"/>
              <w:rPr>
                <w:sz w:val="20"/>
                <w:szCs w:val="20"/>
                <w:color w:val="auto"/>
              </w:rPr>
            </w:pPr>
            <w:r>
              <w:rPr>
                <w:rFonts w:ascii="Arial" w:cs="Arial" w:eastAsia="Arial" w:hAnsi="Arial"/>
                <w:sz w:val="18"/>
                <w:szCs w:val="18"/>
                <w:color w:val="auto"/>
                <w:w w:val="96"/>
              </w:rPr>
              <w:t>Registration Rights Agreement, dated October 15, 1998 by and among CTL Immuno Therapies Corp., Medical Research Group, LLC,</w:t>
            </w:r>
          </w:p>
        </w:tc>
      </w:tr>
      <w:tr>
        <w:trPr>
          <w:trHeight w:val="216"/>
        </w:trPr>
        <w:tc>
          <w:tcPr>
            <w:tcW w:w="700" w:type="dxa"/>
            <w:vAlign w:val="bottom"/>
          </w:tcPr>
          <w:p>
            <w:pPr>
              <w:spacing w:after="0"/>
              <w:rPr>
                <w:sz w:val="18"/>
                <w:szCs w:val="18"/>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w w:val="92"/>
              </w:rPr>
              <w:t>McLean Watson Advisory Inc. and Alfred E. Mann, as amended (incorporated by reference to MannKind’s Registration Statement on Form</w:t>
            </w:r>
          </w:p>
        </w:tc>
      </w:tr>
      <w:tr>
        <w:trPr>
          <w:trHeight w:val="230"/>
        </w:trPr>
        <w:tc>
          <w:tcPr>
            <w:tcW w:w="70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S-1 (File No. 333-115020), originally filed with the SEC on April 30, 2004, as amended).</w:t>
            </w:r>
          </w:p>
        </w:tc>
      </w:tr>
      <w:tr>
        <w:trPr>
          <w:trHeight w:val="310"/>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4.3</w:t>
            </w:r>
          </w:p>
        </w:tc>
        <w:tc>
          <w:tcPr>
            <w:tcW w:w="10700" w:type="dxa"/>
            <w:vAlign w:val="bottom"/>
          </w:tcPr>
          <w:p>
            <w:pPr>
              <w:ind w:left="460"/>
              <w:spacing w:after="0"/>
              <w:rPr>
                <w:sz w:val="20"/>
                <w:szCs w:val="20"/>
                <w:color w:val="auto"/>
              </w:rPr>
            </w:pPr>
            <w:r>
              <w:rPr>
                <w:rFonts w:ascii="Arial" w:cs="Arial" w:eastAsia="Arial" w:hAnsi="Arial"/>
                <w:sz w:val="18"/>
                <w:szCs w:val="18"/>
                <w:color w:val="auto"/>
                <w:w w:val="91"/>
              </w:rPr>
              <w:t>Indenture, by and between MannKind and Wells Fargo Bank, N.A., dated August 24, 2010 (incorporated by reference to MannKind’s Current</w:t>
            </w:r>
          </w:p>
        </w:tc>
      </w:tr>
      <w:tr>
        <w:trPr>
          <w:trHeight w:val="230"/>
        </w:trPr>
        <w:tc>
          <w:tcPr>
            <w:tcW w:w="70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Report on Form 8-K (File No. 000-50865), originally filed with the SEC on August 24, 2010).</w:t>
            </w:r>
          </w:p>
        </w:tc>
      </w:tr>
      <w:tr>
        <w:trPr>
          <w:trHeight w:val="310"/>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4.4</w:t>
            </w:r>
          </w:p>
        </w:tc>
        <w:tc>
          <w:tcPr>
            <w:tcW w:w="10700" w:type="dxa"/>
            <w:vAlign w:val="bottom"/>
          </w:tcPr>
          <w:p>
            <w:pPr>
              <w:ind w:left="460"/>
              <w:spacing w:after="0"/>
              <w:rPr>
                <w:sz w:val="20"/>
                <w:szCs w:val="20"/>
                <w:color w:val="auto"/>
              </w:rPr>
            </w:pPr>
            <w:r>
              <w:rPr>
                <w:rFonts w:ascii="Arial" w:cs="Arial" w:eastAsia="Arial" w:hAnsi="Arial"/>
                <w:sz w:val="18"/>
                <w:szCs w:val="18"/>
                <w:color w:val="auto"/>
              </w:rPr>
              <w:t>Form of 5.75% Senior Convertible Note due 2015 (incorporated by reference to MannKind’s Current Report on Form</w:t>
            </w:r>
          </w:p>
        </w:tc>
      </w:tr>
      <w:tr>
        <w:trPr>
          <w:trHeight w:val="230"/>
        </w:trPr>
        <w:tc>
          <w:tcPr>
            <w:tcW w:w="70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8-K (File No. 000-50865), originally filed with the SEC on August 24, 2010).</w:t>
            </w:r>
          </w:p>
        </w:tc>
      </w:tr>
      <w:tr>
        <w:trPr>
          <w:trHeight w:val="323"/>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4.5</w:t>
            </w:r>
          </w:p>
        </w:tc>
        <w:tc>
          <w:tcPr>
            <w:tcW w:w="10700" w:type="dxa"/>
            <w:vAlign w:val="bottom"/>
          </w:tcPr>
          <w:p>
            <w:pPr>
              <w:ind w:left="460"/>
              <w:spacing w:after="0"/>
              <w:rPr>
                <w:sz w:val="20"/>
                <w:szCs w:val="20"/>
                <w:color w:val="auto"/>
              </w:rPr>
            </w:pPr>
            <w:r>
              <w:rPr>
                <w:rFonts w:ascii="Arial" w:cs="Arial" w:eastAsia="Arial" w:hAnsi="Arial"/>
                <w:sz w:val="18"/>
                <w:szCs w:val="18"/>
                <w:color w:val="auto"/>
                <w:w w:val="90"/>
              </w:rPr>
              <w:t>Form of Warrant to Purchase Common Stock issued February 8, 2012 (incorporated by reference to MannKind’s Current Report on Form 8-K</w:t>
            </w:r>
          </w:p>
        </w:tc>
      </w:tr>
      <w:tr>
        <w:trPr>
          <w:trHeight w:val="230"/>
        </w:trPr>
        <w:tc>
          <w:tcPr>
            <w:tcW w:w="70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(File No. 000-50865), originally filed with the SEC on February 6, 2012).</w:t>
            </w:r>
          </w:p>
        </w:tc>
      </w:tr>
      <w:tr>
        <w:trPr>
          <w:trHeight w:val="310"/>
        </w:trPr>
        <w:tc>
          <w:tcPr>
            <w:tcW w:w="700" w:type="dxa"/>
            <w:vAlign w:val="bottom"/>
          </w:tcPr>
          <w:p>
            <w:pPr>
              <w:jc w:val="right"/>
              <w:ind w:right="370"/>
              <w:spacing w:after="0"/>
              <w:rPr>
                <w:sz w:val="20"/>
                <w:szCs w:val="20"/>
                <w:color w:val="auto"/>
              </w:rPr>
            </w:pPr>
            <w:r>
              <w:rPr>
                <w:rFonts w:ascii="Arial" w:cs="Arial" w:eastAsia="Arial" w:hAnsi="Arial"/>
                <w:sz w:val="18"/>
                <w:szCs w:val="18"/>
                <w:color w:val="auto"/>
                <w:w w:val="87"/>
              </w:rPr>
              <w:t>4.6</w:t>
            </w:r>
          </w:p>
        </w:tc>
        <w:tc>
          <w:tcPr>
            <w:tcW w:w="10700" w:type="dxa"/>
            <w:vAlign w:val="bottom"/>
          </w:tcPr>
          <w:p>
            <w:pPr>
              <w:ind w:left="460"/>
              <w:spacing w:after="0"/>
              <w:rPr>
                <w:sz w:val="20"/>
                <w:szCs w:val="20"/>
                <w:color w:val="auto"/>
              </w:rPr>
            </w:pPr>
            <w:r>
              <w:rPr>
                <w:rFonts w:ascii="Arial" w:cs="Arial" w:eastAsia="Arial" w:hAnsi="Arial"/>
                <w:sz w:val="18"/>
                <w:szCs w:val="18"/>
                <w:color w:val="auto"/>
                <w:w w:val="91"/>
              </w:rPr>
              <w:t>Form of 9.75% Senior Secured Convertible Promissory Note due 2019 (incorporated by reference to MannKind’s current report on Form 8-K</w:t>
            </w:r>
          </w:p>
        </w:tc>
      </w:tr>
      <w:tr>
        <w:trPr>
          <w:trHeight w:val="230"/>
        </w:trPr>
        <w:tc>
          <w:tcPr>
            <w:tcW w:w="700" w:type="dxa"/>
            <w:vAlign w:val="bottom"/>
          </w:tcPr>
          <w:p>
            <w:pPr>
              <w:spacing w:after="0"/>
              <w:rPr>
                <w:sz w:val="20"/>
                <w:szCs w:val="20"/>
                <w:color w:val="auto"/>
              </w:rPr>
            </w:pPr>
          </w:p>
        </w:tc>
        <w:tc>
          <w:tcPr>
            <w:tcW w:w="10700" w:type="dxa"/>
            <w:vAlign w:val="bottom"/>
          </w:tcPr>
          <w:p>
            <w:pPr>
              <w:ind w:left="460"/>
              <w:spacing w:after="0"/>
              <w:rPr>
                <w:sz w:val="20"/>
                <w:szCs w:val="20"/>
                <w:color w:val="auto"/>
              </w:rPr>
            </w:pPr>
            <w:r>
              <w:rPr>
                <w:rFonts w:ascii="Arial" w:cs="Arial" w:eastAsia="Arial" w:hAnsi="Arial"/>
                <w:sz w:val="18"/>
                <w:szCs w:val="18"/>
                <w:color w:val="auto"/>
              </w:rPr>
              <w:t>(File No. 000-50865), originally filed with the SEC on July 1, 2013).</w:t>
            </w:r>
          </w:p>
        </w:tc>
      </w:tr>
    </w:tbl>
    <w:p>
      <w:pPr>
        <w:spacing w:after="0" w:line="134" w:lineRule="exact"/>
        <w:rPr>
          <w:sz w:val="20"/>
          <w:szCs w:val="20"/>
          <w:color w:val="auto"/>
        </w:rPr>
      </w:pPr>
    </w:p>
    <w:p>
      <w:pPr>
        <w:sectPr>
          <w:pgSz w:w="11900" w:h="16838" w:orient="portrait"/>
          <w:cols w:equalWidth="0" w:num="1">
            <w:col w:w="11420"/>
          </w:cols>
          <w:pgMar w:left="240" w:top="459" w:right="239" w:bottom="109" w:gutter="0" w:footer="0" w:header="0"/>
          <w:type w:val="continuous"/>
        </w:sect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09"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5690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Form of Amended and Restated 9.75% Senior Secured Convertible Promissory Note due 2019 (incorporated by reference to MannKind’s Annual Report on Form 10-K (File No. 000-50865), originally filed with the SEC on March 3, 2014).</w:t>
      </w:r>
    </w:p>
    <w:p>
      <w:pPr>
        <w:spacing w:after="0" w:line="62" w:lineRule="exact"/>
        <w:rPr>
          <w:sz w:val="20"/>
          <w:szCs w:val="20"/>
          <w:color w:val="auto"/>
        </w:rPr>
      </w:pPr>
    </w:p>
    <w:p>
      <w:pPr>
        <w:sectPr>
          <w:pgSz w:w="11900" w:h="16838" w:orient="portrait"/>
          <w:cols w:equalWidth="0" w:num="2">
            <w:col w:w="520" w:space="560"/>
            <w:col w:w="103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4.8</w:t>
            </w:r>
          </w:p>
        </w:tc>
        <w:tc>
          <w:tcPr>
            <w:tcW w:w="10700" w:type="dxa"/>
            <w:vAlign w:val="bottom"/>
          </w:tcPr>
          <w:p>
            <w:pPr>
              <w:ind w:left="380"/>
              <w:spacing w:after="0"/>
              <w:rPr>
                <w:sz w:val="20"/>
                <w:szCs w:val="20"/>
                <w:color w:val="auto"/>
              </w:rPr>
            </w:pPr>
            <w:r>
              <w:rPr>
                <w:rFonts w:ascii="Arial" w:cs="Arial" w:eastAsia="Arial" w:hAnsi="Arial"/>
                <w:sz w:val="18"/>
                <w:szCs w:val="18"/>
                <w:color w:val="auto"/>
                <w:w w:val="93"/>
              </w:rPr>
              <w:t>Form of Tranche B Senior Secured Note due 2019 (incorporated by reference to Exhibit 4.8 to MannKind’s Quarterly Report on Form 10-Q</w:t>
            </w:r>
          </w:p>
        </w:tc>
      </w:tr>
      <w:tr>
        <w:trPr>
          <w:trHeight w:val="230"/>
        </w:trPr>
        <w:tc>
          <w:tcPr>
            <w:tcW w:w="7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(File No. 000-50856), filed with the SEC on May 12, 2014).</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4.9</w:t>
            </w:r>
          </w:p>
        </w:tc>
        <w:tc>
          <w:tcPr>
            <w:tcW w:w="10700" w:type="dxa"/>
            <w:vAlign w:val="bottom"/>
          </w:tcPr>
          <w:p>
            <w:pPr>
              <w:ind w:left="380"/>
              <w:spacing w:after="0"/>
              <w:rPr>
                <w:sz w:val="20"/>
                <w:szCs w:val="20"/>
                <w:color w:val="auto"/>
              </w:rPr>
            </w:pPr>
            <w:r>
              <w:rPr>
                <w:rFonts w:ascii="Arial" w:cs="Arial" w:eastAsia="Arial" w:hAnsi="Arial"/>
                <w:sz w:val="18"/>
                <w:szCs w:val="18"/>
                <w:color w:val="auto"/>
                <w:w w:val="91"/>
              </w:rPr>
              <w:t>Milestone Rights Purchase Agreement, dated as of July 1, 2013, by and among MannKind, Deerfield Private Design Fund II, L.P. and Horizon</w:t>
            </w:r>
          </w:p>
        </w:tc>
      </w:tr>
      <w:tr>
        <w:trPr>
          <w:trHeight w:val="216"/>
        </w:trPr>
        <w:tc>
          <w:tcPr>
            <w:tcW w:w="700" w:type="dxa"/>
            <w:vAlign w:val="bottom"/>
          </w:tcPr>
          <w:p>
            <w:pPr>
              <w:spacing w:after="0"/>
              <w:rPr>
                <w:sz w:val="18"/>
                <w:szCs w:val="18"/>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w w:val="96"/>
              </w:rPr>
              <w:t>Santé FLML SÁRL (incorporated by reference to MannKind’s Current Report on Form 8-K (File No. 000-50865), originally filed with the</w:t>
            </w:r>
          </w:p>
        </w:tc>
      </w:tr>
      <w:tr>
        <w:trPr>
          <w:trHeight w:val="230"/>
        </w:trPr>
        <w:tc>
          <w:tcPr>
            <w:tcW w:w="7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SEC on July 1, 2013).</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4.10</w:t>
            </w:r>
          </w:p>
        </w:tc>
        <w:tc>
          <w:tcPr>
            <w:tcW w:w="10700" w:type="dxa"/>
            <w:vAlign w:val="bottom"/>
          </w:tcPr>
          <w:p>
            <w:pPr>
              <w:ind w:left="380"/>
              <w:spacing w:after="0"/>
              <w:rPr>
                <w:sz w:val="20"/>
                <w:szCs w:val="20"/>
                <w:color w:val="auto"/>
              </w:rPr>
            </w:pPr>
            <w:r>
              <w:rPr>
                <w:rFonts w:ascii="Arial" w:cs="Arial" w:eastAsia="Arial" w:hAnsi="Arial"/>
                <w:sz w:val="18"/>
                <w:szCs w:val="18"/>
                <w:color w:val="auto"/>
                <w:w w:val="91"/>
              </w:rPr>
              <w:t>Guaranty and Security Agreement, dated as of July 1, 2013, by and among MannKind, MannKind LLC, Deerfield Private Design Fund II, L.P.,</w:t>
            </w:r>
          </w:p>
        </w:tc>
      </w:tr>
      <w:tr>
        <w:trPr>
          <w:trHeight w:val="216"/>
        </w:trPr>
        <w:tc>
          <w:tcPr>
            <w:tcW w:w="700" w:type="dxa"/>
            <w:vAlign w:val="bottom"/>
          </w:tcPr>
          <w:p>
            <w:pPr>
              <w:spacing w:after="0"/>
              <w:rPr>
                <w:sz w:val="18"/>
                <w:szCs w:val="18"/>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w w:val="93"/>
              </w:rPr>
              <w:t>Deerfield Private Design International II, L.P. and Horizon Santé FLML SÁRL (incorporated by reference to MannKind’s Current Report on</w:t>
            </w:r>
          </w:p>
        </w:tc>
      </w:tr>
      <w:tr>
        <w:trPr>
          <w:trHeight w:val="230"/>
        </w:trPr>
        <w:tc>
          <w:tcPr>
            <w:tcW w:w="7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4.11</w:t>
            </w:r>
          </w:p>
        </w:tc>
        <w:tc>
          <w:tcPr>
            <w:tcW w:w="10700" w:type="dxa"/>
            <w:vAlign w:val="bottom"/>
          </w:tcPr>
          <w:p>
            <w:pPr>
              <w:ind w:left="380"/>
              <w:spacing w:after="0"/>
              <w:rPr>
                <w:sz w:val="20"/>
                <w:szCs w:val="20"/>
                <w:color w:val="auto"/>
              </w:rPr>
            </w:pPr>
            <w:r>
              <w:rPr>
                <w:rFonts w:ascii="Arial" w:cs="Arial" w:eastAsia="Arial" w:hAnsi="Arial"/>
                <w:sz w:val="18"/>
                <w:szCs w:val="18"/>
                <w:color w:val="auto"/>
                <w:w w:val="95"/>
              </w:rPr>
              <w:t>Registration Rights Agreement, dated as of July 1, 2013, by and among MannKind, Deerfield Private Design Fund II, L.P. and Deerfield</w:t>
            </w:r>
          </w:p>
        </w:tc>
      </w:tr>
      <w:tr>
        <w:trPr>
          <w:trHeight w:val="216"/>
        </w:trPr>
        <w:tc>
          <w:tcPr>
            <w:tcW w:w="700" w:type="dxa"/>
            <w:vAlign w:val="bottom"/>
          </w:tcPr>
          <w:p>
            <w:pPr>
              <w:spacing w:after="0"/>
              <w:rPr>
                <w:sz w:val="18"/>
                <w:szCs w:val="18"/>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w w:val="94"/>
              </w:rPr>
              <w:t>Private Design International II, L.P. (incorporated by reference to MannKind’s Current Report on Form 8-K (File No. 000-50865), originally</w:t>
            </w:r>
          </w:p>
        </w:tc>
      </w:tr>
      <w:tr>
        <w:trPr>
          <w:trHeight w:val="230"/>
        </w:trPr>
        <w:tc>
          <w:tcPr>
            <w:tcW w:w="7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filed with the SEC on July 1, 2013).</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4.12</w:t>
            </w:r>
          </w:p>
        </w:tc>
        <w:tc>
          <w:tcPr>
            <w:tcW w:w="10700" w:type="dxa"/>
            <w:vAlign w:val="bottom"/>
          </w:tcPr>
          <w:p>
            <w:pPr>
              <w:ind w:left="380"/>
              <w:spacing w:after="0"/>
              <w:rPr>
                <w:sz w:val="20"/>
                <w:szCs w:val="20"/>
                <w:color w:val="auto"/>
              </w:rPr>
            </w:pPr>
            <w:r>
              <w:rPr>
                <w:rFonts w:ascii="Arial" w:cs="Arial" w:eastAsia="Arial" w:hAnsi="Arial"/>
                <w:sz w:val="18"/>
                <w:szCs w:val="18"/>
                <w:color w:val="auto"/>
                <w:w w:val="95"/>
              </w:rPr>
              <w:t>Facility Agreement, dated as of July 1, 2013, by and among MannKind Corporation, Deerfield Private Design Fund II, L.P. and Deerfield</w:t>
            </w:r>
          </w:p>
        </w:tc>
      </w:tr>
      <w:tr>
        <w:trPr>
          <w:trHeight w:val="216"/>
        </w:trPr>
        <w:tc>
          <w:tcPr>
            <w:tcW w:w="700" w:type="dxa"/>
            <w:vAlign w:val="bottom"/>
          </w:tcPr>
          <w:p>
            <w:pPr>
              <w:spacing w:after="0"/>
              <w:rPr>
                <w:sz w:val="18"/>
                <w:szCs w:val="18"/>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w w:val="94"/>
              </w:rPr>
              <w:t>Private Design International II, L.P. (incorporated by reference to MannKind’s Current Report on Form 8-K (File No. 000-50865), originally</w:t>
            </w:r>
          </w:p>
        </w:tc>
      </w:tr>
      <w:tr>
        <w:trPr>
          <w:trHeight w:val="230"/>
        </w:trPr>
        <w:tc>
          <w:tcPr>
            <w:tcW w:w="7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filed with the SEC on July 1, 2013).</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4.13</w:t>
            </w:r>
          </w:p>
        </w:tc>
        <w:tc>
          <w:tcPr>
            <w:tcW w:w="10700" w:type="dxa"/>
            <w:vAlign w:val="bottom"/>
          </w:tcPr>
          <w:p>
            <w:pPr>
              <w:ind w:left="380"/>
              <w:spacing w:after="0"/>
              <w:rPr>
                <w:sz w:val="20"/>
                <w:szCs w:val="20"/>
                <w:color w:val="auto"/>
              </w:rPr>
            </w:pPr>
            <w:r>
              <w:rPr>
                <w:rFonts w:ascii="Arial" w:cs="Arial" w:eastAsia="Arial" w:hAnsi="Arial"/>
                <w:sz w:val="18"/>
                <w:szCs w:val="18"/>
                <w:color w:val="auto"/>
                <w:w w:val="96"/>
              </w:rPr>
              <w:t>First Amendment to Facility Agreement and Registration Rights Agreement, dated as of February 28, 2014, by and among MannKind,</w:t>
            </w:r>
          </w:p>
        </w:tc>
      </w:tr>
      <w:tr>
        <w:trPr>
          <w:trHeight w:val="216"/>
        </w:trPr>
        <w:tc>
          <w:tcPr>
            <w:tcW w:w="700" w:type="dxa"/>
            <w:vAlign w:val="bottom"/>
          </w:tcPr>
          <w:p>
            <w:pPr>
              <w:spacing w:after="0"/>
              <w:rPr>
                <w:sz w:val="18"/>
                <w:szCs w:val="18"/>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w w:val="94"/>
              </w:rPr>
              <w:t>Deerfield Private Design Fund II, L.P. and Deerfield Private Design International II, L.P. (incorporated by reference to MannKind’s Annual</w:t>
            </w:r>
          </w:p>
        </w:tc>
      </w:tr>
      <w:tr>
        <w:trPr>
          <w:trHeight w:val="230"/>
        </w:trPr>
        <w:tc>
          <w:tcPr>
            <w:tcW w:w="7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Report on Form 10-K (File No. 000-50865), originally filed with the SEC on March 3, 2014).</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4.14</w:t>
            </w:r>
          </w:p>
        </w:tc>
        <w:tc>
          <w:tcPr>
            <w:tcW w:w="10700" w:type="dxa"/>
            <w:vAlign w:val="bottom"/>
          </w:tcPr>
          <w:p>
            <w:pPr>
              <w:ind w:left="380"/>
              <w:spacing w:after="0"/>
              <w:rPr>
                <w:sz w:val="20"/>
                <w:szCs w:val="20"/>
                <w:color w:val="auto"/>
              </w:rPr>
            </w:pPr>
            <w:r>
              <w:rPr>
                <w:rFonts w:ascii="Arial" w:cs="Arial" w:eastAsia="Arial" w:hAnsi="Arial"/>
                <w:sz w:val="18"/>
                <w:szCs w:val="18"/>
                <w:color w:val="auto"/>
                <w:w w:val="93"/>
              </w:rPr>
              <w:t>Form of Tranche B Senior Secured Note due 2019 (incorporated by reference to Exhibit 4.8 to MannKind’s Quarterly Report on Form 10-Q</w:t>
            </w:r>
          </w:p>
        </w:tc>
      </w:tr>
      <w:tr>
        <w:trPr>
          <w:trHeight w:val="230"/>
        </w:trPr>
        <w:tc>
          <w:tcPr>
            <w:tcW w:w="7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(File No. 000-50865), filed with the SEC on May 12, 2014).</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4.15</w:t>
            </w:r>
          </w:p>
        </w:tc>
        <w:tc>
          <w:tcPr>
            <w:tcW w:w="10700" w:type="dxa"/>
            <w:vAlign w:val="bottom"/>
          </w:tcPr>
          <w:p>
            <w:pPr>
              <w:ind w:left="380"/>
              <w:spacing w:after="0"/>
              <w:rPr>
                <w:sz w:val="20"/>
                <w:szCs w:val="20"/>
                <w:color w:val="auto"/>
              </w:rPr>
            </w:pPr>
            <w:r>
              <w:rPr>
                <w:rFonts w:ascii="Arial" w:cs="Arial" w:eastAsia="Arial" w:hAnsi="Arial"/>
                <w:sz w:val="18"/>
                <w:szCs w:val="18"/>
                <w:color w:val="auto"/>
                <w:w w:val="94"/>
              </w:rPr>
              <w:t>Senior Secured Revolving Promissory Note, dated as of September 23, 2014, by and between MannKind Corporation and Aventisub LLC</w:t>
            </w:r>
          </w:p>
        </w:tc>
      </w:tr>
      <w:tr>
        <w:trPr>
          <w:trHeight w:val="216"/>
        </w:trPr>
        <w:tc>
          <w:tcPr>
            <w:tcW w:w="700" w:type="dxa"/>
            <w:vAlign w:val="bottom"/>
          </w:tcPr>
          <w:p>
            <w:pPr>
              <w:spacing w:after="0"/>
              <w:rPr>
                <w:sz w:val="18"/>
                <w:szCs w:val="18"/>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w w:val="92"/>
              </w:rPr>
              <w:t>(incorporated by reference to Exhibit 99.1 to MannKind’s Current Report on Form 8-K (File No. 000-50865), filed with the SEC on September</w:t>
            </w:r>
          </w:p>
        </w:tc>
      </w:tr>
      <w:tr>
        <w:trPr>
          <w:trHeight w:val="230"/>
        </w:trPr>
        <w:tc>
          <w:tcPr>
            <w:tcW w:w="7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29, 2014).</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4.16</w:t>
            </w:r>
          </w:p>
        </w:tc>
        <w:tc>
          <w:tcPr>
            <w:tcW w:w="10700" w:type="dxa"/>
            <w:vAlign w:val="bottom"/>
          </w:tcPr>
          <w:p>
            <w:pPr>
              <w:ind w:left="380"/>
              <w:spacing w:after="0"/>
              <w:rPr>
                <w:sz w:val="20"/>
                <w:szCs w:val="20"/>
                <w:color w:val="auto"/>
              </w:rPr>
            </w:pPr>
            <w:r>
              <w:rPr>
                <w:rFonts w:ascii="Arial" w:cs="Arial" w:eastAsia="Arial" w:hAnsi="Arial"/>
                <w:sz w:val="18"/>
                <w:szCs w:val="18"/>
                <w:color w:val="auto"/>
                <w:w w:val="94"/>
              </w:rPr>
              <w:t>Senior Secured Revolving Promissory Note, dated as of September 23, 2014, by and between MannKind Corporation and Aventisub LLC</w:t>
            </w:r>
          </w:p>
        </w:tc>
      </w:tr>
      <w:tr>
        <w:trPr>
          <w:trHeight w:val="216"/>
        </w:trPr>
        <w:tc>
          <w:tcPr>
            <w:tcW w:w="700" w:type="dxa"/>
            <w:vAlign w:val="bottom"/>
          </w:tcPr>
          <w:p>
            <w:pPr>
              <w:spacing w:after="0"/>
              <w:rPr>
                <w:sz w:val="18"/>
                <w:szCs w:val="18"/>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w w:val="92"/>
              </w:rPr>
              <w:t>(incorporated by reference to Exhibit 99.1 to MannKind’s Current Report on Form 8-K (File No. 000-50865), filed with the SEC on September</w:t>
            </w:r>
          </w:p>
        </w:tc>
      </w:tr>
      <w:tr>
        <w:trPr>
          <w:trHeight w:val="230"/>
        </w:trPr>
        <w:tc>
          <w:tcPr>
            <w:tcW w:w="7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29, 2014).</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4.17</w:t>
            </w:r>
          </w:p>
        </w:tc>
        <w:tc>
          <w:tcPr>
            <w:tcW w:w="10700" w:type="dxa"/>
            <w:vAlign w:val="bottom"/>
          </w:tcPr>
          <w:p>
            <w:pPr>
              <w:ind w:left="380"/>
              <w:spacing w:after="0"/>
              <w:rPr>
                <w:sz w:val="20"/>
                <w:szCs w:val="20"/>
                <w:color w:val="auto"/>
              </w:rPr>
            </w:pPr>
            <w:r>
              <w:rPr>
                <w:rFonts w:ascii="Arial" w:cs="Arial" w:eastAsia="Arial" w:hAnsi="Arial"/>
                <w:sz w:val="18"/>
                <w:szCs w:val="18"/>
                <w:color w:val="auto"/>
                <w:w w:val="93"/>
              </w:rPr>
              <w:t>Guaranty and Security Agreement, dated as of September 23, 2014, by and among MannKind Corporation, MannKind LLC and Aventisub</w:t>
            </w:r>
          </w:p>
        </w:tc>
      </w:tr>
      <w:tr>
        <w:trPr>
          <w:trHeight w:val="216"/>
        </w:trPr>
        <w:tc>
          <w:tcPr>
            <w:tcW w:w="700" w:type="dxa"/>
            <w:vAlign w:val="bottom"/>
          </w:tcPr>
          <w:p>
            <w:pPr>
              <w:spacing w:after="0"/>
              <w:rPr>
                <w:sz w:val="18"/>
                <w:szCs w:val="18"/>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w w:val="96"/>
              </w:rPr>
              <w:t>LLC (incorporated by reference to Exhibit 99.2 to MannKind’s Current Report on Form 8-K (File No. 000-50865), filed with the SEC on</w:t>
            </w:r>
          </w:p>
        </w:tc>
      </w:tr>
      <w:tr>
        <w:trPr>
          <w:trHeight w:val="230"/>
        </w:trPr>
        <w:tc>
          <w:tcPr>
            <w:tcW w:w="700" w:type="dxa"/>
            <w:vAlign w:val="bottom"/>
          </w:tcPr>
          <w:p>
            <w:pPr>
              <w:spacing w:after="0"/>
              <w:rPr>
                <w:sz w:val="20"/>
                <w:szCs w:val="20"/>
                <w:color w:val="auto"/>
              </w:rPr>
            </w:pPr>
          </w:p>
        </w:tc>
        <w:tc>
          <w:tcPr>
            <w:tcW w:w="10700" w:type="dxa"/>
            <w:vAlign w:val="bottom"/>
          </w:tcPr>
          <w:p>
            <w:pPr>
              <w:ind w:left="380"/>
              <w:spacing w:after="0"/>
              <w:rPr>
                <w:sz w:val="20"/>
                <w:szCs w:val="20"/>
                <w:color w:val="auto"/>
              </w:rPr>
            </w:pPr>
            <w:r>
              <w:rPr>
                <w:rFonts w:ascii="Arial" w:cs="Arial" w:eastAsia="Arial" w:hAnsi="Arial"/>
                <w:sz w:val="18"/>
                <w:szCs w:val="18"/>
                <w:color w:val="auto"/>
              </w:rPr>
              <w:t>September 29, 2014).</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4.18</w:t>
            </w:r>
          </w:p>
        </w:tc>
        <w:tc>
          <w:tcPr>
            <w:tcW w:w="10700" w:type="dxa"/>
            <w:vAlign w:val="bottom"/>
          </w:tcPr>
          <w:p>
            <w:pPr>
              <w:ind w:left="380"/>
              <w:spacing w:after="0"/>
              <w:rPr>
                <w:sz w:val="20"/>
                <w:szCs w:val="20"/>
                <w:color w:val="auto"/>
              </w:rPr>
            </w:pPr>
            <w:r>
              <w:rPr>
                <w:rFonts w:ascii="Arial" w:cs="Arial" w:eastAsia="Arial" w:hAnsi="Arial"/>
                <w:sz w:val="18"/>
                <w:szCs w:val="18"/>
                <w:color w:val="auto"/>
              </w:rPr>
              <w:t>Indenture, by and between MannKind and Wells Fargo Bank, N.A., dated August 10, 2015.</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4.19</w:t>
            </w:r>
          </w:p>
        </w:tc>
        <w:tc>
          <w:tcPr>
            <w:tcW w:w="10700" w:type="dxa"/>
            <w:vAlign w:val="bottom"/>
          </w:tcPr>
          <w:p>
            <w:pPr>
              <w:ind w:left="380"/>
              <w:spacing w:after="0"/>
              <w:rPr>
                <w:sz w:val="20"/>
                <w:szCs w:val="20"/>
                <w:color w:val="auto"/>
              </w:rPr>
            </w:pPr>
            <w:r>
              <w:rPr>
                <w:rFonts w:ascii="Arial" w:cs="Arial" w:eastAsia="Arial" w:hAnsi="Arial"/>
                <w:sz w:val="18"/>
                <w:szCs w:val="18"/>
                <w:color w:val="auto"/>
              </w:rPr>
              <w:t>Form of 5.75% Convertible Senior Subordinated Exchange Note due 2018 (included in Exhibit 4.18 as Exhibit A thereto).</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700" w:type="dxa"/>
            <w:vAlign w:val="bottom"/>
          </w:tcPr>
          <w:p>
            <w:pPr>
              <w:ind w:left="380"/>
              <w:spacing w:after="0"/>
              <w:rPr>
                <w:sz w:val="20"/>
                <w:szCs w:val="20"/>
                <w:color w:val="auto"/>
              </w:rPr>
            </w:pPr>
            <w:r>
              <w:rPr>
                <w:rFonts w:ascii="Arial" w:cs="Arial" w:eastAsia="Arial" w:hAnsi="Arial"/>
                <w:sz w:val="18"/>
                <w:szCs w:val="18"/>
                <w:color w:val="auto"/>
                <w:w w:val="92"/>
              </w:rPr>
              <w:t>Certification of the Chief Executive Officer pursuant to Rules 13a-14(a) and 15d-14(a) of the Securities Exchange Act of 1934, as amended.</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700" w:type="dxa"/>
            <w:vAlign w:val="bottom"/>
          </w:tcPr>
          <w:p>
            <w:pPr>
              <w:ind w:left="380"/>
              <w:spacing w:after="0"/>
              <w:rPr>
                <w:sz w:val="20"/>
                <w:szCs w:val="20"/>
                <w:color w:val="auto"/>
              </w:rPr>
            </w:pPr>
            <w:r>
              <w:rPr>
                <w:rFonts w:ascii="Arial" w:cs="Arial" w:eastAsia="Arial" w:hAnsi="Arial"/>
                <w:sz w:val="18"/>
                <w:szCs w:val="18"/>
                <w:color w:val="auto"/>
                <w:w w:val="93"/>
              </w:rPr>
              <w:t>Certification of the Chief Financial Officer pursuant to Rules 13a-14(a) and 15d-14(a) of the Securities Exchange Act of 1934, as amended.</w:t>
            </w:r>
          </w:p>
        </w:tc>
      </w:tr>
    </w:tbl>
    <w:p>
      <w:pPr>
        <w:spacing w:after="0" w:line="94" w:lineRule="exact"/>
        <w:rPr>
          <w:sz w:val="20"/>
          <w:szCs w:val="20"/>
          <w:color w:val="auto"/>
        </w:rPr>
      </w:pPr>
    </w:p>
    <w:p>
      <w:pPr>
        <w:ind w:left="1080" w:hanging="1072"/>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38" w:lineRule="exact"/>
        <w:rPr>
          <w:sz w:val="20"/>
          <w:szCs w:val="20"/>
          <w:color w:val="auto"/>
        </w:rPr>
      </w:pPr>
    </w:p>
    <w:p>
      <w:pPr>
        <w:ind w:right="5860" w:firstLine="8"/>
        <w:spacing w:after="0" w:line="446" w:lineRule="auto"/>
        <w:tabs>
          <w:tab w:leader="none" w:pos="10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 Indicates management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220"/>
          </w:cols>
          <w:pgMar w:left="240" w:top="459"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Dated: August 10,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MANNKIND CORPORATION</w:t>
      </w:r>
    </w:p>
    <w:p>
      <w:pPr>
        <w:spacing w:after="0" w:line="200" w:lineRule="exact"/>
        <w:rPr>
          <w:sz w:val="20"/>
          <w:szCs w:val="20"/>
          <w:color w:val="auto"/>
        </w:rPr>
      </w:pPr>
    </w:p>
    <w:p>
      <w:pPr>
        <w:sectPr>
          <w:pgSz w:w="11900" w:h="16838" w:orient="portrait"/>
          <w:cols w:equalWidth="0" w:num="2">
            <w:col w:w="5120" w:space="720"/>
            <w:col w:w="5380"/>
          </w:cols>
          <w:pgMar w:left="240" w:top="459" w:right="439" w:bottom="1440" w:gutter="0" w:footer="0" w:header="0"/>
          <w:type w:val="continuous"/>
        </w:sectPr>
      </w:pPr>
    </w:p>
    <w:p>
      <w:pPr>
        <w:spacing w:after="0" w:line="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 M</w:t>
      </w:r>
      <w:r>
        <w:rPr>
          <w:rFonts w:ascii="Arial" w:cs="Arial" w:eastAsia="Arial" w:hAnsi="Arial"/>
          <w:sz w:val="13"/>
          <w:szCs w:val="13"/>
          <w:color w:val="auto"/>
        </w:rPr>
        <w:t>ATTHEW</w:t>
      </w:r>
      <w:r>
        <w:rPr>
          <w:rFonts w:ascii="Arial" w:cs="Arial" w:eastAsia="Arial" w:hAnsi="Arial"/>
          <w:sz w:val="16"/>
          <w:szCs w:val="16"/>
          <w:color w:val="auto"/>
        </w:rPr>
        <w:t xml:space="preserve"> J. P</w:t>
      </w:r>
      <w:r>
        <w:rPr>
          <w:rFonts w:ascii="Arial" w:cs="Arial" w:eastAsia="Arial" w:hAnsi="Arial"/>
          <w:sz w:val="13"/>
          <w:szCs w:val="13"/>
          <w:color w:val="auto"/>
        </w:rPr>
        <w:t>FEFFER</w:t>
      </w:r>
    </w:p>
    <w:p>
      <w:pPr>
        <w:spacing w:after="0" w:line="46" w:lineRule="exact"/>
        <w:rPr>
          <w:sz w:val="20"/>
          <w:szCs w:val="20"/>
          <w:color w:val="auto"/>
        </w:rPr>
      </w:pPr>
    </w:p>
    <w:p>
      <w:pPr>
        <w:sectPr>
          <w:pgSz w:w="11900" w:h="16838" w:orient="portrait"/>
          <w:cols w:equalWidth="0" w:num="2">
            <w:col w:w="7220" w:space="720"/>
            <w:col w:w="3280"/>
          </w:cols>
          <w:pgMar w:left="240" w:top="459" w:right="439" w:bottom="1440" w:gutter="0" w:footer="0" w:header="0"/>
          <w:type w:val="continuous"/>
        </w:sectPr>
      </w:pPr>
    </w:p>
    <w:p>
      <w:pPr>
        <w:jc w:val="center"/>
        <w:ind w:left="6280"/>
        <w:spacing w:after="0"/>
        <w:rPr>
          <w:sz w:val="20"/>
          <w:szCs w:val="20"/>
          <w:color w:val="auto"/>
        </w:rPr>
      </w:pPr>
      <w:r>
        <w:rPr>
          <w:rFonts w:ascii="Arial" w:cs="Arial" w:eastAsia="Arial" w:hAnsi="Arial"/>
          <w:sz w:val="18"/>
          <w:szCs w:val="18"/>
          <w:b w:val="1"/>
          <w:bCs w:val="1"/>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5"/>
          <w:szCs w:val="15"/>
          <w:b w:val="1"/>
          <w:bCs w:val="1"/>
          <w:i w:val="1"/>
          <w:iCs w:val="1"/>
          <w:color w:val="auto"/>
        </w:rPr>
        <w:t>Corporate Vice President and Chief Financial Officer</w:t>
      </w:r>
    </w:p>
    <w:p>
      <w:pPr>
        <w:spacing w:after="0" w:line="44"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20"/>
          </w:cols>
          <w:pgMar w:left="240" w:top="459" w:right="4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4.18</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796290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813435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MANNKIND CORPORATION</w:t>
      </w:r>
    </w:p>
    <w:p>
      <w:pPr>
        <w:spacing w:after="0" w:line="200" w:lineRule="exact"/>
        <w:rPr>
          <w:sz w:val="20"/>
          <w:szCs w:val="20"/>
          <w:color w:val="auto"/>
        </w:rPr>
      </w:pPr>
    </w:p>
    <w:p>
      <w:pPr>
        <w:spacing w:after="0" w:line="22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WELLS FARGO BANK, NATIONAL ASSOCIATION</w:t>
      </w:r>
    </w:p>
    <w:p>
      <w:pPr>
        <w:spacing w:after="0" w:line="200" w:lineRule="exact"/>
        <w:rPr>
          <w:sz w:val="20"/>
          <w:szCs w:val="20"/>
          <w:color w:val="auto"/>
        </w:rPr>
      </w:pPr>
    </w:p>
    <w:p>
      <w:pPr>
        <w:spacing w:after="0" w:line="22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INDENTURE</w:t>
      </w:r>
    </w:p>
    <w:p>
      <w:pPr>
        <w:spacing w:after="0" w:line="200" w:lineRule="exact"/>
        <w:rPr>
          <w:sz w:val="20"/>
          <w:szCs w:val="20"/>
          <w:color w:val="auto"/>
        </w:rPr>
      </w:pPr>
    </w:p>
    <w:p>
      <w:pPr>
        <w:spacing w:after="0" w:line="222"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Dated as of August 10, 2015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5.75% Convertible Senior Subordinated Exchange Notes due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333375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350520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81"/>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300" w:type="dxa"/>
            <w:vAlign w:val="bottom"/>
            <w:gridSpan w:val="14"/>
          </w:tcPr>
          <w:p>
            <w:pPr>
              <w:ind w:left="40"/>
              <w:spacing w:after="0"/>
              <w:rPr>
                <w:sz w:val="20"/>
                <w:szCs w:val="20"/>
                <w:color w:val="auto"/>
              </w:rPr>
            </w:pPr>
            <w:r>
              <w:rPr>
                <w:rFonts w:ascii="Arial" w:cs="Arial" w:eastAsia="Arial" w:hAnsi="Arial"/>
                <w:sz w:val="22"/>
                <w:szCs w:val="22"/>
                <w:b w:val="1"/>
                <w:bCs w:val="1"/>
                <w:color w:val="auto"/>
              </w:rPr>
              <w:t>TABLE OF CONTENTS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22"/>
                <w:szCs w:val="22"/>
                <w:color w:val="auto"/>
                <w:w w:val="87"/>
              </w:rPr>
              <w:t>P</w:t>
            </w:r>
            <w:r>
              <w:rPr>
                <w:rFonts w:ascii="Arial" w:cs="Arial" w:eastAsia="Arial" w:hAnsi="Arial"/>
                <w:sz w:val="18"/>
                <w:szCs w:val="18"/>
                <w:color w:val="auto"/>
                <w:w w:val="87"/>
              </w:rPr>
              <w:t>AGE</w:t>
            </w:r>
          </w:p>
        </w:tc>
        <w:tc>
          <w:tcPr>
            <w:tcW w:w="0" w:type="dxa"/>
            <w:vAlign w:val="bottom"/>
          </w:tcPr>
          <w:p>
            <w:pPr>
              <w:spacing w:after="0"/>
              <w:rPr>
                <w:sz w:val="1"/>
                <w:szCs w:val="1"/>
                <w:color w:val="auto"/>
              </w:rPr>
            </w:pPr>
          </w:p>
        </w:tc>
      </w:tr>
      <w:tr>
        <w:trPr>
          <w:trHeight w:val="525"/>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40" w:type="dxa"/>
            <w:vAlign w:val="bottom"/>
            <w:gridSpan w:val="12"/>
          </w:tcPr>
          <w:p>
            <w:pPr>
              <w:jc w:val="center"/>
              <w:ind w:right="5100"/>
              <w:spacing w:after="0"/>
              <w:rPr>
                <w:sz w:val="20"/>
                <w:szCs w:val="20"/>
                <w:color w:val="auto"/>
              </w:rPr>
            </w:pPr>
            <w:r>
              <w:rPr>
                <w:rFonts w:ascii="Arial" w:cs="Arial" w:eastAsia="Arial" w:hAnsi="Arial"/>
                <w:sz w:val="22"/>
                <w:szCs w:val="22"/>
                <w:color w:val="auto"/>
                <w:w w:val="93"/>
              </w:rPr>
              <w:t>ARTICLE 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60" w:type="dxa"/>
            <w:vAlign w:val="bottom"/>
            <w:gridSpan w:val="20"/>
          </w:tcPr>
          <w:p>
            <w:pPr>
              <w:jc w:val="center"/>
              <w:ind w:right="4200"/>
              <w:spacing w:after="0" w:line="223" w:lineRule="exact"/>
              <w:rPr>
                <w:sz w:val="20"/>
                <w:szCs w:val="20"/>
                <w:color w:val="auto"/>
              </w:rPr>
            </w:pPr>
            <w:r>
              <w:rPr>
                <w:rFonts w:ascii="Arial" w:cs="Arial" w:eastAsia="Arial" w:hAnsi="Arial"/>
                <w:sz w:val="22"/>
                <w:szCs w:val="22"/>
                <w:color w:val="auto"/>
                <w:w w:val="95"/>
              </w:rPr>
              <w:t>D</w:t>
            </w:r>
            <w:r>
              <w:rPr>
                <w:rFonts w:ascii="Arial" w:cs="Arial" w:eastAsia="Arial" w:hAnsi="Arial"/>
                <w:sz w:val="18"/>
                <w:szCs w:val="18"/>
                <w:color w:val="auto"/>
                <w:w w:val="95"/>
              </w:rPr>
              <w:t>EFINITIONS</w:t>
            </w:r>
            <w:r>
              <w:rPr>
                <w:rFonts w:ascii="Arial" w:cs="Arial" w:eastAsia="Arial" w:hAnsi="Arial"/>
                <w:sz w:val="22"/>
                <w:szCs w:val="22"/>
                <w:color w:val="auto"/>
                <w:w w:val="95"/>
              </w:rPr>
              <w:t>; I</w:t>
            </w:r>
            <w:r>
              <w:rPr>
                <w:rFonts w:ascii="Arial" w:cs="Arial" w:eastAsia="Arial" w:hAnsi="Arial"/>
                <w:sz w:val="18"/>
                <w:szCs w:val="18"/>
                <w:color w:val="auto"/>
                <w:w w:val="95"/>
              </w:rPr>
              <w:t>NTERPRETATIONS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2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2"/>
              </w:rPr>
              <w:t>Section 1.01</w:t>
            </w:r>
            <w:r>
              <w:rPr>
                <w:rFonts w:ascii="Arial" w:cs="Arial" w:eastAsia="Arial" w:hAnsi="Arial"/>
                <w:sz w:val="22"/>
                <w:szCs w:val="22"/>
                <w:i w:val="1"/>
                <w:iCs w:val="1"/>
                <w:color w:val="auto"/>
                <w:w w:val="92"/>
              </w:rPr>
              <w:t>. Definitions</w:t>
            </w:r>
          </w:p>
        </w:tc>
        <w:tc>
          <w:tcPr>
            <w:tcW w:w="1540" w:type="dxa"/>
            <w:vAlign w:val="bottom"/>
            <w:gridSpan w:val="11"/>
          </w:tcPr>
          <w:p>
            <w:pPr>
              <w:spacing w:after="0"/>
              <w:rPr>
                <w:sz w:val="24"/>
                <w:szCs w:val="24"/>
                <w:color w:val="auto"/>
              </w:rPr>
            </w:pPr>
          </w:p>
        </w:tc>
        <w:tc>
          <w:tcPr>
            <w:tcW w:w="2860" w:type="dxa"/>
            <w:vAlign w:val="bottom"/>
            <w:tcBorders>
              <w:top w:val="single" w:sz="8" w:color="auto"/>
            </w:tcBorders>
            <w:gridSpan w:val="16"/>
          </w:tcPr>
          <w:p>
            <w:pPr>
              <w:spacing w:after="0"/>
              <w:rPr>
                <w:sz w:val="24"/>
                <w:szCs w:val="24"/>
                <w:color w:val="auto"/>
              </w:rPr>
            </w:pPr>
          </w:p>
        </w:tc>
        <w:tc>
          <w:tcPr>
            <w:tcW w:w="420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23"/>
        </w:trPr>
        <w:tc>
          <w:tcPr>
            <w:tcW w:w="1082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References to Interest</w:t>
            </w: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439"/>
        </w:trPr>
        <w:tc>
          <w:tcPr>
            <w:tcW w:w="6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40" w:type="dxa"/>
            <w:vAlign w:val="bottom"/>
            <w:gridSpan w:val="12"/>
          </w:tcPr>
          <w:p>
            <w:pPr>
              <w:jc w:val="center"/>
              <w:ind w:right="5100"/>
              <w:spacing w:after="0"/>
              <w:rPr>
                <w:sz w:val="20"/>
                <w:szCs w:val="20"/>
                <w:color w:val="auto"/>
              </w:rPr>
            </w:pPr>
            <w:r>
              <w:rPr>
                <w:rFonts w:ascii="Arial" w:cs="Arial" w:eastAsia="Arial" w:hAnsi="Arial"/>
                <w:sz w:val="22"/>
                <w:szCs w:val="22"/>
                <w:color w:val="auto"/>
                <w:w w:val="93"/>
              </w:rPr>
              <w:t>ARTICLE 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60" w:type="dxa"/>
            <w:vAlign w:val="bottom"/>
            <w:tcBorders>
              <w:bottom w:val="single" w:sz="8" w:color="auto"/>
            </w:tcBorders>
            <w:gridSpan w:val="31"/>
          </w:tcPr>
          <w:p>
            <w:pPr>
              <w:jc w:val="center"/>
              <w:spacing w:after="0" w:line="223" w:lineRule="exact"/>
              <w:rPr>
                <w:sz w:val="20"/>
                <w:szCs w:val="20"/>
                <w:color w:val="auto"/>
              </w:rPr>
            </w:pPr>
            <w:r>
              <w:rPr>
                <w:rFonts w:ascii="Arial" w:cs="Arial" w:eastAsia="Arial" w:hAnsi="Arial"/>
                <w:sz w:val="22"/>
                <w:szCs w:val="22"/>
                <w:color w:val="auto"/>
                <w:w w:val="95"/>
              </w:rPr>
              <w:t>I</w:t>
            </w:r>
            <w:r>
              <w:rPr>
                <w:rFonts w:ascii="Arial" w:cs="Arial" w:eastAsia="Arial" w:hAnsi="Arial"/>
                <w:sz w:val="18"/>
                <w:szCs w:val="18"/>
                <w:color w:val="auto"/>
                <w:w w:val="95"/>
              </w:rPr>
              <w:t>SSUE</w:t>
            </w:r>
            <w:r>
              <w:rPr>
                <w:rFonts w:ascii="Arial" w:cs="Arial" w:eastAsia="Arial" w:hAnsi="Arial"/>
                <w:sz w:val="22"/>
                <w:szCs w:val="22"/>
                <w:color w:val="auto"/>
                <w:w w:val="95"/>
              </w:rPr>
              <w:t>, D</w:t>
            </w:r>
            <w:r>
              <w:rPr>
                <w:rFonts w:ascii="Arial" w:cs="Arial" w:eastAsia="Arial" w:hAnsi="Arial"/>
                <w:sz w:val="18"/>
                <w:szCs w:val="18"/>
                <w:color w:val="auto"/>
                <w:w w:val="95"/>
              </w:rPr>
              <w:t>ESCRIPTION</w:t>
            </w:r>
            <w:r>
              <w:rPr>
                <w:rFonts w:ascii="Arial" w:cs="Arial" w:eastAsia="Arial" w:hAnsi="Arial"/>
                <w:sz w:val="22"/>
                <w:szCs w:val="22"/>
                <w:color w:val="auto"/>
                <w:w w:val="95"/>
              </w:rPr>
              <w:t>, E</w:t>
            </w:r>
            <w:r>
              <w:rPr>
                <w:rFonts w:ascii="Arial" w:cs="Arial" w:eastAsia="Arial" w:hAnsi="Arial"/>
                <w:sz w:val="18"/>
                <w:szCs w:val="18"/>
                <w:color w:val="auto"/>
                <w:w w:val="95"/>
              </w:rPr>
              <w:t>XECUTION</w:t>
            </w:r>
            <w:r>
              <w:rPr>
                <w:rFonts w:ascii="Arial" w:cs="Arial" w:eastAsia="Arial" w:hAnsi="Arial"/>
                <w:sz w:val="22"/>
                <w:szCs w:val="22"/>
                <w:color w:val="auto"/>
                <w:w w:val="95"/>
              </w:rPr>
              <w:t>, R</w:t>
            </w:r>
            <w:r>
              <w:rPr>
                <w:rFonts w:ascii="Arial" w:cs="Arial" w:eastAsia="Arial" w:hAnsi="Arial"/>
                <w:sz w:val="18"/>
                <w:szCs w:val="18"/>
                <w:color w:val="auto"/>
                <w:w w:val="95"/>
              </w:rPr>
              <w:t>EGISTRATION AND</w:t>
            </w:r>
            <w:r>
              <w:rPr>
                <w:rFonts w:ascii="Arial" w:cs="Arial" w:eastAsia="Arial" w:hAnsi="Arial"/>
                <w:sz w:val="22"/>
                <w:szCs w:val="22"/>
                <w:color w:val="auto"/>
                <w:w w:val="95"/>
              </w:rPr>
              <w:t xml:space="preserve"> E</w:t>
            </w:r>
            <w:r>
              <w:rPr>
                <w:rFonts w:ascii="Arial" w:cs="Arial" w:eastAsia="Arial" w:hAnsi="Arial"/>
                <w:sz w:val="18"/>
                <w:szCs w:val="18"/>
                <w:color w:val="auto"/>
                <w:w w:val="95"/>
              </w:rPr>
              <w:t>XCHANGE OF</w:t>
            </w:r>
            <w:r>
              <w:rPr>
                <w:rFonts w:ascii="Arial" w:cs="Arial" w:eastAsia="Arial" w:hAnsi="Arial"/>
                <w:sz w:val="22"/>
                <w:szCs w:val="22"/>
                <w:color w:val="auto"/>
                <w:w w:val="95"/>
              </w:rPr>
              <w:t xml:space="preserve"> N</w:t>
            </w:r>
            <w:r>
              <w:rPr>
                <w:rFonts w:ascii="Arial" w:cs="Arial" w:eastAsia="Arial" w:hAnsi="Arial"/>
                <w:sz w:val="18"/>
                <w:szCs w:val="18"/>
                <w:color w:val="auto"/>
                <w:w w:val="95"/>
              </w:rPr>
              <w:t>OTES</w:t>
            </w:r>
          </w:p>
        </w:tc>
        <w:tc>
          <w:tcPr>
            <w:tcW w:w="2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42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90"/>
              </w:rPr>
              <w:t xml:space="preserve">Section 2.01. </w:t>
            </w:r>
            <w:r>
              <w:rPr>
                <w:rFonts w:ascii="Arial" w:cs="Arial" w:eastAsia="Arial" w:hAnsi="Arial"/>
                <w:sz w:val="22"/>
                <w:szCs w:val="22"/>
                <w:i w:val="1"/>
                <w:iCs w:val="1"/>
                <w:color w:val="auto"/>
                <w:w w:val="90"/>
              </w:rPr>
              <w:t>Designation and Amount</w:t>
            </w:r>
          </w:p>
        </w:tc>
        <w:tc>
          <w:tcPr>
            <w:tcW w:w="7400" w:type="dxa"/>
            <w:vAlign w:val="bottom"/>
            <w:gridSpan w:val="2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auto"/>
            </w:tcBorders>
            <w:gridSpan w:val="4"/>
          </w:tcPr>
          <w:p>
            <w:pPr>
              <w:spacing w:after="0" w:line="223" w:lineRule="exact"/>
              <w:rPr>
                <w:sz w:val="20"/>
                <w:szCs w:val="20"/>
                <w:color w:val="auto"/>
              </w:rPr>
            </w:pPr>
            <w:r>
              <w:rPr>
                <w:rFonts w:ascii="Arial" w:cs="Arial" w:eastAsia="Arial" w:hAnsi="Arial"/>
                <w:sz w:val="22"/>
                <w:szCs w:val="22"/>
                <w:color w:val="auto"/>
                <w:w w:val="90"/>
              </w:rPr>
              <w:t xml:space="preserve">Section 2.02. </w:t>
            </w:r>
            <w:r>
              <w:rPr>
                <w:rFonts w:ascii="Arial" w:cs="Arial" w:eastAsia="Arial" w:hAnsi="Arial"/>
                <w:sz w:val="22"/>
                <w:szCs w:val="22"/>
                <w:i w:val="1"/>
                <w:iCs w:val="1"/>
                <w:color w:val="auto"/>
                <w:w w:val="90"/>
              </w:rPr>
              <w:t>Form of Notes</w:t>
            </w:r>
          </w:p>
        </w:tc>
        <w:tc>
          <w:tcPr>
            <w:tcW w:w="8320" w:type="dxa"/>
            <w:vAlign w:val="bottom"/>
            <w:gridSpan w:val="30"/>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auto"/>
            </w:tcBorders>
            <w:gridSpan w:val="27"/>
          </w:tcPr>
          <w:p>
            <w:pPr>
              <w:spacing w:after="0" w:line="223" w:lineRule="exact"/>
              <w:rPr>
                <w:sz w:val="20"/>
                <w:szCs w:val="20"/>
                <w:color w:val="auto"/>
              </w:rPr>
            </w:pPr>
            <w:r>
              <w:rPr>
                <w:rFonts w:ascii="Arial" w:cs="Arial" w:eastAsia="Arial" w:hAnsi="Arial"/>
                <w:sz w:val="22"/>
                <w:szCs w:val="22"/>
                <w:color w:val="auto"/>
                <w:w w:val="89"/>
              </w:rPr>
              <w:t xml:space="preserve">Section 2.03. </w:t>
            </w:r>
            <w:r>
              <w:rPr>
                <w:rFonts w:ascii="Arial" w:cs="Arial" w:eastAsia="Arial" w:hAnsi="Arial"/>
                <w:sz w:val="22"/>
                <w:szCs w:val="22"/>
                <w:i w:val="1"/>
                <w:iCs w:val="1"/>
                <w:color w:val="auto"/>
                <w:w w:val="89"/>
              </w:rPr>
              <w:t>Date and Denomination of Notes; Payments of Interest.</w:t>
            </w:r>
          </w:p>
        </w:tc>
        <w:tc>
          <w:tcPr>
            <w:tcW w:w="4760" w:type="dxa"/>
            <w:vAlign w:val="bottom"/>
            <w:gridSpan w:val="7"/>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gridSpan w:val="24"/>
          </w:tcPr>
          <w:p>
            <w:pPr>
              <w:spacing w:after="0" w:line="223" w:lineRule="exact"/>
              <w:rPr>
                <w:sz w:val="20"/>
                <w:szCs w:val="20"/>
                <w:color w:val="auto"/>
              </w:rPr>
            </w:pPr>
            <w:r>
              <w:rPr>
                <w:rFonts w:ascii="Arial" w:cs="Arial" w:eastAsia="Arial" w:hAnsi="Arial"/>
                <w:sz w:val="22"/>
                <w:szCs w:val="22"/>
                <w:color w:val="auto"/>
                <w:w w:val="90"/>
              </w:rPr>
              <w:t xml:space="preserve">Section 2.04. </w:t>
            </w:r>
            <w:r>
              <w:rPr>
                <w:rFonts w:ascii="Arial" w:cs="Arial" w:eastAsia="Arial" w:hAnsi="Arial"/>
                <w:sz w:val="22"/>
                <w:szCs w:val="22"/>
                <w:i w:val="1"/>
                <w:iCs w:val="1"/>
                <w:color w:val="auto"/>
                <w:w w:val="90"/>
              </w:rPr>
              <w:t>Execution, Authentication and Delivery of Notes</w:t>
            </w:r>
          </w:p>
        </w:tc>
        <w:tc>
          <w:tcPr>
            <w:tcW w:w="5380" w:type="dxa"/>
            <w:vAlign w:val="bottom"/>
            <w:gridSpan w:val="10"/>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gridSpan w:val="28"/>
          </w:tcPr>
          <w:p>
            <w:pPr>
              <w:spacing w:after="0" w:line="223" w:lineRule="exact"/>
              <w:rPr>
                <w:sz w:val="20"/>
                <w:szCs w:val="20"/>
                <w:color w:val="auto"/>
              </w:rPr>
            </w:pPr>
            <w:r>
              <w:rPr>
                <w:rFonts w:ascii="Arial" w:cs="Arial" w:eastAsia="Arial" w:hAnsi="Arial"/>
                <w:sz w:val="22"/>
                <w:szCs w:val="22"/>
                <w:color w:val="auto"/>
                <w:w w:val="89"/>
              </w:rPr>
              <w:t xml:space="preserve">Section 2.05. </w:t>
            </w:r>
            <w:r>
              <w:rPr>
                <w:rFonts w:ascii="Arial" w:cs="Arial" w:eastAsia="Arial" w:hAnsi="Arial"/>
                <w:sz w:val="22"/>
                <w:szCs w:val="22"/>
                <w:i w:val="1"/>
                <w:iCs w:val="1"/>
                <w:color w:val="auto"/>
                <w:w w:val="89"/>
              </w:rPr>
              <w:t>Exchange and Registration of Transfer of Notes; Restrictions</w:t>
            </w:r>
          </w:p>
        </w:tc>
        <w:tc>
          <w:tcPr>
            <w:tcW w:w="4280" w:type="dxa"/>
            <w:vAlign w:val="bottom"/>
            <w:gridSpan w:val="6"/>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23"/>
        </w:trPr>
        <w:tc>
          <w:tcPr>
            <w:tcW w:w="10820" w:type="dxa"/>
            <w:vAlign w:val="bottom"/>
            <w:gridSpan w:val="34"/>
          </w:tcPr>
          <w:p>
            <w:pPr>
              <w:ind w:left="660"/>
              <w:spacing w:after="0" w:line="223" w:lineRule="exact"/>
              <w:rPr>
                <w:sz w:val="20"/>
                <w:szCs w:val="20"/>
                <w:color w:val="auto"/>
              </w:rPr>
            </w:pPr>
            <w:r>
              <w:rPr>
                <w:rFonts w:ascii="Arial" w:cs="Arial" w:eastAsia="Arial" w:hAnsi="Arial"/>
                <w:sz w:val="22"/>
                <w:szCs w:val="22"/>
                <w:i w:val="1"/>
                <w:iCs w:val="1"/>
                <w:color w:val="auto"/>
              </w:rPr>
              <w:t>on Transfer; Depositary; Automatic Exchange</w:t>
            </w: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4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5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line="20" w:lineRule="exact"/>
              <w:rPr>
                <w:sz w:val="1"/>
                <w:szCs w:val="1"/>
                <w:color w:val="auto"/>
              </w:rPr>
            </w:pPr>
          </w:p>
        </w:tc>
      </w:tr>
      <w:tr>
        <w:trPr>
          <w:trHeight w:val="223"/>
        </w:trPr>
        <w:tc>
          <w:tcPr>
            <w:tcW w:w="1082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Mutilated, Destroyed, Lost or Stolen Notes</w:t>
            </w: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auto"/>
              <w:bottom w:val="single" w:sz="8" w:color="auto"/>
            </w:tcBorders>
            <w:gridSpan w:val="5"/>
          </w:tcPr>
          <w:p>
            <w:pPr>
              <w:spacing w:after="0" w:line="223" w:lineRule="exact"/>
              <w:rPr>
                <w:sz w:val="20"/>
                <w:szCs w:val="20"/>
                <w:color w:val="auto"/>
              </w:rPr>
            </w:pPr>
            <w:r>
              <w:rPr>
                <w:rFonts w:ascii="Arial" w:cs="Arial" w:eastAsia="Arial" w:hAnsi="Arial"/>
                <w:sz w:val="22"/>
                <w:szCs w:val="22"/>
                <w:color w:val="auto"/>
                <w:w w:val="89"/>
              </w:rPr>
              <w:t xml:space="preserve">Section 2.07. </w:t>
            </w:r>
            <w:r>
              <w:rPr>
                <w:rFonts w:ascii="Arial" w:cs="Arial" w:eastAsia="Arial" w:hAnsi="Arial"/>
                <w:sz w:val="22"/>
                <w:szCs w:val="22"/>
                <w:i w:val="1"/>
                <w:iCs w:val="1"/>
                <w:color w:val="auto"/>
                <w:w w:val="89"/>
              </w:rPr>
              <w:t>Temporary Notes</w:t>
            </w:r>
          </w:p>
        </w:tc>
        <w:tc>
          <w:tcPr>
            <w:tcW w:w="2200" w:type="dxa"/>
            <w:vAlign w:val="bottom"/>
            <w:tcBorders>
              <w:top w:val="single" w:sz="8" w:color="auto"/>
            </w:tcBorders>
            <w:gridSpan w:val="18"/>
          </w:tcPr>
          <w:p>
            <w:pPr>
              <w:spacing w:after="0"/>
              <w:rPr>
                <w:sz w:val="19"/>
                <w:szCs w:val="19"/>
                <w:color w:val="auto"/>
              </w:rPr>
            </w:pPr>
          </w:p>
        </w:tc>
        <w:tc>
          <w:tcPr>
            <w:tcW w:w="5880" w:type="dxa"/>
            <w:vAlign w:val="bottom"/>
            <w:gridSpan w:val="11"/>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gridSpan w:val="17"/>
          </w:tcPr>
          <w:p>
            <w:pPr>
              <w:spacing w:after="0" w:line="223" w:lineRule="exact"/>
              <w:rPr>
                <w:sz w:val="20"/>
                <w:szCs w:val="20"/>
                <w:color w:val="auto"/>
              </w:rPr>
            </w:pPr>
            <w:r>
              <w:rPr>
                <w:rFonts w:ascii="Arial" w:cs="Arial" w:eastAsia="Arial" w:hAnsi="Arial"/>
                <w:sz w:val="22"/>
                <w:szCs w:val="22"/>
                <w:color w:val="auto"/>
                <w:w w:val="90"/>
              </w:rPr>
              <w:t xml:space="preserve">Section 2.08. </w:t>
            </w:r>
            <w:r>
              <w:rPr>
                <w:rFonts w:ascii="Arial" w:cs="Arial" w:eastAsia="Arial" w:hAnsi="Arial"/>
                <w:sz w:val="22"/>
                <w:szCs w:val="22"/>
                <w:i w:val="1"/>
                <w:iCs w:val="1"/>
                <w:color w:val="auto"/>
                <w:w w:val="90"/>
              </w:rPr>
              <w:t>Cancellation of Notes Paid, Etc</w:t>
            </w:r>
          </w:p>
        </w:tc>
        <w:tc>
          <w:tcPr>
            <w:tcW w:w="6820" w:type="dxa"/>
            <w:vAlign w:val="bottom"/>
            <w:gridSpan w:val="17"/>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23"/>
        </w:trPr>
        <w:tc>
          <w:tcPr>
            <w:tcW w:w="1082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CUSIP and ISIN Numbers</w:t>
            </w: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0"/>
        </w:trPr>
        <w:tc>
          <w:tcPr>
            <w:tcW w:w="2500" w:type="dxa"/>
            <w:vAlign w:val="bottom"/>
            <w:gridSpan w:val="4"/>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5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line="20" w:lineRule="exact"/>
              <w:rPr>
                <w:sz w:val="1"/>
                <w:szCs w:val="1"/>
                <w:color w:val="auto"/>
              </w:rPr>
            </w:pPr>
          </w:p>
        </w:tc>
      </w:tr>
      <w:tr>
        <w:trPr>
          <w:trHeight w:val="223"/>
        </w:trPr>
        <w:tc>
          <w:tcPr>
            <w:tcW w:w="1082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Additional Notes; Purchases</w:t>
            </w: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40" w:type="dxa"/>
            <w:vAlign w:val="bottom"/>
            <w:gridSpan w:val="12"/>
          </w:tcPr>
          <w:p>
            <w:pPr>
              <w:jc w:val="center"/>
              <w:ind w:right="5100"/>
              <w:spacing w:after="0"/>
              <w:rPr>
                <w:sz w:val="20"/>
                <w:szCs w:val="20"/>
                <w:color w:val="auto"/>
              </w:rPr>
            </w:pPr>
            <w:r>
              <w:rPr>
                <w:rFonts w:ascii="Arial" w:cs="Arial" w:eastAsia="Arial" w:hAnsi="Arial"/>
                <w:sz w:val="22"/>
                <w:szCs w:val="22"/>
                <w:color w:val="auto"/>
                <w:w w:val="93"/>
              </w:rPr>
              <w:t>ARTICLE 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40" w:type="dxa"/>
            <w:vAlign w:val="bottom"/>
            <w:gridSpan w:val="19"/>
          </w:tcPr>
          <w:p>
            <w:pPr>
              <w:jc w:val="center"/>
              <w:ind w:right="4220"/>
              <w:spacing w:after="0" w:line="223" w:lineRule="exact"/>
              <w:rPr>
                <w:sz w:val="20"/>
                <w:szCs w:val="20"/>
                <w:color w:val="auto"/>
              </w:rPr>
            </w:pPr>
            <w:r>
              <w:rPr>
                <w:rFonts w:ascii="Arial" w:cs="Arial" w:eastAsia="Arial" w:hAnsi="Arial"/>
                <w:sz w:val="22"/>
                <w:szCs w:val="22"/>
                <w:color w:val="auto"/>
                <w:w w:val="96"/>
              </w:rPr>
              <w:t>S</w:t>
            </w:r>
            <w:r>
              <w:rPr>
                <w:rFonts w:ascii="Arial" w:cs="Arial" w:eastAsia="Arial" w:hAnsi="Arial"/>
                <w:sz w:val="18"/>
                <w:szCs w:val="18"/>
                <w:color w:val="auto"/>
                <w:w w:val="96"/>
              </w:rPr>
              <w:t>ATISFACTION AND</w:t>
            </w:r>
            <w:r>
              <w:rPr>
                <w:rFonts w:ascii="Arial" w:cs="Arial" w:eastAsia="Arial" w:hAnsi="Arial"/>
                <w:sz w:val="22"/>
                <w:szCs w:val="22"/>
                <w:color w:val="auto"/>
                <w:w w:val="96"/>
              </w:rPr>
              <w:t xml:space="preserve"> D</w:t>
            </w:r>
            <w:r>
              <w:rPr>
                <w:rFonts w:ascii="Arial" w:cs="Arial" w:eastAsia="Arial" w:hAnsi="Arial"/>
                <w:sz w:val="18"/>
                <w:szCs w:val="18"/>
                <w:color w:val="auto"/>
                <w:w w:val="96"/>
              </w:rPr>
              <w:t>ISCHARGE</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60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90"/>
              </w:rPr>
              <w:t xml:space="preserve">Section 3.01. </w:t>
            </w:r>
            <w:r>
              <w:rPr>
                <w:rFonts w:ascii="Arial" w:cs="Arial" w:eastAsia="Arial" w:hAnsi="Arial"/>
                <w:sz w:val="22"/>
                <w:szCs w:val="22"/>
                <w:i w:val="1"/>
                <w:iCs w:val="1"/>
                <w:color w:val="auto"/>
                <w:w w:val="90"/>
              </w:rPr>
              <w:t>Satisfaction and Discharge</w:t>
            </w:r>
          </w:p>
        </w:tc>
        <w:tc>
          <w:tcPr>
            <w:tcW w:w="180" w:type="dxa"/>
            <w:vAlign w:val="bottom"/>
            <w:gridSpan w:val="3"/>
          </w:tcPr>
          <w:p>
            <w:pPr>
              <w:spacing w:after="0"/>
              <w:rPr>
                <w:sz w:val="24"/>
                <w:szCs w:val="24"/>
                <w:color w:val="auto"/>
              </w:rPr>
            </w:pPr>
          </w:p>
        </w:tc>
        <w:tc>
          <w:tcPr>
            <w:tcW w:w="2820" w:type="dxa"/>
            <w:vAlign w:val="bottom"/>
            <w:tcBorders>
              <w:top w:val="single" w:sz="8" w:color="auto"/>
            </w:tcBorders>
            <w:gridSpan w:val="14"/>
          </w:tcPr>
          <w:p>
            <w:pPr>
              <w:spacing w:after="0"/>
              <w:rPr>
                <w:sz w:val="24"/>
                <w:szCs w:val="24"/>
                <w:color w:val="auto"/>
              </w:rPr>
            </w:pPr>
          </w:p>
        </w:tc>
        <w:tc>
          <w:tcPr>
            <w:tcW w:w="42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23"/>
        </w:trPr>
        <w:tc>
          <w:tcPr>
            <w:tcW w:w="1082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Deposited Monies To Be Held In Trust</w:t>
            </w: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23"/>
        </w:trPr>
        <w:tc>
          <w:tcPr>
            <w:tcW w:w="4560" w:type="dxa"/>
            <w:vAlign w:val="bottom"/>
            <w:tcBorders>
              <w:top w:val="single" w:sz="8" w:color="auto"/>
            </w:tcBorders>
            <w:gridSpan w:val="21"/>
          </w:tcPr>
          <w:p>
            <w:pPr>
              <w:spacing w:after="0" w:line="223" w:lineRule="exact"/>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Return Of Unclaimed Monies</w:t>
            </w:r>
          </w:p>
        </w:tc>
        <w:tc>
          <w:tcPr>
            <w:tcW w:w="6260" w:type="dxa"/>
            <w:vAlign w:val="bottom"/>
            <w:gridSpan w:val="13"/>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439"/>
        </w:trPr>
        <w:tc>
          <w:tcPr>
            <w:tcW w:w="6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40" w:type="dxa"/>
            <w:vAlign w:val="bottom"/>
            <w:gridSpan w:val="12"/>
          </w:tcPr>
          <w:p>
            <w:pPr>
              <w:jc w:val="center"/>
              <w:ind w:right="5100"/>
              <w:spacing w:after="0"/>
              <w:rPr>
                <w:sz w:val="20"/>
                <w:szCs w:val="20"/>
                <w:color w:val="auto"/>
              </w:rPr>
            </w:pPr>
            <w:r>
              <w:rPr>
                <w:rFonts w:ascii="Arial" w:cs="Arial" w:eastAsia="Arial" w:hAnsi="Arial"/>
                <w:sz w:val="22"/>
                <w:szCs w:val="22"/>
                <w:color w:val="auto"/>
                <w:w w:val="93"/>
              </w:rPr>
              <w:t>ARTICLE 4</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gridSpan w:val="3"/>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tcBorders>
              <w:bottom w:val="single" w:sz="8" w:color="auto"/>
            </w:tcBorders>
            <w:gridSpan w:val="24"/>
          </w:tcPr>
          <w:p>
            <w:pPr>
              <w:jc w:val="center"/>
              <w:spacing w:after="0" w:line="223" w:lineRule="exact"/>
              <w:rPr>
                <w:sz w:val="20"/>
                <w:szCs w:val="20"/>
                <w:color w:val="auto"/>
              </w:rPr>
            </w:pPr>
            <w:r>
              <w:rPr>
                <w:rFonts w:ascii="Arial" w:cs="Arial" w:eastAsia="Arial" w:hAnsi="Arial"/>
                <w:sz w:val="22"/>
                <w:szCs w:val="22"/>
                <w:color w:val="auto"/>
                <w:w w:val="96"/>
              </w:rPr>
              <w:t>P</w:t>
            </w:r>
            <w:r>
              <w:rPr>
                <w:rFonts w:ascii="Arial" w:cs="Arial" w:eastAsia="Arial" w:hAnsi="Arial"/>
                <w:sz w:val="18"/>
                <w:szCs w:val="18"/>
                <w:color w:val="auto"/>
                <w:w w:val="96"/>
              </w:rPr>
              <w:t>ARTICULAR</w:t>
            </w:r>
            <w:r>
              <w:rPr>
                <w:rFonts w:ascii="Arial" w:cs="Arial" w:eastAsia="Arial" w:hAnsi="Arial"/>
                <w:sz w:val="22"/>
                <w:szCs w:val="22"/>
                <w:color w:val="auto"/>
                <w:w w:val="96"/>
              </w:rPr>
              <w:t xml:space="preserve"> C</w:t>
            </w:r>
            <w:r>
              <w:rPr>
                <w:rFonts w:ascii="Arial" w:cs="Arial" w:eastAsia="Arial" w:hAnsi="Arial"/>
                <w:sz w:val="18"/>
                <w:szCs w:val="18"/>
                <w:color w:val="auto"/>
                <w:w w:val="96"/>
              </w:rPr>
              <w:t>OVENANTS OF THE</w:t>
            </w:r>
            <w:r>
              <w:rPr>
                <w:rFonts w:ascii="Arial" w:cs="Arial" w:eastAsia="Arial" w:hAnsi="Arial"/>
                <w:sz w:val="22"/>
                <w:szCs w:val="22"/>
                <w:color w:val="auto"/>
                <w:w w:val="96"/>
              </w:rPr>
              <w:t xml:space="preserve"> C</w:t>
            </w:r>
            <w:r>
              <w:rPr>
                <w:rFonts w:ascii="Arial" w:cs="Arial" w:eastAsia="Arial" w:hAnsi="Arial"/>
                <w:sz w:val="18"/>
                <w:szCs w:val="18"/>
                <w:color w:val="auto"/>
                <w:w w:val="96"/>
              </w:rPr>
              <w:t>OMPANY</w:t>
            </w:r>
          </w:p>
        </w:tc>
        <w:tc>
          <w:tcPr>
            <w:tcW w:w="364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820" w:type="dxa"/>
            <w:vAlign w:val="bottom"/>
            <w:gridSpan w:val="34"/>
          </w:tcPr>
          <w:p>
            <w:pPr>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Payment of Principal and Interest</w:t>
            </w:r>
          </w:p>
        </w:tc>
        <w:tc>
          <w:tcPr>
            <w:tcW w:w="500" w:type="dxa"/>
            <w:vAlign w:val="bottom"/>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23"/>
        </w:trPr>
        <w:tc>
          <w:tcPr>
            <w:tcW w:w="3040" w:type="dxa"/>
            <w:vAlign w:val="bottom"/>
            <w:tcBorders>
              <w:top w:val="single" w:sz="8" w:color="auto"/>
              <w:bottom w:val="single" w:sz="8" w:color="auto"/>
            </w:tcBorders>
            <w:gridSpan w:val="6"/>
          </w:tcPr>
          <w:p>
            <w:pPr>
              <w:spacing w:after="0" w:line="223" w:lineRule="exact"/>
              <w:rPr>
                <w:sz w:val="20"/>
                <w:szCs w:val="20"/>
                <w:color w:val="auto"/>
              </w:rPr>
            </w:pPr>
            <w:r>
              <w:rPr>
                <w:rFonts w:ascii="Arial" w:cs="Arial" w:eastAsia="Arial" w:hAnsi="Arial"/>
                <w:sz w:val="22"/>
                <w:szCs w:val="22"/>
                <w:color w:val="auto"/>
                <w:w w:val="90"/>
              </w:rPr>
              <w:t xml:space="preserve">Section 4.02. </w:t>
            </w:r>
            <w:r>
              <w:rPr>
                <w:rFonts w:ascii="Arial" w:cs="Arial" w:eastAsia="Arial" w:hAnsi="Arial"/>
                <w:sz w:val="22"/>
                <w:szCs w:val="22"/>
                <w:i w:val="1"/>
                <w:iCs w:val="1"/>
                <w:color w:val="auto"/>
                <w:w w:val="90"/>
              </w:rPr>
              <w:t>Corporate Existence</w:t>
            </w:r>
          </w:p>
        </w:tc>
        <w:tc>
          <w:tcPr>
            <w:tcW w:w="1140" w:type="dxa"/>
            <w:vAlign w:val="bottom"/>
            <w:tcBorders>
              <w:top w:val="single" w:sz="8" w:color="auto"/>
            </w:tcBorders>
            <w:gridSpan w:val="13"/>
          </w:tcPr>
          <w:p>
            <w:pPr>
              <w:spacing w:after="0"/>
              <w:rPr>
                <w:sz w:val="19"/>
                <w:szCs w:val="19"/>
                <w:color w:val="auto"/>
              </w:rPr>
            </w:pPr>
          </w:p>
        </w:tc>
        <w:tc>
          <w:tcPr>
            <w:tcW w:w="6640" w:type="dxa"/>
            <w:vAlign w:val="bottom"/>
            <w:gridSpan w:val="15"/>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gridSpan w:val="25"/>
          </w:tcPr>
          <w:p>
            <w:pPr>
              <w:spacing w:after="0" w:line="223" w:lineRule="exact"/>
              <w:rPr>
                <w:sz w:val="20"/>
                <w:szCs w:val="20"/>
                <w:color w:val="auto"/>
              </w:rPr>
            </w:pPr>
            <w:r>
              <w:rPr>
                <w:rFonts w:ascii="Arial" w:cs="Arial" w:eastAsia="Arial" w:hAnsi="Arial"/>
                <w:sz w:val="22"/>
                <w:szCs w:val="22"/>
                <w:color w:val="auto"/>
                <w:w w:val="89"/>
              </w:rPr>
              <w:t xml:space="preserve">Section 4.03. </w:t>
            </w:r>
            <w:r>
              <w:rPr>
                <w:rFonts w:ascii="Arial" w:cs="Arial" w:eastAsia="Arial" w:hAnsi="Arial"/>
                <w:sz w:val="22"/>
                <w:szCs w:val="22"/>
                <w:i w:val="1"/>
                <w:iCs w:val="1"/>
                <w:color w:val="auto"/>
                <w:w w:val="89"/>
              </w:rPr>
              <w:t>Rule 144A Information Requirement and Reports</w:t>
            </w:r>
          </w:p>
        </w:tc>
        <w:tc>
          <w:tcPr>
            <w:tcW w:w="5320" w:type="dxa"/>
            <w:vAlign w:val="bottom"/>
            <w:gridSpan w:val="9"/>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91"/>
              </w:rPr>
              <w:t xml:space="preserve">Section 4.04. </w:t>
            </w:r>
            <w:r>
              <w:rPr>
                <w:rFonts w:ascii="Arial" w:cs="Arial" w:eastAsia="Arial" w:hAnsi="Arial"/>
                <w:sz w:val="22"/>
                <w:szCs w:val="22"/>
                <w:i w:val="1"/>
                <w:iCs w:val="1"/>
                <w:color w:val="auto"/>
                <w:w w:val="91"/>
              </w:rPr>
              <w:t>Compliance Certificate</w:t>
            </w:r>
          </w:p>
        </w:tc>
        <w:tc>
          <w:tcPr>
            <w:tcW w:w="7540" w:type="dxa"/>
            <w:vAlign w:val="bottom"/>
            <w:gridSpan w:val="25"/>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tcBorders>
            <w:gridSpan w:val="18"/>
          </w:tcPr>
          <w:p>
            <w:pPr>
              <w:spacing w:after="0" w:line="223" w:lineRule="exact"/>
              <w:rPr>
                <w:sz w:val="20"/>
                <w:szCs w:val="20"/>
                <w:color w:val="auto"/>
              </w:rPr>
            </w:pPr>
            <w:r>
              <w:rPr>
                <w:rFonts w:ascii="Arial" w:cs="Arial" w:eastAsia="Arial" w:hAnsi="Arial"/>
                <w:sz w:val="22"/>
                <w:szCs w:val="22"/>
                <w:color w:val="auto"/>
                <w:w w:val="90"/>
              </w:rPr>
              <w:t xml:space="preserve">Section 4.05. </w:t>
            </w:r>
            <w:r>
              <w:rPr>
                <w:rFonts w:ascii="Arial" w:cs="Arial" w:eastAsia="Arial" w:hAnsi="Arial"/>
                <w:sz w:val="22"/>
                <w:szCs w:val="22"/>
                <w:i w:val="1"/>
                <w:iCs w:val="1"/>
                <w:color w:val="auto"/>
                <w:w w:val="90"/>
              </w:rPr>
              <w:t>Maintenance of Office or Agency</w:t>
            </w:r>
          </w:p>
        </w:tc>
        <w:tc>
          <w:tcPr>
            <w:tcW w:w="6700" w:type="dxa"/>
            <w:vAlign w:val="bottom"/>
            <w:gridSpan w:val="16"/>
          </w:tcPr>
          <w:p>
            <w:pPr>
              <w:spacing w:after="0"/>
              <w:rPr>
                <w:sz w:val="19"/>
                <w:szCs w:val="19"/>
                <w:color w:val="auto"/>
              </w:rPr>
            </w:pP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23"/>
        </w:trPr>
        <w:tc>
          <w:tcPr>
            <w:tcW w:w="1082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i w:val="1"/>
                <w:iCs w:val="1"/>
                <w:color w:val="auto"/>
              </w:rPr>
              <w:t>Paying Agents</w:t>
            </w:r>
          </w:p>
        </w:tc>
        <w:tc>
          <w:tcPr>
            <w:tcW w:w="500" w:type="dxa"/>
            <w:vAlign w:val="bottom"/>
          </w:tcPr>
          <w:p>
            <w:pPr>
              <w:jc w:val="right"/>
              <w:spacing w:after="0" w:line="223" w:lineRule="exact"/>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0"/>
        </w:trPr>
        <w:tc>
          <w:tcPr>
            <w:tcW w:w="2500" w:type="dxa"/>
            <w:vAlign w:val="bottom"/>
            <w:gridSpan w:val="4"/>
            <w:shd w:val="clear" w:color="auto" w:fill="000000"/>
          </w:tcPr>
          <w:p>
            <w:pPr>
              <w:spacing w:after="0" w:line="20" w:lineRule="exact"/>
              <w:rPr>
                <w:sz w:val="1"/>
                <w:szCs w:val="1"/>
                <w:color w:val="auto"/>
              </w:rPr>
            </w:pPr>
          </w:p>
        </w:tc>
        <w:tc>
          <w:tcPr>
            <w:tcW w:w="2940" w:type="dxa"/>
            <w:vAlign w:val="bottom"/>
            <w:gridSpan w:val="20"/>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5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line="20" w:lineRule="exact"/>
              <w:rPr>
                <w:sz w:val="1"/>
                <w:szCs w:val="1"/>
                <w:color w:val="auto"/>
              </w:rPr>
            </w:pPr>
          </w:p>
        </w:tc>
      </w:tr>
      <w:tr>
        <w:trPr>
          <w:trHeight w:val="223"/>
        </w:trPr>
        <w:tc>
          <w:tcPr>
            <w:tcW w:w="5440" w:type="dxa"/>
            <w:vAlign w:val="bottom"/>
            <w:tcBorders>
              <w:bottom w:val="single" w:sz="8" w:color="auto"/>
            </w:tcBorders>
            <w:gridSpan w:val="24"/>
          </w:tcPr>
          <w:p>
            <w:pPr>
              <w:spacing w:after="0" w:line="223" w:lineRule="exact"/>
              <w:rPr>
                <w:sz w:val="20"/>
                <w:szCs w:val="20"/>
                <w:color w:val="auto"/>
              </w:rPr>
            </w:pPr>
            <w:r>
              <w:rPr>
                <w:rFonts w:ascii="Arial" w:cs="Arial" w:eastAsia="Arial" w:hAnsi="Arial"/>
                <w:sz w:val="22"/>
                <w:szCs w:val="22"/>
                <w:color w:val="auto"/>
                <w:w w:val="90"/>
              </w:rPr>
              <w:t xml:space="preserve">Section 4.07. </w:t>
            </w:r>
            <w:r>
              <w:rPr>
                <w:rFonts w:ascii="Arial" w:cs="Arial" w:eastAsia="Arial" w:hAnsi="Arial"/>
                <w:sz w:val="22"/>
                <w:szCs w:val="22"/>
                <w:i w:val="1"/>
                <w:iCs w:val="1"/>
                <w:color w:val="auto"/>
                <w:w w:val="90"/>
              </w:rPr>
              <w:t>Appointment to Fill Vacancy in Office of Trustee</w:t>
            </w:r>
          </w:p>
        </w:tc>
        <w:tc>
          <w:tcPr>
            <w:tcW w:w="5380" w:type="dxa"/>
            <w:vAlign w:val="bottom"/>
            <w:gridSpan w:val="10"/>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320"/>
          </w:cols>
          <w:pgMar w:left="240" w:top="261" w:right="339" w:bottom="1440" w:gutter="0" w:footer="0" w:header="0"/>
        </w:sectPr>
      </w:pPr>
    </w:p>
    <w:bookmarkStart w:id="50" w:name="page51"/>
    <w:bookmarkEnd w:id="50"/>
    <w:p>
      <w:pPr>
        <w:jc w:val="center"/>
        <w:ind w:right="720"/>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8" w:lineRule="exact"/>
        <w:rPr>
          <w:sz w:val="20"/>
          <w:szCs w:val="20"/>
          <w:color w:val="auto"/>
        </w:rPr>
      </w:pPr>
    </w:p>
    <w:p>
      <w:pPr>
        <w:ind w:left="2220"/>
        <w:spacing w:after="0"/>
        <w:rPr>
          <w:sz w:val="20"/>
          <w:szCs w:val="20"/>
          <w:color w:val="auto"/>
        </w:rPr>
      </w:pPr>
      <w:r>
        <w:rPr>
          <w:rFonts w:ascii="Arial" w:cs="Arial" w:eastAsia="Arial" w:hAnsi="Arial"/>
          <w:sz w:val="22"/>
          <w:szCs w:val="22"/>
          <w:u w:val="single" w:color="auto"/>
          <w:color w:val="auto"/>
        </w:rPr>
        <w:t>H</w:t>
      </w:r>
      <w:r>
        <w:rPr>
          <w:rFonts w:ascii="Arial" w:cs="Arial" w:eastAsia="Arial" w:hAnsi="Arial"/>
          <w:sz w:val="18"/>
          <w:szCs w:val="18"/>
          <w:u w:val="single" w:color="auto"/>
          <w:color w:val="auto"/>
        </w:rPr>
        <w:t>OLDERS</w:t>
      </w:r>
      <w:r>
        <w:rPr>
          <w:rFonts w:ascii="Arial" w:cs="Arial" w:eastAsia="Arial" w:hAnsi="Arial"/>
          <w:sz w:val="22"/>
          <w:szCs w:val="22"/>
          <w:u w:val="single" w:color="auto"/>
          <w:color w:val="auto"/>
        </w:rPr>
        <w:t>’ L</w:t>
      </w:r>
      <w:r>
        <w:rPr>
          <w:rFonts w:ascii="Arial" w:cs="Arial" w:eastAsia="Arial" w:hAnsi="Arial"/>
          <w:sz w:val="18"/>
          <w:szCs w:val="18"/>
          <w:u w:val="single" w:color="auto"/>
          <w:color w:val="auto"/>
        </w:rPr>
        <w:t>ISTS AND</w:t>
      </w:r>
      <w:r>
        <w:rPr>
          <w:rFonts w:ascii="Arial" w:cs="Arial" w:eastAsia="Arial" w:hAnsi="Arial"/>
          <w:sz w:val="22"/>
          <w:szCs w:val="22"/>
          <w:u w:val="single" w:color="auto"/>
          <w:color w:val="auto"/>
        </w:rPr>
        <w:t xml:space="preserve"> R</w:t>
      </w:r>
      <w:r>
        <w:rPr>
          <w:rFonts w:ascii="Arial" w:cs="Arial" w:eastAsia="Arial" w:hAnsi="Arial"/>
          <w:sz w:val="18"/>
          <w:szCs w:val="18"/>
          <w:u w:val="single" w:color="auto"/>
          <w:color w:val="auto"/>
        </w:rPr>
        <w:t>EPORTS BY THE</w:t>
      </w:r>
      <w:r>
        <w:rPr>
          <w:rFonts w:ascii="Arial" w:cs="Arial" w:eastAsia="Arial" w:hAnsi="Arial"/>
          <w:sz w:val="22"/>
          <w:szCs w:val="22"/>
          <w:u w:val="single" w:color="auto"/>
          <w:color w:val="auto"/>
        </w:rPr>
        <w:t xml:space="preserve"> C</w:t>
      </w:r>
      <w:r>
        <w:rPr>
          <w:rFonts w:ascii="Arial" w:cs="Arial" w:eastAsia="Arial" w:hAnsi="Arial"/>
          <w:sz w:val="18"/>
          <w:szCs w:val="18"/>
          <w:u w:val="single" w:color="auto"/>
          <w:color w:val="auto"/>
        </w:rPr>
        <w:t>OMPANY AND THE</w:t>
      </w:r>
      <w:r>
        <w:rPr>
          <w:rFonts w:ascii="Arial" w:cs="Arial" w:eastAsia="Arial" w:hAnsi="Arial"/>
          <w:sz w:val="22"/>
          <w:szCs w:val="22"/>
          <w:u w:val="single" w:color="auto"/>
          <w:color w:val="auto"/>
        </w:rPr>
        <w:t xml:space="preserve"> T</w:t>
      </w:r>
      <w:r>
        <w:rPr>
          <w:rFonts w:ascii="Arial" w:cs="Arial" w:eastAsia="Arial" w:hAnsi="Arial"/>
          <w:sz w:val="18"/>
          <w:szCs w:val="18"/>
          <w:u w:val="single" w:color="auto"/>
          <w:color w:val="auto"/>
        </w:rPr>
        <w:t>RUSTEE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160" w:type="dxa"/>
            <w:vAlign w:val="bottom"/>
            <w:gridSpan w:val="34"/>
          </w:tcPr>
          <w:p>
            <w:pPr>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Company to Furnish Trustee Names and Addresses of Holders</w:t>
            </w:r>
          </w:p>
        </w:tc>
        <w:tc>
          <w:tcPr>
            <w:tcW w:w="216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23"/>
        </w:trPr>
        <w:tc>
          <w:tcPr>
            <w:tcW w:w="6640" w:type="dxa"/>
            <w:vAlign w:val="bottom"/>
            <w:tcBorders>
              <w:top w:val="single" w:sz="8" w:color="auto"/>
            </w:tcBorders>
            <w:gridSpan w:val="30"/>
          </w:tcPr>
          <w:p>
            <w:pPr>
              <w:spacing w:after="0" w:line="223" w:lineRule="exact"/>
              <w:rPr>
                <w:sz w:val="20"/>
                <w:szCs w:val="20"/>
                <w:color w:val="auto"/>
              </w:rPr>
            </w:pPr>
            <w:r>
              <w:rPr>
                <w:rFonts w:ascii="Arial" w:cs="Arial" w:eastAsia="Arial" w:hAnsi="Arial"/>
                <w:sz w:val="22"/>
                <w:szCs w:val="22"/>
                <w:color w:val="auto"/>
                <w:w w:val="92"/>
              </w:rPr>
              <w:t xml:space="preserve">Section 5.02. </w:t>
            </w:r>
            <w:r>
              <w:rPr>
                <w:rFonts w:ascii="Arial" w:cs="Arial" w:eastAsia="Arial" w:hAnsi="Arial"/>
                <w:sz w:val="22"/>
                <w:szCs w:val="22"/>
                <w:i w:val="1"/>
                <w:iCs w:val="1"/>
                <w:color w:val="auto"/>
                <w:w w:val="92"/>
              </w:rPr>
              <w:t>Preservation Of Information; Communications With Holders.</w:t>
            </w:r>
          </w:p>
        </w:tc>
        <w:tc>
          <w:tcPr>
            <w:tcW w:w="2520" w:type="dxa"/>
            <w:vAlign w:val="bottom"/>
            <w:gridSpan w:val="4"/>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gridSpan w:val="29"/>
          </w:tcPr>
          <w:p>
            <w:pPr>
              <w:spacing w:after="0" w:line="223" w:lineRule="exact"/>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i w:val="1"/>
                <w:iCs w:val="1"/>
                <w:color w:val="auto"/>
              </w:rPr>
              <w:t>Reports by the Trustee.</w:t>
            </w:r>
          </w:p>
        </w:tc>
        <w:tc>
          <w:tcPr>
            <w:tcW w:w="2580" w:type="dxa"/>
            <w:vAlign w:val="bottom"/>
            <w:gridSpan w:val="5"/>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439"/>
        </w:trPr>
        <w:tc>
          <w:tcPr>
            <w:tcW w:w="2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color w:val="auto"/>
                <w:w w:val="95"/>
              </w:rPr>
              <w:t>ARTICLE 6</w:t>
            </w:r>
          </w:p>
        </w:tc>
        <w:tc>
          <w:tcPr>
            <w:tcW w:w="3320" w:type="dxa"/>
            <w:vAlign w:val="bottom"/>
            <w:gridSpan w:val="9"/>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gridSpan w:val="19"/>
          </w:tcPr>
          <w:p>
            <w:pPr>
              <w:jc w:val="center"/>
              <w:ind w:right="2740"/>
              <w:spacing w:after="0" w:line="223" w:lineRule="exact"/>
              <w:rPr>
                <w:sz w:val="20"/>
                <w:szCs w:val="20"/>
                <w:color w:val="auto"/>
              </w:rPr>
            </w:pPr>
            <w:r>
              <w:rPr>
                <w:rFonts w:ascii="Arial" w:cs="Arial" w:eastAsia="Arial" w:hAnsi="Arial"/>
                <w:sz w:val="22"/>
                <w:szCs w:val="22"/>
                <w:color w:val="auto"/>
                <w:w w:val="96"/>
              </w:rPr>
              <w:t>D</w:t>
            </w:r>
            <w:r>
              <w:rPr>
                <w:rFonts w:ascii="Arial" w:cs="Arial" w:eastAsia="Arial" w:hAnsi="Arial"/>
                <w:sz w:val="18"/>
                <w:szCs w:val="18"/>
                <w:color w:val="auto"/>
                <w:w w:val="96"/>
              </w:rPr>
              <w:t>EFAULT AND</w:t>
            </w:r>
            <w:r>
              <w:rPr>
                <w:rFonts w:ascii="Arial" w:cs="Arial" w:eastAsia="Arial" w:hAnsi="Arial"/>
                <w:sz w:val="22"/>
                <w:szCs w:val="22"/>
                <w:color w:val="auto"/>
                <w:w w:val="96"/>
              </w:rPr>
              <w:t xml:space="preserve"> R</w:t>
            </w:r>
            <w:r>
              <w:rPr>
                <w:rFonts w:ascii="Arial" w:cs="Arial" w:eastAsia="Arial" w:hAnsi="Arial"/>
                <w:sz w:val="18"/>
                <w:szCs w:val="18"/>
                <w:color w:val="auto"/>
                <w:w w:val="96"/>
              </w:rPr>
              <w:t>EMEDIES</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180" w:type="dxa"/>
            <w:vAlign w:val="bottom"/>
            <w:gridSpan w:val="15"/>
          </w:tcPr>
          <w:p>
            <w:pPr>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Events of Default.</w:t>
            </w:r>
          </w:p>
        </w:tc>
        <w:tc>
          <w:tcPr>
            <w:tcW w:w="2240" w:type="dxa"/>
            <w:vAlign w:val="bottom"/>
            <w:tcBorders>
              <w:top w:val="single" w:sz="8" w:color="auto"/>
            </w:tcBorders>
            <w:gridSpan w:val="12"/>
          </w:tcPr>
          <w:p>
            <w:pPr>
              <w:spacing w:after="0"/>
              <w:rPr>
                <w:sz w:val="24"/>
                <w:szCs w:val="24"/>
                <w:color w:val="auto"/>
              </w:rPr>
            </w:pPr>
          </w:p>
        </w:tc>
        <w:tc>
          <w:tcPr>
            <w:tcW w:w="2740" w:type="dxa"/>
            <w:vAlign w:val="bottom"/>
            <w:gridSpan w:val="7"/>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0"/>
        </w:trPr>
        <w:tc>
          <w:tcPr>
            <w:tcW w:w="2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line="20" w:lineRule="exact"/>
              <w:rPr>
                <w:sz w:val="1"/>
                <w:szCs w:val="1"/>
                <w:color w:val="auto"/>
              </w:rPr>
            </w:pPr>
          </w:p>
        </w:tc>
      </w:tr>
      <w:tr>
        <w:trPr>
          <w:trHeight w:val="223"/>
        </w:trPr>
        <w:tc>
          <w:tcPr>
            <w:tcW w:w="5800" w:type="dxa"/>
            <w:vAlign w:val="bottom"/>
            <w:tcBorders>
              <w:bottom w:val="single" w:sz="8" w:color="auto"/>
            </w:tcBorders>
            <w:gridSpan w:val="24"/>
          </w:tcPr>
          <w:p>
            <w:pPr>
              <w:spacing w:after="0" w:line="223" w:lineRule="exact"/>
              <w:rPr>
                <w:sz w:val="20"/>
                <w:szCs w:val="20"/>
                <w:color w:val="auto"/>
              </w:rPr>
            </w:pPr>
            <w:r>
              <w:rPr>
                <w:rFonts w:ascii="Arial" w:cs="Arial" w:eastAsia="Arial" w:hAnsi="Arial"/>
                <w:sz w:val="22"/>
                <w:szCs w:val="22"/>
                <w:color w:val="auto"/>
                <w:w w:val="90"/>
              </w:rPr>
              <w:t xml:space="preserve">Section 6.02. </w:t>
            </w:r>
            <w:r>
              <w:rPr>
                <w:rFonts w:ascii="Arial" w:cs="Arial" w:eastAsia="Arial" w:hAnsi="Arial"/>
                <w:sz w:val="22"/>
                <w:szCs w:val="22"/>
                <w:i w:val="1"/>
                <w:iCs w:val="1"/>
                <w:color w:val="auto"/>
                <w:w w:val="90"/>
              </w:rPr>
              <w:t>Acceleration of Maturity; Rescission and Annulment</w:t>
            </w:r>
          </w:p>
        </w:tc>
        <w:tc>
          <w:tcPr>
            <w:tcW w:w="3360" w:type="dxa"/>
            <w:vAlign w:val="bottom"/>
            <w:gridSpan w:val="10"/>
          </w:tcPr>
          <w:p>
            <w:pPr>
              <w:spacing w:after="0"/>
              <w:rPr>
                <w:sz w:val="19"/>
                <w:szCs w:val="19"/>
                <w:color w:val="auto"/>
              </w:rPr>
            </w:pP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8"/>
              </w:rPr>
              <w:t xml:space="preserve">Section 6.03. </w:t>
            </w:r>
            <w:r>
              <w:rPr>
                <w:rFonts w:ascii="Arial" w:cs="Arial" w:eastAsia="Arial" w:hAnsi="Arial"/>
                <w:sz w:val="22"/>
                <w:szCs w:val="22"/>
                <w:i w:val="1"/>
                <w:iCs w:val="1"/>
                <w:color w:val="auto"/>
                <w:w w:val="88"/>
              </w:rPr>
              <w:t>Other Remedies</w:t>
            </w:r>
          </w:p>
        </w:tc>
        <w:tc>
          <w:tcPr>
            <w:tcW w:w="6520" w:type="dxa"/>
            <w:vAlign w:val="bottom"/>
            <w:gridSpan w:val="33"/>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gridSpan w:val="8"/>
          </w:tcPr>
          <w:p>
            <w:pPr>
              <w:spacing w:after="0" w:line="223" w:lineRule="exact"/>
              <w:rPr>
                <w:sz w:val="20"/>
                <w:szCs w:val="20"/>
                <w:color w:val="auto"/>
              </w:rPr>
            </w:pPr>
            <w:r>
              <w:rPr>
                <w:rFonts w:ascii="Arial" w:cs="Arial" w:eastAsia="Arial" w:hAnsi="Arial"/>
                <w:sz w:val="22"/>
                <w:szCs w:val="22"/>
                <w:color w:val="auto"/>
                <w:w w:val="90"/>
              </w:rPr>
              <w:t xml:space="preserve">Section 6.04. </w:t>
            </w:r>
            <w:r>
              <w:rPr>
                <w:rFonts w:ascii="Arial" w:cs="Arial" w:eastAsia="Arial" w:hAnsi="Arial"/>
                <w:sz w:val="22"/>
                <w:szCs w:val="22"/>
                <w:i w:val="1"/>
                <w:iCs w:val="1"/>
                <w:color w:val="auto"/>
                <w:w w:val="90"/>
              </w:rPr>
              <w:t>Waiver of Past Defaults.</w:t>
            </w:r>
          </w:p>
        </w:tc>
        <w:tc>
          <w:tcPr>
            <w:tcW w:w="5800" w:type="dxa"/>
            <w:vAlign w:val="bottom"/>
            <w:gridSpan w:val="26"/>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Control by Majority.</w:t>
            </w: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23"/>
        </w:trPr>
        <w:tc>
          <w:tcPr>
            <w:tcW w:w="2860" w:type="dxa"/>
            <w:vAlign w:val="bottom"/>
            <w:tcBorders>
              <w:top w:val="single" w:sz="8" w:color="auto"/>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92"/>
              </w:rPr>
              <w:t xml:space="preserve">Section 6.06. </w:t>
            </w:r>
            <w:r>
              <w:rPr>
                <w:rFonts w:ascii="Arial" w:cs="Arial" w:eastAsia="Arial" w:hAnsi="Arial"/>
                <w:sz w:val="22"/>
                <w:szCs w:val="22"/>
                <w:i w:val="1"/>
                <w:iCs w:val="1"/>
                <w:color w:val="auto"/>
                <w:w w:val="92"/>
              </w:rPr>
              <w:t>Limitation On Suit</w:t>
            </w:r>
          </w:p>
        </w:tc>
        <w:tc>
          <w:tcPr>
            <w:tcW w:w="160" w:type="dxa"/>
            <w:vAlign w:val="bottom"/>
            <w:tcBorders>
              <w:top w:val="single" w:sz="8" w:color="auto"/>
            </w:tcBorders>
          </w:tcPr>
          <w:p>
            <w:pPr>
              <w:spacing w:after="0"/>
              <w:rPr>
                <w:sz w:val="19"/>
                <w:szCs w:val="19"/>
                <w:color w:val="auto"/>
              </w:rPr>
            </w:pPr>
          </w:p>
        </w:tc>
        <w:tc>
          <w:tcPr>
            <w:tcW w:w="6140" w:type="dxa"/>
            <w:vAlign w:val="bottom"/>
            <w:gridSpan w:val="30"/>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i w:val="1"/>
                <w:iCs w:val="1"/>
                <w:color w:val="auto"/>
              </w:rPr>
              <w:t>Unconditional Rights of Holders to Receive Payment and to Convert</w:t>
            </w: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0"/>
        </w:trPr>
        <w:tc>
          <w:tcPr>
            <w:tcW w:w="28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line="20" w:lineRule="exact"/>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i w:val="1"/>
                <w:iCs w:val="1"/>
                <w:color w:val="auto"/>
              </w:rPr>
              <w:t>Collection of Indebtedness and Suits For Enforcement By the Trustee</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auto"/>
              <w:bottom w:val="single" w:sz="8" w:color="auto"/>
            </w:tcBorders>
            <w:gridSpan w:val="14"/>
          </w:tcPr>
          <w:p>
            <w:pPr>
              <w:spacing w:after="0" w:line="223" w:lineRule="exact"/>
              <w:rPr>
                <w:sz w:val="20"/>
                <w:szCs w:val="20"/>
                <w:color w:val="auto"/>
              </w:rPr>
            </w:pPr>
            <w:r>
              <w:rPr>
                <w:rFonts w:ascii="Arial" w:cs="Arial" w:eastAsia="Arial" w:hAnsi="Arial"/>
                <w:sz w:val="22"/>
                <w:szCs w:val="22"/>
                <w:color w:val="auto"/>
                <w:w w:val="91"/>
              </w:rPr>
              <w:t xml:space="preserve">Section 6.09. </w:t>
            </w:r>
            <w:r>
              <w:rPr>
                <w:rFonts w:ascii="Arial" w:cs="Arial" w:eastAsia="Arial" w:hAnsi="Arial"/>
                <w:sz w:val="22"/>
                <w:szCs w:val="22"/>
                <w:i w:val="1"/>
                <w:iCs w:val="1"/>
                <w:color w:val="auto"/>
                <w:w w:val="91"/>
              </w:rPr>
              <w:t>Trustee May File Proofs of Claim</w:t>
            </w:r>
          </w:p>
        </w:tc>
        <w:tc>
          <w:tcPr>
            <w:tcW w:w="3060" w:type="dxa"/>
            <w:vAlign w:val="bottom"/>
            <w:tcBorders>
              <w:top w:val="single" w:sz="8" w:color="auto"/>
            </w:tcBorders>
            <w:gridSpan w:val="19"/>
          </w:tcPr>
          <w:p>
            <w:pPr>
              <w:spacing w:after="0"/>
              <w:rPr>
                <w:sz w:val="19"/>
                <w:szCs w:val="19"/>
                <w:color w:val="auto"/>
              </w:rPr>
            </w:pPr>
          </w:p>
        </w:tc>
        <w:tc>
          <w:tcPr>
            <w:tcW w:w="1940" w:type="dxa"/>
            <w:vAlign w:val="bottom"/>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i w:val="1"/>
                <w:iCs w:val="1"/>
                <w:color w:val="auto"/>
              </w:rPr>
              <w:t>Restoration of Rights and Remedies</w:t>
            </w: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gridSpan w:val="17"/>
          </w:tcPr>
          <w:p>
            <w:pPr>
              <w:spacing w:after="0" w:line="223" w:lineRule="exact"/>
              <w:rPr>
                <w:sz w:val="20"/>
                <w:szCs w:val="20"/>
                <w:color w:val="auto"/>
              </w:rPr>
            </w:pPr>
            <w:r>
              <w:rPr>
                <w:rFonts w:ascii="Arial" w:cs="Arial" w:eastAsia="Arial" w:hAnsi="Arial"/>
                <w:sz w:val="22"/>
                <w:szCs w:val="22"/>
                <w:color w:val="auto"/>
                <w:w w:val="93"/>
              </w:rPr>
              <w:t xml:space="preserve">Section 6.11. </w:t>
            </w:r>
            <w:r>
              <w:rPr>
                <w:rFonts w:ascii="Arial" w:cs="Arial" w:eastAsia="Arial" w:hAnsi="Arial"/>
                <w:sz w:val="22"/>
                <w:szCs w:val="22"/>
                <w:i w:val="1"/>
                <w:iCs w:val="1"/>
                <w:color w:val="auto"/>
                <w:w w:val="93"/>
              </w:rPr>
              <w:t>Rights and Remedies Cumulative</w:t>
            </w:r>
          </w:p>
        </w:tc>
        <w:tc>
          <w:tcPr>
            <w:tcW w:w="4820" w:type="dxa"/>
            <w:vAlign w:val="bottom"/>
            <w:gridSpan w:val="17"/>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gridSpan w:val="13"/>
          </w:tcPr>
          <w:p>
            <w:pPr>
              <w:spacing w:after="0" w:line="223" w:lineRule="exact"/>
              <w:rPr>
                <w:sz w:val="20"/>
                <w:szCs w:val="20"/>
                <w:color w:val="auto"/>
              </w:rPr>
            </w:pPr>
            <w:r>
              <w:rPr>
                <w:rFonts w:ascii="Arial" w:cs="Arial" w:eastAsia="Arial" w:hAnsi="Arial"/>
                <w:sz w:val="22"/>
                <w:szCs w:val="22"/>
                <w:color w:val="auto"/>
                <w:w w:val="95"/>
              </w:rPr>
              <w:t xml:space="preserve">Section 6.12. </w:t>
            </w:r>
            <w:r>
              <w:rPr>
                <w:rFonts w:ascii="Arial" w:cs="Arial" w:eastAsia="Arial" w:hAnsi="Arial"/>
                <w:sz w:val="22"/>
                <w:szCs w:val="22"/>
                <w:i w:val="1"/>
                <w:iCs w:val="1"/>
                <w:color w:val="auto"/>
                <w:w w:val="95"/>
              </w:rPr>
              <w:t>Delay or Omission Not Waiver</w:t>
            </w:r>
          </w:p>
        </w:tc>
        <w:tc>
          <w:tcPr>
            <w:tcW w:w="5060" w:type="dxa"/>
            <w:vAlign w:val="bottom"/>
            <w:gridSpan w:val="21"/>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0"/>
        </w:trPr>
        <w:tc>
          <w:tcPr>
            <w:tcW w:w="28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1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line="20" w:lineRule="exact"/>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i w:val="1"/>
                <w:iCs w:val="1"/>
                <w:color w:val="auto"/>
              </w:rPr>
              <w:t>Application of Money Collected</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auto"/>
              <w:bottom w:val="single" w:sz="8" w:color="auto"/>
            </w:tcBorders>
            <w:gridSpan w:val="7"/>
          </w:tcPr>
          <w:p>
            <w:pPr>
              <w:spacing w:after="0" w:line="223" w:lineRule="exact"/>
              <w:rPr>
                <w:sz w:val="20"/>
                <w:szCs w:val="20"/>
                <w:color w:val="auto"/>
              </w:rPr>
            </w:pPr>
            <w:r>
              <w:rPr>
                <w:rFonts w:ascii="Arial" w:cs="Arial" w:eastAsia="Arial" w:hAnsi="Arial"/>
                <w:sz w:val="22"/>
                <w:szCs w:val="22"/>
                <w:color w:val="auto"/>
                <w:w w:val="91"/>
              </w:rPr>
              <w:t xml:space="preserve">Section 6.14. </w:t>
            </w:r>
            <w:r>
              <w:rPr>
                <w:rFonts w:ascii="Arial" w:cs="Arial" w:eastAsia="Arial" w:hAnsi="Arial"/>
                <w:sz w:val="22"/>
                <w:szCs w:val="22"/>
                <w:i w:val="1"/>
                <w:iCs w:val="1"/>
                <w:color w:val="auto"/>
                <w:w w:val="91"/>
              </w:rPr>
              <w:t>Undertaking For Costs</w:t>
            </w:r>
          </w:p>
        </w:tc>
        <w:tc>
          <w:tcPr>
            <w:tcW w:w="740" w:type="dxa"/>
            <w:vAlign w:val="bottom"/>
            <w:tcBorders>
              <w:top w:val="single" w:sz="8" w:color="auto"/>
            </w:tcBorders>
            <w:gridSpan w:val="4"/>
          </w:tcPr>
          <w:p>
            <w:pPr>
              <w:spacing w:after="0"/>
              <w:rPr>
                <w:sz w:val="19"/>
                <w:szCs w:val="19"/>
                <w:color w:val="auto"/>
              </w:rPr>
            </w:pPr>
          </w:p>
        </w:tc>
        <w:tc>
          <w:tcPr>
            <w:tcW w:w="5160" w:type="dxa"/>
            <w:vAlign w:val="bottom"/>
            <w:gridSpan w:val="23"/>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i w:val="1"/>
                <w:iCs w:val="1"/>
                <w:color w:val="auto"/>
              </w:rPr>
              <w:t>Waiver of Stay or Extension Laws</w:t>
            </w: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gridSpan w:val="14"/>
          </w:tcPr>
          <w:p>
            <w:pPr>
              <w:spacing w:after="0" w:line="223" w:lineRule="exact"/>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i w:val="1"/>
                <w:iCs w:val="1"/>
                <w:color w:val="auto"/>
              </w:rPr>
              <w:t>Notice of Default</w:t>
            </w:r>
          </w:p>
        </w:tc>
        <w:tc>
          <w:tcPr>
            <w:tcW w:w="5000" w:type="dxa"/>
            <w:vAlign w:val="bottom"/>
            <w:gridSpan w:val="20"/>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439"/>
        </w:trPr>
        <w:tc>
          <w:tcPr>
            <w:tcW w:w="2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color w:val="auto"/>
                <w:w w:val="95"/>
              </w:rPr>
              <w:t>ARTICLE 7</w:t>
            </w:r>
          </w:p>
        </w:tc>
        <w:tc>
          <w:tcPr>
            <w:tcW w:w="3320" w:type="dxa"/>
            <w:vAlign w:val="bottom"/>
            <w:gridSpan w:val="9"/>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80" w:type="dxa"/>
            <w:vAlign w:val="bottom"/>
            <w:tcBorders>
              <w:bottom w:val="single" w:sz="8" w:color="auto"/>
            </w:tcBorders>
            <w:gridSpan w:val="16"/>
          </w:tcPr>
          <w:p>
            <w:pPr>
              <w:jc w:val="center"/>
              <w:spacing w:after="0" w:line="223" w:lineRule="exact"/>
              <w:rPr>
                <w:sz w:val="20"/>
                <w:szCs w:val="20"/>
                <w:color w:val="auto"/>
              </w:rPr>
            </w:pPr>
            <w:r>
              <w:rPr>
                <w:rFonts w:ascii="Arial" w:cs="Arial" w:eastAsia="Arial" w:hAnsi="Arial"/>
                <w:sz w:val="22"/>
                <w:szCs w:val="22"/>
                <w:color w:val="auto"/>
                <w:w w:val="95"/>
              </w:rPr>
              <w:t>C</w:t>
            </w:r>
            <w:r>
              <w:rPr>
                <w:rFonts w:ascii="Arial" w:cs="Arial" w:eastAsia="Arial" w:hAnsi="Arial"/>
                <w:sz w:val="18"/>
                <w:szCs w:val="18"/>
                <w:color w:val="auto"/>
                <w:w w:val="95"/>
              </w:rPr>
              <w:t>ONCERNING THE</w:t>
            </w:r>
            <w:r>
              <w:rPr>
                <w:rFonts w:ascii="Arial" w:cs="Arial" w:eastAsia="Arial" w:hAnsi="Arial"/>
                <w:sz w:val="22"/>
                <w:szCs w:val="22"/>
                <w:color w:val="auto"/>
                <w:w w:val="95"/>
              </w:rPr>
              <w:t xml:space="preserve"> T</w:t>
            </w:r>
            <w:r>
              <w:rPr>
                <w:rFonts w:ascii="Arial" w:cs="Arial" w:eastAsia="Arial" w:hAnsi="Arial"/>
                <w:sz w:val="18"/>
                <w:szCs w:val="18"/>
                <w:color w:val="auto"/>
                <w:w w:val="95"/>
              </w:rPr>
              <w:t>RUSTEE</w:t>
            </w:r>
          </w:p>
        </w:tc>
        <w:tc>
          <w:tcPr>
            <w:tcW w:w="2620" w:type="dxa"/>
            <w:vAlign w:val="bottom"/>
            <w:gridSpan w:val="6"/>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300" w:type="dxa"/>
            <w:vAlign w:val="bottom"/>
            <w:tcBorders>
              <w:bottom w:val="single" w:sz="8" w:color="auto"/>
            </w:tcBorders>
            <w:gridSpan w:val="23"/>
          </w:tcPr>
          <w:p>
            <w:pPr>
              <w:spacing w:after="0"/>
              <w:rPr>
                <w:sz w:val="20"/>
                <w:szCs w:val="20"/>
                <w:color w:val="auto"/>
              </w:rPr>
            </w:pPr>
            <w:r>
              <w:rPr>
                <w:rFonts w:ascii="Arial" w:cs="Arial" w:eastAsia="Arial" w:hAnsi="Arial"/>
                <w:sz w:val="22"/>
                <w:szCs w:val="22"/>
                <w:color w:val="auto"/>
                <w:w w:val="89"/>
              </w:rPr>
              <w:t xml:space="preserve">Section 7.01. </w:t>
            </w:r>
            <w:r>
              <w:rPr>
                <w:rFonts w:ascii="Arial" w:cs="Arial" w:eastAsia="Arial" w:hAnsi="Arial"/>
                <w:sz w:val="22"/>
                <w:szCs w:val="22"/>
                <w:i w:val="1"/>
                <w:iCs w:val="1"/>
                <w:color w:val="auto"/>
                <w:w w:val="89"/>
              </w:rPr>
              <w:t>Certain Duties and Responsibilities of Trustee.</w:t>
            </w:r>
          </w:p>
        </w:tc>
        <w:tc>
          <w:tcPr>
            <w:tcW w:w="3860" w:type="dxa"/>
            <w:vAlign w:val="bottom"/>
            <w:gridSpan w:val="11"/>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i w:val="1"/>
                <w:iCs w:val="1"/>
                <w:color w:val="auto"/>
              </w:rPr>
              <w:t>Certain Rights of Trustee</w:t>
            </w: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0"/>
        </w:trPr>
        <w:tc>
          <w:tcPr>
            <w:tcW w:w="302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1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42</w:t>
            </w:r>
          </w:p>
        </w:tc>
        <w:tc>
          <w:tcPr>
            <w:tcW w:w="0" w:type="dxa"/>
            <w:vAlign w:val="bottom"/>
          </w:tcPr>
          <w:p>
            <w:pPr>
              <w:spacing w:after="0" w:line="20" w:lineRule="exact"/>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i w:val="1"/>
                <w:iCs w:val="1"/>
                <w:color w:val="auto"/>
              </w:rPr>
              <w:t>Trustee Not Responsible for Recitals or Issuance or Securities.</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gridSpan w:val="31"/>
          </w:tcPr>
          <w:p>
            <w:pPr>
              <w:spacing w:after="0" w:line="223" w:lineRule="exact"/>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i w:val="1"/>
                <w:iCs w:val="1"/>
                <w:color w:val="auto"/>
              </w:rPr>
              <w:t>May Hold Securities</w:t>
            </w:r>
          </w:p>
        </w:tc>
        <w:tc>
          <w:tcPr>
            <w:tcW w:w="2500" w:type="dxa"/>
            <w:vAlign w:val="bottom"/>
            <w:gridSpan w:val="3"/>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0"/>
        </w:trPr>
        <w:tc>
          <w:tcPr>
            <w:tcW w:w="302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1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43</w:t>
            </w:r>
          </w:p>
        </w:tc>
        <w:tc>
          <w:tcPr>
            <w:tcW w:w="0" w:type="dxa"/>
            <w:vAlign w:val="bottom"/>
          </w:tcPr>
          <w:p>
            <w:pPr>
              <w:spacing w:after="0" w:line="20" w:lineRule="exact"/>
              <w:rPr>
                <w:sz w:val="1"/>
                <w:szCs w:val="1"/>
                <w:color w:val="auto"/>
              </w:rPr>
            </w:pPr>
          </w:p>
        </w:tc>
      </w:tr>
      <w:tr>
        <w:trPr>
          <w:trHeight w:val="223"/>
        </w:trPr>
        <w:tc>
          <w:tcPr>
            <w:tcW w:w="3120" w:type="dxa"/>
            <w:vAlign w:val="bottom"/>
            <w:tcBorders>
              <w:bottom w:val="single" w:sz="8" w:color="auto"/>
            </w:tcBorders>
            <w:gridSpan w:val="5"/>
          </w:tcPr>
          <w:p>
            <w:pPr>
              <w:spacing w:after="0" w:line="223" w:lineRule="exact"/>
              <w:rPr>
                <w:sz w:val="20"/>
                <w:szCs w:val="20"/>
                <w:color w:val="auto"/>
              </w:rPr>
            </w:pPr>
            <w:r>
              <w:rPr>
                <w:rFonts w:ascii="Arial" w:cs="Arial" w:eastAsia="Arial" w:hAnsi="Arial"/>
                <w:sz w:val="22"/>
                <w:szCs w:val="22"/>
                <w:color w:val="auto"/>
                <w:w w:val="90"/>
              </w:rPr>
              <w:t xml:space="preserve">Section 7.05. </w:t>
            </w:r>
            <w:r>
              <w:rPr>
                <w:rFonts w:ascii="Arial" w:cs="Arial" w:eastAsia="Arial" w:hAnsi="Arial"/>
                <w:sz w:val="22"/>
                <w:szCs w:val="22"/>
                <w:i w:val="1"/>
                <w:iCs w:val="1"/>
                <w:color w:val="auto"/>
                <w:w w:val="90"/>
              </w:rPr>
              <w:t>Moneys Held in Trust</w:t>
            </w:r>
          </w:p>
        </w:tc>
        <w:tc>
          <w:tcPr>
            <w:tcW w:w="6040" w:type="dxa"/>
            <w:vAlign w:val="bottom"/>
            <w:gridSpan w:val="29"/>
          </w:tcPr>
          <w:p>
            <w:pPr>
              <w:spacing w:after="0"/>
              <w:rPr>
                <w:sz w:val="19"/>
                <w:szCs w:val="19"/>
                <w:color w:val="auto"/>
              </w:rPr>
            </w:pP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i w:val="1"/>
                <w:iCs w:val="1"/>
                <w:color w:val="auto"/>
              </w:rPr>
              <w:t>Compensation and Reimbursement.</w:t>
            </w: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0"/>
        </w:trPr>
        <w:tc>
          <w:tcPr>
            <w:tcW w:w="4320" w:type="dxa"/>
            <w:vAlign w:val="bottom"/>
            <w:gridSpan w:val="16"/>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1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44</w:t>
            </w:r>
          </w:p>
        </w:tc>
        <w:tc>
          <w:tcPr>
            <w:tcW w:w="0" w:type="dxa"/>
            <w:vAlign w:val="bottom"/>
          </w:tcPr>
          <w:p>
            <w:pPr>
              <w:spacing w:after="0" w:line="20" w:lineRule="exact"/>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7.07. </w:t>
            </w:r>
            <w:r>
              <w:rPr>
                <w:rFonts w:ascii="Arial" w:cs="Arial" w:eastAsia="Arial" w:hAnsi="Arial"/>
                <w:sz w:val="22"/>
                <w:szCs w:val="22"/>
                <w:i w:val="1"/>
                <w:iCs w:val="1"/>
                <w:color w:val="auto"/>
              </w:rPr>
              <w:t>Reliance on Officer’s Certificate and Opinions</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auto"/>
            </w:tcBorders>
            <w:gridSpan w:val="22"/>
          </w:tcPr>
          <w:p>
            <w:pPr>
              <w:spacing w:after="0" w:line="223" w:lineRule="exact"/>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i w:val="1"/>
                <w:iCs w:val="1"/>
                <w:color w:val="auto"/>
              </w:rPr>
              <w:t>Disqualification; Conflicting Interests</w:t>
            </w:r>
          </w:p>
        </w:tc>
        <w:tc>
          <w:tcPr>
            <w:tcW w:w="3880" w:type="dxa"/>
            <w:vAlign w:val="bottom"/>
            <w:gridSpan w:val="12"/>
          </w:tcPr>
          <w:p>
            <w:pPr>
              <w:spacing w:after="0"/>
              <w:rPr>
                <w:sz w:val="19"/>
                <w:szCs w:val="19"/>
                <w:color w:val="auto"/>
              </w:rPr>
            </w:pP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0"/>
        </w:trPr>
        <w:tc>
          <w:tcPr>
            <w:tcW w:w="4540" w:type="dxa"/>
            <w:vAlign w:val="bottom"/>
            <w:gridSpan w:val="18"/>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1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44</w:t>
            </w:r>
          </w:p>
        </w:tc>
        <w:tc>
          <w:tcPr>
            <w:tcW w:w="0" w:type="dxa"/>
            <w:vAlign w:val="bottom"/>
          </w:tcPr>
          <w:p>
            <w:pPr>
              <w:spacing w:after="0" w:line="20" w:lineRule="exact"/>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i w:val="1"/>
                <w:iCs w:val="1"/>
                <w:color w:val="auto"/>
              </w:rPr>
              <w:t>Corporate Trustee Required; Eligibility</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19"/>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1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line="20" w:lineRule="exact"/>
              <w:rPr>
                <w:sz w:val="1"/>
                <w:szCs w:val="1"/>
                <w:color w:val="auto"/>
              </w:rPr>
            </w:pPr>
          </w:p>
        </w:tc>
      </w:tr>
      <w:tr>
        <w:trPr>
          <w:trHeight w:val="223"/>
        </w:trPr>
        <w:tc>
          <w:tcPr>
            <w:tcW w:w="5880" w:type="dxa"/>
            <w:vAlign w:val="bottom"/>
            <w:tcBorders>
              <w:bottom w:val="single" w:sz="8" w:color="auto"/>
            </w:tcBorders>
            <w:gridSpan w:val="26"/>
          </w:tcPr>
          <w:p>
            <w:pPr>
              <w:spacing w:after="0" w:line="223" w:lineRule="exact"/>
              <w:rPr>
                <w:sz w:val="20"/>
                <w:szCs w:val="20"/>
                <w:color w:val="auto"/>
              </w:rPr>
            </w:pPr>
            <w:r>
              <w:rPr>
                <w:rFonts w:ascii="Arial" w:cs="Arial" w:eastAsia="Arial" w:hAnsi="Arial"/>
                <w:sz w:val="22"/>
                <w:szCs w:val="22"/>
                <w:color w:val="auto"/>
                <w:w w:val="88"/>
              </w:rPr>
              <w:t xml:space="preserve">Section 7.10. </w:t>
            </w:r>
            <w:r>
              <w:rPr>
                <w:rFonts w:ascii="Arial" w:cs="Arial" w:eastAsia="Arial" w:hAnsi="Arial"/>
                <w:sz w:val="22"/>
                <w:szCs w:val="22"/>
                <w:i w:val="1"/>
                <w:iCs w:val="1"/>
                <w:color w:val="auto"/>
                <w:w w:val="88"/>
              </w:rPr>
              <w:t>Resignation and Removal; Appointment of Successor.</w:t>
            </w:r>
          </w:p>
        </w:tc>
        <w:tc>
          <w:tcPr>
            <w:tcW w:w="3280" w:type="dxa"/>
            <w:vAlign w:val="bottom"/>
            <w:gridSpan w:val="8"/>
          </w:tcPr>
          <w:p>
            <w:pPr>
              <w:spacing w:after="0"/>
              <w:rPr>
                <w:sz w:val="19"/>
                <w:szCs w:val="19"/>
                <w:color w:val="auto"/>
              </w:rPr>
            </w:pP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i w:val="1"/>
                <w:iCs w:val="1"/>
                <w:color w:val="auto"/>
              </w:rPr>
              <w:t>Acceptance of Appointment By Successor.</w:t>
            </w:r>
          </w:p>
        </w:tc>
        <w:tc>
          <w:tcPr>
            <w:tcW w:w="2160" w:type="dxa"/>
            <w:vAlign w:val="bottom"/>
          </w:tcPr>
          <w:p>
            <w:pPr>
              <w:jc w:val="right"/>
              <w:spacing w:after="0" w:line="22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0"/>
        </w:trPr>
        <w:tc>
          <w:tcPr>
            <w:tcW w:w="4840" w:type="dxa"/>
            <w:vAlign w:val="bottom"/>
            <w:gridSpan w:val="21"/>
            <w:shd w:val="clear" w:color="auto" w:fill="000000"/>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1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48</w:t>
            </w:r>
          </w:p>
        </w:tc>
        <w:tc>
          <w:tcPr>
            <w:tcW w:w="0" w:type="dxa"/>
            <w:vAlign w:val="bottom"/>
          </w:tcPr>
          <w:p>
            <w:pPr>
              <w:spacing w:after="0" w:line="20" w:lineRule="exact"/>
              <w:rPr>
                <w:sz w:val="1"/>
                <w:szCs w:val="1"/>
                <w:color w:val="auto"/>
              </w:rPr>
            </w:pPr>
          </w:p>
        </w:tc>
      </w:tr>
      <w:tr>
        <w:trPr>
          <w:trHeight w:val="223"/>
        </w:trPr>
        <w:tc>
          <w:tcPr>
            <w:tcW w:w="9160" w:type="dxa"/>
            <w:vAlign w:val="bottom"/>
            <w:gridSpan w:val="34"/>
          </w:tcPr>
          <w:p>
            <w:pPr>
              <w:spacing w:after="0" w:line="223" w:lineRule="exact"/>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i w:val="1"/>
                <w:iCs w:val="1"/>
                <w:color w:val="auto"/>
              </w:rPr>
              <w:t>Merger, Conversion, Consolidation or Succession to Business</w:t>
            </w:r>
          </w:p>
        </w:tc>
        <w:tc>
          <w:tcPr>
            <w:tcW w:w="2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320"/>
          </w:cols>
          <w:pgMar w:left="240" w:top="26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3"/>
        </w:trPr>
        <w:tc>
          <w:tcPr>
            <w:tcW w:w="6040" w:type="dxa"/>
            <w:vAlign w:val="bottom"/>
            <w:tcBorders>
              <w:bottom w:val="single" w:sz="8" w:color="auto"/>
            </w:tcBorders>
            <w:gridSpan w:val="33"/>
          </w:tcPr>
          <w:p>
            <w:pPr>
              <w:spacing w:after="0"/>
              <w:rPr>
                <w:sz w:val="20"/>
                <w:szCs w:val="20"/>
                <w:color w:val="auto"/>
              </w:rPr>
            </w:pPr>
            <w:r>
              <w:rPr>
                <w:rFonts w:ascii="Arial" w:cs="Arial" w:eastAsia="Arial" w:hAnsi="Arial"/>
                <w:sz w:val="22"/>
                <w:szCs w:val="22"/>
                <w:color w:val="auto"/>
                <w:w w:val="90"/>
              </w:rPr>
              <w:t xml:space="preserve">Section 7.13. </w:t>
            </w:r>
            <w:r>
              <w:rPr>
                <w:rFonts w:ascii="Arial" w:cs="Arial" w:eastAsia="Arial" w:hAnsi="Arial"/>
                <w:sz w:val="22"/>
                <w:szCs w:val="22"/>
                <w:i w:val="1"/>
                <w:iCs w:val="1"/>
                <w:color w:val="auto"/>
                <w:w w:val="90"/>
              </w:rPr>
              <w:t>Preferential Collection of Claims Against the Company</w:t>
            </w:r>
          </w:p>
        </w:tc>
        <w:tc>
          <w:tcPr>
            <w:tcW w:w="3860" w:type="dxa"/>
            <w:vAlign w:val="bottom"/>
            <w:gridSpan w:val="8"/>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439"/>
        </w:trPr>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22"/>
                <w:szCs w:val="22"/>
                <w:color w:val="auto"/>
                <w:w w:val="95"/>
              </w:rPr>
              <w:t>ARTICLE 8</w:t>
            </w:r>
          </w:p>
        </w:tc>
        <w:tc>
          <w:tcPr>
            <w:tcW w:w="4060" w:type="dxa"/>
            <w:vAlign w:val="bottom"/>
            <w:gridSpan w:val="11"/>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60" w:type="dxa"/>
            <w:vAlign w:val="bottom"/>
            <w:gridSpan w:val="26"/>
          </w:tcPr>
          <w:p>
            <w:pPr>
              <w:jc w:val="center"/>
              <w:ind w:right="3340"/>
              <w:spacing w:after="0" w:line="223" w:lineRule="exact"/>
              <w:rPr>
                <w:sz w:val="20"/>
                <w:szCs w:val="20"/>
                <w:color w:val="auto"/>
              </w:rPr>
            </w:pPr>
            <w:r>
              <w:rPr>
                <w:rFonts w:ascii="Arial" w:cs="Arial" w:eastAsia="Arial" w:hAnsi="Arial"/>
                <w:sz w:val="22"/>
                <w:szCs w:val="22"/>
                <w:color w:val="auto"/>
                <w:w w:val="95"/>
              </w:rPr>
              <w:t>C</w:t>
            </w:r>
            <w:r>
              <w:rPr>
                <w:rFonts w:ascii="Arial" w:cs="Arial" w:eastAsia="Arial" w:hAnsi="Arial"/>
                <w:sz w:val="18"/>
                <w:szCs w:val="18"/>
                <w:color w:val="auto"/>
                <w:w w:val="95"/>
              </w:rPr>
              <w:t>ONCERNING THE</w:t>
            </w:r>
            <w:r>
              <w:rPr>
                <w:rFonts w:ascii="Arial" w:cs="Arial" w:eastAsia="Arial" w:hAnsi="Arial"/>
                <w:sz w:val="22"/>
                <w:szCs w:val="22"/>
                <w:color w:val="auto"/>
                <w:w w:val="95"/>
              </w:rPr>
              <w:t xml:space="preserve"> H</w:t>
            </w:r>
            <w:r>
              <w:rPr>
                <w:rFonts w:ascii="Arial" w:cs="Arial" w:eastAsia="Arial" w:hAnsi="Arial"/>
                <w:sz w:val="18"/>
                <w:szCs w:val="18"/>
                <w:color w:val="auto"/>
                <w:w w:val="95"/>
              </w:rPr>
              <w:t>OLDERS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90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90"/>
              </w:rPr>
              <w:t xml:space="preserve">Section 8.01. </w:t>
            </w:r>
            <w:r>
              <w:rPr>
                <w:rFonts w:ascii="Arial" w:cs="Arial" w:eastAsia="Arial" w:hAnsi="Arial"/>
                <w:sz w:val="22"/>
                <w:szCs w:val="22"/>
                <w:i w:val="1"/>
                <w:iCs w:val="1"/>
                <w:color w:val="auto"/>
                <w:w w:val="90"/>
              </w:rPr>
              <w:t>Evidence of Action by Holders</w:t>
            </w:r>
          </w:p>
        </w:tc>
        <w:tc>
          <w:tcPr>
            <w:tcW w:w="140" w:type="dxa"/>
            <w:vAlign w:val="bottom"/>
          </w:tcPr>
          <w:p>
            <w:pPr>
              <w:spacing w:after="0"/>
              <w:rPr>
                <w:sz w:val="24"/>
                <w:szCs w:val="24"/>
                <w:color w:val="auto"/>
              </w:rPr>
            </w:pPr>
          </w:p>
        </w:tc>
        <w:tc>
          <w:tcPr>
            <w:tcW w:w="2520" w:type="dxa"/>
            <w:vAlign w:val="bottom"/>
            <w:tcBorders>
              <w:top w:val="single" w:sz="8" w:color="auto"/>
            </w:tcBorders>
            <w:gridSpan w:val="22"/>
          </w:tcPr>
          <w:p>
            <w:pPr>
              <w:spacing w:after="0"/>
              <w:rPr>
                <w:sz w:val="24"/>
                <w:szCs w:val="24"/>
                <w:color w:val="auto"/>
              </w:rPr>
            </w:pPr>
          </w:p>
        </w:tc>
        <w:tc>
          <w:tcPr>
            <w:tcW w:w="3340" w:type="dxa"/>
            <w:vAlign w:val="bottom"/>
            <w:gridSpan w:val="4"/>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23"/>
        </w:trPr>
        <w:tc>
          <w:tcPr>
            <w:tcW w:w="9900" w:type="dxa"/>
            <w:vAlign w:val="bottom"/>
            <w:gridSpan w:val="41"/>
          </w:tcPr>
          <w:p>
            <w:pPr>
              <w:spacing w:after="0" w:line="223" w:lineRule="exact"/>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Proof of Execution by Holders</w:t>
            </w: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23"/>
        </w:trPr>
        <w:tc>
          <w:tcPr>
            <w:tcW w:w="3840" w:type="dxa"/>
            <w:vAlign w:val="bottom"/>
            <w:tcBorders>
              <w:top w:val="single" w:sz="8" w:color="auto"/>
              <w:bottom w:val="single" w:sz="8" w:color="auto"/>
            </w:tcBorders>
            <w:gridSpan w:val="12"/>
          </w:tcPr>
          <w:p>
            <w:pPr>
              <w:spacing w:after="0" w:line="223" w:lineRule="exact"/>
              <w:rPr>
                <w:sz w:val="20"/>
                <w:szCs w:val="20"/>
                <w:color w:val="auto"/>
              </w:rPr>
            </w:pPr>
            <w:r>
              <w:rPr>
                <w:rFonts w:ascii="Arial" w:cs="Arial" w:eastAsia="Arial" w:hAnsi="Arial"/>
                <w:sz w:val="22"/>
                <w:szCs w:val="22"/>
                <w:color w:val="auto"/>
                <w:w w:val="88"/>
              </w:rPr>
              <w:t xml:space="preserve">Section 8.03. </w:t>
            </w:r>
            <w:r>
              <w:rPr>
                <w:rFonts w:ascii="Arial" w:cs="Arial" w:eastAsia="Arial" w:hAnsi="Arial"/>
                <w:sz w:val="22"/>
                <w:szCs w:val="22"/>
                <w:i w:val="1"/>
                <w:iCs w:val="1"/>
                <w:color w:val="auto"/>
                <w:w w:val="88"/>
              </w:rPr>
              <w:t>Who May be Deemed Owners</w:t>
            </w:r>
          </w:p>
        </w:tc>
        <w:tc>
          <w:tcPr>
            <w:tcW w:w="40" w:type="dxa"/>
            <w:vAlign w:val="bottom"/>
            <w:tcBorders>
              <w:top w:val="single" w:sz="8" w:color="auto"/>
            </w:tcBorders>
          </w:tcPr>
          <w:p>
            <w:pPr>
              <w:spacing w:after="0"/>
              <w:rPr>
                <w:sz w:val="19"/>
                <w:szCs w:val="19"/>
                <w:color w:val="auto"/>
              </w:rPr>
            </w:pPr>
          </w:p>
        </w:tc>
        <w:tc>
          <w:tcPr>
            <w:tcW w:w="6020" w:type="dxa"/>
            <w:vAlign w:val="bottom"/>
            <w:gridSpan w:val="28"/>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29"/>
          </w:tcPr>
          <w:p>
            <w:pPr>
              <w:spacing w:after="0" w:line="223" w:lineRule="exact"/>
              <w:rPr>
                <w:sz w:val="20"/>
                <w:szCs w:val="20"/>
                <w:color w:val="auto"/>
              </w:rPr>
            </w:pPr>
            <w:r>
              <w:rPr>
                <w:rFonts w:ascii="Arial" w:cs="Arial" w:eastAsia="Arial" w:hAnsi="Arial"/>
                <w:sz w:val="22"/>
                <w:szCs w:val="22"/>
                <w:color w:val="auto"/>
                <w:w w:val="89"/>
              </w:rPr>
              <w:t xml:space="preserve">Section 8.04. </w:t>
            </w:r>
            <w:r>
              <w:rPr>
                <w:rFonts w:ascii="Arial" w:cs="Arial" w:eastAsia="Arial" w:hAnsi="Arial"/>
                <w:sz w:val="22"/>
                <w:szCs w:val="22"/>
                <w:i w:val="1"/>
                <w:iCs w:val="1"/>
                <w:color w:val="auto"/>
                <w:w w:val="89"/>
              </w:rPr>
              <w:t>Certain Notes Owned by Company Disregarded</w:t>
            </w:r>
          </w:p>
        </w:tc>
        <w:tc>
          <w:tcPr>
            <w:tcW w:w="4500" w:type="dxa"/>
            <w:vAlign w:val="bottom"/>
            <w:gridSpan w:val="12"/>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23"/>
        </w:trPr>
        <w:tc>
          <w:tcPr>
            <w:tcW w:w="9900" w:type="dxa"/>
            <w:vAlign w:val="bottom"/>
            <w:gridSpan w:val="41"/>
          </w:tcPr>
          <w:p>
            <w:pPr>
              <w:spacing w:after="0" w:line="223" w:lineRule="exact"/>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i w:val="1"/>
                <w:iCs w:val="1"/>
                <w:color w:val="auto"/>
              </w:rPr>
              <w:t>Actions Binding on Future Holders</w:t>
            </w: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439"/>
        </w:trPr>
        <w:tc>
          <w:tcPr>
            <w:tcW w:w="19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22"/>
                <w:szCs w:val="22"/>
                <w:color w:val="auto"/>
                <w:w w:val="95"/>
              </w:rPr>
              <w:t>ARTICLE 9</w:t>
            </w:r>
          </w:p>
        </w:tc>
        <w:tc>
          <w:tcPr>
            <w:tcW w:w="4060" w:type="dxa"/>
            <w:vAlign w:val="bottom"/>
            <w:gridSpan w:val="11"/>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80" w:type="dxa"/>
            <w:vAlign w:val="bottom"/>
            <w:tcBorders>
              <w:bottom w:val="single" w:sz="8" w:color="auto"/>
            </w:tcBorders>
            <w:gridSpan w:val="30"/>
          </w:tcPr>
          <w:p>
            <w:pPr>
              <w:jc w:val="center"/>
              <w:spacing w:after="0" w:line="223" w:lineRule="exact"/>
              <w:rPr>
                <w:sz w:val="20"/>
                <w:szCs w:val="20"/>
                <w:color w:val="auto"/>
              </w:rPr>
            </w:pPr>
            <w:r>
              <w:rPr>
                <w:rFonts w:ascii="Arial" w:cs="Arial" w:eastAsia="Arial" w:hAnsi="Arial"/>
                <w:sz w:val="22"/>
                <w:szCs w:val="22"/>
                <w:color w:val="auto"/>
                <w:w w:val="97"/>
              </w:rPr>
              <w:t>A</w:t>
            </w:r>
            <w:r>
              <w:rPr>
                <w:rFonts w:ascii="Arial" w:cs="Arial" w:eastAsia="Arial" w:hAnsi="Arial"/>
                <w:sz w:val="18"/>
                <w:szCs w:val="18"/>
                <w:color w:val="auto"/>
                <w:w w:val="97"/>
              </w:rPr>
              <w:t>MENDMENTS</w:t>
            </w:r>
            <w:r>
              <w:rPr>
                <w:rFonts w:ascii="Arial" w:cs="Arial" w:eastAsia="Arial" w:hAnsi="Arial"/>
                <w:sz w:val="22"/>
                <w:szCs w:val="22"/>
                <w:color w:val="auto"/>
                <w:w w:val="97"/>
              </w:rPr>
              <w:t>; S</w:t>
            </w:r>
            <w:r>
              <w:rPr>
                <w:rFonts w:ascii="Arial" w:cs="Arial" w:eastAsia="Arial" w:hAnsi="Arial"/>
                <w:sz w:val="18"/>
                <w:szCs w:val="18"/>
                <w:color w:val="auto"/>
                <w:w w:val="97"/>
              </w:rPr>
              <w:t>UPPLEMENTS</w:t>
            </w:r>
            <w:r>
              <w:rPr>
                <w:rFonts w:ascii="Arial" w:cs="Arial" w:eastAsia="Arial" w:hAnsi="Arial"/>
                <w:sz w:val="22"/>
                <w:szCs w:val="22"/>
                <w:color w:val="auto"/>
                <w:w w:val="97"/>
              </w:rPr>
              <w:t xml:space="preserve"> A</w:t>
            </w:r>
            <w:r>
              <w:rPr>
                <w:rFonts w:ascii="Arial" w:cs="Arial" w:eastAsia="Arial" w:hAnsi="Arial"/>
                <w:sz w:val="18"/>
                <w:szCs w:val="18"/>
                <w:color w:val="auto"/>
                <w:w w:val="97"/>
              </w:rPr>
              <w:t>ND</w:t>
            </w:r>
            <w:r>
              <w:rPr>
                <w:rFonts w:ascii="Arial" w:cs="Arial" w:eastAsia="Arial" w:hAnsi="Arial"/>
                <w:sz w:val="22"/>
                <w:szCs w:val="22"/>
                <w:color w:val="auto"/>
                <w:w w:val="97"/>
              </w:rPr>
              <w:t xml:space="preserve"> W</w:t>
            </w:r>
            <w:r>
              <w:rPr>
                <w:rFonts w:ascii="Arial" w:cs="Arial" w:eastAsia="Arial" w:hAnsi="Arial"/>
                <w:sz w:val="18"/>
                <w:szCs w:val="18"/>
                <w:color w:val="auto"/>
                <w:w w:val="97"/>
              </w:rPr>
              <w:t>AIVERS</w:t>
            </w:r>
          </w:p>
        </w:tc>
        <w:tc>
          <w:tcPr>
            <w:tcW w:w="2560" w:type="dxa"/>
            <w:vAlign w:val="bottom"/>
            <w:gridSpan w:val="3"/>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66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90"/>
              </w:rPr>
              <w:t xml:space="preserve">Section 9.01. </w:t>
            </w:r>
            <w:r>
              <w:rPr>
                <w:rFonts w:ascii="Arial" w:cs="Arial" w:eastAsia="Arial" w:hAnsi="Arial"/>
                <w:sz w:val="22"/>
                <w:szCs w:val="22"/>
                <w:i w:val="1"/>
                <w:iCs w:val="1"/>
                <w:color w:val="auto"/>
                <w:w w:val="90"/>
              </w:rPr>
              <w:t>Without Consent of Holders</w:t>
            </w:r>
          </w:p>
        </w:tc>
        <w:tc>
          <w:tcPr>
            <w:tcW w:w="6240" w:type="dxa"/>
            <w:vAlign w:val="bottom"/>
            <w:gridSpan w:val="30"/>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23"/>
        </w:trPr>
        <w:tc>
          <w:tcPr>
            <w:tcW w:w="9900" w:type="dxa"/>
            <w:vAlign w:val="bottom"/>
            <w:gridSpan w:val="41"/>
          </w:tcPr>
          <w:p>
            <w:pPr>
              <w:spacing w:after="0" w:line="223" w:lineRule="exact"/>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i w:val="1"/>
                <w:iCs w:val="1"/>
                <w:color w:val="auto"/>
              </w:rPr>
              <w:t>With Consent of Holders</w:t>
            </w: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52</w:t>
            </w:r>
          </w:p>
        </w:tc>
        <w:tc>
          <w:tcPr>
            <w:tcW w:w="0" w:type="dxa"/>
            <w:vAlign w:val="bottom"/>
          </w:tcPr>
          <w:p>
            <w:pPr>
              <w:spacing w:after="0" w:line="20" w:lineRule="exact"/>
              <w:rPr>
                <w:sz w:val="1"/>
                <w:szCs w:val="1"/>
                <w:color w:val="auto"/>
              </w:rPr>
            </w:pPr>
          </w:p>
        </w:tc>
      </w:tr>
      <w:tr>
        <w:trPr>
          <w:trHeight w:val="223"/>
        </w:trPr>
        <w:tc>
          <w:tcPr>
            <w:tcW w:w="4180" w:type="dxa"/>
            <w:vAlign w:val="bottom"/>
            <w:tcBorders>
              <w:bottom w:val="single" w:sz="8" w:color="auto"/>
            </w:tcBorders>
            <w:gridSpan w:val="17"/>
          </w:tcPr>
          <w:p>
            <w:pPr>
              <w:spacing w:after="0" w:line="223" w:lineRule="exact"/>
              <w:rPr>
                <w:sz w:val="20"/>
                <w:szCs w:val="20"/>
                <w:color w:val="auto"/>
              </w:rPr>
            </w:pPr>
            <w:r>
              <w:rPr>
                <w:rFonts w:ascii="Arial" w:cs="Arial" w:eastAsia="Arial" w:hAnsi="Arial"/>
                <w:sz w:val="22"/>
                <w:szCs w:val="22"/>
                <w:color w:val="auto"/>
                <w:w w:val="89"/>
              </w:rPr>
              <w:t xml:space="preserve">Section 9.03. </w:t>
            </w:r>
            <w:r>
              <w:rPr>
                <w:rFonts w:ascii="Arial" w:cs="Arial" w:eastAsia="Arial" w:hAnsi="Arial"/>
                <w:sz w:val="22"/>
                <w:szCs w:val="22"/>
                <w:i w:val="1"/>
                <w:iCs w:val="1"/>
                <w:color w:val="auto"/>
                <w:w w:val="89"/>
              </w:rPr>
              <w:t>Effect of Supplemental Indentures</w:t>
            </w:r>
          </w:p>
        </w:tc>
        <w:tc>
          <w:tcPr>
            <w:tcW w:w="5720" w:type="dxa"/>
            <w:vAlign w:val="bottom"/>
            <w:gridSpan w:val="24"/>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900" w:type="dxa"/>
            <w:vAlign w:val="bottom"/>
            <w:gridSpan w:val="41"/>
          </w:tcPr>
          <w:p>
            <w:pPr>
              <w:spacing w:after="0" w:line="223" w:lineRule="exact"/>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i w:val="1"/>
                <w:iCs w:val="1"/>
                <w:color w:val="auto"/>
              </w:rPr>
              <w:t>Securities Affected by Supplemental Indentures</w:t>
            </w: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gridSpan w:val="28"/>
          </w:tcPr>
          <w:p>
            <w:pPr>
              <w:spacing w:after="0" w:line="223" w:lineRule="exact"/>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i w:val="1"/>
                <w:iCs w:val="1"/>
                <w:color w:val="auto"/>
              </w:rPr>
              <w:t>Execution of Supplemental Indentures</w:t>
            </w:r>
          </w:p>
        </w:tc>
        <w:tc>
          <w:tcPr>
            <w:tcW w:w="4580" w:type="dxa"/>
            <w:vAlign w:val="bottom"/>
            <w:gridSpan w:val="13"/>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439"/>
        </w:trPr>
        <w:tc>
          <w:tcPr>
            <w:tcW w:w="19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22"/>
                <w:szCs w:val="22"/>
                <w:color w:val="auto"/>
                <w:w w:val="93"/>
              </w:rPr>
              <w:t>ARTICLE 10</w:t>
            </w:r>
          </w:p>
        </w:tc>
        <w:tc>
          <w:tcPr>
            <w:tcW w:w="4000" w:type="dxa"/>
            <w:vAlign w:val="bottom"/>
            <w:gridSpan w:val="9"/>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tcBorders>
              <w:bottom w:val="single" w:sz="8" w:color="auto"/>
            </w:tcBorders>
            <w:gridSpan w:val="37"/>
          </w:tcPr>
          <w:p>
            <w:pPr>
              <w:jc w:val="center"/>
              <w:spacing w:after="0" w:line="223" w:lineRule="exact"/>
              <w:rPr>
                <w:sz w:val="20"/>
                <w:szCs w:val="20"/>
                <w:color w:val="auto"/>
              </w:rPr>
            </w:pPr>
            <w:r>
              <w:rPr>
                <w:rFonts w:ascii="Arial" w:cs="Arial" w:eastAsia="Arial" w:hAnsi="Arial"/>
                <w:sz w:val="22"/>
                <w:szCs w:val="22"/>
                <w:color w:val="auto"/>
                <w:w w:val="95"/>
              </w:rPr>
              <w:t>C</w:t>
            </w:r>
            <w:r>
              <w:rPr>
                <w:rFonts w:ascii="Arial" w:cs="Arial" w:eastAsia="Arial" w:hAnsi="Arial"/>
                <w:sz w:val="18"/>
                <w:szCs w:val="18"/>
                <w:color w:val="auto"/>
                <w:w w:val="95"/>
              </w:rPr>
              <w:t>ONSOLIDATION</w:t>
            </w:r>
            <w:r>
              <w:rPr>
                <w:rFonts w:ascii="Arial" w:cs="Arial" w:eastAsia="Arial" w:hAnsi="Arial"/>
                <w:sz w:val="22"/>
                <w:szCs w:val="22"/>
                <w:color w:val="auto"/>
                <w:w w:val="95"/>
              </w:rPr>
              <w:t>; M</w:t>
            </w:r>
            <w:r>
              <w:rPr>
                <w:rFonts w:ascii="Arial" w:cs="Arial" w:eastAsia="Arial" w:hAnsi="Arial"/>
                <w:sz w:val="18"/>
                <w:szCs w:val="18"/>
                <w:color w:val="auto"/>
                <w:w w:val="95"/>
              </w:rPr>
              <w:t>ERGER</w:t>
            </w:r>
            <w:r>
              <w:rPr>
                <w:rFonts w:ascii="Arial" w:cs="Arial" w:eastAsia="Arial" w:hAnsi="Arial"/>
                <w:sz w:val="22"/>
                <w:szCs w:val="22"/>
                <w:color w:val="auto"/>
                <w:w w:val="95"/>
              </w:rPr>
              <w:t>; C</w:t>
            </w:r>
            <w:r>
              <w:rPr>
                <w:rFonts w:ascii="Arial" w:cs="Arial" w:eastAsia="Arial" w:hAnsi="Arial"/>
                <w:sz w:val="18"/>
                <w:szCs w:val="18"/>
                <w:color w:val="auto"/>
                <w:w w:val="95"/>
              </w:rPr>
              <w:t>ONVEYANCE</w:t>
            </w:r>
            <w:r>
              <w:rPr>
                <w:rFonts w:ascii="Arial" w:cs="Arial" w:eastAsia="Arial" w:hAnsi="Arial"/>
                <w:sz w:val="22"/>
                <w:szCs w:val="22"/>
                <w:color w:val="auto"/>
                <w:w w:val="95"/>
              </w:rPr>
              <w:t>; T</w:t>
            </w:r>
            <w:r>
              <w:rPr>
                <w:rFonts w:ascii="Arial" w:cs="Arial" w:eastAsia="Arial" w:hAnsi="Arial"/>
                <w:sz w:val="18"/>
                <w:szCs w:val="18"/>
                <w:color w:val="auto"/>
                <w:w w:val="95"/>
              </w:rPr>
              <w:t>RANSFER</w:t>
            </w:r>
            <w:r>
              <w:rPr>
                <w:rFonts w:ascii="Arial" w:cs="Arial" w:eastAsia="Arial" w:hAnsi="Arial"/>
                <w:sz w:val="22"/>
                <w:szCs w:val="22"/>
                <w:color w:val="auto"/>
                <w:w w:val="95"/>
              </w:rPr>
              <w:t xml:space="preserve"> O</w:t>
            </w:r>
            <w:r>
              <w:rPr>
                <w:rFonts w:ascii="Arial" w:cs="Arial" w:eastAsia="Arial" w:hAnsi="Arial"/>
                <w:sz w:val="18"/>
                <w:szCs w:val="18"/>
                <w:color w:val="auto"/>
                <w:w w:val="95"/>
              </w:rPr>
              <w:t>R</w:t>
            </w:r>
            <w:r>
              <w:rPr>
                <w:rFonts w:ascii="Arial" w:cs="Arial" w:eastAsia="Arial" w:hAnsi="Arial"/>
                <w:sz w:val="22"/>
                <w:szCs w:val="22"/>
                <w:color w:val="auto"/>
                <w:w w:val="95"/>
              </w:rPr>
              <w:t xml:space="preserve"> L</w:t>
            </w:r>
            <w:r>
              <w:rPr>
                <w:rFonts w:ascii="Arial" w:cs="Arial" w:eastAsia="Arial" w:hAnsi="Arial"/>
                <w:sz w:val="18"/>
                <w:szCs w:val="18"/>
                <w:color w:val="auto"/>
                <w:w w:val="95"/>
              </w:rPr>
              <w:t>EASE</w:t>
            </w:r>
          </w:p>
        </w:tc>
        <w:tc>
          <w:tcPr>
            <w:tcW w:w="1720" w:type="dxa"/>
            <w:vAlign w:val="bottom"/>
            <w:gridSpan w:val="2"/>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260" w:type="dxa"/>
            <w:vAlign w:val="bottom"/>
            <w:tcBorders>
              <w:bottom w:val="single" w:sz="8" w:color="auto"/>
            </w:tcBorders>
            <w:gridSpan w:val="34"/>
          </w:tcPr>
          <w:p>
            <w:pPr>
              <w:spacing w:after="0"/>
              <w:rPr>
                <w:sz w:val="20"/>
                <w:szCs w:val="20"/>
                <w:color w:val="auto"/>
              </w:rPr>
            </w:pPr>
            <w:r>
              <w:rPr>
                <w:rFonts w:ascii="Arial" w:cs="Arial" w:eastAsia="Arial" w:hAnsi="Arial"/>
                <w:sz w:val="22"/>
                <w:szCs w:val="22"/>
                <w:color w:val="auto"/>
                <w:w w:val="89"/>
              </w:rPr>
              <w:t xml:space="preserve">Section 10.01. </w:t>
            </w:r>
            <w:r>
              <w:rPr>
                <w:rFonts w:ascii="Arial" w:cs="Arial" w:eastAsia="Arial" w:hAnsi="Arial"/>
                <w:sz w:val="22"/>
                <w:szCs w:val="22"/>
                <w:i w:val="1"/>
                <w:iCs w:val="1"/>
                <w:color w:val="auto"/>
                <w:w w:val="89"/>
              </w:rPr>
              <w:t>Company May Consolidate, Etc., Only on Certain Terms</w:t>
            </w:r>
          </w:p>
        </w:tc>
        <w:tc>
          <w:tcPr>
            <w:tcW w:w="3640" w:type="dxa"/>
            <w:vAlign w:val="bottom"/>
            <w:gridSpan w:val="7"/>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223"/>
        </w:trPr>
        <w:tc>
          <w:tcPr>
            <w:tcW w:w="9900" w:type="dxa"/>
            <w:vAlign w:val="bottom"/>
            <w:gridSpan w:val="41"/>
          </w:tcPr>
          <w:p>
            <w:pPr>
              <w:spacing w:after="0" w:line="223" w:lineRule="exact"/>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i w:val="1"/>
                <w:iCs w:val="1"/>
                <w:color w:val="auto"/>
              </w:rPr>
              <w:t>Successor Substituted</w:t>
            </w: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439"/>
        </w:trPr>
        <w:tc>
          <w:tcPr>
            <w:tcW w:w="19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16"/>
          </w:tcPr>
          <w:p>
            <w:pPr>
              <w:jc w:val="center"/>
              <w:ind w:right="4020"/>
              <w:spacing w:after="0"/>
              <w:rPr>
                <w:sz w:val="20"/>
                <w:szCs w:val="20"/>
                <w:color w:val="auto"/>
              </w:rPr>
            </w:pPr>
            <w:r>
              <w:rPr>
                <w:rFonts w:ascii="Arial" w:cs="Arial" w:eastAsia="Arial" w:hAnsi="Arial"/>
                <w:sz w:val="22"/>
                <w:szCs w:val="22"/>
                <w:color w:val="auto"/>
                <w:w w:val="92"/>
              </w:rPr>
              <w:t>ARTICLE 11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Pr>
          <w:p>
            <w:pPr>
              <w:spacing w:after="0"/>
              <w:rPr>
                <w:sz w:val="19"/>
                <w:szCs w:val="19"/>
                <w:color w:val="auto"/>
              </w:rPr>
            </w:pPr>
          </w:p>
        </w:tc>
        <w:tc>
          <w:tcPr>
            <w:tcW w:w="6820" w:type="dxa"/>
            <w:vAlign w:val="bottom"/>
            <w:tcBorders>
              <w:bottom w:val="single" w:sz="8" w:color="auto"/>
            </w:tcBorders>
            <w:gridSpan w:val="39"/>
          </w:tcPr>
          <w:p>
            <w:pPr>
              <w:jc w:val="center"/>
              <w:spacing w:after="0" w:line="223" w:lineRule="exact"/>
              <w:rPr>
                <w:sz w:val="20"/>
                <w:szCs w:val="20"/>
                <w:color w:val="auto"/>
              </w:rPr>
            </w:pPr>
            <w:r>
              <w:rPr>
                <w:rFonts w:ascii="Arial" w:cs="Arial" w:eastAsia="Arial" w:hAnsi="Arial"/>
                <w:sz w:val="22"/>
                <w:szCs w:val="22"/>
                <w:color w:val="auto"/>
                <w:w w:val="95"/>
              </w:rPr>
              <w:t>I</w:t>
            </w:r>
            <w:r>
              <w:rPr>
                <w:rFonts w:ascii="Arial" w:cs="Arial" w:eastAsia="Arial" w:hAnsi="Arial"/>
                <w:sz w:val="18"/>
                <w:szCs w:val="18"/>
                <w:color w:val="auto"/>
                <w:w w:val="95"/>
              </w:rPr>
              <w:t>MMUNITY OF</w:t>
            </w:r>
            <w:r>
              <w:rPr>
                <w:rFonts w:ascii="Arial" w:cs="Arial" w:eastAsia="Arial" w:hAnsi="Arial"/>
                <w:sz w:val="22"/>
                <w:szCs w:val="22"/>
                <w:color w:val="auto"/>
                <w:w w:val="95"/>
              </w:rPr>
              <w:t xml:space="preserve"> I</w:t>
            </w:r>
            <w:r>
              <w:rPr>
                <w:rFonts w:ascii="Arial" w:cs="Arial" w:eastAsia="Arial" w:hAnsi="Arial"/>
                <w:sz w:val="18"/>
                <w:szCs w:val="18"/>
                <w:color w:val="auto"/>
                <w:w w:val="95"/>
              </w:rPr>
              <w:t>NCORPORATORS</w:t>
            </w:r>
            <w:r>
              <w:rPr>
                <w:rFonts w:ascii="Arial" w:cs="Arial" w:eastAsia="Arial" w:hAnsi="Arial"/>
                <w:sz w:val="22"/>
                <w:szCs w:val="22"/>
                <w:color w:val="auto"/>
                <w:w w:val="95"/>
              </w:rPr>
              <w:t>, S</w:t>
            </w:r>
            <w:r>
              <w:rPr>
                <w:rFonts w:ascii="Arial" w:cs="Arial" w:eastAsia="Arial" w:hAnsi="Arial"/>
                <w:sz w:val="18"/>
                <w:szCs w:val="18"/>
                <w:color w:val="auto"/>
                <w:w w:val="95"/>
              </w:rPr>
              <w:t>TOCKHOLDERS</w:t>
            </w:r>
            <w:r>
              <w:rPr>
                <w:rFonts w:ascii="Arial" w:cs="Arial" w:eastAsia="Arial" w:hAnsi="Arial"/>
                <w:sz w:val="22"/>
                <w:szCs w:val="22"/>
                <w:color w:val="auto"/>
                <w:w w:val="95"/>
              </w:rPr>
              <w:t>, O</w:t>
            </w:r>
            <w:r>
              <w:rPr>
                <w:rFonts w:ascii="Arial" w:cs="Arial" w:eastAsia="Arial" w:hAnsi="Arial"/>
                <w:sz w:val="18"/>
                <w:szCs w:val="18"/>
                <w:color w:val="auto"/>
                <w:w w:val="95"/>
              </w:rPr>
              <w:t>FFICERS AND</w:t>
            </w:r>
            <w:r>
              <w:rPr>
                <w:rFonts w:ascii="Arial" w:cs="Arial" w:eastAsia="Arial" w:hAnsi="Arial"/>
                <w:sz w:val="22"/>
                <w:szCs w:val="22"/>
                <w:color w:val="auto"/>
                <w:w w:val="95"/>
              </w:rPr>
              <w:t xml:space="preserve"> D</w:t>
            </w:r>
            <w:r>
              <w:rPr>
                <w:rFonts w:ascii="Arial" w:cs="Arial" w:eastAsia="Arial" w:hAnsi="Arial"/>
                <w:sz w:val="18"/>
                <w:szCs w:val="18"/>
                <w:color w:val="auto"/>
                <w:w w:val="95"/>
              </w:rPr>
              <w:t>IRECTORS</w:t>
            </w: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9900" w:type="dxa"/>
            <w:vAlign w:val="bottom"/>
            <w:gridSpan w:val="41"/>
          </w:tcPr>
          <w:p>
            <w:pPr>
              <w:spacing w:after="0"/>
              <w:rPr>
                <w:sz w:val="20"/>
                <w:szCs w:val="20"/>
                <w:color w:val="auto"/>
              </w:rPr>
            </w:pPr>
            <w:r>
              <w:rPr>
                <w:rFonts w:ascii="Arial" w:cs="Arial" w:eastAsia="Arial" w:hAnsi="Arial"/>
                <w:sz w:val="22"/>
                <w:szCs w:val="22"/>
                <w:color w:val="auto"/>
              </w:rPr>
              <w:t>Section 11.01</w:t>
            </w:r>
            <w:r>
              <w:rPr>
                <w:rFonts w:ascii="Arial" w:cs="Arial" w:eastAsia="Arial" w:hAnsi="Arial"/>
                <w:sz w:val="22"/>
                <w:szCs w:val="22"/>
                <w:i w:val="1"/>
                <w:iCs w:val="1"/>
                <w:color w:val="auto"/>
              </w:rPr>
              <w:t>. No Recourse</w:t>
            </w:r>
          </w:p>
        </w:tc>
        <w:tc>
          <w:tcPr>
            <w:tcW w:w="1420" w:type="dxa"/>
            <w:vAlign w:val="bottom"/>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439"/>
        </w:trPr>
        <w:tc>
          <w:tcPr>
            <w:tcW w:w="19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22"/>
                <w:szCs w:val="22"/>
                <w:color w:val="auto"/>
                <w:w w:val="93"/>
              </w:rPr>
              <w:t>ARTICLE 12</w:t>
            </w:r>
          </w:p>
        </w:tc>
        <w:tc>
          <w:tcPr>
            <w:tcW w:w="4000" w:type="dxa"/>
            <w:vAlign w:val="bottom"/>
            <w:gridSpan w:val="9"/>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60" w:type="dxa"/>
            <w:vAlign w:val="bottom"/>
            <w:gridSpan w:val="22"/>
          </w:tcPr>
          <w:p>
            <w:pPr>
              <w:jc w:val="center"/>
              <w:ind w:right="3520"/>
              <w:spacing w:after="0" w:line="223" w:lineRule="exact"/>
              <w:rPr>
                <w:sz w:val="20"/>
                <w:szCs w:val="20"/>
                <w:color w:val="auto"/>
              </w:rPr>
            </w:pPr>
            <w:r>
              <w:rPr>
                <w:rFonts w:ascii="Arial" w:cs="Arial" w:eastAsia="Arial" w:hAnsi="Arial"/>
                <w:sz w:val="22"/>
                <w:szCs w:val="22"/>
                <w:color w:val="auto"/>
                <w:w w:val="99"/>
              </w:rPr>
              <w:t>A</w:t>
            </w:r>
            <w:r>
              <w:rPr>
                <w:rFonts w:ascii="Arial" w:cs="Arial" w:eastAsia="Arial" w:hAnsi="Arial"/>
                <w:sz w:val="18"/>
                <w:szCs w:val="18"/>
                <w:color w:val="auto"/>
                <w:w w:val="99"/>
              </w:rPr>
              <w:t>DDITIONAL</w:t>
            </w:r>
            <w:r>
              <w:rPr>
                <w:rFonts w:ascii="Arial" w:cs="Arial" w:eastAsia="Arial" w:hAnsi="Arial"/>
                <w:sz w:val="22"/>
                <w:szCs w:val="22"/>
                <w:color w:val="auto"/>
                <w:w w:val="99"/>
              </w:rPr>
              <w:t xml:space="preserve"> I</w:t>
            </w:r>
            <w:r>
              <w:rPr>
                <w:rFonts w:ascii="Arial" w:cs="Arial" w:eastAsia="Arial" w:hAnsi="Arial"/>
                <w:sz w:val="18"/>
                <w:szCs w:val="18"/>
                <w:color w:val="auto"/>
                <w:w w:val="99"/>
              </w:rPr>
              <w:t>NTEREST</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280" w:type="dxa"/>
            <w:vAlign w:val="bottom"/>
            <w:gridSpan w:val="20"/>
          </w:tcPr>
          <w:p>
            <w:pPr>
              <w:spacing w:after="0"/>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i w:val="1"/>
                <w:iCs w:val="1"/>
                <w:color w:val="auto"/>
              </w:rPr>
              <w:t>Additional Interest</w:t>
            </w:r>
          </w:p>
        </w:tc>
        <w:tc>
          <w:tcPr>
            <w:tcW w:w="2060" w:type="dxa"/>
            <w:vAlign w:val="bottom"/>
            <w:tcBorders>
              <w:top w:val="single" w:sz="8" w:color="auto"/>
            </w:tcBorders>
            <w:gridSpan w:val="15"/>
          </w:tcPr>
          <w:p>
            <w:pPr>
              <w:spacing w:after="0"/>
              <w:rPr>
                <w:sz w:val="24"/>
                <w:szCs w:val="24"/>
                <w:color w:val="auto"/>
              </w:rPr>
            </w:pPr>
          </w:p>
        </w:tc>
        <w:tc>
          <w:tcPr>
            <w:tcW w:w="3560" w:type="dxa"/>
            <w:vAlign w:val="bottom"/>
            <w:gridSpan w:val="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23"/>
        </w:trPr>
        <w:tc>
          <w:tcPr>
            <w:tcW w:w="1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bottom w:val="single" w:sz="8" w:color="auto"/>
            </w:tcBorders>
            <w:gridSpan w:val="8"/>
          </w:tcPr>
          <w:p>
            <w:pPr>
              <w:jc w:val="center"/>
              <w:ind w:right="20"/>
              <w:spacing w:after="0" w:line="223" w:lineRule="exact"/>
              <w:rPr>
                <w:sz w:val="20"/>
                <w:szCs w:val="20"/>
                <w:color w:val="auto"/>
              </w:rPr>
            </w:pPr>
            <w:r>
              <w:rPr>
                <w:rFonts w:ascii="Arial" w:cs="Arial" w:eastAsia="Arial" w:hAnsi="Arial"/>
                <w:sz w:val="22"/>
                <w:szCs w:val="22"/>
                <w:color w:val="auto"/>
                <w:w w:val="93"/>
              </w:rPr>
              <w:t>ARTICLE 13</w:t>
            </w:r>
          </w:p>
        </w:tc>
        <w:tc>
          <w:tcPr>
            <w:tcW w:w="4000" w:type="dxa"/>
            <w:vAlign w:val="bottom"/>
            <w:gridSpan w:val="9"/>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60" w:type="dxa"/>
            <w:vAlign w:val="bottom"/>
            <w:gridSpan w:val="22"/>
          </w:tcPr>
          <w:p>
            <w:pPr>
              <w:jc w:val="center"/>
              <w:ind w:right="3540"/>
              <w:spacing w:after="0" w:line="223" w:lineRule="exact"/>
              <w:rPr>
                <w:sz w:val="20"/>
                <w:szCs w:val="20"/>
                <w:color w:val="auto"/>
              </w:rPr>
            </w:pPr>
            <w:r>
              <w:rPr>
                <w:rFonts w:ascii="Arial" w:cs="Arial" w:eastAsia="Arial" w:hAnsi="Arial"/>
                <w:sz w:val="22"/>
                <w:szCs w:val="22"/>
                <w:color w:val="auto"/>
                <w:w w:val="94"/>
              </w:rPr>
              <w:t>C</w:t>
            </w:r>
            <w:r>
              <w:rPr>
                <w:rFonts w:ascii="Arial" w:cs="Arial" w:eastAsia="Arial" w:hAnsi="Arial"/>
                <w:sz w:val="18"/>
                <w:szCs w:val="18"/>
                <w:color w:val="auto"/>
                <w:w w:val="94"/>
              </w:rPr>
              <w:t>ONVERSION OF</w:t>
            </w:r>
            <w:r>
              <w:rPr>
                <w:rFonts w:ascii="Arial" w:cs="Arial" w:eastAsia="Arial" w:hAnsi="Arial"/>
                <w:sz w:val="22"/>
                <w:szCs w:val="22"/>
                <w:color w:val="auto"/>
                <w:w w:val="94"/>
              </w:rPr>
              <w:t xml:space="preserve"> N</w:t>
            </w:r>
            <w:r>
              <w:rPr>
                <w:rFonts w:ascii="Arial" w:cs="Arial" w:eastAsia="Arial" w:hAnsi="Arial"/>
                <w:sz w:val="18"/>
                <w:szCs w:val="18"/>
                <w:color w:val="auto"/>
                <w:w w:val="94"/>
              </w:rPr>
              <w:t>OTES</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1280" w:type="dxa"/>
            <w:vAlign w:val="bottom"/>
            <w:gridSpan w:val="9"/>
            <w:shd w:val="clear" w:color="auto" w:fill="000000"/>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80" w:type="dxa"/>
            <w:vAlign w:val="bottom"/>
            <w:tcBorders>
              <w:bottom w:val="single" w:sz="8" w:color="auto"/>
            </w:tcBorders>
            <w:gridSpan w:val="27"/>
          </w:tcPr>
          <w:p>
            <w:pPr>
              <w:spacing w:after="0"/>
              <w:rPr>
                <w:sz w:val="20"/>
                <w:szCs w:val="20"/>
                <w:color w:val="auto"/>
              </w:rPr>
            </w:pPr>
            <w:r>
              <w:rPr>
                <w:rFonts w:ascii="Arial" w:cs="Arial" w:eastAsia="Arial" w:hAnsi="Arial"/>
                <w:sz w:val="22"/>
                <w:szCs w:val="22"/>
                <w:color w:val="auto"/>
                <w:w w:val="90"/>
              </w:rPr>
              <w:t xml:space="preserve">Section 13.01. </w:t>
            </w:r>
            <w:r>
              <w:rPr>
                <w:rFonts w:ascii="Arial" w:cs="Arial" w:eastAsia="Arial" w:hAnsi="Arial"/>
                <w:sz w:val="22"/>
                <w:szCs w:val="22"/>
                <w:i w:val="1"/>
                <w:iCs w:val="1"/>
                <w:color w:val="auto"/>
                <w:w w:val="90"/>
              </w:rPr>
              <w:t>Conversion Privilege and Conversion Rate</w:t>
            </w:r>
          </w:p>
        </w:tc>
        <w:tc>
          <w:tcPr>
            <w:tcW w:w="4820" w:type="dxa"/>
            <w:vAlign w:val="bottom"/>
            <w:gridSpan w:val="14"/>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56</w:t>
            </w:r>
          </w:p>
        </w:tc>
        <w:tc>
          <w:tcPr>
            <w:tcW w:w="0" w:type="dxa"/>
            <w:vAlign w:val="bottom"/>
          </w:tcPr>
          <w:p>
            <w:pPr>
              <w:spacing w:after="0"/>
              <w:rPr>
                <w:sz w:val="1"/>
                <w:szCs w:val="1"/>
                <w:color w:val="auto"/>
              </w:rPr>
            </w:pPr>
          </w:p>
        </w:tc>
      </w:tr>
      <w:tr>
        <w:trPr>
          <w:trHeight w:val="223"/>
        </w:trPr>
        <w:tc>
          <w:tcPr>
            <w:tcW w:w="9900" w:type="dxa"/>
            <w:vAlign w:val="bottom"/>
            <w:gridSpan w:val="41"/>
          </w:tcPr>
          <w:p>
            <w:pPr>
              <w:spacing w:after="0" w:line="223" w:lineRule="exact"/>
              <w:rPr>
                <w:sz w:val="20"/>
                <w:szCs w:val="20"/>
                <w:color w:val="auto"/>
              </w:rPr>
            </w:pPr>
            <w:r>
              <w:rPr>
                <w:rFonts w:ascii="Arial" w:cs="Arial" w:eastAsia="Arial" w:hAnsi="Arial"/>
                <w:sz w:val="22"/>
                <w:szCs w:val="22"/>
                <w:color w:val="auto"/>
              </w:rPr>
              <w:t xml:space="preserve">Section 13.02. </w:t>
            </w:r>
            <w:r>
              <w:rPr>
                <w:rFonts w:ascii="Arial" w:cs="Arial" w:eastAsia="Arial" w:hAnsi="Arial"/>
                <w:sz w:val="22"/>
                <w:szCs w:val="22"/>
                <w:i w:val="1"/>
                <w:iCs w:val="1"/>
                <w:color w:val="auto"/>
              </w:rPr>
              <w:t>Conversion Procedure</w:t>
            </w: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23"/>
        </w:trPr>
        <w:tc>
          <w:tcPr>
            <w:tcW w:w="2920" w:type="dxa"/>
            <w:vAlign w:val="bottom"/>
            <w:tcBorders>
              <w:top w:val="single" w:sz="8" w:color="auto"/>
              <w:bottom w:val="single" w:sz="8" w:color="auto"/>
            </w:tcBorders>
            <w:gridSpan w:val="4"/>
          </w:tcPr>
          <w:p>
            <w:pPr>
              <w:spacing w:after="0" w:line="223" w:lineRule="exact"/>
              <w:rPr>
                <w:sz w:val="20"/>
                <w:szCs w:val="20"/>
                <w:color w:val="auto"/>
              </w:rPr>
            </w:pPr>
            <w:r>
              <w:rPr>
                <w:rFonts w:ascii="Arial" w:cs="Arial" w:eastAsia="Arial" w:hAnsi="Arial"/>
                <w:sz w:val="22"/>
                <w:szCs w:val="22"/>
                <w:color w:val="auto"/>
                <w:w w:val="90"/>
              </w:rPr>
              <w:t xml:space="preserve">Section 13.03. </w:t>
            </w:r>
            <w:r>
              <w:rPr>
                <w:rFonts w:ascii="Arial" w:cs="Arial" w:eastAsia="Arial" w:hAnsi="Arial"/>
                <w:sz w:val="22"/>
                <w:szCs w:val="22"/>
                <w:i w:val="1"/>
                <w:iCs w:val="1"/>
                <w:color w:val="auto"/>
                <w:w w:val="90"/>
              </w:rPr>
              <w:t>Fractional Shares</w:t>
            </w:r>
          </w:p>
        </w:tc>
        <w:tc>
          <w:tcPr>
            <w:tcW w:w="380" w:type="dxa"/>
            <w:vAlign w:val="bottom"/>
            <w:tcBorders>
              <w:top w:val="single" w:sz="8" w:color="auto"/>
            </w:tcBorders>
            <w:gridSpan w:val="5"/>
          </w:tcPr>
          <w:p>
            <w:pPr>
              <w:spacing w:after="0"/>
              <w:rPr>
                <w:sz w:val="19"/>
                <w:szCs w:val="19"/>
                <w:color w:val="auto"/>
              </w:rPr>
            </w:pPr>
          </w:p>
        </w:tc>
        <w:tc>
          <w:tcPr>
            <w:tcW w:w="6600" w:type="dxa"/>
            <w:vAlign w:val="bottom"/>
            <w:gridSpan w:val="32"/>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23"/>
        </w:trPr>
        <w:tc>
          <w:tcPr>
            <w:tcW w:w="9900" w:type="dxa"/>
            <w:vAlign w:val="bottom"/>
            <w:gridSpan w:val="41"/>
          </w:tcPr>
          <w:p>
            <w:pPr>
              <w:spacing w:after="0" w:line="223" w:lineRule="exact"/>
              <w:rPr>
                <w:sz w:val="20"/>
                <w:szCs w:val="20"/>
                <w:color w:val="auto"/>
              </w:rPr>
            </w:pPr>
            <w:r>
              <w:rPr>
                <w:rFonts w:ascii="Arial" w:cs="Arial" w:eastAsia="Arial" w:hAnsi="Arial"/>
                <w:sz w:val="22"/>
                <w:szCs w:val="22"/>
                <w:color w:val="auto"/>
              </w:rPr>
              <w:t xml:space="preserve">Section 13.04. </w:t>
            </w:r>
            <w:r>
              <w:rPr>
                <w:rFonts w:ascii="Arial" w:cs="Arial" w:eastAsia="Arial" w:hAnsi="Arial"/>
                <w:sz w:val="22"/>
                <w:szCs w:val="22"/>
                <w:i w:val="1"/>
                <w:iCs w:val="1"/>
                <w:color w:val="auto"/>
              </w:rPr>
              <w:t>Taxes on Conversion</w:t>
            </w: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0"/>
        </w:trPr>
        <w:tc>
          <w:tcPr>
            <w:tcW w:w="3160" w:type="dxa"/>
            <w:vAlign w:val="bottom"/>
            <w:gridSpan w:val="6"/>
            <w:shd w:val="clear" w:color="auto" w:fill="000000"/>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400" w:type="dxa"/>
            <w:vAlign w:val="bottom"/>
            <w:gridSpan w:val="19"/>
          </w:tcPr>
          <w:p>
            <w:pPr>
              <w:spacing w:after="0" w:line="20" w:lineRule="exact"/>
              <w:rPr>
                <w:sz w:val="1"/>
                <w:szCs w:val="1"/>
                <w:color w:val="auto"/>
              </w:rPr>
            </w:pPr>
          </w:p>
        </w:tc>
        <w:tc>
          <w:tcPr>
            <w:tcW w:w="142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60</w:t>
            </w:r>
          </w:p>
        </w:tc>
        <w:tc>
          <w:tcPr>
            <w:tcW w:w="0" w:type="dxa"/>
            <w:vAlign w:val="bottom"/>
          </w:tcPr>
          <w:p>
            <w:pPr>
              <w:spacing w:after="0" w:line="20" w:lineRule="exact"/>
              <w:rPr>
                <w:sz w:val="1"/>
                <w:szCs w:val="1"/>
                <w:color w:val="auto"/>
              </w:rPr>
            </w:pPr>
          </w:p>
        </w:tc>
      </w:tr>
      <w:tr>
        <w:trPr>
          <w:trHeight w:val="223"/>
        </w:trPr>
        <w:tc>
          <w:tcPr>
            <w:tcW w:w="4500" w:type="dxa"/>
            <w:vAlign w:val="bottom"/>
            <w:tcBorders>
              <w:bottom w:val="single" w:sz="8" w:color="auto"/>
            </w:tcBorders>
            <w:gridSpan w:val="22"/>
          </w:tcPr>
          <w:p>
            <w:pPr>
              <w:spacing w:after="0" w:line="223" w:lineRule="exact"/>
              <w:rPr>
                <w:sz w:val="20"/>
                <w:szCs w:val="20"/>
                <w:color w:val="auto"/>
              </w:rPr>
            </w:pPr>
            <w:r>
              <w:rPr>
                <w:rFonts w:ascii="Arial" w:cs="Arial" w:eastAsia="Arial" w:hAnsi="Arial"/>
                <w:sz w:val="22"/>
                <w:szCs w:val="22"/>
                <w:color w:val="auto"/>
                <w:w w:val="89"/>
              </w:rPr>
              <w:t xml:space="preserve">Section 13.05. </w:t>
            </w:r>
            <w:r>
              <w:rPr>
                <w:rFonts w:ascii="Arial" w:cs="Arial" w:eastAsia="Arial" w:hAnsi="Arial"/>
                <w:sz w:val="22"/>
                <w:szCs w:val="22"/>
                <w:i w:val="1"/>
                <w:iCs w:val="1"/>
                <w:color w:val="auto"/>
                <w:w w:val="89"/>
              </w:rPr>
              <w:t>Company to Provide Common Stock</w:t>
            </w:r>
          </w:p>
        </w:tc>
        <w:tc>
          <w:tcPr>
            <w:tcW w:w="5400" w:type="dxa"/>
            <w:vAlign w:val="bottom"/>
            <w:gridSpan w:val="19"/>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gridSpan w:val="16"/>
          </w:tcPr>
          <w:p>
            <w:pPr>
              <w:spacing w:after="0" w:line="223" w:lineRule="exact"/>
              <w:rPr>
                <w:sz w:val="20"/>
                <w:szCs w:val="20"/>
                <w:color w:val="auto"/>
              </w:rPr>
            </w:pPr>
            <w:r>
              <w:rPr>
                <w:rFonts w:ascii="Arial" w:cs="Arial" w:eastAsia="Arial" w:hAnsi="Arial"/>
                <w:sz w:val="22"/>
                <w:szCs w:val="22"/>
                <w:color w:val="auto"/>
                <w:w w:val="89"/>
              </w:rPr>
              <w:t xml:space="preserve">Section 13.06. </w:t>
            </w:r>
            <w:r>
              <w:rPr>
                <w:rFonts w:ascii="Arial" w:cs="Arial" w:eastAsia="Arial" w:hAnsi="Arial"/>
                <w:sz w:val="22"/>
                <w:szCs w:val="22"/>
                <w:i w:val="1"/>
                <w:iCs w:val="1"/>
                <w:color w:val="auto"/>
                <w:w w:val="89"/>
              </w:rPr>
              <w:t>Adjustment of Conversion Rate</w:t>
            </w:r>
          </w:p>
        </w:tc>
        <w:tc>
          <w:tcPr>
            <w:tcW w:w="5840" w:type="dxa"/>
            <w:vAlign w:val="bottom"/>
            <w:gridSpan w:val="25"/>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gridSpan w:val="18"/>
          </w:tcPr>
          <w:p>
            <w:pPr>
              <w:spacing w:after="0" w:line="223" w:lineRule="exact"/>
              <w:rPr>
                <w:sz w:val="20"/>
                <w:szCs w:val="20"/>
                <w:color w:val="auto"/>
              </w:rPr>
            </w:pPr>
            <w:r>
              <w:rPr>
                <w:rFonts w:ascii="Arial" w:cs="Arial" w:eastAsia="Arial" w:hAnsi="Arial"/>
                <w:sz w:val="22"/>
                <w:szCs w:val="22"/>
                <w:color w:val="auto"/>
                <w:w w:val="88"/>
              </w:rPr>
              <w:t xml:space="preserve">Section 13.07. </w:t>
            </w:r>
            <w:r>
              <w:rPr>
                <w:rFonts w:ascii="Arial" w:cs="Arial" w:eastAsia="Arial" w:hAnsi="Arial"/>
                <w:sz w:val="22"/>
                <w:szCs w:val="22"/>
                <w:i w:val="1"/>
                <w:iCs w:val="1"/>
                <w:color w:val="auto"/>
                <w:w w:val="88"/>
              </w:rPr>
              <w:t>When No Adjustment is Required</w:t>
            </w:r>
          </w:p>
        </w:tc>
        <w:tc>
          <w:tcPr>
            <w:tcW w:w="5680" w:type="dxa"/>
            <w:vAlign w:val="bottom"/>
            <w:gridSpan w:val="23"/>
          </w:tcPr>
          <w:p>
            <w:pPr>
              <w:spacing w:after="0"/>
              <w:rPr>
                <w:sz w:val="19"/>
                <w:szCs w:val="19"/>
                <w:color w:val="auto"/>
              </w:rPr>
            </w:pPr>
          </w:p>
        </w:tc>
        <w:tc>
          <w:tcPr>
            <w:tcW w:w="1420" w:type="dxa"/>
            <w:vAlign w:val="bottom"/>
          </w:tcPr>
          <w:p>
            <w:pPr>
              <w:jc w:val="right"/>
              <w:spacing w:after="0" w:line="223" w:lineRule="exact"/>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320"/>
          </w:cols>
          <w:pgMar w:left="240" w:top="23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3"/>
        </w:trPr>
        <w:tc>
          <w:tcPr>
            <w:tcW w:w="3180" w:type="dxa"/>
            <w:vAlign w:val="bottom"/>
            <w:tcBorders>
              <w:bottom w:val="single" w:sz="8" w:color="auto"/>
            </w:tcBorders>
            <w:gridSpan w:val="8"/>
          </w:tcPr>
          <w:p>
            <w:pPr>
              <w:spacing w:after="0"/>
              <w:rPr>
                <w:sz w:val="20"/>
                <w:szCs w:val="20"/>
                <w:color w:val="auto"/>
              </w:rPr>
            </w:pPr>
            <w:r>
              <w:rPr>
                <w:rFonts w:ascii="Arial" w:cs="Arial" w:eastAsia="Arial" w:hAnsi="Arial"/>
                <w:sz w:val="22"/>
                <w:szCs w:val="22"/>
                <w:color w:val="auto"/>
                <w:w w:val="90"/>
              </w:rPr>
              <w:t xml:space="preserve">Section 13.08. </w:t>
            </w:r>
            <w:r>
              <w:rPr>
                <w:rFonts w:ascii="Arial" w:cs="Arial" w:eastAsia="Arial" w:hAnsi="Arial"/>
                <w:sz w:val="22"/>
                <w:szCs w:val="22"/>
                <w:i w:val="1"/>
                <w:iCs w:val="1"/>
                <w:color w:val="auto"/>
                <w:w w:val="90"/>
              </w:rPr>
              <w:t>Notice of Adjustment</w:t>
            </w:r>
          </w:p>
        </w:tc>
        <w:tc>
          <w:tcPr>
            <w:tcW w:w="5780" w:type="dxa"/>
            <w:vAlign w:val="bottom"/>
            <w:gridSpan w:val="30"/>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auto"/>
            </w:tcBorders>
            <w:gridSpan w:val="17"/>
          </w:tcPr>
          <w:p>
            <w:pPr>
              <w:spacing w:after="0" w:line="223" w:lineRule="exact"/>
              <w:rPr>
                <w:sz w:val="20"/>
                <w:szCs w:val="20"/>
                <w:color w:val="auto"/>
              </w:rPr>
            </w:pPr>
            <w:r>
              <w:rPr>
                <w:rFonts w:ascii="Arial" w:cs="Arial" w:eastAsia="Arial" w:hAnsi="Arial"/>
                <w:sz w:val="22"/>
                <w:szCs w:val="22"/>
                <w:color w:val="auto"/>
                <w:w w:val="90"/>
              </w:rPr>
              <w:t xml:space="preserve">Section 13.09. </w:t>
            </w:r>
            <w:r>
              <w:rPr>
                <w:rFonts w:ascii="Arial" w:cs="Arial" w:eastAsia="Arial" w:hAnsi="Arial"/>
                <w:sz w:val="22"/>
                <w:szCs w:val="22"/>
                <w:i w:val="1"/>
                <w:iCs w:val="1"/>
                <w:color w:val="auto"/>
                <w:w w:val="90"/>
              </w:rPr>
              <w:t>Notice of Certain Transactions</w:t>
            </w:r>
          </w:p>
        </w:tc>
        <w:tc>
          <w:tcPr>
            <w:tcW w:w="4920" w:type="dxa"/>
            <w:vAlign w:val="bottom"/>
            <w:gridSpan w:val="21"/>
          </w:tcPr>
          <w:p>
            <w:pPr>
              <w:spacing w:after="0"/>
              <w:rPr>
                <w:sz w:val="19"/>
                <w:szCs w:val="19"/>
                <w:color w:val="auto"/>
              </w:rPr>
            </w:pP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23"/>
        </w:trPr>
        <w:tc>
          <w:tcPr>
            <w:tcW w:w="8960" w:type="dxa"/>
            <w:vAlign w:val="bottom"/>
            <w:gridSpan w:val="38"/>
          </w:tcPr>
          <w:p>
            <w:pPr>
              <w:spacing w:after="0" w:line="223" w:lineRule="exact"/>
              <w:rPr>
                <w:sz w:val="20"/>
                <w:szCs w:val="20"/>
                <w:color w:val="auto"/>
              </w:rPr>
            </w:pPr>
            <w:r>
              <w:rPr>
                <w:rFonts w:ascii="Arial" w:cs="Arial" w:eastAsia="Arial" w:hAnsi="Arial"/>
                <w:sz w:val="22"/>
                <w:szCs w:val="22"/>
                <w:color w:val="auto"/>
              </w:rPr>
              <w:t xml:space="preserve">Section 13.10. </w:t>
            </w:r>
            <w:r>
              <w:rPr>
                <w:rFonts w:ascii="Arial" w:cs="Arial" w:eastAsia="Arial" w:hAnsi="Arial"/>
                <w:sz w:val="22"/>
                <w:szCs w:val="22"/>
                <w:i w:val="1"/>
                <w:iCs w:val="1"/>
                <w:color w:val="auto"/>
              </w:rPr>
              <w:t>Effect of Reclassification, Consolidation, Merger or Sale On</w:t>
            </w:r>
          </w:p>
        </w:tc>
        <w:tc>
          <w:tcPr>
            <w:tcW w:w="2360" w:type="dxa"/>
            <w:vAlign w:val="bottom"/>
            <w:vMerge w:val="restart"/>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gridSpan w:val="35"/>
          </w:tcPr>
          <w:p>
            <w:pPr>
              <w:ind w:left="660"/>
              <w:spacing w:after="0" w:line="223" w:lineRule="exact"/>
              <w:rPr>
                <w:sz w:val="20"/>
                <w:szCs w:val="20"/>
                <w:color w:val="auto"/>
              </w:rPr>
            </w:pPr>
            <w:r>
              <w:rPr>
                <w:rFonts w:ascii="Arial" w:cs="Arial" w:eastAsia="Arial" w:hAnsi="Arial"/>
                <w:sz w:val="22"/>
                <w:szCs w:val="22"/>
                <w:i w:val="1"/>
                <w:iCs w:val="1"/>
                <w:color w:val="auto"/>
              </w:rPr>
              <w:t>Conversion Privilege</w:t>
            </w:r>
          </w:p>
        </w:tc>
        <w:tc>
          <w:tcPr>
            <w:tcW w:w="2380" w:type="dxa"/>
            <w:vAlign w:val="bottom"/>
            <w:gridSpan w:val="3"/>
          </w:tcPr>
          <w:p>
            <w:pPr>
              <w:spacing w:after="0"/>
              <w:rPr>
                <w:sz w:val="19"/>
                <w:szCs w:val="19"/>
                <w:color w:val="auto"/>
              </w:rPr>
            </w:pP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70</w:t>
            </w:r>
          </w:p>
        </w:tc>
        <w:tc>
          <w:tcPr>
            <w:tcW w:w="0" w:type="dxa"/>
            <w:vAlign w:val="bottom"/>
          </w:tcPr>
          <w:p>
            <w:pPr>
              <w:spacing w:after="0" w:line="20" w:lineRule="exact"/>
              <w:rPr>
                <w:sz w:val="1"/>
                <w:szCs w:val="1"/>
                <w:color w:val="auto"/>
              </w:rPr>
            </w:pPr>
          </w:p>
        </w:tc>
      </w:tr>
      <w:tr>
        <w:trPr>
          <w:trHeight w:val="223"/>
        </w:trPr>
        <w:tc>
          <w:tcPr>
            <w:tcW w:w="8960" w:type="dxa"/>
            <w:vAlign w:val="bottom"/>
            <w:gridSpan w:val="38"/>
          </w:tcPr>
          <w:p>
            <w:pPr>
              <w:spacing w:after="0" w:line="223" w:lineRule="exact"/>
              <w:rPr>
                <w:sz w:val="20"/>
                <w:szCs w:val="20"/>
                <w:color w:val="auto"/>
              </w:rPr>
            </w:pPr>
            <w:r>
              <w:rPr>
                <w:rFonts w:ascii="Arial" w:cs="Arial" w:eastAsia="Arial" w:hAnsi="Arial"/>
                <w:sz w:val="22"/>
                <w:szCs w:val="22"/>
                <w:color w:val="auto"/>
              </w:rPr>
              <w:t xml:space="preserve">Section 13.11. </w:t>
            </w:r>
            <w:r>
              <w:rPr>
                <w:rFonts w:ascii="Arial" w:cs="Arial" w:eastAsia="Arial" w:hAnsi="Arial"/>
                <w:sz w:val="22"/>
                <w:szCs w:val="22"/>
                <w:i w:val="1"/>
                <w:iCs w:val="1"/>
                <w:color w:val="auto"/>
              </w:rPr>
              <w:t>Trustee’s Disclaimer</w:t>
            </w: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70</w:t>
            </w:r>
          </w:p>
        </w:tc>
        <w:tc>
          <w:tcPr>
            <w:tcW w:w="0" w:type="dxa"/>
            <w:vAlign w:val="bottom"/>
          </w:tcPr>
          <w:p>
            <w:pPr>
              <w:spacing w:after="0" w:line="20" w:lineRule="exact"/>
              <w:rPr>
                <w:sz w:val="1"/>
                <w:szCs w:val="1"/>
                <w:color w:val="auto"/>
              </w:rPr>
            </w:pPr>
          </w:p>
        </w:tc>
      </w:tr>
      <w:tr>
        <w:trPr>
          <w:trHeight w:val="223"/>
        </w:trPr>
        <w:tc>
          <w:tcPr>
            <w:tcW w:w="4880" w:type="dxa"/>
            <w:vAlign w:val="bottom"/>
            <w:tcBorders>
              <w:bottom w:val="single" w:sz="8" w:color="auto"/>
            </w:tcBorders>
            <w:gridSpan w:val="23"/>
          </w:tcPr>
          <w:p>
            <w:pPr>
              <w:spacing w:after="0" w:line="223" w:lineRule="exact"/>
              <w:rPr>
                <w:sz w:val="20"/>
                <w:szCs w:val="20"/>
                <w:color w:val="auto"/>
              </w:rPr>
            </w:pPr>
            <w:r>
              <w:rPr>
                <w:rFonts w:ascii="Arial" w:cs="Arial" w:eastAsia="Arial" w:hAnsi="Arial"/>
                <w:sz w:val="22"/>
                <w:szCs w:val="22"/>
                <w:color w:val="auto"/>
                <w:w w:val="89"/>
              </w:rPr>
              <w:t xml:space="preserve">Section 13.12. </w:t>
            </w:r>
            <w:r>
              <w:rPr>
                <w:rFonts w:ascii="Arial" w:cs="Arial" w:eastAsia="Arial" w:hAnsi="Arial"/>
                <w:sz w:val="22"/>
                <w:szCs w:val="22"/>
                <w:i w:val="1"/>
                <w:iCs w:val="1"/>
                <w:color w:val="auto"/>
                <w:w w:val="89"/>
              </w:rPr>
              <w:t>Voluntary Increase; Nasdaq Compliance</w:t>
            </w:r>
          </w:p>
        </w:tc>
        <w:tc>
          <w:tcPr>
            <w:tcW w:w="4080" w:type="dxa"/>
            <w:vAlign w:val="bottom"/>
            <w:gridSpan w:val="15"/>
          </w:tcPr>
          <w:p>
            <w:pPr>
              <w:spacing w:after="0"/>
              <w:rPr>
                <w:sz w:val="19"/>
                <w:szCs w:val="19"/>
                <w:color w:val="auto"/>
              </w:rPr>
            </w:pP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91"/>
              </w:rPr>
              <w:t xml:space="preserve">Section 13.13. </w:t>
            </w:r>
            <w:r>
              <w:rPr>
                <w:rFonts w:ascii="Arial" w:cs="Arial" w:eastAsia="Arial" w:hAnsi="Arial"/>
                <w:sz w:val="22"/>
                <w:szCs w:val="22"/>
                <w:i w:val="1"/>
                <w:iCs w:val="1"/>
                <w:color w:val="auto"/>
                <w:w w:val="91"/>
              </w:rPr>
              <w:t>Rights Plan</w:t>
            </w:r>
          </w:p>
        </w:tc>
        <w:tc>
          <w:tcPr>
            <w:tcW w:w="6580" w:type="dxa"/>
            <w:vAlign w:val="bottom"/>
            <w:gridSpan w:val="35"/>
          </w:tcPr>
          <w:p>
            <w:pPr>
              <w:spacing w:after="0"/>
              <w:rPr>
                <w:sz w:val="19"/>
                <w:szCs w:val="19"/>
                <w:color w:val="auto"/>
              </w:rPr>
            </w:pP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23"/>
        </w:trPr>
        <w:tc>
          <w:tcPr>
            <w:tcW w:w="8960" w:type="dxa"/>
            <w:vAlign w:val="bottom"/>
            <w:gridSpan w:val="38"/>
          </w:tcPr>
          <w:p>
            <w:pPr>
              <w:spacing w:after="0" w:line="223" w:lineRule="exact"/>
              <w:rPr>
                <w:sz w:val="20"/>
                <w:szCs w:val="20"/>
                <w:color w:val="auto"/>
              </w:rPr>
            </w:pPr>
            <w:r>
              <w:rPr>
                <w:rFonts w:ascii="Arial" w:cs="Arial" w:eastAsia="Arial" w:hAnsi="Arial"/>
                <w:sz w:val="22"/>
                <w:szCs w:val="22"/>
                <w:color w:val="auto"/>
              </w:rPr>
              <w:t xml:space="preserve">Section 13.14. </w:t>
            </w:r>
            <w:r>
              <w:rPr>
                <w:rFonts w:ascii="Arial" w:cs="Arial" w:eastAsia="Arial" w:hAnsi="Arial"/>
                <w:sz w:val="22"/>
                <w:szCs w:val="22"/>
                <w:i w:val="1"/>
                <w:iCs w:val="1"/>
                <w:color w:val="auto"/>
              </w:rPr>
              <w:t>Exchange in Lieu of Conversion</w:t>
            </w: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439"/>
        </w:trPr>
        <w:tc>
          <w:tcPr>
            <w:tcW w:w="6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22"/>
                <w:szCs w:val="22"/>
                <w:color w:val="auto"/>
                <w:w w:val="93"/>
              </w:rPr>
              <w:t>ARTICLE 14</w:t>
            </w:r>
          </w:p>
        </w:tc>
        <w:tc>
          <w:tcPr>
            <w:tcW w:w="3060" w:type="dxa"/>
            <w:vAlign w:val="bottom"/>
            <w:gridSpan w:val="8"/>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Borders>
              <w:bottom w:val="single" w:sz="8" w:color="auto"/>
            </w:tcBorders>
            <w:gridSpan w:val="13"/>
          </w:tcPr>
          <w:p>
            <w:pPr>
              <w:jc w:val="center"/>
              <w:spacing w:after="0" w:line="223" w:lineRule="exact"/>
              <w:rPr>
                <w:sz w:val="20"/>
                <w:szCs w:val="20"/>
                <w:color w:val="auto"/>
              </w:rPr>
            </w:pPr>
            <w:r>
              <w:rPr>
                <w:rFonts w:ascii="Arial" w:cs="Arial" w:eastAsia="Arial" w:hAnsi="Arial"/>
                <w:sz w:val="22"/>
                <w:szCs w:val="22"/>
                <w:color w:val="auto"/>
                <w:w w:val="94"/>
              </w:rPr>
              <w:t>R</w:t>
            </w:r>
            <w:r>
              <w:rPr>
                <w:rFonts w:ascii="Arial" w:cs="Arial" w:eastAsia="Arial" w:hAnsi="Arial"/>
                <w:sz w:val="18"/>
                <w:szCs w:val="18"/>
                <w:color w:val="auto"/>
                <w:w w:val="94"/>
              </w:rPr>
              <w:t>EDEMPTION</w:t>
            </w:r>
            <w:r>
              <w:rPr>
                <w:rFonts w:ascii="Arial" w:cs="Arial" w:eastAsia="Arial" w:hAnsi="Arial"/>
                <w:sz w:val="22"/>
                <w:szCs w:val="22"/>
                <w:color w:val="auto"/>
                <w:w w:val="94"/>
              </w:rPr>
              <w:t xml:space="preserve"> O</w:t>
            </w:r>
            <w:r>
              <w:rPr>
                <w:rFonts w:ascii="Arial" w:cs="Arial" w:eastAsia="Arial" w:hAnsi="Arial"/>
                <w:sz w:val="18"/>
                <w:szCs w:val="18"/>
                <w:color w:val="auto"/>
                <w:w w:val="94"/>
              </w:rPr>
              <w:t>F</w:t>
            </w:r>
            <w:r>
              <w:rPr>
                <w:rFonts w:ascii="Arial" w:cs="Arial" w:eastAsia="Arial" w:hAnsi="Arial"/>
                <w:sz w:val="22"/>
                <w:szCs w:val="22"/>
                <w:color w:val="auto"/>
                <w:w w:val="94"/>
              </w:rPr>
              <w:t xml:space="preserve"> N</w:t>
            </w:r>
            <w:r>
              <w:rPr>
                <w:rFonts w:ascii="Arial" w:cs="Arial" w:eastAsia="Arial" w:hAnsi="Arial"/>
                <w:sz w:val="18"/>
                <w:szCs w:val="18"/>
                <w:color w:val="auto"/>
                <w:w w:val="94"/>
              </w:rPr>
              <w:t>OTES</w:t>
            </w:r>
          </w:p>
        </w:tc>
        <w:tc>
          <w:tcPr>
            <w:tcW w:w="2580" w:type="dxa"/>
            <w:vAlign w:val="bottom"/>
            <w:gridSpan w:val="6"/>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960" w:type="dxa"/>
            <w:vAlign w:val="bottom"/>
            <w:gridSpan w:val="38"/>
          </w:tcPr>
          <w:p>
            <w:pPr>
              <w:spacing w:after="0"/>
              <w:rPr>
                <w:sz w:val="20"/>
                <w:szCs w:val="20"/>
                <w:color w:val="auto"/>
              </w:rPr>
            </w:pPr>
            <w:r>
              <w:rPr>
                <w:rFonts w:ascii="Arial" w:cs="Arial" w:eastAsia="Arial" w:hAnsi="Arial"/>
                <w:sz w:val="22"/>
                <w:szCs w:val="22"/>
                <w:color w:val="auto"/>
              </w:rPr>
              <w:t xml:space="preserve">Section 14.01. </w:t>
            </w:r>
            <w:r>
              <w:rPr>
                <w:rFonts w:ascii="Arial" w:cs="Arial" w:eastAsia="Arial" w:hAnsi="Arial"/>
                <w:sz w:val="22"/>
                <w:szCs w:val="22"/>
                <w:i w:val="1"/>
                <w:iCs w:val="1"/>
                <w:color w:val="auto"/>
              </w:rPr>
              <w:t>Right to Redeem</w:t>
            </w:r>
          </w:p>
        </w:tc>
        <w:tc>
          <w:tcPr>
            <w:tcW w:w="236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0"/>
        </w:trPr>
        <w:tc>
          <w:tcPr>
            <w:tcW w:w="1680" w:type="dxa"/>
            <w:vAlign w:val="bottom"/>
            <w:gridSpan w:val="2"/>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73</w:t>
            </w:r>
          </w:p>
        </w:tc>
        <w:tc>
          <w:tcPr>
            <w:tcW w:w="0" w:type="dxa"/>
            <w:vAlign w:val="bottom"/>
          </w:tcPr>
          <w:p>
            <w:pPr>
              <w:spacing w:after="0" w:line="20" w:lineRule="exact"/>
              <w:rPr>
                <w:sz w:val="1"/>
                <w:szCs w:val="1"/>
                <w:color w:val="auto"/>
              </w:rPr>
            </w:pPr>
          </w:p>
        </w:tc>
      </w:tr>
      <w:tr>
        <w:trPr>
          <w:trHeight w:val="223"/>
        </w:trPr>
        <w:tc>
          <w:tcPr>
            <w:tcW w:w="8960" w:type="dxa"/>
            <w:vAlign w:val="bottom"/>
            <w:gridSpan w:val="38"/>
          </w:tcPr>
          <w:p>
            <w:pPr>
              <w:spacing w:after="0" w:line="223" w:lineRule="exact"/>
              <w:rPr>
                <w:sz w:val="20"/>
                <w:szCs w:val="20"/>
                <w:color w:val="auto"/>
              </w:rPr>
            </w:pPr>
            <w:r>
              <w:rPr>
                <w:rFonts w:ascii="Arial" w:cs="Arial" w:eastAsia="Arial" w:hAnsi="Arial"/>
                <w:sz w:val="22"/>
                <w:szCs w:val="22"/>
                <w:color w:val="auto"/>
              </w:rPr>
              <w:t xml:space="preserve">Section 14.02. </w:t>
            </w:r>
            <w:r>
              <w:rPr>
                <w:rFonts w:ascii="Arial" w:cs="Arial" w:eastAsia="Arial" w:hAnsi="Arial"/>
                <w:sz w:val="22"/>
                <w:szCs w:val="22"/>
                <w:i w:val="1"/>
                <w:iCs w:val="1"/>
                <w:color w:val="auto"/>
              </w:rPr>
              <w:t>Selection of Notes to be Redeemed</w:t>
            </w: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auto"/>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89"/>
              </w:rPr>
              <w:t xml:space="preserve">Section 14.03. </w:t>
            </w:r>
            <w:r>
              <w:rPr>
                <w:rFonts w:ascii="Arial" w:cs="Arial" w:eastAsia="Arial" w:hAnsi="Arial"/>
                <w:sz w:val="22"/>
                <w:szCs w:val="22"/>
                <w:i w:val="1"/>
                <w:iCs w:val="1"/>
                <w:color w:val="auto"/>
                <w:w w:val="89"/>
              </w:rPr>
              <w:t>Notice of Redemption</w:t>
            </w:r>
          </w:p>
        </w:tc>
        <w:tc>
          <w:tcPr>
            <w:tcW w:w="1100" w:type="dxa"/>
            <w:vAlign w:val="bottom"/>
            <w:tcBorders>
              <w:top w:val="single" w:sz="8" w:color="auto"/>
            </w:tcBorders>
            <w:gridSpan w:val="11"/>
          </w:tcPr>
          <w:p>
            <w:pPr>
              <w:spacing w:after="0"/>
              <w:rPr>
                <w:sz w:val="19"/>
                <w:szCs w:val="19"/>
                <w:color w:val="auto"/>
              </w:rPr>
            </w:pPr>
          </w:p>
        </w:tc>
        <w:tc>
          <w:tcPr>
            <w:tcW w:w="4620" w:type="dxa"/>
            <w:vAlign w:val="bottom"/>
            <w:gridSpan w:val="18"/>
          </w:tcPr>
          <w:p>
            <w:pPr>
              <w:spacing w:after="0"/>
              <w:rPr>
                <w:sz w:val="19"/>
                <w:szCs w:val="19"/>
                <w:color w:val="auto"/>
              </w:rPr>
            </w:pP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gridSpan w:val="16"/>
          </w:tcPr>
          <w:p>
            <w:pPr>
              <w:spacing w:after="0" w:line="223" w:lineRule="exact"/>
              <w:rPr>
                <w:sz w:val="20"/>
                <w:szCs w:val="20"/>
                <w:color w:val="auto"/>
              </w:rPr>
            </w:pPr>
            <w:r>
              <w:rPr>
                <w:rFonts w:ascii="Arial" w:cs="Arial" w:eastAsia="Arial" w:hAnsi="Arial"/>
                <w:sz w:val="22"/>
                <w:szCs w:val="22"/>
                <w:color w:val="auto"/>
                <w:w w:val="89"/>
              </w:rPr>
              <w:t xml:space="preserve">Section 14.04. </w:t>
            </w:r>
            <w:r>
              <w:rPr>
                <w:rFonts w:ascii="Arial" w:cs="Arial" w:eastAsia="Arial" w:hAnsi="Arial"/>
                <w:sz w:val="22"/>
                <w:szCs w:val="22"/>
                <w:i w:val="1"/>
                <w:iCs w:val="1"/>
                <w:color w:val="auto"/>
                <w:w w:val="89"/>
              </w:rPr>
              <w:t>Effect of Notice of Redemption</w:t>
            </w:r>
          </w:p>
        </w:tc>
        <w:tc>
          <w:tcPr>
            <w:tcW w:w="4940" w:type="dxa"/>
            <w:vAlign w:val="bottom"/>
            <w:gridSpan w:val="22"/>
          </w:tcPr>
          <w:p>
            <w:pPr>
              <w:spacing w:after="0"/>
              <w:rPr>
                <w:sz w:val="19"/>
                <w:szCs w:val="19"/>
                <w:color w:val="auto"/>
              </w:rPr>
            </w:pP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23"/>
        </w:trPr>
        <w:tc>
          <w:tcPr>
            <w:tcW w:w="8960" w:type="dxa"/>
            <w:vAlign w:val="bottom"/>
            <w:gridSpan w:val="38"/>
          </w:tcPr>
          <w:p>
            <w:pPr>
              <w:spacing w:after="0" w:line="223" w:lineRule="exact"/>
              <w:rPr>
                <w:sz w:val="20"/>
                <w:szCs w:val="20"/>
                <w:color w:val="auto"/>
              </w:rPr>
            </w:pPr>
            <w:r>
              <w:rPr>
                <w:rFonts w:ascii="Arial" w:cs="Arial" w:eastAsia="Arial" w:hAnsi="Arial"/>
                <w:sz w:val="22"/>
                <w:szCs w:val="22"/>
                <w:color w:val="auto"/>
              </w:rPr>
              <w:t xml:space="preserve">Section 14.05. </w:t>
            </w:r>
            <w:r>
              <w:rPr>
                <w:rFonts w:ascii="Arial" w:cs="Arial" w:eastAsia="Arial" w:hAnsi="Arial"/>
                <w:sz w:val="22"/>
                <w:szCs w:val="22"/>
                <w:i w:val="1"/>
                <w:iCs w:val="1"/>
                <w:color w:val="auto"/>
              </w:rPr>
              <w:t>Deposit of Redemption Price</w:t>
            </w: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gridSpan w:val="14"/>
          </w:tcPr>
          <w:p>
            <w:pPr>
              <w:spacing w:after="0" w:line="223" w:lineRule="exact"/>
              <w:rPr>
                <w:sz w:val="20"/>
                <w:szCs w:val="20"/>
                <w:color w:val="auto"/>
              </w:rPr>
            </w:pPr>
            <w:r>
              <w:rPr>
                <w:rFonts w:ascii="Arial" w:cs="Arial" w:eastAsia="Arial" w:hAnsi="Arial"/>
                <w:sz w:val="22"/>
                <w:szCs w:val="22"/>
                <w:color w:val="auto"/>
                <w:w w:val="99"/>
              </w:rPr>
              <w:t xml:space="preserve">Section 14.06. </w:t>
            </w:r>
            <w:r>
              <w:rPr>
                <w:rFonts w:ascii="Arial" w:cs="Arial" w:eastAsia="Arial" w:hAnsi="Arial"/>
                <w:sz w:val="22"/>
                <w:szCs w:val="22"/>
                <w:i w:val="1"/>
                <w:iCs w:val="1"/>
                <w:color w:val="auto"/>
                <w:w w:val="99"/>
              </w:rPr>
              <w:t>Notes Redeemed in Part</w:t>
            </w:r>
          </w:p>
        </w:tc>
        <w:tc>
          <w:tcPr>
            <w:tcW w:w="5100" w:type="dxa"/>
            <w:vAlign w:val="bottom"/>
            <w:gridSpan w:val="24"/>
          </w:tcPr>
          <w:p>
            <w:pPr>
              <w:spacing w:after="0"/>
              <w:rPr>
                <w:sz w:val="19"/>
                <w:szCs w:val="19"/>
                <w:color w:val="auto"/>
              </w:rPr>
            </w:pP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439"/>
        </w:trPr>
        <w:tc>
          <w:tcPr>
            <w:tcW w:w="6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22"/>
                <w:szCs w:val="22"/>
                <w:color w:val="auto"/>
                <w:w w:val="93"/>
              </w:rPr>
              <w:t>ARTICLE 15</w:t>
            </w:r>
          </w:p>
        </w:tc>
        <w:tc>
          <w:tcPr>
            <w:tcW w:w="3060" w:type="dxa"/>
            <w:vAlign w:val="bottom"/>
            <w:gridSpan w:val="8"/>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740" w:type="dxa"/>
            <w:vAlign w:val="bottom"/>
            <w:gridSpan w:val="19"/>
          </w:tcPr>
          <w:p>
            <w:pPr>
              <w:jc w:val="center"/>
              <w:ind w:right="2580"/>
              <w:spacing w:after="0" w:line="223" w:lineRule="exact"/>
              <w:rPr>
                <w:sz w:val="20"/>
                <w:szCs w:val="20"/>
                <w:color w:val="auto"/>
              </w:rPr>
            </w:pPr>
            <w:r>
              <w:rPr>
                <w:rFonts w:ascii="Arial" w:cs="Arial" w:eastAsia="Arial" w:hAnsi="Arial"/>
                <w:sz w:val="22"/>
                <w:szCs w:val="22"/>
                <w:color w:val="auto"/>
                <w:w w:val="92"/>
              </w:rPr>
              <w:t>R</w:t>
            </w:r>
            <w:r>
              <w:rPr>
                <w:rFonts w:ascii="Arial" w:cs="Arial" w:eastAsia="Arial" w:hAnsi="Arial"/>
                <w:sz w:val="18"/>
                <w:szCs w:val="18"/>
                <w:color w:val="auto"/>
                <w:w w:val="92"/>
              </w:rPr>
              <w:t>EPURCHASE</w:t>
            </w:r>
            <w:r>
              <w:rPr>
                <w:rFonts w:ascii="Arial" w:cs="Arial" w:eastAsia="Arial" w:hAnsi="Arial"/>
                <w:sz w:val="22"/>
                <w:szCs w:val="22"/>
                <w:color w:val="auto"/>
                <w:w w:val="92"/>
              </w:rPr>
              <w:t xml:space="preserve"> O</w:t>
            </w:r>
            <w:r>
              <w:rPr>
                <w:rFonts w:ascii="Arial" w:cs="Arial" w:eastAsia="Arial" w:hAnsi="Arial"/>
                <w:sz w:val="18"/>
                <w:szCs w:val="18"/>
                <w:color w:val="auto"/>
                <w:w w:val="92"/>
              </w:rPr>
              <w:t>F</w:t>
            </w:r>
            <w:r>
              <w:rPr>
                <w:rFonts w:ascii="Arial" w:cs="Arial" w:eastAsia="Arial" w:hAnsi="Arial"/>
                <w:sz w:val="22"/>
                <w:szCs w:val="22"/>
                <w:color w:val="auto"/>
                <w:w w:val="92"/>
              </w:rPr>
              <w:t xml:space="preserve"> N</w:t>
            </w:r>
            <w:r>
              <w:rPr>
                <w:rFonts w:ascii="Arial" w:cs="Arial" w:eastAsia="Arial" w:hAnsi="Arial"/>
                <w:sz w:val="18"/>
                <w:szCs w:val="18"/>
                <w:color w:val="auto"/>
                <w:w w:val="92"/>
              </w:rPr>
              <w:t>OTES</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20" w:type="dxa"/>
            <w:vAlign w:val="bottom"/>
            <w:tcBorders>
              <w:bottom w:val="single" w:sz="8" w:color="auto"/>
            </w:tcBorders>
            <w:gridSpan w:val="31"/>
          </w:tcPr>
          <w:p>
            <w:pPr>
              <w:spacing w:after="0"/>
              <w:rPr>
                <w:sz w:val="20"/>
                <w:szCs w:val="20"/>
                <w:color w:val="auto"/>
              </w:rPr>
            </w:pPr>
            <w:r>
              <w:rPr>
                <w:rFonts w:ascii="Arial" w:cs="Arial" w:eastAsia="Arial" w:hAnsi="Arial"/>
                <w:sz w:val="22"/>
                <w:szCs w:val="22"/>
                <w:color w:val="auto"/>
                <w:w w:val="89"/>
              </w:rPr>
              <w:t xml:space="preserve">Section 15.01. </w:t>
            </w:r>
            <w:r>
              <w:rPr>
                <w:rFonts w:ascii="Arial" w:cs="Arial" w:eastAsia="Arial" w:hAnsi="Arial"/>
                <w:sz w:val="22"/>
                <w:szCs w:val="22"/>
                <w:i w:val="1"/>
                <w:iCs w:val="1"/>
                <w:color w:val="auto"/>
                <w:w w:val="89"/>
              </w:rPr>
              <w:t>Repurchase of Notes at Option of the Holder Upon a</w:t>
            </w:r>
          </w:p>
        </w:tc>
        <w:tc>
          <w:tcPr>
            <w:tcW w:w="3040" w:type="dxa"/>
            <w:vAlign w:val="bottom"/>
            <w:gridSpan w:val="7"/>
          </w:tcPr>
          <w:p>
            <w:pPr>
              <w:spacing w:after="0"/>
              <w:rPr>
                <w:sz w:val="24"/>
                <w:szCs w:val="24"/>
                <w:color w:val="auto"/>
              </w:rPr>
            </w:pPr>
          </w:p>
        </w:tc>
        <w:tc>
          <w:tcPr>
            <w:tcW w:w="2360" w:type="dxa"/>
            <w:vAlign w:val="bottom"/>
            <w:vMerge w:val="restart"/>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23"/>
        </w:trPr>
        <w:tc>
          <w:tcPr>
            <w:tcW w:w="8960" w:type="dxa"/>
            <w:vAlign w:val="bottom"/>
            <w:gridSpan w:val="38"/>
          </w:tcPr>
          <w:p>
            <w:pPr>
              <w:ind w:left="660"/>
              <w:spacing w:after="0" w:line="223" w:lineRule="exact"/>
              <w:rPr>
                <w:sz w:val="20"/>
                <w:szCs w:val="20"/>
                <w:color w:val="auto"/>
              </w:rPr>
            </w:pPr>
            <w:r>
              <w:rPr>
                <w:rFonts w:ascii="Arial" w:cs="Arial" w:eastAsia="Arial" w:hAnsi="Arial"/>
                <w:sz w:val="22"/>
                <w:szCs w:val="22"/>
                <w:i w:val="1"/>
                <w:iCs w:val="1"/>
                <w:color w:val="auto"/>
              </w:rPr>
              <w:t>Fundamental Change</w:t>
            </w: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78</w:t>
            </w:r>
          </w:p>
        </w:tc>
        <w:tc>
          <w:tcPr>
            <w:tcW w:w="0" w:type="dxa"/>
            <w:vAlign w:val="bottom"/>
          </w:tcPr>
          <w:p>
            <w:pPr>
              <w:spacing w:after="0" w:line="20" w:lineRule="exact"/>
              <w:rPr>
                <w:sz w:val="1"/>
                <w:szCs w:val="1"/>
                <w:color w:val="auto"/>
              </w:rPr>
            </w:pPr>
          </w:p>
        </w:tc>
      </w:tr>
      <w:tr>
        <w:trPr>
          <w:trHeight w:val="223"/>
        </w:trPr>
        <w:tc>
          <w:tcPr>
            <w:tcW w:w="5500" w:type="dxa"/>
            <w:vAlign w:val="bottom"/>
            <w:tcBorders>
              <w:bottom w:val="single" w:sz="8" w:color="auto"/>
            </w:tcBorders>
            <w:gridSpan w:val="26"/>
          </w:tcPr>
          <w:p>
            <w:pPr>
              <w:spacing w:after="0" w:line="223" w:lineRule="exact"/>
              <w:rPr>
                <w:sz w:val="20"/>
                <w:szCs w:val="20"/>
                <w:color w:val="auto"/>
              </w:rPr>
            </w:pPr>
            <w:r>
              <w:rPr>
                <w:rFonts w:ascii="Arial" w:cs="Arial" w:eastAsia="Arial" w:hAnsi="Arial"/>
                <w:sz w:val="22"/>
                <w:szCs w:val="22"/>
                <w:color w:val="auto"/>
                <w:w w:val="89"/>
              </w:rPr>
              <w:t xml:space="preserve">Section 15.02. </w:t>
            </w:r>
            <w:r>
              <w:rPr>
                <w:rFonts w:ascii="Arial" w:cs="Arial" w:eastAsia="Arial" w:hAnsi="Arial"/>
                <w:sz w:val="22"/>
                <w:szCs w:val="22"/>
                <w:i w:val="1"/>
                <w:iCs w:val="1"/>
                <w:color w:val="auto"/>
                <w:w w:val="89"/>
              </w:rPr>
              <w:t>Effect of Fundamental Change Purchase Notice</w:t>
            </w:r>
          </w:p>
        </w:tc>
        <w:tc>
          <w:tcPr>
            <w:tcW w:w="3460" w:type="dxa"/>
            <w:vAlign w:val="bottom"/>
            <w:gridSpan w:val="12"/>
          </w:tcPr>
          <w:p>
            <w:pPr>
              <w:spacing w:after="0"/>
              <w:rPr>
                <w:sz w:val="19"/>
                <w:szCs w:val="19"/>
                <w:color w:val="auto"/>
              </w:rPr>
            </w:pP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60" w:type="dxa"/>
            <w:vAlign w:val="bottom"/>
            <w:gridSpan w:val="38"/>
          </w:tcPr>
          <w:p>
            <w:pPr>
              <w:spacing w:after="0" w:line="223" w:lineRule="exact"/>
              <w:rPr>
                <w:sz w:val="20"/>
                <w:szCs w:val="20"/>
                <w:color w:val="auto"/>
              </w:rPr>
            </w:pPr>
            <w:r>
              <w:rPr>
                <w:rFonts w:ascii="Arial" w:cs="Arial" w:eastAsia="Arial" w:hAnsi="Arial"/>
                <w:sz w:val="22"/>
                <w:szCs w:val="22"/>
                <w:color w:val="auto"/>
              </w:rPr>
              <w:t xml:space="preserve">Section 15.03. </w:t>
            </w:r>
            <w:r>
              <w:rPr>
                <w:rFonts w:ascii="Arial" w:cs="Arial" w:eastAsia="Arial" w:hAnsi="Arial"/>
                <w:sz w:val="22"/>
                <w:szCs w:val="22"/>
                <w:i w:val="1"/>
                <w:iCs w:val="1"/>
                <w:color w:val="auto"/>
              </w:rPr>
              <w:t>Deposit of Fundamental Change Purchase Price</w:t>
            </w: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78</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gridSpan w:val="27"/>
          </w:tcPr>
          <w:p>
            <w:pPr>
              <w:spacing w:after="0" w:line="223" w:lineRule="exact"/>
              <w:rPr>
                <w:sz w:val="20"/>
                <w:szCs w:val="20"/>
                <w:color w:val="auto"/>
              </w:rPr>
            </w:pPr>
            <w:r>
              <w:rPr>
                <w:rFonts w:ascii="Arial" w:cs="Arial" w:eastAsia="Arial" w:hAnsi="Arial"/>
                <w:sz w:val="22"/>
                <w:szCs w:val="22"/>
                <w:color w:val="auto"/>
              </w:rPr>
              <w:t xml:space="preserve">Section 15.04. </w:t>
            </w:r>
            <w:r>
              <w:rPr>
                <w:rFonts w:ascii="Arial" w:cs="Arial" w:eastAsia="Arial" w:hAnsi="Arial"/>
                <w:sz w:val="22"/>
                <w:szCs w:val="22"/>
                <w:i w:val="1"/>
                <w:iCs w:val="1"/>
                <w:color w:val="auto"/>
              </w:rPr>
              <w:t>Repayment to the Company</w:t>
            </w:r>
          </w:p>
        </w:tc>
        <w:tc>
          <w:tcPr>
            <w:tcW w:w="3400" w:type="dxa"/>
            <w:vAlign w:val="bottom"/>
            <w:gridSpan w:val="11"/>
          </w:tcPr>
          <w:p>
            <w:pPr>
              <w:spacing w:after="0"/>
              <w:rPr>
                <w:sz w:val="19"/>
                <w:szCs w:val="19"/>
                <w:color w:val="auto"/>
              </w:rPr>
            </w:pP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bottom w:val="single" w:sz="8" w:color="auto"/>
            </w:tcBorders>
            <w:gridSpan w:val="11"/>
          </w:tcPr>
          <w:p>
            <w:pPr>
              <w:spacing w:after="0" w:line="223" w:lineRule="exact"/>
              <w:rPr>
                <w:sz w:val="20"/>
                <w:szCs w:val="20"/>
                <w:color w:val="auto"/>
              </w:rPr>
            </w:pPr>
            <w:r>
              <w:rPr>
                <w:rFonts w:ascii="Arial" w:cs="Arial" w:eastAsia="Arial" w:hAnsi="Arial"/>
                <w:sz w:val="22"/>
                <w:szCs w:val="22"/>
                <w:color w:val="auto"/>
                <w:w w:val="90"/>
              </w:rPr>
              <w:t xml:space="preserve">Section 15.05. </w:t>
            </w:r>
            <w:r>
              <w:rPr>
                <w:rFonts w:ascii="Arial" w:cs="Arial" w:eastAsia="Arial" w:hAnsi="Arial"/>
                <w:sz w:val="22"/>
                <w:szCs w:val="22"/>
                <w:i w:val="1"/>
                <w:iCs w:val="1"/>
                <w:color w:val="auto"/>
                <w:w w:val="90"/>
              </w:rPr>
              <w:t>Notes Purchased In Part</w:t>
            </w:r>
          </w:p>
        </w:tc>
        <w:tc>
          <w:tcPr>
            <w:tcW w:w="240" w:type="dxa"/>
            <w:vAlign w:val="bottom"/>
            <w:tcBorders>
              <w:top w:val="single" w:sz="8" w:color="auto"/>
            </w:tcBorders>
          </w:tcPr>
          <w:p>
            <w:pPr>
              <w:spacing w:after="0"/>
              <w:rPr>
                <w:sz w:val="19"/>
                <w:szCs w:val="19"/>
                <w:color w:val="auto"/>
              </w:rPr>
            </w:pPr>
          </w:p>
        </w:tc>
        <w:tc>
          <w:tcPr>
            <w:tcW w:w="5220" w:type="dxa"/>
            <w:vAlign w:val="bottom"/>
            <w:gridSpan w:val="26"/>
          </w:tcPr>
          <w:p>
            <w:pPr>
              <w:spacing w:after="0"/>
              <w:rPr>
                <w:sz w:val="19"/>
                <w:szCs w:val="19"/>
                <w:color w:val="auto"/>
              </w:rPr>
            </w:pP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tcBorders>
            <w:gridSpan w:val="33"/>
          </w:tcPr>
          <w:p>
            <w:pPr>
              <w:spacing w:after="0" w:line="223" w:lineRule="exact"/>
              <w:rPr>
                <w:sz w:val="20"/>
                <w:szCs w:val="20"/>
                <w:color w:val="auto"/>
              </w:rPr>
            </w:pPr>
            <w:r>
              <w:rPr>
                <w:rFonts w:ascii="Arial" w:cs="Arial" w:eastAsia="Arial" w:hAnsi="Arial"/>
                <w:sz w:val="22"/>
                <w:szCs w:val="22"/>
                <w:color w:val="auto"/>
                <w:w w:val="89"/>
              </w:rPr>
              <w:t xml:space="preserve">Section 15.06. </w:t>
            </w:r>
            <w:r>
              <w:rPr>
                <w:rFonts w:ascii="Arial" w:cs="Arial" w:eastAsia="Arial" w:hAnsi="Arial"/>
                <w:sz w:val="22"/>
                <w:szCs w:val="22"/>
                <w:i w:val="1"/>
                <w:iCs w:val="1"/>
                <w:color w:val="auto"/>
                <w:w w:val="89"/>
              </w:rPr>
              <w:t>Compliance With Securities Laws Upon Purchase of Notes</w:t>
            </w:r>
          </w:p>
        </w:tc>
        <w:tc>
          <w:tcPr>
            <w:tcW w:w="2520" w:type="dxa"/>
            <w:vAlign w:val="bottom"/>
            <w:gridSpan w:val="5"/>
          </w:tcPr>
          <w:p>
            <w:pPr>
              <w:spacing w:after="0"/>
              <w:rPr>
                <w:sz w:val="19"/>
                <w:szCs w:val="19"/>
                <w:color w:val="auto"/>
              </w:rPr>
            </w:pP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79</w:t>
            </w: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16"/>
          </w:tcPr>
          <w:p>
            <w:pPr>
              <w:jc w:val="center"/>
              <w:ind w:right="3080"/>
              <w:spacing w:after="0"/>
              <w:rPr>
                <w:sz w:val="20"/>
                <w:szCs w:val="20"/>
                <w:color w:val="auto"/>
              </w:rPr>
            </w:pPr>
            <w:r>
              <w:rPr>
                <w:rFonts w:ascii="Arial" w:cs="Arial" w:eastAsia="Arial" w:hAnsi="Arial"/>
                <w:sz w:val="22"/>
                <w:szCs w:val="22"/>
                <w:color w:val="auto"/>
                <w:w w:val="93"/>
              </w:rPr>
              <w:t>ARTICLE 16</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tcBorders>
              <w:bottom w:val="single" w:sz="8" w:color="auto"/>
            </w:tcBorders>
            <w:gridSpan w:val="24"/>
          </w:tcPr>
          <w:p>
            <w:pPr>
              <w:jc w:val="center"/>
              <w:spacing w:after="0" w:line="223" w:lineRule="exact"/>
              <w:rPr>
                <w:sz w:val="20"/>
                <w:szCs w:val="20"/>
                <w:color w:val="auto"/>
              </w:rPr>
            </w:pPr>
            <w:r>
              <w:rPr>
                <w:rFonts w:ascii="Arial" w:cs="Arial" w:eastAsia="Arial" w:hAnsi="Arial"/>
                <w:sz w:val="22"/>
                <w:szCs w:val="22"/>
                <w:color w:val="auto"/>
                <w:w w:val="94"/>
              </w:rPr>
              <w:t>M</w:t>
            </w:r>
            <w:r>
              <w:rPr>
                <w:rFonts w:ascii="Arial" w:cs="Arial" w:eastAsia="Arial" w:hAnsi="Arial"/>
                <w:sz w:val="18"/>
                <w:szCs w:val="18"/>
                <w:color w:val="auto"/>
                <w:w w:val="94"/>
              </w:rPr>
              <w:t>EETING</w:t>
            </w:r>
            <w:r>
              <w:rPr>
                <w:rFonts w:ascii="Arial" w:cs="Arial" w:eastAsia="Arial" w:hAnsi="Arial"/>
                <w:sz w:val="22"/>
                <w:szCs w:val="22"/>
                <w:color w:val="auto"/>
                <w:w w:val="94"/>
              </w:rPr>
              <w:t xml:space="preserve"> O</w:t>
            </w:r>
            <w:r>
              <w:rPr>
                <w:rFonts w:ascii="Arial" w:cs="Arial" w:eastAsia="Arial" w:hAnsi="Arial"/>
                <w:sz w:val="18"/>
                <w:szCs w:val="18"/>
                <w:color w:val="auto"/>
                <w:w w:val="94"/>
              </w:rPr>
              <w:t>F</w:t>
            </w:r>
            <w:r>
              <w:rPr>
                <w:rFonts w:ascii="Arial" w:cs="Arial" w:eastAsia="Arial" w:hAnsi="Arial"/>
                <w:sz w:val="22"/>
                <w:szCs w:val="22"/>
                <w:color w:val="auto"/>
                <w:w w:val="94"/>
              </w:rPr>
              <w:t xml:space="preserve"> H</w:t>
            </w:r>
            <w:r>
              <w:rPr>
                <w:rFonts w:ascii="Arial" w:cs="Arial" w:eastAsia="Arial" w:hAnsi="Arial"/>
                <w:sz w:val="18"/>
                <w:szCs w:val="18"/>
                <w:color w:val="auto"/>
                <w:w w:val="94"/>
              </w:rPr>
              <w:t>OLDERS</w:t>
            </w:r>
            <w:r>
              <w:rPr>
                <w:rFonts w:ascii="Arial" w:cs="Arial" w:eastAsia="Arial" w:hAnsi="Arial"/>
                <w:sz w:val="22"/>
                <w:szCs w:val="22"/>
                <w:color w:val="auto"/>
                <w:w w:val="94"/>
              </w:rPr>
              <w:t xml:space="preserve"> O</w:t>
            </w:r>
            <w:r>
              <w:rPr>
                <w:rFonts w:ascii="Arial" w:cs="Arial" w:eastAsia="Arial" w:hAnsi="Arial"/>
                <w:sz w:val="18"/>
                <w:szCs w:val="18"/>
                <w:color w:val="auto"/>
                <w:w w:val="94"/>
              </w:rPr>
              <w:t>F</w:t>
            </w:r>
            <w:r>
              <w:rPr>
                <w:rFonts w:ascii="Arial" w:cs="Arial" w:eastAsia="Arial" w:hAnsi="Arial"/>
                <w:sz w:val="22"/>
                <w:szCs w:val="22"/>
                <w:color w:val="auto"/>
                <w:w w:val="94"/>
              </w:rPr>
              <w:t xml:space="preserve"> N</w:t>
            </w:r>
            <w:r>
              <w:rPr>
                <w:rFonts w:ascii="Arial" w:cs="Arial" w:eastAsia="Arial" w:hAnsi="Arial"/>
                <w:sz w:val="18"/>
                <w:szCs w:val="18"/>
                <w:color w:val="auto"/>
                <w:w w:val="94"/>
              </w:rPr>
              <w:t>OTES</w:t>
            </w:r>
          </w:p>
        </w:tc>
        <w:tc>
          <w:tcPr>
            <w:tcW w:w="2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960" w:type="dxa"/>
            <w:vAlign w:val="bottom"/>
            <w:gridSpan w:val="38"/>
          </w:tcPr>
          <w:p>
            <w:pPr>
              <w:spacing w:after="0"/>
              <w:rPr>
                <w:sz w:val="20"/>
                <w:szCs w:val="20"/>
                <w:color w:val="auto"/>
              </w:rPr>
            </w:pPr>
            <w:r>
              <w:rPr>
                <w:rFonts w:ascii="Arial" w:cs="Arial" w:eastAsia="Arial" w:hAnsi="Arial"/>
                <w:sz w:val="22"/>
                <w:szCs w:val="22"/>
                <w:color w:val="auto"/>
              </w:rPr>
              <w:t xml:space="preserve">Section 16.01. </w:t>
            </w:r>
            <w:r>
              <w:rPr>
                <w:rFonts w:ascii="Arial" w:cs="Arial" w:eastAsia="Arial" w:hAnsi="Arial"/>
                <w:sz w:val="22"/>
                <w:szCs w:val="22"/>
                <w:i w:val="1"/>
                <w:iCs w:val="1"/>
                <w:color w:val="auto"/>
              </w:rPr>
              <w:t>Purposes For Which Meetings May Be Called</w:t>
            </w:r>
          </w:p>
        </w:tc>
        <w:tc>
          <w:tcPr>
            <w:tcW w:w="2360" w:type="dxa"/>
            <w:vAlign w:val="bottom"/>
          </w:tcPr>
          <w:p>
            <w:pPr>
              <w:jc w:val="right"/>
              <w:spacing w:after="0"/>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23"/>
        </w:trPr>
        <w:tc>
          <w:tcPr>
            <w:tcW w:w="5340" w:type="dxa"/>
            <w:vAlign w:val="bottom"/>
            <w:tcBorders>
              <w:top w:val="single" w:sz="8" w:color="auto"/>
            </w:tcBorders>
            <w:gridSpan w:val="25"/>
          </w:tcPr>
          <w:p>
            <w:pPr>
              <w:spacing w:after="0" w:line="223" w:lineRule="exact"/>
              <w:rPr>
                <w:sz w:val="20"/>
                <w:szCs w:val="20"/>
                <w:color w:val="auto"/>
              </w:rPr>
            </w:pPr>
            <w:r>
              <w:rPr>
                <w:rFonts w:ascii="Arial" w:cs="Arial" w:eastAsia="Arial" w:hAnsi="Arial"/>
                <w:sz w:val="22"/>
                <w:szCs w:val="22"/>
                <w:color w:val="auto"/>
              </w:rPr>
              <w:t xml:space="preserve">Section 16.02. </w:t>
            </w:r>
            <w:r>
              <w:rPr>
                <w:rFonts w:ascii="Arial" w:cs="Arial" w:eastAsia="Arial" w:hAnsi="Arial"/>
                <w:sz w:val="22"/>
                <w:szCs w:val="22"/>
                <w:i w:val="1"/>
                <w:iCs w:val="1"/>
                <w:color w:val="auto"/>
              </w:rPr>
              <w:t>Call Notice and Place of Meetings</w:t>
            </w:r>
          </w:p>
        </w:tc>
        <w:tc>
          <w:tcPr>
            <w:tcW w:w="3620" w:type="dxa"/>
            <w:vAlign w:val="bottom"/>
            <w:gridSpan w:val="13"/>
          </w:tcPr>
          <w:p>
            <w:pPr>
              <w:spacing w:after="0"/>
              <w:rPr>
                <w:sz w:val="19"/>
                <w:szCs w:val="19"/>
                <w:color w:val="auto"/>
              </w:rPr>
            </w:pP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0"/>
        </w:trPr>
        <w:tc>
          <w:tcPr>
            <w:tcW w:w="1680" w:type="dxa"/>
            <w:vAlign w:val="bottom"/>
            <w:gridSpan w:val="2"/>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1200" w:type="dxa"/>
            <w:vAlign w:val="bottom"/>
            <w:tcBorders>
              <w:left w:val="single" w:sz="8" w:color="auto"/>
            </w:tcBorders>
            <w:gridSpan w:val="9"/>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80</w:t>
            </w:r>
          </w:p>
        </w:tc>
        <w:tc>
          <w:tcPr>
            <w:tcW w:w="0" w:type="dxa"/>
            <w:vAlign w:val="bottom"/>
          </w:tcPr>
          <w:p>
            <w:pPr>
              <w:spacing w:after="0" w:line="20" w:lineRule="exact"/>
              <w:rPr>
                <w:sz w:val="1"/>
                <w:szCs w:val="1"/>
                <w:color w:val="auto"/>
              </w:rPr>
            </w:pPr>
          </w:p>
        </w:tc>
      </w:tr>
      <w:tr>
        <w:trPr>
          <w:trHeight w:val="223"/>
        </w:trPr>
        <w:tc>
          <w:tcPr>
            <w:tcW w:w="8960" w:type="dxa"/>
            <w:vAlign w:val="bottom"/>
            <w:gridSpan w:val="38"/>
          </w:tcPr>
          <w:p>
            <w:pPr>
              <w:spacing w:after="0" w:line="223" w:lineRule="exact"/>
              <w:rPr>
                <w:sz w:val="20"/>
                <w:szCs w:val="20"/>
                <w:color w:val="auto"/>
              </w:rPr>
            </w:pPr>
            <w:r>
              <w:rPr>
                <w:rFonts w:ascii="Arial" w:cs="Arial" w:eastAsia="Arial" w:hAnsi="Arial"/>
                <w:sz w:val="22"/>
                <w:szCs w:val="22"/>
                <w:color w:val="auto"/>
              </w:rPr>
              <w:t xml:space="preserve">Section 16.03. </w:t>
            </w:r>
            <w:r>
              <w:rPr>
                <w:rFonts w:ascii="Arial" w:cs="Arial" w:eastAsia="Arial" w:hAnsi="Arial"/>
                <w:sz w:val="22"/>
                <w:szCs w:val="22"/>
                <w:i w:val="1"/>
                <w:iCs w:val="1"/>
                <w:color w:val="auto"/>
              </w:rPr>
              <w:t>Persons Entitled to Vote at Meetings</w:t>
            </w: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gridSpan w:val="21"/>
          </w:tcPr>
          <w:p>
            <w:pPr>
              <w:spacing w:after="0" w:line="223" w:lineRule="exact"/>
              <w:rPr>
                <w:sz w:val="20"/>
                <w:szCs w:val="20"/>
                <w:color w:val="auto"/>
              </w:rPr>
            </w:pPr>
            <w:r>
              <w:rPr>
                <w:rFonts w:ascii="Arial" w:cs="Arial" w:eastAsia="Arial" w:hAnsi="Arial"/>
                <w:sz w:val="22"/>
                <w:szCs w:val="22"/>
                <w:color w:val="auto"/>
              </w:rPr>
              <w:t xml:space="preserve">Section 16.04. </w:t>
            </w:r>
            <w:r>
              <w:rPr>
                <w:rFonts w:ascii="Arial" w:cs="Arial" w:eastAsia="Arial" w:hAnsi="Arial"/>
                <w:sz w:val="22"/>
                <w:szCs w:val="22"/>
                <w:i w:val="1"/>
                <w:iCs w:val="1"/>
                <w:color w:val="auto"/>
              </w:rPr>
              <w:t>Quorum; Action</w:t>
            </w:r>
          </w:p>
        </w:tc>
        <w:tc>
          <w:tcPr>
            <w:tcW w:w="4460" w:type="dxa"/>
            <w:vAlign w:val="bottom"/>
            <w:gridSpan w:val="17"/>
          </w:tcPr>
          <w:p>
            <w:pPr>
              <w:spacing w:after="0"/>
              <w:rPr>
                <w:sz w:val="19"/>
                <w:szCs w:val="19"/>
                <w:color w:val="auto"/>
              </w:rPr>
            </w:pPr>
          </w:p>
        </w:tc>
        <w:tc>
          <w:tcPr>
            <w:tcW w:w="2360" w:type="dxa"/>
            <w:vAlign w:val="bottom"/>
          </w:tcPr>
          <w:p>
            <w:pPr>
              <w:jc w:val="right"/>
              <w:spacing w:after="0" w:line="223" w:lineRule="exact"/>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0"/>
        </w:trPr>
        <w:tc>
          <w:tcPr>
            <w:tcW w:w="1680" w:type="dxa"/>
            <w:vAlign w:val="bottom"/>
            <w:gridSpan w:val="2"/>
            <w:shd w:val="clear" w:color="auto" w:fill="000000"/>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Borders>
              <w:bottom w:val="single" w:sz="8" w:color="auto"/>
            </w:tcBorders>
            <w:gridSpan w:val="34"/>
          </w:tcPr>
          <w:p>
            <w:pPr>
              <w:spacing w:after="0" w:line="223" w:lineRule="exact"/>
              <w:rPr>
                <w:sz w:val="20"/>
                <w:szCs w:val="20"/>
                <w:color w:val="auto"/>
              </w:rPr>
            </w:pPr>
            <w:r>
              <w:rPr>
                <w:rFonts w:ascii="Arial" w:cs="Arial" w:eastAsia="Arial" w:hAnsi="Arial"/>
                <w:sz w:val="22"/>
                <w:szCs w:val="22"/>
                <w:color w:val="auto"/>
                <w:w w:val="90"/>
              </w:rPr>
              <w:t xml:space="preserve">Section 16.05. </w:t>
            </w:r>
            <w:r>
              <w:rPr>
                <w:rFonts w:ascii="Arial" w:cs="Arial" w:eastAsia="Arial" w:hAnsi="Arial"/>
                <w:sz w:val="22"/>
                <w:szCs w:val="22"/>
                <w:i w:val="1"/>
                <w:iCs w:val="1"/>
                <w:color w:val="auto"/>
                <w:w w:val="90"/>
              </w:rPr>
              <w:t>Determination of Voting Rights; Conduct and Adjournment</w:t>
            </w:r>
          </w:p>
        </w:tc>
        <w:tc>
          <w:tcPr>
            <w:tcW w:w="2480" w:type="dxa"/>
            <w:vAlign w:val="bottom"/>
            <w:gridSpan w:val="4"/>
          </w:tcPr>
          <w:p>
            <w:pPr>
              <w:spacing w:after="0"/>
              <w:rPr>
                <w:sz w:val="19"/>
                <w:szCs w:val="19"/>
                <w:color w:val="auto"/>
              </w:rPr>
            </w:pPr>
          </w:p>
        </w:tc>
        <w:tc>
          <w:tcPr>
            <w:tcW w:w="2360" w:type="dxa"/>
            <w:vAlign w:val="bottom"/>
            <w:vMerge w:val="restart"/>
          </w:tcPr>
          <w:p>
            <w:pPr>
              <w:jc w:val="right"/>
              <w:spacing w:after="0"/>
              <w:rPr>
                <w:sz w:val="20"/>
                <w:szCs w:val="20"/>
                <w:color w:val="auto"/>
              </w:rPr>
            </w:pPr>
            <w:r>
              <w:rPr>
                <w:rFonts w:ascii="Arial" w:cs="Arial" w:eastAsia="Arial" w:hAnsi="Arial"/>
                <w:sz w:val="22"/>
                <w:szCs w:val="22"/>
                <w:color w:val="auto"/>
              </w:rPr>
              <w:t>81</w:t>
            </w:r>
          </w:p>
        </w:tc>
        <w:tc>
          <w:tcPr>
            <w:tcW w:w="0" w:type="dxa"/>
            <w:vAlign w:val="bottom"/>
          </w:tcPr>
          <w:p>
            <w:pPr>
              <w:spacing w:after="0"/>
              <w:rPr>
                <w:sz w:val="1"/>
                <w:szCs w:val="1"/>
                <w:color w:val="auto"/>
              </w:rPr>
            </w:pPr>
          </w:p>
        </w:tc>
      </w:tr>
      <w:tr>
        <w:trPr>
          <w:trHeight w:val="223"/>
        </w:trPr>
        <w:tc>
          <w:tcPr>
            <w:tcW w:w="8960" w:type="dxa"/>
            <w:vAlign w:val="bottom"/>
            <w:gridSpan w:val="38"/>
          </w:tcPr>
          <w:p>
            <w:pPr>
              <w:ind w:left="660"/>
              <w:spacing w:after="0" w:line="223" w:lineRule="exact"/>
              <w:rPr>
                <w:sz w:val="20"/>
                <w:szCs w:val="20"/>
                <w:color w:val="auto"/>
              </w:rPr>
            </w:pPr>
            <w:r>
              <w:rPr>
                <w:rFonts w:ascii="Arial" w:cs="Arial" w:eastAsia="Arial" w:hAnsi="Arial"/>
                <w:sz w:val="22"/>
                <w:szCs w:val="22"/>
                <w:i w:val="1"/>
                <w:iCs w:val="1"/>
                <w:color w:val="auto"/>
              </w:rPr>
              <w:t>of Meetings</w:t>
            </w: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80" w:type="dxa"/>
            <w:vAlign w:val="bottom"/>
            <w:gridSpan w:val="13"/>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82</w:t>
            </w:r>
          </w:p>
        </w:tc>
        <w:tc>
          <w:tcPr>
            <w:tcW w:w="0" w:type="dxa"/>
            <w:vAlign w:val="bottom"/>
          </w:tcPr>
          <w:p>
            <w:pPr>
              <w:spacing w:after="0" w:line="20" w:lineRule="exact"/>
              <w:rPr>
                <w:sz w:val="1"/>
                <w:szCs w:val="1"/>
                <w:color w:val="auto"/>
              </w:rPr>
            </w:pPr>
          </w:p>
        </w:tc>
      </w:tr>
      <w:tr>
        <w:trPr>
          <w:trHeight w:val="223"/>
        </w:trPr>
        <w:tc>
          <w:tcPr>
            <w:tcW w:w="8960" w:type="dxa"/>
            <w:vAlign w:val="bottom"/>
            <w:gridSpan w:val="38"/>
          </w:tcPr>
          <w:p>
            <w:pPr>
              <w:spacing w:after="0" w:line="223" w:lineRule="exact"/>
              <w:rPr>
                <w:sz w:val="20"/>
                <w:szCs w:val="20"/>
                <w:color w:val="auto"/>
              </w:rPr>
            </w:pPr>
            <w:r>
              <w:rPr>
                <w:rFonts w:ascii="Arial" w:cs="Arial" w:eastAsia="Arial" w:hAnsi="Arial"/>
                <w:sz w:val="22"/>
                <w:szCs w:val="22"/>
                <w:color w:val="auto"/>
              </w:rPr>
              <w:t xml:space="preserve">Section 16.06. </w:t>
            </w:r>
            <w:r>
              <w:rPr>
                <w:rFonts w:ascii="Arial" w:cs="Arial" w:eastAsia="Arial" w:hAnsi="Arial"/>
                <w:sz w:val="22"/>
                <w:szCs w:val="22"/>
                <w:i w:val="1"/>
                <w:iCs w:val="1"/>
                <w:color w:val="auto"/>
              </w:rPr>
              <w:t>Counting Votes and Recording Action of Meetings</w:t>
            </w:r>
          </w:p>
        </w:tc>
        <w:tc>
          <w:tcPr>
            <w:tcW w:w="2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22"/>
                <w:szCs w:val="22"/>
                <w:color w:val="auto"/>
                <w:w w:val="93"/>
              </w:rPr>
              <w:t>ARTICLE 17</w:t>
            </w:r>
          </w:p>
        </w:tc>
        <w:tc>
          <w:tcPr>
            <w:tcW w:w="3060" w:type="dxa"/>
            <w:vAlign w:val="bottom"/>
            <w:gridSpan w:val="8"/>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Borders>
              <w:bottom w:val="single" w:sz="8" w:color="auto"/>
            </w:tcBorders>
            <w:gridSpan w:val="21"/>
          </w:tcPr>
          <w:p>
            <w:pPr>
              <w:jc w:val="center"/>
              <w:spacing w:after="0" w:line="223" w:lineRule="exact"/>
              <w:rPr>
                <w:sz w:val="20"/>
                <w:szCs w:val="20"/>
                <w:color w:val="auto"/>
              </w:rPr>
            </w:pPr>
            <w:r>
              <w:rPr>
                <w:rFonts w:ascii="Arial" w:cs="Arial" w:eastAsia="Arial" w:hAnsi="Arial"/>
                <w:sz w:val="22"/>
                <w:szCs w:val="22"/>
                <w:color w:val="auto"/>
                <w:w w:val="96"/>
              </w:rPr>
              <w:t>M</w:t>
            </w:r>
            <w:r>
              <w:rPr>
                <w:rFonts w:ascii="Arial" w:cs="Arial" w:eastAsia="Arial" w:hAnsi="Arial"/>
                <w:sz w:val="18"/>
                <w:szCs w:val="18"/>
                <w:color w:val="auto"/>
                <w:w w:val="96"/>
              </w:rPr>
              <w:t>ISCELLANEOUS</w:t>
            </w:r>
            <w:r>
              <w:rPr>
                <w:rFonts w:ascii="Arial" w:cs="Arial" w:eastAsia="Arial" w:hAnsi="Arial"/>
                <w:sz w:val="22"/>
                <w:szCs w:val="22"/>
                <w:color w:val="auto"/>
                <w:w w:val="96"/>
              </w:rPr>
              <w:t xml:space="preserve"> P</w:t>
            </w:r>
            <w:r>
              <w:rPr>
                <w:rFonts w:ascii="Arial" w:cs="Arial" w:eastAsia="Arial" w:hAnsi="Arial"/>
                <w:sz w:val="18"/>
                <w:szCs w:val="18"/>
                <w:color w:val="auto"/>
                <w:w w:val="96"/>
              </w:rPr>
              <w:t>ROVISIONS</w:t>
            </w:r>
          </w:p>
        </w:tc>
        <w:tc>
          <w:tcPr>
            <w:tcW w:w="2320" w:type="dxa"/>
            <w:vAlign w:val="bottom"/>
            <w:gridSpan w:val="2"/>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960" w:type="dxa"/>
            <w:vAlign w:val="bottom"/>
            <w:gridSpan w:val="38"/>
          </w:tcPr>
          <w:p>
            <w:pPr>
              <w:spacing w:after="0"/>
              <w:rPr>
                <w:sz w:val="20"/>
                <w:szCs w:val="20"/>
                <w:color w:val="auto"/>
              </w:rPr>
            </w:pPr>
            <w:r>
              <w:rPr>
                <w:rFonts w:ascii="Arial" w:cs="Arial" w:eastAsia="Arial" w:hAnsi="Arial"/>
                <w:sz w:val="22"/>
                <w:szCs w:val="22"/>
                <w:color w:val="auto"/>
              </w:rPr>
              <w:t xml:space="preserve">Section 17.01. </w:t>
            </w:r>
            <w:r>
              <w:rPr>
                <w:rFonts w:ascii="Arial" w:cs="Arial" w:eastAsia="Arial" w:hAnsi="Arial"/>
                <w:sz w:val="22"/>
                <w:szCs w:val="22"/>
                <w:i w:val="1"/>
                <w:iCs w:val="1"/>
                <w:color w:val="auto"/>
              </w:rPr>
              <w:t>Provisions Binding on Company’s Successors</w:t>
            </w:r>
          </w:p>
        </w:tc>
        <w:tc>
          <w:tcPr>
            <w:tcW w:w="236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422"/>
        </w:trPr>
        <w:tc>
          <w:tcPr>
            <w:tcW w:w="6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gridSpan w:val="11"/>
          </w:tcPr>
          <w:p>
            <w:pPr>
              <w:ind w:left="80"/>
              <w:spacing w:after="0"/>
              <w:rPr>
                <w:sz w:val="20"/>
                <w:szCs w:val="20"/>
                <w:color w:val="auto"/>
              </w:rPr>
            </w:pPr>
            <w:r>
              <w:rPr>
                <w:rFonts w:ascii="Arial" w:cs="Arial" w:eastAsia="Arial" w:hAnsi="Arial"/>
                <w:sz w:val="22"/>
                <w:szCs w:val="22"/>
                <w:color w:val="auto"/>
              </w:rPr>
              <w:t>iv</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38"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3" w:name="page54"/>
    <w:bookmarkEnd w:id="53"/>
    <w:tbl>
      <w:tblPr>
        <w:tblLayout w:type="fixed"/>
        <w:tblInd w:w="0" w:type="dxa"/>
        <w:tblCellMar>
          <w:top w:w="0" w:type="dxa"/>
          <w:left w:w="0" w:type="dxa"/>
          <w:bottom w:w="0" w:type="dxa"/>
          <w:right w:w="0" w:type="dxa"/>
        </w:tblCellMar>
      </w:tblPr>
      <w:tr>
        <w:trPr>
          <w:trHeight w:val="253"/>
        </w:trPr>
        <w:tc>
          <w:tcPr>
            <w:tcW w:w="8560" w:type="dxa"/>
            <w:vAlign w:val="bottom"/>
            <w:gridSpan w:val="19"/>
          </w:tcPr>
          <w:p>
            <w:pPr>
              <w:spacing w:after="0"/>
              <w:rPr>
                <w:sz w:val="20"/>
                <w:szCs w:val="20"/>
                <w:color w:val="auto"/>
              </w:rPr>
            </w:pPr>
            <w:r>
              <w:rPr>
                <w:rFonts w:ascii="Arial" w:cs="Arial" w:eastAsia="Arial" w:hAnsi="Arial"/>
                <w:sz w:val="22"/>
                <w:szCs w:val="22"/>
                <w:color w:val="auto"/>
              </w:rPr>
              <w:t xml:space="preserve">Section 17.02. </w:t>
            </w:r>
            <w:r>
              <w:rPr>
                <w:rFonts w:ascii="Arial" w:cs="Arial" w:eastAsia="Arial" w:hAnsi="Arial"/>
                <w:sz w:val="22"/>
                <w:szCs w:val="22"/>
                <w:i w:val="1"/>
                <w:iCs w:val="1"/>
                <w:color w:val="auto"/>
              </w:rPr>
              <w:t>Official Acts by Successor</w:t>
            </w:r>
          </w:p>
        </w:tc>
        <w:tc>
          <w:tcPr>
            <w:tcW w:w="276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gridSpan w:val="10"/>
          </w:tcPr>
          <w:p>
            <w:pPr>
              <w:spacing w:after="0" w:line="223" w:lineRule="exact"/>
              <w:rPr>
                <w:sz w:val="20"/>
                <w:szCs w:val="20"/>
                <w:color w:val="auto"/>
              </w:rPr>
            </w:pPr>
            <w:r>
              <w:rPr>
                <w:rFonts w:ascii="Arial" w:cs="Arial" w:eastAsia="Arial" w:hAnsi="Arial"/>
                <w:sz w:val="22"/>
                <w:szCs w:val="22"/>
                <w:color w:val="auto"/>
              </w:rPr>
              <w:t xml:space="preserve">Section 17.03. </w:t>
            </w:r>
            <w:r>
              <w:rPr>
                <w:rFonts w:ascii="Arial" w:cs="Arial" w:eastAsia="Arial" w:hAnsi="Arial"/>
                <w:sz w:val="22"/>
                <w:szCs w:val="22"/>
                <w:i w:val="1"/>
                <w:iCs w:val="1"/>
                <w:color w:val="auto"/>
              </w:rPr>
              <w:t>Notices</w:t>
            </w:r>
          </w:p>
        </w:tc>
        <w:tc>
          <w:tcPr>
            <w:tcW w:w="4940" w:type="dxa"/>
            <w:vAlign w:val="bottom"/>
            <w:gridSpan w:val="9"/>
          </w:tcPr>
          <w:p>
            <w:pPr>
              <w:spacing w:after="0"/>
              <w:rPr>
                <w:sz w:val="19"/>
                <w:szCs w:val="19"/>
                <w:color w:val="auto"/>
              </w:rPr>
            </w:pPr>
          </w:p>
        </w:tc>
        <w:tc>
          <w:tcPr>
            <w:tcW w:w="2760" w:type="dxa"/>
            <w:vAlign w:val="bottom"/>
          </w:tcPr>
          <w:p>
            <w:pPr>
              <w:jc w:val="right"/>
              <w:spacing w:after="0" w:line="223" w:lineRule="exact"/>
              <w:rPr>
                <w:sz w:val="20"/>
                <w:szCs w:val="20"/>
                <w:color w:val="auto"/>
              </w:rPr>
            </w:pPr>
            <w:r>
              <w:rPr>
                <w:rFonts w:ascii="Arial" w:cs="Arial" w:eastAsia="Arial" w:hAnsi="Arial"/>
                <w:sz w:val="22"/>
                <w:szCs w:val="22"/>
                <w:color w:val="auto"/>
              </w:rPr>
              <w:t>83</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83</w:t>
            </w:r>
          </w:p>
        </w:tc>
        <w:tc>
          <w:tcPr>
            <w:tcW w:w="0" w:type="dxa"/>
            <w:vAlign w:val="bottom"/>
          </w:tcPr>
          <w:p>
            <w:pPr>
              <w:spacing w:after="0" w:line="20" w:lineRule="exact"/>
              <w:rPr>
                <w:sz w:val="1"/>
                <w:szCs w:val="1"/>
                <w:color w:val="auto"/>
              </w:rPr>
            </w:pPr>
          </w:p>
        </w:tc>
      </w:tr>
      <w:tr>
        <w:trPr>
          <w:trHeight w:val="223"/>
        </w:trPr>
        <w:tc>
          <w:tcPr>
            <w:tcW w:w="8560" w:type="dxa"/>
            <w:vAlign w:val="bottom"/>
            <w:gridSpan w:val="19"/>
          </w:tcPr>
          <w:p>
            <w:pPr>
              <w:spacing w:after="0" w:line="223" w:lineRule="exact"/>
              <w:rPr>
                <w:sz w:val="20"/>
                <w:szCs w:val="20"/>
                <w:color w:val="auto"/>
              </w:rPr>
            </w:pPr>
            <w:r>
              <w:rPr>
                <w:rFonts w:ascii="Arial" w:cs="Arial" w:eastAsia="Arial" w:hAnsi="Arial"/>
                <w:sz w:val="22"/>
                <w:szCs w:val="22"/>
                <w:color w:val="auto"/>
              </w:rPr>
              <w:t xml:space="preserve">Section 17.04. </w:t>
            </w:r>
            <w:r>
              <w:rPr>
                <w:rFonts w:ascii="Arial" w:cs="Arial" w:eastAsia="Arial" w:hAnsi="Arial"/>
                <w:sz w:val="22"/>
                <w:szCs w:val="22"/>
                <w:i w:val="1"/>
                <w:iCs w:val="1"/>
                <w:color w:val="auto"/>
              </w:rPr>
              <w:t>Governing Law</w:t>
            </w: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tcBorders>
              <w:bottom w:val="single" w:sz="8" w:color="auto"/>
            </w:tcBorders>
            <w:gridSpan w:val="17"/>
          </w:tcPr>
          <w:p>
            <w:pPr>
              <w:spacing w:after="0" w:line="223" w:lineRule="exact"/>
              <w:rPr>
                <w:sz w:val="20"/>
                <w:szCs w:val="20"/>
                <w:color w:val="auto"/>
              </w:rPr>
            </w:pPr>
            <w:r>
              <w:rPr>
                <w:rFonts w:ascii="Arial" w:cs="Arial" w:eastAsia="Arial" w:hAnsi="Arial"/>
                <w:sz w:val="22"/>
                <w:szCs w:val="22"/>
                <w:color w:val="auto"/>
                <w:w w:val="90"/>
              </w:rPr>
              <w:t xml:space="preserve">Section 17.05. </w:t>
            </w:r>
            <w:r>
              <w:rPr>
                <w:rFonts w:ascii="Arial" w:cs="Arial" w:eastAsia="Arial" w:hAnsi="Arial"/>
                <w:sz w:val="22"/>
                <w:szCs w:val="22"/>
                <w:i w:val="1"/>
                <w:iCs w:val="1"/>
                <w:color w:val="auto"/>
                <w:w w:val="90"/>
              </w:rPr>
              <w:t>Evidence of Compliance with Conditions Precedent;</w:t>
            </w:r>
          </w:p>
        </w:tc>
        <w:tc>
          <w:tcPr>
            <w:tcW w:w="2660" w:type="dxa"/>
            <w:vAlign w:val="bottom"/>
            <w:gridSpan w:val="2"/>
          </w:tcPr>
          <w:p>
            <w:pPr>
              <w:spacing w:after="0"/>
              <w:rPr>
                <w:sz w:val="19"/>
                <w:szCs w:val="19"/>
                <w:color w:val="auto"/>
              </w:rPr>
            </w:pPr>
          </w:p>
        </w:tc>
        <w:tc>
          <w:tcPr>
            <w:tcW w:w="2760" w:type="dxa"/>
            <w:vAlign w:val="bottom"/>
            <w:vMerge w:val="restart"/>
          </w:tcPr>
          <w:p>
            <w:pPr>
              <w:jc w:val="right"/>
              <w:spacing w:after="0"/>
              <w:rPr>
                <w:sz w:val="20"/>
                <w:szCs w:val="20"/>
                <w:color w:val="auto"/>
              </w:rPr>
            </w:pPr>
            <w:r>
              <w:rPr>
                <w:rFonts w:ascii="Arial" w:cs="Arial" w:eastAsia="Arial" w:hAnsi="Arial"/>
                <w:sz w:val="22"/>
                <w:szCs w:val="22"/>
                <w:color w:val="auto"/>
              </w:rPr>
              <w:t>83</w:t>
            </w:r>
          </w:p>
        </w:tc>
        <w:tc>
          <w:tcPr>
            <w:tcW w:w="0" w:type="dxa"/>
            <w:vAlign w:val="bottom"/>
          </w:tcPr>
          <w:p>
            <w:pPr>
              <w:spacing w:after="0"/>
              <w:rPr>
                <w:sz w:val="1"/>
                <w:szCs w:val="1"/>
                <w:color w:val="auto"/>
              </w:rPr>
            </w:pPr>
          </w:p>
        </w:tc>
      </w:tr>
      <w:tr>
        <w:trPr>
          <w:trHeight w:val="223"/>
        </w:trPr>
        <w:tc>
          <w:tcPr>
            <w:tcW w:w="8560" w:type="dxa"/>
            <w:vAlign w:val="bottom"/>
            <w:gridSpan w:val="19"/>
          </w:tcPr>
          <w:p>
            <w:pPr>
              <w:ind w:left="660"/>
              <w:spacing w:after="0" w:line="223" w:lineRule="exact"/>
              <w:rPr>
                <w:sz w:val="20"/>
                <w:szCs w:val="20"/>
                <w:color w:val="auto"/>
              </w:rPr>
            </w:pPr>
            <w:r>
              <w:rPr>
                <w:rFonts w:ascii="Arial" w:cs="Arial" w:eastAsia="Arial" w:hAnsi="Arial"/>
                <w:sz w:val="22"/>
                <w:szCs w:val="22"/>
                <w:i w:val="1"/>
                <w:iCs w:val="1"/>
                <w:color w:val="auto"/>
              </w:rPr>
              <w:t>Certificates and Opinions of Counsel to Trustee</w:t>
            </w: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84</w:t>
            </w:r>
          </w:p>
        </w:tc>
        <w:tc>
          <w:tcPr>
            <w:tcW w:w="0" w:type="dxa"/>
            <w:vAlign w:val="bottom"/>
          </w:tcPr>
          <w:p>
            <w:pPr>
              <w:spacing w:after="0" w:line="20" w:lineRule="exact"/>
              <w:rPr>
                <w:sz w:val="1"/>
                <w:szCs w:val="1"/>
                <w:color w:val="auto"/>
              </w:rPr>
            </w:pPr>
          </w:p>
        </w:tc>
      </w:tr>
      <w:tr>
        <w:trPr>
          <w:trHeight w:val="223"/>
        </w:trPr>
        <w:tc>
          <w:tcPr>
            <w:tcW w:w="8560" w:type="dxa"/>
            <w:vAlign w:val="bottom"/>
            <w:gridSpan w:val="19"/>
          </w:tcPr>
          <w:p>
            <w:pPr>
              <w:spacing w:after="0" w:line="223" w:lineRule="exact"/>
              <w:rPr>
                <w:sz w:val="20"/>
                <w:szCs w:val="20"/>
                <w:color w:val="auto"/>
              </w:rPr>
            </w:pPr>
            <w:r>
              <w:rPr>
                <w:rFonts w:ascii="Arial" w:cs="Arial" w:eastAsia="Arial" w:hAnsi="Arial"/>
                <w:sz w:val="22"/>
                <w:szCs w:val="22"/>
                <w:color w:val="auto"/>
              </w:rPr>
              <w:t xml:space="preserve">Section 17.06. </w:t>
            </w:r>
            <w:r>
              <w:rPr>
                <w:rFonts w:ascii="Arial" w:cs="Arial" w:eastAsia="Arial" w:hAnsi="Arial"/>
                <w:sz w:val="22"/>
                <w:szCs w:val="22"/>
                <w:i w:val="1"/>
                <w:iCs w:val="1"/>
                <w:color w:val="auto"/>
              </w:rPr>
              <w:t>Legal Holidays</w:t>
            </w: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84</w:t>
            </w:r>
          </w:p>
        </w:tc>
        <w:tc>
          <w:tcPr>
            <w:tcW w:w="0" w:type="dxa"/>
            <w:vAlign w:val="bottom"/>
          </w:tcPr>
          <w:p>
            <w:pPr>
              <w:spacing w:after="0" w:line="20" w:lineRule="exact"/>
              <w:rPr>
                <w:sz w:val="1"/>
                <w:szCs w:val="1"/>
                <w:color w:val="auto"/>
              </w:rPr>
            </w:pPr>
          </w:p>
        </w:tc>
      </w:tr>
      <w:tr>
        <w:trPr>
          <w:trHeight w:val="223"/>
        </w:trPr>
        <w:tc>
          <w:tcPr>
            <w:tcW w:w="8560" w:type="dxa"/>
            <w:vAlign w:val="bottom"/>
            <w:gridSpan w:val="19"/>
          </w:tcPr>
          <w:p>
            <w:pPr>
              <w:spacing w:after="0" w:line="223" w:lineRule="exact"/>
              <w:rPr>
                <w:sz w:val="20"/>
                <w:szCs w:val="20"/>
                <w:color w:val="auto"/>
              </w:rPr>
            </w:pPr>
            <w:r>
              <w:rPr>
                <w:rFonts w:ascii="Arial" w:cs="Arial" w:eastAsia="Arial" w:hAnsi="Arial"/>
                <w:sz w:val="22"/>
                <w:szCs w:val="22"/>
                <w:color w:val="auto"/>
              </w:rPr>
              <w:t xml:space="preserve">Section 17.07. </w:t>
            </w:r>
            <w:r>
              <w:rPr>
                <w:rFonts w:ascii="Arial" w:cs="Arial" w:eastAsia="Arial" w:hAnsi="Arial"/>
                <w:sz w:val="22"/>
                <w:szCs w:val="22"/>
                <w:i w:val="1"/>
                <w:iCs w:val="1"/>
                <w:color w:val="auto"/>
              </w:rPr>
              <w:t>No Security Interest Created</w:t>
            </w: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gridSpan w:val="12"/>
          </w:tcPr>
          <w:p>
            <w:pPr>
              <w:spacing w:after="0" w:line="223" w:lineRule="exact"/>
              <w:rPr>
                <w:sz w:val="20"/>
                <w:szCs w:val="20"/>
                <w:color w:val="auto"/>
              </w:rPr>
            </w:pPr>
            <w:r>
              <w:rPr>
                <w:rFonts w:ascii="Arial" w:cs="Arial" w:eastAsia="Arial" w:hAnsi="Arial"/>
                <w:sz w:val="22"/>
                <w:szCs w:val="22"/>
                <w:color w:val="auto"/>
              </w:rPr>
              <w:t xml:space="preserve">Section 17.08. </w:t>
            </w:r>
            <w:r>
              <w:rPr>
                <w:rFonts w:ascii="Arial" w:cs="Arial" w:eastAsia="Arial" w:hAnsi="Arial"/>
                <w:sz w:val="22"/>
                <w:szCs w:val="22"/>
                <w:i w:val="1"/>
                <w:iCs w:val="1"/>
                <w:color w:val="auto"/>
              </w:rPr>
              <w:t>Benefits of Indenture</w:t>
            </w:r>
          </w:p>
        </w:tc>
        <w:tc>
          <w:tcPr>
            <w:tcW w:w="4740" w:type="dxa"/>
            <w:vAlign w:val="bottom"/>
            <w:gridSpan w:val="7"/>
          </w:tcPr>
          <w:p>
            <w:pPr>
              <w:spacing w:after="0"/>
              <w:rPr>
                <w:sz w:val="19"/>
                <w:szCs w:val="19"/>
                <w:color w:val="auto"/>
              </w:rPr>
            </w:pPr>
          </w:p>
        </w:tc>
        <w:tc>
          <w:tcPr>
            <w:tcW w:w="2760" w:type="dxa"/>
            <w:vAlign w:val="bottom"/>
          </w:tcPr>
          <w:p>
            <w:pPr>
              <w:jc w:val="right"/>
              <w:spacing w:after="0" w:line="223" w:lineRule="exact"/>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84</w:t>
            </w:r>
          </w:p>
        </w:tc>
        <w:tc>
          <w:tcPr>
            <w:tcW w:w="0" w:type="dxa"/>
            <w:vAlign w:val="bottom"/>
          </w:tcPr>
          <w:p>
            <w:pPr>
              <w:spacing w:after="0" w:line="20" w:lineRule="exact"/>
              <w:rPr>
                <w:sz w:val="1"/>
                <w:szCs w:val="1"/>
                <w:color w:val="auto"/>
              </w:rPr>
            </w:pPr>
          </w:p>
        </w:tc>
      </w:tr>
      <w:tr>
        <w:trPr>
          <w:trHeight w:val="223"/>
        </w:trPr>
        <w:tc>
          <w:tcPr>
            <w:tcW w:w="8560" w:type="dxa"/>
            <w:vAlign w:val="bottom"/>
            <w:gridSpan w:val="19"/>
          </w:tcPr>
          <w:p>
            <w:pPr>
              <w:spacing w:after="0" w:line="223" w:lineRule="exact"/>
              <w:rPr>
                <w:sz w:val="20"/>
                <w:szCs w:val="20"/>
                <w:color w:val="auto"/>
              </w:rPr>
            </w:pPr>
            <w:r>
              <w:rPr>
                <w:rFonts w:ascii="Arial" w:cs="Arial" w:eastAsia="Arial" w:hAnsi="Arial"/>
                <w:sz w:val="22"/>
                <w:szCs w:val="22"/>
                <w:color w:val="auto"/>
              </w:rPr>
              <w:t xml:space="preserve">Section 17.09. </w:t>
            </w:r>
            <w:r>
              <w:rPr>
                <w:rFonts w:ascii="Arial" w:cs="Arial" w:eastAsia="Arial" w:hAnsi="Arial"/>
                <w:sz w:val="22"/>
                <w:szCs w:val="22"/>
                <w:i w:val="1"/>
                <w:iCs w:val="1"/>
                <w:color w:val="auto"/>
              </w:rPr>
              <w:t>Table of Contents, Headings, Etc</w:t>
            </w: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auto"/>
              <w:bottom w:val="single" w:sz="8" w:color="auto"/>
            </w:tcBorders>
            <w:gridSpan w:val="11"/>
          </w:tcPr>
          <w:p>
            <w:pPr>
              <w:spacing w:after="0" w:line="223" w:lineRule="exact"/>
              <w:rPr>
                <w:sz w:val="20"/>
                <w:szCs w:val="20"/>
                <w:color w:val="auto"/>
              </w:rPr>
            </w:pPr>
            <w:r>
              <w:rPr>
                <w:rFonts w:ascii="Arial" w:cs="Arial" w:eastAsia="Arial" w:hAnsi="Arial"/>
                <w:sz w:val="22"/>
                <w:szCs w:val="22"/>
                <w:color w:val="auto"/>
                <w:w w:val="91"/>
              </w:rPr>
              <w:t xml:space="preserve">Section 17.10. </w:t>
            </w:r>
            <w:r>
              <w:rPr>
                <w:rFonts w:ascii="Arial" w:cs="Arial" w:eastAsia="Arial" w:hAnsi="Arial"/>
                <w:sz w:val="22"/>
                <w:szCs w:val="22"/>
                <w:i w:val="1"/>
                <w:iCs w:val="1"/>
                <w:color w:val="auto"/>
                <w:w w:val="91"/>
              </w:rPr>
              <w:t>Execution in Counterparts</w:t>
            </w:r>
          </w:p>
        </w:tc>
        <w:tc>
          <w:tcPr>
            <w:tcW w:w="540" w:type="dxa"/>
            <w:vAlign w:val="bottom"/>
            <w:tcBorders>
              <w:top w:val="single" w:sz="8" w:color="auto"/>
            </w:tcBorders>
            <w:gridSpan w:val="2"/>
          </w:tcPr>
          <w:p>
            <w:pPr>
              <w:spacing w:after="0"/>
              <w:rPr>
                <w:sz w:val="19"/>
                <w:szCs w:val="19"/>
                <w:color w:val="auto"/>
              </w:rPr>
            </w:pPr>
          </w:p>
        </w:tc>
        <w:tc>
          <w:tcPr>
            <w:tcW w:w="4360" w:type="dxa"/>
            <w:vAlign w:val="bottom"/>
            <w:gridSpan w:val="6"/>
          </w:tcPr>
          <w:p>
            <w:pPr>
              <w:spacing w:after="0"/>
              <w:rPr>
                <w:sz w:val="19"/>
                <w:szCs w:val="19"/>
                <w:color w:val="auto"/>
              </w:rPr>
            </w:pPr>
          </w:p>
        </w:tc>
        <w:tc>
          <w:tcPr>
            <w:tcW w:w="2760" w:type="dxa"/>
            <w:vAlign w:val="bottom"/>
          </w:tcPr>
          <w:p>
            <w:pPr>
              <w:jc w:val="right"/>
              <w:spacing w:after="0" w:line="223" w:lineRule="exact"/>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223"/>
        </w:trPr>
        <w:tc>
          <w:tcPr>
            <w:tcW w:w="8560" w:type="dxa"/>
            <w:vAlign w:val="bottom"/>
            <w:gridSpan w:val="19"/>
          </w:tcPr>
          <w:p>
            <w:pPr>
              <w:spacing w:after="0" w:line="223" w:lineRule="exact"/>
              <w:rPr>
                <w:sz w:val="20"/>
                <w:szCs w:val="20"/>
                <w:color w:val="auto"/>
              </w:rPr>
            </w:pPr>
            <w:r>
              <w:rPr>
                <w:rFonts w:ascii="Arial" w:cs="Arial" w:eastAsia="Arial" w:hAnsi="Arial"/>
                <w:sz w:val="22"/>
                <w:szCs w:val="22"/>
                <w:color w:val="auto"/>
              </w:rPr>
              <w:t xml:space="preserve">Section 17.11. </w:t>
            </w:r>
            <w:r>
              <w:rPr>
                <w:rFonts w:ascii="Arial" w:cs="Arial" w:eastAsia="Arial" w:hAnsi="Arial"/>
                <w:sz w:val="22"/>
                <w:szCs w:val="22"/>
                <w:i w:val="1"/>
                <w:iCs w:val="1"/>
                <w:color w:val="auto"/>
              </w:rPr>
              <w:t>Severability</w:t>
            </w:r>
          </w:p>
        </w:tc>
        <w:tc>
          <w:tcPr>
            <w:tcW w:w="2760" w:type="dxa"/>
            <w:vAlign w:val="bottom"/>
          </w:tcPr>
          <w:p>
            <w:pPr>
              <w:jc w:val="right"/>
              <w:spacing w:after="0" w:line="223" w:lineRule="exact"/>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84</w:t>
            </w:r>
          </w:p>
        </w:tc>
        <w:tc>
          <w:tcPr>
            <w:tcW w:w="0" w:type="dxa"/>
            <w:vAlign w:val="bottom"/>
          </w:tcPr>
          <w:p>
            <w:pPr>
              <w:spacing w:after="0" w:line="20" w:lineRule="exact"/>
              <w:rPr>
                <w:sz w:val="1"/>
                <w:szCs w:val="1"/>
                <w:color w:val="auto"/>
              </w:rPr>
            </w:pPr>
          </w:p>
        </w:tc>
      </w:tr>
      <w:tr>
        <w:trPr>
          <w:trHeight w:val="223"/>
        </w:trPr>
        <w:tc>
          <w:tcPr>
            <w:tcW w:w="3160" w:type="dxa"/>
            <w:vAlign w:val="bottom"/>
            <w:tcBorders>
              <w:bottom w:val="single" w:sz="8" w:color="auto"/>
            </w:tcBorders>
            <w:gridSpan w:val="8"/>
          </w:tcPr>
          <w:p>
            <w:pPr>
              <w:spacing w:after="0" w:line="223" w:lineRule="exact"/>
              <w:rPr>
                <w:sz w:val="20"/>
                <w:szCs w:val="20"/>
                <w:color w:val="auto"/>
              </w:rPr>
            </w:pPr>
            <w:r>
              <w:rPr>
                <w:rFonts w:ascii="Arial" w:cs="Arial" w:eastAsia="Arial" w:hAnsi="Arial"/>
                <w:sz w:val="22"/>
                <w:szCs w:val="22"/>
                <w:color w:val="auto"/>
                <w:w w:val="92"/>
              </w:rPr>
              <w:t xml:space="preserve">Section 17.12. </w:t>
            </w:r>
            <w:r>
              <w:rPr>
                <w:rFonts w:ascii="Arial" w:cs="Arial" w:eastAsia="Arial" w:hAnsi="Arial"/>
                <w:sz w:val="22"/>
                <w:szCs w:val="22"/>
                <w:i w:val="1"/>
                <w:iCs w:val="1"/>
                <w:color w:val="auto"/>
                <w:w w:val="92"/>
              </w:rPr>
              <w:t>Waiver of Jury Trial</w:t>
            </w:r>
          </w:p>
        </w:tc>
        <w:tc>
          <w:tcPr>
            <w:tcW w:w="5400" w:type="dxa"/>
            <w:vAlign w:val="bottom"/>
            <w:gridSpan w:val="11"/>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gridSpan w:val="9"/>
          </w:tcPr>
          <w:p>
            <w:pPr>
              <w:spacing w:after="0" w:line="223" w:lineRule="exact"/>
              <w:rPr>
                <w:sz w:val="20"/>
                <w:szCs w:val="20"/>
                <w:color w:val="auto"/>
              </w:rPr>
            </w:pPr>
            <w:r>
              <w:rPr>
                <w:rFonts w:ascii="Arial" w:cs="Arial" w:eastAsia="Arial" w:hAnsi="Arial"/>
                <w:sz w:val="22"/>
                <w:szCs w:val="22"/>
                <w:color w:val="auto"/>
                <w:w w:val="90"/>
              </w:rPr>
              <w:t xml:space="preserve">Section 17.13. </w:t>
            </w:r>
            <w:r>
              <w:rPr>
                <w:rFonts w:ascii="Arial" w:cs="Arial" w:eastAsia="Arial" w:hAnsi="Arial"/>
                <w:sz w:val="22"/>
                <w:szCs w:val="22"/>
                <w:i w:val="1"/>
                <w:iCs w:val="1"/>
                <w:color w:val="auto"/>
                <w:w w:val="90"/>
              </w:rPr>
              <w:t>Consent to Jurisdiction</w:t>
            </w:r>
          </w:p>
        </w:tc>
        <w:tc>
          <w:tcPr>
            <w:tcW w:w="5180" w:type="dxa"/>
            <w:vAlign w:val="bottom"/>
            <w:gridSpan w:val="10"/>
          </w:tcPr>
          <w:p>
            <w:pPr>
              <w:spacing w:after="0"/>
              <w:rPr>
                <w:sz w:val="19"/>
                <w:szCs w:val="19"/>
                <w:color w:val="auto"/>
              </w:rPr>
            </w:pPr>
          </w:p>
        </w:tc>
        <w:tc>
          <w:tcPr>
            <w:tcW w:w="2760" w:type="dxa"/>
            <w:vAlign w:val="bottom"/>
          </w:tcPr>
          <w:p>
            <w:pPr>
              <w:jc w:val="right"/>
              <w:spacing w:after="0" w:line="223"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23"/>
        </w:trPr>
        <w:tc>
          <w:tcPr>
            <w:tcW w:w="8560" w:type="dxa"/>
            <w:vAlign w:val="bottom"/>
            <w:gridSpan w:val="19"/>
          </w:tcPr>
          <w:p>
            <w:pPr>
              <w:spacing w:after="0" w:line="223" w:lineRule="exact"/>
              <w:rPr>
                <w:sz w:val="20"/>
                <w:szCs w:val="20"/>
                <w:color w:val="auto"/>
              </w:rPr>
            </w:pPr>
            <w:r>
              <w:rPr>
                <w:rFonts w:ascii="Arial" w:cs="Arial" w:eastAsia="Arial" w:hAnsi="Arial"/>
                <w:sz w:val="22"/>
                <w:szCs w:val="22"/>
                <w:color w:val="auto"/>
              </w:rPr>
              <w:t xml:space="preserve">Section 17.14. </w:t>
            </w:r>
            <w:r>
              <w:rPr>
                <w:rFonts w:ascii="Arial" w:cs="Arial" w:eastAsia="Arial" w:hAnsi="Arial"/>
                <w:sz w:val="22"/>
                <w:szCs w:val="22"/>
                <w:i w:val="1"/>
                <w:iCs w:val="1"/>
                <w:color w:val="auto"/>
              </w:rPr>
              <w:t>Force Majeure</w:t>
            </w:r>
          </w:p>
        </w:tc>
        <w:tc>
          <w:tcPr>
            <w:tcW w:w="2760" w:type="dxa"/>
            <w:vAlign w:val="bottom"/>
          </w:tcPr>
          <w:p>
            <w:pPr>
              <w:jc w:val="right"/>
              <w:spacing w:after="0" w:line="223"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23"/>
        </w:trPr>
        <w:tc>
          <w:tcPr>
            <w:tcW w:w="2680" w:type="dxa"/>
            <w:vAlign w:val="bottom"/>
            <w:tcBorders>
              <w:top w:val="single" w:sz="8" w:color="auto"/>
            </w:tcBorders>
            <w:gridSpan w:val="6"/>
          </w:tcPr>
          <w:p>
            <w:pPr>
              <w:spacing w:after="0" w:line="223" w:lineRule="exact"/>
              <w:rPr>
                <w:sz w:val="20"/>
                <w:szCs w:val="20"/>
                <w:color w:val="auto"/>
              </w:rPr>
            </w:pPr>
            <w:r>
              <w:rPr>
                <w:rFonts w:ascii="Arial" w:cs="Arial" w:eastAsia="Arial" w:hAnsi="Arial"/>
                <w:sz w:val="22"/>
                <w:szCs w:val="22"/>
                <w:color w:val="auto"/>
                <w:w w:val="99"/>
              </w:rPr>
              <w:t xml:space="preserve">Section 17.15. </w:t>
            </w:r>
            <w:r>
              <w:rPr>
                <w:rFonts w:ascii="Arial" w:cs="Arial" w:eastAsia="Arial" w:hAnsi="Arial"/>
                <w:sz w:val="22"/>
                <w:szCs w:val="22"/>
                <w:i w:val="1"/>
                <w:iCs w:val="1"/>
                <w:color w:val="auto"/>
                <w:w w:val="99"/>
              </w:rPr>
              <w:t>Calculations</w:t>
            </w:r>
          </w:p>
        </w:tc>
        <w:tc>
          <w:tcPr>
            <w:tcW w:w="5880" w:type="dxa"/>
            <w:vAlign w:val="bottom"/>
            <w:gridSpan w:val="13"/>
          </w:tcPr>
          <w:p>
            <w:pPr>
              <w:spacing w:after="0"/>
              <w:rPr>
                <w:sz w:val="19"/>
                <w:szCs w:val="19"/>
                <w:color w:val="auto"/>
              </w:rPr>
            </w:pPr>
          </w:p>
        </w:tc>
        <w:tc>
          <w:tcPr>
            <w:tcW w:w="2760" w:type="dxa"/>
            <w:vAlign w:val="bottom"/>
          </w:tcPr>
          <w:p>
            <w:pPr>
              <w:jc w:val="right"/>
              <w:spacing w:after="0" w:line="223"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0"/>
        </w:trPr>
        <w:tc>
          <w:tcPr>
            <w:tcW w:w="24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6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86</w:t>
            </w:r>
          </w:p>
        </w:tc>
        <w:tc>
          <w:tcPr>
            <w:tcW w:w="0" w:type="dxa"/>
            <w:vAlign w:val="bottom"/>
          </w:tcPr>
          <w:p>
            <w:pPr>
              <w:spacing w:after="0" w:line="20" w:lineRule="exact"/>
              <w:rPr>
                <w:sz w:val="1"/>
                <w:szCs w:val="1"/>
                <w:color w:val="auto"/>
              </w:rPr>
            </w:pPr>
          </w:p>
        </w:tc>
      </w:tr>
      <w:tr>
        <w:trPr>
          <w:trHeight w:val="223"/>
        </w:trPr>
        <w:tc>
          <w:tcPr>
            <w:tcW w:w="8560" w:type="dxa"/>
            <w:vAlign w:val="bottom"/>
            <w:gridSpan w:val="19"/>
          </w:tcPr>
          <w:p>
            <w:pPr>
              <w:spacing w:after="0" w:line="223" w:lineRule="exact"/>
              <w:rPr>
                <w:sz w:val="20"/>
                <w:szCs w:val="20"/>
                <w:color w:val="auto"/>
              </w:rPr>
            </w:pPr>
            <w:r>
              <w:rPr>
                <w:rFonts w:ascii="Arial" w:cs="Arial" w:eastAsia="Arial" w:hAnsi="Arial"/>
                <w:sz w:val="22"/>
                <w:szCs w:val="22"/>
                <w:color w:val="auto"/>
              </w:rPr>
              <w:t xml:space="preserve">Section 17.16. </w:t>
            </w:r>
            <w:r>
              <w:rPr>
                <w:rFonts w:ascii="Arial" w:cs="Arial" w:eastAsia="Arial" w:hAnsi="Arial"/>
                <w:sz w:val="22"/>
                <w:szCs w:val="22"/>
                <w:i w:val="1"/>
                <w:iCs w:val="1"/>
                <w:color w:val="auto"/>
              </w:rPr>
              <w:t>U.S.A. Patriot Act</w:t>
            </w: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4"/>
          </w:tcPr>
          <w:p>
            <w:pPr>
              <w:jc w:val="center"/>
              <w:ind w:right="2680"/>
              <w:spacing w:after="0"/>
              <w:rPr>
                <w:sz w:val="20"/>
                <w:szCs w:val="20"/>
                <w:color w:val="auto"/>
              </w:rPr>
            </w:pPr>
            <w:r>
              <w:rPr>
                <w:rFonts w:ascii="Arial" w:cs="Arial" w:eastAsia="Arial" w:hAnsi="Arial"/>
                <w:sz w:val="22"/>
                <w:szCs w:val="22"/>
                <w:color w:val="auto"/>
                <w:w w:val="89"/>
              </w:rPr>
              <w:t>ARTICLE 18</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0" w:type="dxa"/>
            <w:vAlign w:val="bottom"/>
            <w:gridSpan w:val="5"/>
          </w:tcPr>
          <w:p>
            <w:pPr>
              <w:jc w:val="center"/>
              <w:ind w:right="2520"/>
              <w:spacing w:after="0" w:line="223" w:lineRule="exact"/>
              <w:rPr>
                <w:sz w:val="20"/>
                <w:szCs w:val="20"/>
                <w:color w:val="auto"/>
              </w:rPr>
            </w:pPr>
            <w:r>
              <w:rPr>
                <w:rFonts w:ascii="Arial" w:cs="Arial" w:eastAsia="Arial" w:hAnsi="Arial"/>
                <w:sz w:val="22"/>
                <w:szCs w:val="22"/>
                <w:color w:val="auto"/>
                <w:w w:val="96"/>
              </w:rPr>
              <w:t>S</w:t>
            </w:r>
            <w:r>
              <w:rPr>
                <w:rFonts w:ascii="Arial" w:cs="Arial" w:eastAsia="Arial" w:hAnsi="Arial"/>
                <w:sz w:val="18"/>
                <w:szCs w:val="18"/>
                <w:color w:val="auto"/>
                <w:w w:val="96"/>
              </w:rPr>
              <w:t>UBORDINATION</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60" w:type="dxa"/>
            <w:vAlign w:val="bottom"/>
            <w:gridSpan w:val="14"/>
          </w:tcPr>
          <w:p>
            <w:pPr>
              <w:spacing w:after="0"/>
              <w:rPr>
                <w:sz w:val="20"/>
                <w:szCs w:val="20"/>
                <w:color w:val="auto"/>
              </w:rPr>
            </w:pPr>
            <w:r>
              <w:rPr>
                <w:rFonts w:ascii="Arial" w:cs="Arial" w:eastAsia="Arial" w:hAnsi="Arial"/>
                <w:sz w:val="22"/>
                <w:szCs w:val="22"/>
                <w:color w:val="auto"/>
              </w:rPr>
              <w:t>Section 18.01</w:t>
            </w:r>
            <w:r>
              <w:rPr>
                <w:rFonts w:ascii="Arial" w:cs="Arial" w:eastAsia="Arial" w:hAnsi="Arial"/>
                <w:sz w:val="22"/>
                <w:szCs w:val="22"/>
                <w:i w:val="1"/>
                <w:iCs w:val="1"/>
                <w:color w:val="auto"/>
              </w:rPr>
              <w:t>. Subordination</w:t>
            </w:r>
          </w:p>
        </w:tc>
        <w:tc>
          <w:tcPr>
            <w:tcW w:w="1480" w:type="dxa"/>
            <w:vAlign w:val="bottom"/>
            <w:tcBorders>
              <w:top w:val="single" w:sz="8" w:color="auto"/>
            </w:tcBorders>
            <w:gridSpan w:val="4"/>
          </w:tcPr>
          <w:p>
            <w:pPr>
              <w:spacing w:after="0"/>
              <w:rPr>
                <w:sz w:val="24"/>
                <w:szCs w:val="24"/>
                <w:color w:val="auto"/>
              </w:rPr>
            </w:pPr>
          </w:p>
        </w:tc>
        <w:tc>
          <w:tcPr>
            <w:tcW w:w="252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22"/>
                <w:szCs w:val="22"/>
                <w:color w:val="auto"/>
              </w:rPr>
              <w:t>86</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Exhibit A — Form of Note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320"/>
          </w:cols>
          <w:pgMar w:left="240" w:top="238" w:right="339" w:bottom="1440" w:gutter="0" w:footer="0" w:header="0"/>
        </w:sectPr>
      </w:pPr>
    </w:p>
    <w:bookmarkStart w:id="54" w:name="page55"/>
    <w:bookmarkEnd w:id="54"/>
    <w:p>
      <w:pPr>
        <w:ind w:left="8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August 10, 2015 between MannKind Corporation, a Delaware corporation, as issuer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and Wells Fargo Bank, National Association, as trustee, a national banking association organized under the laws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United States of America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ind w:firstLine="799"/>
        <w:spacing w:after="0" w:line="238" w:lineRule="auto"/>
        <w:rPr>
          <w:sz w:val="20"/>
          <w:szCs w:val="20"/>
          <w:color w:val="auto"/>
        </w:rPr>
      </w:pPr>
      <w:r>
        <w:rPr>
          <w:rFonts w:ascii="Arial" w:cs="Arial" w:eastAsia="Arial" w:hAnsi="Arial"/>
          <w:sz w:val="22"/>
          <w:szCs w:val="22"/>
          <w:color w:val="auto"/>
        </w:rPr>
        <w:t>WHEREAS, for its lawful corporate purposes, the Company has duly authorized the issue of its 5.75% Convertible Senior Subordinated Exchange Notes due 2018 (the “</w:t>
      </w:r>
      <w:r>
        <w:rPr>
          <w:rFonts w:ascii="Arial" w:cs="Arial" w:eastAsia="Arial" w:hAnsi="Arial"/>
          <w:sz w:val="22"/>
          <w:szCs w:val="22"/>
          <w:b w:val="1"/>
          <w:bCs w:val="1"/>
          <w:color w:val="auto"/>
        </w:rPr>
        <w:t>Notes</w:t>
      </w:r>
      <w:r>
        <w:rPr>
          <w:rFonts w:ascii="Arial" w:cs="Arial" w:eastAsia="Arial" w:hAnsi="Arial"/>
          <w:sz w:val="22"/>
          <w:szCs w:val="22"/>
          <w:color w:val="auto"/>
        </w:rPr>
        <w:t>”), initially in an aggregate principal amount of $27,690,000, and in order to provide the terms and conditions upon which the Notes are to be authenticated, issued and delivered, the Company has duly authorized the execution and delivery of this Indenture; and</w:t>
      </w:r>
    </w:p>
    <w:p>
      <w:pPr>
        <w:spacing w:after="0" w:line="185" w:lineRule="exact"/>
        <w:rPr>
          <w:sz w:val="20"/>
          <w:szCs w:val="20"/>
          <w:color w:val="auto"/>
        </w:rPr>
      </w:pPr>
    </w:p>
    <w:p>
      <w:pPr>
        <w:ind w:right="40" w:firstLine="799"/>
        <w:spacing w:after="0"/>
        <w:rPr>
          <w:sz w:val="20"/>
          <w:szCs w:val="20"/>
          <w:color w:val="auto"/>
        </w:rPr>
      </w:pPr>
      <w:r>
        <w:rPr>
          <w:rFonts w:ascii="Arial" w:cs="Arial" w:eastAsia="Arial" w:hAnsi="Arial"/>
          <w:sz w:val="22"/>
          <w:szCs w:val="22"/>
          <w:color w:val="auto"/>
        </w:rPr>
        <w:t>WHEREAS, the Form of Note, the certificate of authentication to be borne by each Note, the Form of Notice of Conversion, the Form of Fundamental Change Purchase Notice and the Form of Assignment and Transfer to be borne by the Notes are to be substantially in the forms hereinafter provided; and</w:t>
      </w:r>
    </w:p>
    <w:p>
      <w:pPr>
        <w:spacing w:after="0" w:line="186" w:lineRule="exact"/>
        <w:rPr>
          <w:sz w:val="20"/>
          <w:szCs w:val="20"/>
          <w:color w:val="auto"/>
        </w:rPr>
      </w:pPr>
    </w:p>
    <w:p>
      <w:pPr>
        <w:ind w:right="540" w:firstLine="799"/>
        <w:spacing w:after="0" w:line="287" w:lineRule="auto"/>
        <w:rPr>
          <w:sz w:val="20"/>
          <w:szCs w:val="20"/>
          <w:color w:val="auto"/>
        </w:rPr>
      </w:pPr>
      <w:r>
        <w:rPr>
          <w:rFonts w:ascii="Arial" w:cs="Arial" w:eastAsia="Arial" w:hAnsi="Arial"/>
          <w:sz w:val="19"/>
          <w:szCs w:val="19"/>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to constitute these presents a valid agreement according to its terms, have been done and performed, and the execution of this Indenture and the issue hereunder of the Notes have in all respects been duly authorized.</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NOW, THEREFORE, THIS INDENTURE WITNESSETH:</w:t>
      </w:r>
    </w:p>
    <w:p>
      <w:pPr>
        <w:spacing w:after="0" w:line="206" w:lineRule="exact"/>
        <w:rPr>
          <w:sz w:val="20"/>
          <w:szCs w:val="20"/>
          <w:color w:val="auto"/>
        </w:rPr>
      </w:pPr>
    </w:p>
    <w:p>
      <w:pPr>
        <w:ind w:right="20" w:firstLine="799"/>
        <w:spacing w:after="0" w:line="238" w:lineRule="auto"/>
        <w:rPr>
          <w:sz w:val="20"/>
          <w:szCs w:val="20"/>
          <w:color w:val="auto"/>
        </w:rPr>
      </w:pPr>
      <w:r>
        <w:rPr>
          <w:rFonts w:ascii="Arial" w:cs="Arial" w:eastAsia="Arial" w:hAnsi="Arial"/>
          <w:sz w:val="22"/>
          <w:szCs w:val="22"/>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EFINITIONS</w:t>
      </w:r>
      <w:r>
        <w:rPr>
          <w:rFonts w:ascii="Arial" w:cs="Arial" w:eastAsia="Arial" w:hAnsi="Arial"/>
          <w:sz w:val="22"/>
          <w:szCs w:val="22"/>
          <w:color w:val="auto"/>
        </w:rPr>
        <w:t>; I</w:t>
      </w:r>
      <w:r>
        <w:rPr>
          <w:rFonts w:ascii="Arial" w:cs="Arial" w:eastAsia="Arial" w:hAnsi="Arial"/>
          <w:sz w:val="18"/>
          <w:szCs w:val="18"/>
          <w:color w:val="auto"/>
        </w:rPr>
        <w:t>NTERPRETATIONS</w:t>
      </w:r>
    </w:p>
    <w:p>
      <w:pPr>
        <w:spacing w:after="0" w:line="188" w:lineRule="exact"/>
        <w:rPr>
          <w:sz w:val="20"/>
          <w:szCs w:val="20"/>
          <w:color w:val="auto"/>
        </w:rPr>
      </w:pPr>
    </w:p>
    <w:p>
      <w:pPr>
        <w:jc w:val="both"/>
        <w:ind w:right="20" w:firstLine="799"/>
        <w:spacing w:after="0" w:line="238" w:lineRule="auto"/>
        <w:rPr>
          <w:sz w:val="20"/>
          <w:szCs w:val="20"/>
          <w:color w:val="auto"/>
        </w:rPr>
      </w:pPr>
      <w:r>
        <w:rPr>
          <w:rFonts w:ascii="Arial" w:cs="Arial" w:eastAsia="Arial" w:hAnsi="Arial"/>
          <w:sz w:val="22"/>
          <w:szCs w:val="22"/>
          <w:i w:val="1"/>
          <w:iCs w:val="1"/>
          <w:color w:val="auto"/>
        </w:rPr>
        <w:t xml:space="preserve">Section 1.01. Definitions. </w:t>
      </w:r>
      <w:r>
        <w:rPr>
          <w:rFonts w:ascii="Arial" w:cs="Arial" w:eastAsia="Arial" w:hAnsi="Arial"/>
          <w:sz w:val="22"/>
          <w:szCs w:val="22"/>
          <w:color w:val="auto"/>
        </w:rPr>
        <w:t>The terms defined in this Section 1.01 (except as herein otherwise expressly provided or unless</w:t>
      </w:r>
      <w:r>
        <w:rPr>
          <w:rFonts w:ascii="Arial" w:cs="Arial" w:eastAsia="Arial" w:hAnsi="Arial"/>
          <w:sz w:val="22"/>
          <w:szCs w:val="22"/>
          <w:i w:val="1"/>
          <w:iCs w:val="1"/>
          <w:color w:val="auto"/>
        </w:rPr>
        <w:t xml:space="preserve"> </w:t>
      </w:r>
      <w:r>
        <w:rPr>
          <w:rFonts w:ascii="Arial" w:cs="Arial" w:eastAsia="Arial" w:hAnsi="Arial"/>
          <w:sz w:val="22"/>
          <w:szCs w:val="22"/>
          <w:color w:val="auto"/>
        </w:rPr>
        <w:t>the context otherwise requires) for all purposes of this Indenture and of any indenture supplemental hereto shall have the respective meanings specified in this Section 1.01. All other terms used in this Indenture that are defined in the Trust Indenture Act or that are by</w:t>
      </w:r>
    </w:p>
    <w:p>
      <w:pPr>
        <w:sectPr>
          <w:pgSz w:w="11900" w:h="16838" w:orient="portrait"/>
          <w:cols w:equalWidth="0" w:num="1">
            <w:col w:w="11380"/>
          </w:cols>
          <w:pgMar w:left="240" w:top="267" w:right="279" w:bottom="1440" w:gutter="0" w:footer="0" w:header="0"/>
        </w:sectPr>
      </w:pPr>
    </w:p>
    <w:bookmarkStart w:id="55" w:name="page56"/>
    <w:bookmarkEnd w:id="55"/>
    <w:p>
      <w:pPr>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therein defined in the Securities Act (except as herein otherwise expressly provided or unless the context otherwise requires) shall have the meanings assigned to such terms in said Trust Indenture Act and in the Securities Act as in force at the date of the execution of this Indenture. The words “herein,” “hereof,” “hereunder,” and words of similar import refer to this Indenture as a whole and not to any particular Article, Section or other subdivision. The terms defined in this Article include the plural as well as the singular. Unless otherwise noted, references to “U.S. Dollars” or “$” shall mean the currency of the United States.</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Interest</w:t>
      </w:r>
      <w:r>
        <w:rPr>
          <w:rFonts w:ascii="Arial" w:cs="Arial" w:eastAsia="Arial" w:hAnsi="Arial"/>
          <w:sz w:val="22"/>
          <w:szCs w:val="22"/>
          <w:color w:val="auto"/>
        </w:rPr>
        <w:t>” shall have the meaning specified in Section 12.01(a).</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Note</w:t>
      </w:r>
      <w:r>
        <w:rPr>
          <w:rFonts w:ascii="Arial" w:cs="Arial" w:eastAsia="Arial" w:hAnsi="Arial"/>
          <w:sz w:val="22"/>
          <w:szCs w:val="22"/>
          <w:color w:val="auto"/>
        </w:rPr>
        <w:t>” or “</w:t>
      </w:r>
      <w:r>
        <w:rPr>
          <w:rFonts w:ascii="Arial" w:cs="Arial" w:eastAsia="Arial" w:hAnsi="Arial"/>
          <w:sz w:val="22"/>
          <w:szCs w:val="22"/>
          <w:b w:val="1"/>
          <w:bCs w:val="1"/>
          <w:color w:val="auto"/>
        </w:rPr>
        <w:t>Additional Notes</w:t>
      </w:r>
      <w:r>
        <w:rPr>
          <w:rFonts w:ascii="Arial" w:cs="Arial" w:eastAsia="Arial" w:hAnsi="Arial"/>
          <w:sz w:val="22"/>
          <w:szCs w:val="22"/>
          <w:color w:val="auto"/>
        </w:rPr>
        <w:t>” shall have the meaning specified in Section 2.10.</w:t>
      </w:r>
    </w:p>
    <w:p>
      <w:pPr>
        <w:spacing w:after="0" w:line="206" w:lineRule="exact"/>
        <w:rPr>
          <w:sz w:val="20"/>
          <w:szCs w:val="20"/>
          <w:color w:val="auto"/>
        </w:rPr>
      </w:pPr>
    </w:p>
    <w:p>
      <w:pPr>
        <w:ind w:firstLine="799"/>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 Members</w:t>
      </w:r>
      <w:r>
        <w:rPr>
          <w:rFonts w:ascii="Arial" w:cs="Arial" w:eastAsia="Arial" w:hAnsi="Arial"/>
          <w:sz w:val="22"/>
          <w:szCs w:val="22"/>
          <w:color w:val="auto"/>
        </w:rPr>
        <w:t>” shall have the meaning specified in Section 2.05(b).</w:t>
      </w:r>
    </w:p>
    <w:p>
      <w:pPr>
        <w:spacing w:after="0" w:line="206" w:lineRule="exact"/>
        <w:rPr>
          <w:sz w:val="20"/>
          <w:szCs w:val="20"/>
          <w:color w:val="auto"/>
        </w:rPr>
      </w:pPr>
    </w:p>
    <w:p>
      <w:pPr>
        <w:jc w:val="both"/>
        <w:ind w:right="700" w:firstLine="79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Procedures</w:t>
      </w:r>
      <w:r>
        <w:rPr>
          <w:rFonts w:ascii="Arial" w:cs="Arial" w:eastAsia="Arial" w:hAnsi="Arial"/>
          <w:sz w:val="22"/>
          <w:szCs w:val="22"/>
          <w:color w:val="auto"/>
        </w:rPr>
        <w:t>” means, with respect to any conversion, transfer, exchange, redemption or repurchase of beneficial ownership interests in a Global Note, the rules and procedures of the Depositary, to the extent applicable to such conversion, transfer, exchange, redemption or repurchase.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Law</w:t>
      </w:r>
      <w:r>
        <w:rPr>
          <w:rFonts w:ascii="Arial" w:cs="Arial" w:eastAsia="Arial" w:hAnsi="Arial"/>
          <w:sz w:val="22"/>
          <w:szCs w:val="22"/>
          <w:color w:val="auto"/>
        </w:rPr>
        <w:t>” shall have the meaning specified in Section 6.01.</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means the Board of Directors of the Company or any duly authorized committee of such Board.</w:t>
      </w:r>
    </w:p>
    <w:p>
      <w:pPr>
        <w:spacing w:after="0" w:line="241" w:lineRule="exact"/>
        <w:rPr>
          <w:sz w:val="20"/>
          <w:szCs w:val="20"/>
          <w:color w:val="auto"/>
        </w:rPr>
      </w:pPr>
    </w:p>
    <w:p>
      <w:pPr>
        <w:ind w:right="120" w:firstLine="799"/>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Resolution</w:t>
      </w:r>
      <w:r>
        <w:rPr>
          <w:rFonts w:ascii="Arial" w:cs="Arial" w:eastAsia="Arial" w:hAnsi="Arial"/>
          <w:sz w:val="19"/>
          <w:szCs w:val="19"/>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92" w:lineRule="exact"/>
        <w:rPr>
          <w:sz w:val="20"/>
          <w:szCs w:val="20"/>
          <w:color w:val="auto"/>
        </w:rPr>
      </w:pPr>
    </w:p>
    <w:p>
      <w:pPr>
        <w:ind w:right="340" w:firstLine="79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day on which federal or state banking institutions in the Borough of Manhattan, the City of New York, or in the city of the Corporate Trust Office of the Trustee, are authorized or obligated by law, executive order or regulation to close.</w:t>
      </w:r>
    </w:p>
    <w:p>
      <w:pPr>
        <w:sectPr>
          <w:pgSz w:w="11900" w:h="16838" w:orient="portrait"/>
          <w:cols w:equalWidth="0" w:num="1">
            <w:col w:w="11380"/>
          </w:cols>
          <w:pgMar w:left="240" w:top="267" w:right="279" w:bottom="1440" w:gutter="0" w:footer="0" w:header="0"/>
        </w:sectPr>
      </w:pPr>
    </w:p>
    <w:bookmarkStart w:id="56" w:name="page57"/>
    <w:bookmarkEnd w:id="56"/>
    <w:p>
      <w:pPr>
        <w:ind w:right="120" w:firstLine="799"/>
        <w:spacing w:after="0" w:line="24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b w:val="1"/>
          <w:bCs w:val="1"/>
          <w:color w:val="auto"/>
        </w:rPr>
        <w:t>Capital Stock</w:t>
      </w:r>
      <w:r>
        <w:rPr>
          <w:rFonts w:ascii="Arial" w:cs="Arial" w:eastAsia="Arial" w:hAnsi="Arial"/>
          <w:sz w:val="22"/>
          <w:szCs w:val="22"/>
          <w:color w:val="auto"/>
        </w:rPr>
        <w:t>” of any Person means any and all shares, interests, rights to purchase, warrants, options, participations or other equivalents of or interests in (however designated) the equity of such Person, but excluding any debt securities convertible into such equity.</w:t>
      </w:r>
    </w:p>
    <w:p>
      <w:pPr>
        <w:spacing w:after="0" w:line="177" w:lineRule="exact"/>
        <w:rPr>
          <w:sz w:val="20"/>
          <w:szCs w:val="20"/>
          <w:color w:val="auto"/>
        </w:rPr>
      </w:pPr>
    </w:p>
    <w:p>
      <w:pPr>
        <w:ind w:right="58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w:t>
      </w:r>
      <w:r>
        <w:rPr>
          <w:rFonts w:ascii="Arial" w:cs="Arial" w:eastAsia="Arial" w:hAnsi="Arial"/>
          <w:sz w:val="22"/>
          <w:szCs w:val="22"/>
          <w:color w:val="auto"/>
        </w:rPr>
        <w:t>” or “</w:t>
      </w:r>
      <w:r>
        <w:rPr>
          <w:rFonts w:ascii="Arial" w:cs="Arial" w:eastAsia="Arial" w:hAnsi="Arial"/>
          <w:sz w:val="22"/>
          <w:szCs w:val="22"/>
          <w:b w:val="1"/>
          <w:bCs w:val="1"/>
          <w:color w:val="auto"/>
        </w:rPr>
        <w:t>cash</w:t>
      </w:r>
      <w:r>
        <w:rPr>
          <w:rFonts w:ascii="Arial" w:cs="Arial" w:eastAsia="Arial" w:hAnsi="Arial"/>
          <w:sz w:val="22"/>
          <w:szCs w:val="22"/>
          <w:color w:val="auto"/>
        </w:rPr>
        <w:t>” means such coin or currency of the United States as at any time of payment is legal tender for the payment of public and private debts.</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means the occurrence of any of the following events from and after the Issue Date:</w:t>
      </w:r>
    </w:p>
    <w:p>
      <w:pPr>
        <w:spacing w:after="0" w:line="206" w:lineRule="exact"/>
        <w:rPr>
          <w:sz w:val="20"/>
          <w:szCs w:val="20"/>
          <w:color w:val="auto"/>
        </w:rPr>
      </w:pPr>
    </w:p>
    <w:p>
      <w:pPr>
        <w:ind w:right="40" w:firstLine="807"/>
        <w:spacing w:after="0" w:line="272" w:lineRule="auto"/>
        <w:tabs>
          <w:tab w:leader="none" w:pos="1435"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acquisition by any “</w:t>
      </w:r>
      <w:r>
        <w:rPr>
          <w:rFonts w:ascii="Arial" w:cs="Arial" w:eastAsia="Arial" w:hAnsi="Arial"/>
          <w:sz w:val="19"/>
          <w:szCs w:val="19"/>
          <w:b w:val="1"/>
          <w:bCs w:val="1"/>
          <w:color w:val="auto"/>
        </w:rPr>
        <w:t>person</w:t>
      </w:r>
      <w:r>
        <w:rPr>
          <w:rFonts w:ascii="Arial" w:cs="Arial" w:eastAsia="Arial" w:hAnsi="Arial"/>
          <w:sz w:val="19"/>
          <w:szCs w:val="19"/>
          <w:color w:val="auto"/>
        </w:rPr>
        <w:t>”, including any syndicate or group deemed to be a “person” under Section 13(d)(3) of the Exchange Act is or becomes the “</w:t>
      </w:r>
      <w:r>
        <w:rPr>
          <w:rFonts w:ascii="Arial" w:cs="Arial" w:eastAsia="Arial" w:hAnsi="Arial"/>
          <w:sz w:val="19"/>
          <w:szCs w:val="19"/>
          <w:b w:val="1"/>
          <w:bCs w:val="1"/>
          <w:color w:val="auto"/>
        </w:rPr>
        <w:t>beneficial owner</w:t>
      </w:r>
      <w:r>
        <w:rPr>
          <w:rFonts w:ascii="Arial" w:cs="Arial" w:eastAsia="Arial" w:hAnsi="Arial"/>
          <w:sz w:val="19"/>
          <w:szCs w:val="19"/>
          <w:color w:val="auto"/>
        </w:rPr>
        <w:t>” (as defined in Rule 13d-3 under the Exchange Act) of the beneficial ownership, directly or indirectly, through a purchase, merger or other acquisition transaction or series of transactions of shares of the Company’s Capital Stock entitling that person to exercise 50% or more of the total voting power of all shares of the Company’s Voting Stock, other than (x) any acquisition by the Company, any Subsidiary or any of the Company’s employee benefit plans;</w:t>
      </w:r>
    </w:p>
    <w:p>
      <w:pPr>
        <w:spacing w:after="0" w:line="1" w:lineRule="exact"/>
        <w:rPr>
          <w:rFonts w:ascii="Arial" w:cs="Arial" w:eastAsia="Arial" w:hAnsi="Arial"/>
          <w:sz w:val="19"/>
          <w:szCs w:val="19"/>
          <w:color w:val="auto"/>
        </w:rPr>
      </w:pPr>
    </w:p>
    <w:p>
      <w:pPr>
        <w:ind w:firstLine="8"/>
        <w:spacing w:after="0" w:line="277" w:lineRule="auto"/>
        <w:tabs>
          <w:tab w:leader="none" w:pos="306"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any acquisition during the lifetime of Mann by Mann or his estate, by any trust where Mann is the trustee or grantor, by any not-for-profit entity where the acquisition is directed by Mann or by any entity wholly-owned by Mann or his estate;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total beneficial ownership of all such Persons, together with the Persons in (z), does not exceed 70% or more of the total voting power of all shares of the Company’s Voting Stock; and (z) any acquisition by any Person so long as the shares acquired by such Person are acquired directly from one of the Persons listed in (y) and no consideration is paid in connection with such acquisition;</w:t>
      </w:r>
    </w:p>
    <w:p>
      <w:pPr>
        <w:spacing w:after="0" w:line="152" w:lineRule="exact"/>
        <w:rPr>
          <w:rFonts w:ascii="Arial" w:cs="Arial" w:eastAsia="Arial" w:hAnsi="Arial"/>
          <w:sz w:val="19"/>
          <w:szCs w:val="19"/>
          <w:color w:val="auto"/>
        </w:rPr>
      </w:pPr>
    </w:p>
    <w:p>
      <w:pPr>
        <w:ind w:right="300" w:firstLine="807"/>
        <w:spacing w:after="0" w:line="271" w:lineRule="auto"/>
        <w:tabs>
          <w:tab w:leader="none" w:pos="1387"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Company (A) recapitalizes, reclassifies or changes the Common Stock (other than changes resulting from a subdivision or combination) as a result of which the Common Stock would be converted into, or exchanged for, stock, other securities, other property or assets or (B) exchanges its shares of Common Stock with, consolidates with, or merges with or into, another Person or any Person exchanges its shares of common stock with, consolidates or merges with or into the Company, or</w:t>
      </w:r>
    </w:p>
    <w:p>
      <w:pPr>
        <w:spacing w:after="0" w:line="3" w:lineRule="exact"/>
        <w:rPr>
          <w:rFonts w:ascii="Arial" w:cs="Arial" w:eastAsia="Arial" w:hAnsi="Arial"/>
          <w:sz w:val="19"/>
          <w:szCs w:val="19"/>
          <w:color w:val="auto"/>
        </w:rPr>
      </w:pPr>
    </w:p>
    <w:p>
      <w:pPr>
        <w:ind w:right="40"/>
        <w:spacing w:after="0" w:line="275" w:lineRule="auto"/>
        <w:rPr>
          <w:rFonts w:ascii="Arial" w:cs="Arial" w:eastAsia="Arial" w:hAnsi="Arial"/>
          <w:sz w:val="19"/>
          <w:szCs w:val="19"/>
          <w:color w:val="auto"/>
        </w:rPr>
      </w:pPr>
      <w:r>
        <w:rPr>
          <w:rFonts w:ascii="Arial" w:cs="Arial" w:eastAsia="Arial" w:hAnsi="Arial"/>
          <w:sz w:val="19"/>
          <w:szCs w:val="19"/>
          <w:color w:val="auto"/>
        </w:rPr>
        <w:t>(C) conveys, transfers, sells, leases or otherwise disposes of all or substantially all of its properties and assets to another Person, in each case other than (x) any transaction pursuant to which holders of the Company’s Capital Stock immediately prior to the transaction have the entitlement to exercise, directly or indirectly, 50% or more of the total voting power of all shares of the Voting Stock of the continuing or surviving entity of such transaction; or (y) any merger solely for the purpose of changing the Company’s jurisdiction of incorporation and resulting in a reclassification, conversion or exchange of outstanding shares of Common Stock solely into shares of common stock of the surviving entity traded or quoted on a U.S.</w:t>
      </w:r>
    </w:p>
    <w:p>
      <w:pPr>
        <w:sectPr>
          <w:pgSz w:w="11900" w:h="16838" w:orient="portrait"/>
          <w:cols w:equalWidth="0" w:num="1">
            <w:col w:w="11400"/>
          </w:cols>
          <w:pgMar w:left="240" w:top="261" w:right="25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securities exchange, and as a result of such merger the Notes become convertible into such shares; or</w:t>
      </w:r>
    </w:p>
    <w:p>
      <w:pPr>
        <w:spacing w:after="0" w:line="206" w:lineRule="exact"/>
        <w:rPr>
          <w:sz w:val="20"/>
          <w:szCs w:val="20"/>
          <w:color w:val="auto"/>
        </w:rPr>
      </w:pPr>
    </w:p>
    <w:p>
      <w:pPr>
        <w:ind w:left="1560" w:hanging="753"/>
        <w:spacing w:after="0"/>
        <w:tabs>
          <w:tab w:leader="none" w:pos="15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Company’s stockholders approve a plan of liquidation or dissolution.</w:t>
      </w:r>
    </w:p>
    <w:p>
      <w:pPr>
        <w:spacing w:after="0" w:line="206" w:lineRule="exact"/>
        <w:rPr>
          <w:sz w:val="20"/>
          <w:szCs w:val="20"/>
          <w:color w:val="auto"/>
        </w:rPr>
      </w:pPr>
    </w:p>
    <w:p>
      <w:pPr>
        <w:ind w:right="120" w:firstLine="799"/>
        <w:spacing w:after="0" w:line="279" w:lineRule="auto"/>
        <w:rPr>
          <w:sz w:val="20"/>
          <w:szCs w:val="20"/>
          <w:color w:val="auto"/>
        </w:rPr>
      </w:pPr>
      <w:r>
        <w:rPr>
          <w:rFonts w:ascii="Arial" w:cs="Arial" w:eastAsia="Arial" w:hAnsi="Arial"/>
          <w:sz w:val="19"/>
          <w:szCs w:val="19"/>
          <w:color w:val="auto"/>
        </w:rPr>
        <w:t>Notwithstanding anything to the contrary set forth herein, a Change of Control will be deemed not to have occurred if, in the case of a merger or consolidation, at least 90% of the consideration (excluding cash payments for fractional shares and cash payments pursuant to dissenters’ appraisal rights) in a transaction or transactions otherwise constituting a Change of Control consists of shares of common stock or American depository receipts traded or quoted on a U.S. national securities exchange, or which will be so traded or quoted when issued or exchanged in connection with the transaction or transactions, and as a result of the transaction or transactions the Notes become convertible solely into such consideration.</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close of business</w:t>
      </w:r>
      <w:r>
        <w:rPr>
          <w:rFonts w:ascii="Arial" w:cs="Arial" w:eastAsia="Arial" w:hAnsi="Arial"/>
          <w:sz w:val="22"/>
          <w:szCs w:val="22"/>
          <w:color w:val="auto"/>
        </w:rPr>
        <w:t>” means 5:00 p.m. (New York City time).</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ind w:right="140" w:firstLine="79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xml:space="preserve"> means the shares of common stock of the Company, par value $0.01 per share, as it exists on the date of this Indenture or any other shares of Capital Stock of the Company into which the Common Stock shall be reclassified or changed.</w:t>
      </w:r>
    </w:p>
    <w:p>
      <w:pPr>
        <w:spacing w:after="0" w:line="177" w:lineRule="exact"/>
        <w:rPr>
          <w:sz w:val="20"/>
          <w:szCs w:val="20"/>
          <w:color w:val="auto"/>
        </w:rPr>
      </w:pPr>
    </w:p>
    <w:p>
      <w:pPr>
        <w:ind w:right="240" w:firstLine="79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MannKind Corporation, a corporation duly organized and existing under the laws of the State of Delaware, until a successor Person shall have become such pursuant to the applicable provisions of this Indenture, and thereafter “Company” shall mean such successor Person.</w:t>
      </w:r>
    </w:p>
    <w:p>
      <w:pPr>
        <w:spacing w:after="0" w:line="177" w:lineRule="exact"/>
        <w:rPr>
          <w:sz w:val="20"/>
          <w:szCs w:val="20"/>
          <w:color w:val="auto"/>
        </w:rPr>
      </w:pPr>
    </w:p>
    <w:p>
      <w:pPr>
        <w:ind w:right="40" w:firstLine="79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Order</w:t>
      </w:r>
      <w:r>
        <w:rPr>
          <w:rFonts w:ascii="Arial" w:cs="Arial" w:eastAsia="Arial" w:hAnsi="Arial"/>
          <w:sz w:val="22"/>
          <w:szCs w:val="22"/>
          <w:color w:val="auto"/>
        </w:rPr>
        <w:t>” means a written order of the Company, signed by the Company’s Chief Executive Officer, Chief Financial Officer, President, Executive Vice President or any Vice President (whether or not designated by a number or numbers or word or words added before or after the title “Vice President”), Treasurer or Assistant Treasurer or Secretary or any Assistant Secretary, and delivered to the Trustee.</w:t>
      </w:r>
    </w:p>
    <w:p>
      <w:pPr>
        <w:spacing w:after="0" w:line="181" w:lineRule="exact"/>
        <w:rPr>
          <w:sz w:val="20"/>
          <w:szCs w:val="20"/>
          <w:color w:val="auto"/>
        </w:rPr>
      </w:pPr>
    </w:p>
    <w:p>
      <w:pPr>
        <w:ind w:right="16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Agent</w:t>
      </w:r>
      <w:r>
        <w:rPr>
          <w:rFonts w:ascii="Arial" w:cs="Arial" w:eastAsia="Arial" w:hAnsi="Arial"/>
          <w:sz w:val="22"/>
          <w:szCs w:val="22"/>
          <w:color w:val="auto"/>
        </w:rPr>
        <w:t>” means the office or agency designated by the Company pursuant to Section 4.05 where Notes may be presented for conversion.</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Date</w:t>
      </w:r>
      <w:r>
        <w:rPr>
          <w:rFonts w:ascii="Arial" w:cs="Arial" w:eastAsia="Arial" w:hAnsi="Arial"/>
          <w:sz w:val="22"/>
          <w:szCs w:val="22"/>
          <w:color w:val="auto"/>
        </w:rPr>
        <w:t>” shall have the meaning specified in Section 13.02(a).</w:t>
      </w:r>
    </w:p>
    <w:p>
      <w:pPr>
        <w:spacing w:after="0" w:line="206" w:lineRule="exact"/>
        <w:rPr>
          <w:sz w:val="20"/>
          <w:szCs w:val="20"/>
          <w:color w:val="auto"/>
        </w:rPr>
      </w:pPr>
    </w:p>
    <w:p>
      <w:pPr>
        <w:ind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Price</w:t>
      </w:r>
      <w:r>
        <w:rPr>
          <w:rFonts w:ascii="Arial" w:cs="Arial" w:eastAsia="Arial" w:hAnsi="Arial"/>
          <w:sz w:val="22"/>
          <w:szCs w:val="22"/>
          <w:color w:val="auto"/>
        </w:rPr>
        <w:t>” per share of Common Stock as of any day means the result obtained by dividing (i) $1,000 by (ii) the then applicable Conversion Rate.</w:t>
      </w:r>
    </w:p>
    <w:p>
      <w:pPr>
        <w:sectPr>
          <w:pgSz w:w="11900" w:h="16838" w:orient="portrait"/>
          <w:cols w:equalWidth="0" w:num="1">
            <w:col w:w="11380"/>
          </w:cols>
          <w:pgMar w:left="240" w:top="267" w:right="279" w:bottom="1440" w:gutter="0" w:footer="0" w:header="0"/>
        </w:sectPr>
      </w:pPr>
    </w:p>
    <w:bookmarkStart w:id="58" w:name="page59"/>
    <w:bookmarkEnd w:id="58"/>
    <w:p>
      <w:pPr>
        <w:jc w:val="both"/>
        <w:ind w:firstLine="799"/>
        <w:spacing w:after="0" w:line="24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b w:val="1"/>
          <w:bCs w:val="1"/>
          <w:color w:val="auto"/>
        </w:rPr>
        <w:t>Conversion Rate</w:t>
      </w:r>
      <w:r>
        <w:rPr>
          <w:rFonts w:ascii="Arial" w:cs="Arial" w:eastAsia="Arial" w:hAnsi="Arial"/>
          <w:sz w:val="22"/>
          <w:szCs w:val="22"/>
          <w:color w:val="auto"/>
        </w:rPr>
        <w:t>” means the rate at which shares of Common Stock shall be delivered upon conversion, which rate shall be initially 147.0859 shares of Common Stock for each $1,000 principal amount of Notes, as adjusted from time to time pursuant to the provisions of this Indenture.</w:t>
      </w:r>
    </w:p>
    <w:p>
      <w:pPr>
        <w:spacing w:after="0" w:line="177" w:lineRule="exact"/>
        <w:rPr>
          <w:sz w:val="20"/>
          <w:szCs w:val="20"/>
          <w:color w:val="auto"/>
        </w:rPr>
      </w:pPr>
    </w:p>
    <w:p>
      <w:pPr>
        <w:ind w:right="80" w:firstLine="799"/>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Corporate Trust Office</w:t>
      </w:r>
      <w:r>
        <w:rPr>
          <w:rFonts w:ascii="Arial" w:cs="Arial" w:eastAsia="Arial" w:hAnsi="Arial"/>
          <w:sz w:val="21"/>
          <w:szCs w:val="21"/>
          <w:color w:val="auto"/>
        </w:rPr>
        <w:t>” means the office of the Trustee at which, at any particular time, its corporate trust business shall be principally administered, which office at the date hereof is located at 333 S. Grand Avenue, 5</w:t>
      </w:r>
      <w:r>
        <w:rPr>
          <w:rFonts w:ascii="Arial" w:cs="Arial" w:eastAsia="Arial" w:hAnsi="Arial"/>
          <w:sz w:val="17"/>
          <w:szCs w:val="17"/>
          <w:color w:val="auto"/>
        </w:rPr>
        <w:t>th</w:t>
      </w:r>
      <w:r>
        <w:rPr>
          <w:rFonts w:ascii="Arial" w:cs="Arial" w:eastAsia="Arial" w:hAnsi="Arial"/>
          <w:sz w:val="21"/>
          <w:szCs w:val="21"/>
          <w:color w:val="auto"/>
        </w:rPr>
        <w:t xml:space="preserve"> Floor, Suite 5A, Los Angeles, CA 90071. With respect to presentation of notes for payment, registration of transfer or exchange such office shall be 608 2</w:t>
      </w:r>
      <w:r>
        <w:rPr>
          <w:rFonts w:ascii="Arial" w:cs="Arial" w:eastAsia="Arial" w:hAnsi="Arial"/>
          <w:sz w:val="17"/>
          <w:szCs w:val="17"/>
          <w:color w:val="auto"/>
        </w:rPr>
        <w:t>nd</w:t>
      </w:r>
      <w:r>
        <w:rPr>
          <w:rFonts w:ascii="Arial" w:cs="Arial" w:eastAsia="Arial" w:hAnsi="Arial"/>
          <w:sz w:val="21"/>
          <w:szCs w:val="21"/>
          <w:color w:val="auto"/>
        </w:rPr>
        <w:t xml:space="preserve"> Avenue South, Minneapolis, MN 55402, Attention: Bondholder Communications.</w:t>
      </w:r>
    </w:p>
    <w:p>
      <w:pPr>
        <w:spacing w:after="0" w:line="166" w:lineRule="exact"/>
        <w:rPr>
          <w:sz w:val="20"/>
          <w:szCs w:val="20"/>
          <w:color w:val="auto"/>
        </w:rPr>
      </w:pPr>
    </w:p>
    <w:p>
      <w:pPr>
        <w:ind w:right="58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Custodian</w:t>
      </w:r>
      <w:r>
        <w:rPr>
          <w:rFonts w:ascii="Arial" w:cs="Arial" w:eastAsia="Arial" w:hAnsi="Arial"/>
          <w:sz w:val="22"/>
          <w:szCs w:val="22"/>
          <w:color w:val="auto"/>
        </w:rPr>
        <w:t>” means Wells Fargo Bank, National Association, as custodian for The Depository Trust Company, with respect to the Global Notes, or any successor entity thereto.</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means any event, act or condition that with notice or lapse of time, or both, would constitute an Event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Default.</w:t>
      </w:r>
    </w:p>
    <w:p>
      <w:pPr>
        <w:spacing w:after="0" w:line="182" w:lineRule="exact"/>
        <w:rPr>
          <w:sz w:val="20"/>
          <w:szCs w:val="20"/>
          <w:color w:val="auto"/>
        </w:rPr>
      </w:pPr>
    </w:p>
    <w:p>
      <w:pPr>
        <w:ind w:right="26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Defaulted Interest</w:t>
      </w:r>
      <w:r>
        <w:rPr>
          <w:rFonts w:ascii="Arial" w:cs="Arial" w:eastAsia="Arial" w:hAnsi="Arial"/>
          <w:sz w:val="22"/>
          <w:szCs w:val="22"/>
          <w:color w:val="auto"/>
        </w:rPr>
        <w:t>” means any interest on any Note that is payable, but is not punctually paid or duly provided for, on any February 15 or August 15.</w:t>
      </w:r>
    </w:p>
    <w:p>
      <w:pPr>
        <w:spacing w:after="0" w:line="163" w:lineRule="exact"/>
        <w:rPr>
          <w:sz w:val="20"/>
          <w:szCs w:val="20"/>
          <w:color w:val="auto"/>
        </w:rPr>
      </w:pPr>
    </w:p>
    <w:p>
      <w:pPr>
        <w:jc w:val="both"/>
        <w:ind w:right="360" w:firstLine="79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Depositary</w:t>
      </w:r>
      <w:r>
        <w:rPr>
          <w:rFonts w:ascii="Arial" w:cs="Arial" w:eastAsia="Arial" w:hAnsi="Arial"/>
          <w:sz w:val="22"/>
          <w:szCs w:val="22"/>
          <w:color w:val="auto"/>
        </w:rPr>
        <w:t>” means, with respect to the Global Notes, the Person specified in Section 2.05(c) as the Depositary with respect to such Notes, until a successor shall have been appointed and become such pursuant to the applicable provisions of this Indenture, and thereafter, “</w:t>
      </w:r>
      <w:r>
        <w:rPr>
          <w:rFonts w:ascii="Arial" w:cs="Arial" w:eastAsia="Arial" w:hAnsi="Arial"/>
          <w:sz w:val="22"/>
          <w:szCs w:val="22"/>
          <w:b w:val="1"/>
          <w:bCs w:val="1"/>
          <w:color w:val="auto"/>
        </w:rPr>
        <w:t>Depositary</w:t>
      </w:r>
      <w:r>
        <w:rPr>
          <w:rFonts w:ascii="Arial" w:cs="Arial" w:eastAsia="Arial" w:hAnsi="Arial"/>
          <w:sz w:val="22"/>
          <w:szCs w:val="22"/>
          <w:color w:val="auto"/>
        </w:rPr>
        <w:t>” shall mean or include such successor.</w:t>
      </w:r>
    </w:p>
    <w:p>
      <w:pPr>
        <w:spacing w:after="0" w:line="177" w:lineRule="exact"/>
        <w:rPr>
          <w:sz w:val="20"/>
          <w:szCs w:val="20"/>
          <w:color w:val="auto"/>
        </w:rPr>
      </w:pPr>
    </w:p>
    <w:p>
      <w:pPr>
        <w:ind w:right="20" w:firstLine="79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Designated Senior Debt</w:t>
      </w:r>
      <w:r>
        <w:rPr>
          <w:rFonts w:ascii="Arial" w:cs="Arial" w:eastAsia="Arial" w:hAnsi="Arial"/>
          <w:sz w:val="19"/>
          <w:szCs w:val="19"/>
          <w:color w:val="auto"/>
        </w:rPr>
        <w:t>” means the principal of, premium, if any, interest on, including any interest accruing after the commencement of any bankruptcy or similar proceeding, whether or not a claim for postpetition interest is allowed as a claim in the proceeding, or termination payment with respect to or in connection with, and all fees, costs, expenses and other amounts accrued or due on or under or in respect of (a) (i) $20,000,000 aggregate principal amount of Tranche 1 notes issued and outstanding, (ii) $40,000,000 aggregate principal amount of Tranche 4 notes issued and outstanding and (iii) $20,000,000 aggregate principal amount of Tranche B notes issued and outstanding, in each case under the Facility Agreement dated as of July 1, 2013 (the “</w:t>
      </w:r>
      <w:r>
        <w:rPr>
          <w:rFonts w:ascii="Arial" w:cs="Arial" w:eastAsia="Arial" w:hAnsi="Arial"/>
          <w:sz w:val="19"/>
          <w:szCs w:val="19"/>
          <w:b w:val="1"/>
          <w:bCs w:val="1"/>
          <w:color w:val="auto"/>
        </w:rPr>
        <w:t>Facility Agreement</w:t>
      </w:r>
      <w:r>
        <w:rPr>
          <w:rFonts w:ascii="Arial" w:cs="Arial" w:eastAsia="Arial" w:hAnsi="Arial"/>
          <w:sz w:val="19"/>
          <w:szCs w:val="19"/>
          <w:color w:val="auto"/>
        </w:rPr>
        <w:t>”) between the Company and the various purchasers named therein as amended by the first amendment thereto dated as of February 28, 2014 and the second amendment thereto dated as of August 11, 2014, as such notes and the Facility Agreement may be amended, modified, restated or supplemented from time to time and (b) up to $175,000,000 aggregate principal amount of indebtedness under the Senior Secured Revolving Promissory Note (the “</w:t>
      </w:r>
      <w:r>
        <w:rPr>
          <w:rFonts w:ascii="Arial" w:cs="Arial" w:eastAsia="Arial" w:hAnsi="Arial"/>
          <w:sz w:val="19"/>
          <w:szCs w:val="19"/>
          <w:b w:val="1"/>
          <w:bCs w:val="1"/>
          <w:color w:val="auto"/>
        </w:rPr>
        <w:t>Loan Facility</w:t>
      </w:r>
      <w:r>
        <w:rPr>
          <w:rFonts w:ascii="Arial" w:cs="Arial" w:eastAsia="Arial" w:hAnsi="Arial"/>
          <w:sz w:val="19"/>
          <w:szCs w:val="19"/>
          <w:color w:val="auto"/>
        </w:rPr>
        <w:t>”) with Aventisub LLC, a Delaware limited liability company and affiliate of Sanofi-</w:t>
      </w:r>
    </w:p>
    <w:p>
      <w:pPr>
        <w:sectPr>
          <w:pgSz w:w="11900" w:h="16838" w:orient="portrait"/>
          <w:cols w:equalWidth="0" w:num="1">
            <w:col w:w="11420"/>
          </w:cols>
          <w:pgMar w:left="240" w:top="261" w:right="239" w:bottom="1440" w:gutter="0" w:footer="0" w:header="0"/>
        </w:sectPr>
      </w:pPr>
    </w:p>
    <w:bookmarkStart w:id="59" w:name="page60"/>
    <w:bookmarkEnd w:id="59"/>
    <w:p>
      <w:pPr>
        <w:ind w:right="8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Aventis Deutschland GmbH, as such note and the Loan Facility may be amended, modified, restated or supplemented from time to time.</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DTC</w:t>
      </w:r>
      <w:r>
        <w:rPr>
          <w:rFonts w:ascii="Arial" w:cs="Arial" w:eastAsia="Arial" w:hAnsi="Arial"/>
          <w:sz w:val="22"/>
          <w:szCs w:val="22"/>
          <w:color w:val="auto"/>
        </w:rPr>
        <w:t>” shall have the meaning specified in Section 2.05(c).</w:t>
      </w:r>
    </w:p>
    <w:p>
      <w:pPr>
        <w:spacing w:after="0" w:line="206" w:lineRule="exact"/>
        <w:rPr>
          <w:sz w:val="20"/>
          <w:szCs w:val="20"/>
          <w:color w:val="auto"/>
        </w:rPr>
      </w:pPr>
    </w:p>
    <w:p>
      <w:pPr>
        <w:ind w:right="20" w:firstLine="79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Ex-Dividend Date</w:t>
      </w:r>
      <w:r>
        <w:rPr>
          <w:rFonts w:ascii="Arial" w:cs="Arial" w:eastAsia="Arial" w:hAnsi="Arial"/>
          <w:sz w:val="22"/>
          <w:szCs w:val="22"/>
          <w:color w:val="auto"/>
        </w:rPr>
        <w:t>” means, in respect of an issuance, a dividend or distribution to holders of Common Stock, the first date on which shares of Common Stock trade on the applicable exchange or in the applicable market, regular way, without the right to receive such issuance, dividend or distribution in question.</w:t>
      </w:r>
    </w:p>
    <w:p>
      <w:pPr>
        <w:spacing w:after="0" w:line="177" w:lineRule="exact"/>
        <w:rPr>
          <w:sz w:val="20"/>
          <w:szCs w:val="20"/>
          <w:color w:val="auto"/>
        </w:rPr>
      </w:pPr>
    </w:p>
    <w:p>
      <w:pPr>
        <w:ind w:right="44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Settlement Property</w:t>
      </w:r>
      <w:r>
        <w:rPr>
          <w:rFonts w:ascii="Arial" w:cs="Arial" w:eastAsia="Arial" w:hAnsi="Arial"/>
          <w:sz w:val="22"/>
          <w:szCs w:val="22"/>
          <w:color w:val="auto"/>
        </w:rPr>
        <w:t>” shall have the meaning specified in Section 13.14(b)</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Date</w:t>
      </w:r>
      <w:r>
        <w:rPr>
          <w:rFonts w:ascii="Arial" w:cs="Arial" w:eastAsia="Arial" w:hAnsi="Arial"/>
          <w:sz w:val="22"/>
          <w:szCs w:val="22"/>
          <w:color w:val="auto"/>
        </w:rPr>
        <w:t>” shall have the meaning specified in Section 13.06(e).</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Time</w:t>
      </w:r>
      <w:r>
        <w:rPr>
          <w:rFonts w:ascii="Arial" w:cs="Arial" w:eastAsia="Arial" w:hAnsi="Arial"/>
          <w:sz w:val="22"/>
          <w:szCs w:val="22"/>
          <w:color w:val="auto"/>
        </w:rPr>
        <w:t>” shall have the meaning specified in Section 13.06(e).</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shall have the meaning specified in Section 6.01.</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Institution</w:t>
      </w:r>
      <w:r>
        <w:rPr>
          <w:rFonts w:ascii="Arial" w:cs="Arial" w:eastAsia="Arial" w:hAnsi="Arial"/>
          <w:sz w:val="22"/>
          <w:szCs w:val="22"/>
          <w:color w:val="auto"/>
        </w:rPr>
        <w:t>” shall have the meaning specified in Section 13.14(a).</w:t>
      </w:r>
    </w:p>
    <w:p>
      <w:pPr>
        <w:spacing w:after="0" w:line="206" w:lineRule="exact"/>
        <w:rPr>
          <w:sz w:val="20"/>
          <w:szCs w:val="20"/>
          <w:color w:val="auto"/>
        </w:rPr>
      </w:pPr>
    </w:p>
    <w:p>
      <w:pPr>
        <w:ind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of Assignment and Transfer</w:t>
      </w:r>
      <w:r>
        <w:rPr>
          <w:rFonts w:ascii="Arial" w:cs="Arial" w:eastAsia="Arial" w:hAnsi="Arial"/>
          <w:sz w:val="22"/>
          <w:szCs w:val="22"/>
          <w:color w:val="auto"/>
        </w:rPr>
        <w:t>” shall mean the “Form of Assignment and Transfer” attached as Attachment 3 to the Form of Note attached hereto as Exhibit A.</w:t>
      </w:r>
    </w:p>
    <w:p>
      <w:pPr>
        <w:spacing w:after="0" w:line="163" w:lineRule="exact"/>
        <w:rPr>
          <w:sz w:val="20"/>
          <w:szCs w:val="20"/>
          <w:color w:val="auto"/>
        </w:rPr>
      </w:pPr>
    </w:p>
    <w:p>
      <w:pPr>
        <w:ind w:right="44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of Fundamental Change Purchase Notice</w:t>
      </w:r>
      <w:r>
        <w:rPr>
          <w:rFonts w:ascii="Arial" w:cs="Arial" w:eastAsia="Arial" w:hAnsi="Arial"/>
          <w:sz w:val="22"/>
          <w:szCs w:val="22"/>
          <w:color w:val="auto"/>
        </w:rPr>
        <w:t>” shall mean the “Form of Fundamental Change Purchase Notice” attached as Attachment 2 to the Form of Note attached hereto as Exhibit A.</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of Note</w:t>
      </w:r>
      <w:r>
        <w:rPr>
          <w:rFonts w:ascii="Arial" w:cs="Arial" w:eastAsia="Arial" w:hAnsi="Arial"/>
          <w:sz w:val="22"/>
          <w:szCs w:val="22"/>
          <w:color w:val="auto"/>
        </w:rPr>
        <w:t>” shall mean the “Form of Note” attached hereto as Exhibit A.</w:t>
      </w:r>
    </w:p>
    <w:p>
      <w:pPr>
        <w:spacing w:after="0" w:line="206" w:lineRule="exact"/>
        <w:rPr>
          <w:sz w:val="20"/>
          <w:szCs w:val="20"/>
          <w:color w:val="auto"/>
        </w:rPr>
      </w:pPr>
    </w:p>
    <w:p>
      <w:pPr>
        <w:ind w:right="20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Form of Notice of Conversion</w:t>
      </w:r>
      <w:r>
        <w:rPr>
          <w:rFonts w:ascii="Arial" w:cs="Arial" w:eastAsia="Arial" w:hAnsi="Arial"/>
          <w:sz w:val="22"/>
          <w:szCs w:val="22"/>
          <w:color w:val="auto"/>
        </w:rPr>
        <w:t>” shall mean the “Form of Notice of Conversion” attached as Attachment 1 to the Form of Note attached hereto as Exhibit A.</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w:t>
      </w:r>
      <w:r>
        <w:rPr>
          <w:rFonts w:ascii="Arial" w:cs="Arial" w:eastAsia="Arial" w:hAnsi="Arial"/>
          <w:sz w:val="22"/>
          <w:szCs w:val="22"/>
          <w:color w:val="auto"/>
        </w:rPr>
        <w:t>” means the occurrence of either a Change of Control or a Termination of Trading.</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Company Notice</w:t>
      </w:r>
      <w:r>
        <w:rPr>
          <w:rFonts w:ascii="Arial" w:cs="Arial" w:eastAsia="Arial" w:hAnsi="Arial"/>
          <w:sz w:val="22"/>
          <w:szCs w:val="22"/>
          <w:color w:val="auto"/>
        </w:rPr>
        <w:t>” shall have the meaning specified in Section 15.01(b).</w:t>
      </w:r>
    </w:p>
    <w:p>
      <w:pPr>
        <w:sectPr>
          <w:pgSz w:w="11900" w:h="16838" w:orient="portrait"/>
          <w:cols w:equalWidth="0" w:num="1">
            <w:col w:w="11400"/>
          </w:cols>
          <w:pgMar w:left="240" w:top="267" w:right="259" w:bottom="1440" w:gutter="0" w:footer="0" w:header="0"/>
        </w:sectPr>
      </w:pPr>
    </w:p>
    <w:bookmarkStart w:id="60" w:name="page61"/>
    <w:bookmarkEnd w:id="60"/>
    <w:p>
      <w:pPr>
        <w:ind w:left="80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1"/>
          <w:szCs w:val="21"/>
          <w:b w:val="1"/>
          <w:bCs w:val="1"/>
          <w:color w:val="auto"/>
        </w:rPr>
        <w:t>Fundamental Change Effective Date</w:t>
      </w:r>
      <w:r>
        <w:rPr>
          <w:rFonts w:ascii="Arial" w:cs="Arial" w:eastAsia="Arial" w:hAnsi="Arial"/>
          <w:sz w:val="21"/>
          <w:szCs w:val="21"/>
          <w:color w:val="auto"/>
        </w:rPr>
        <w:t>” means the date on which any Fundamental Change becomes effective.</w:t>
      </w:r>
    </w:p>
    <w:p>
      <w:pPr>
        <w:spacing w:after="0" w:line="21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Make-Whole Premium</w:t>
      </w:r>
      <w:r>
        <w:rPr>
          <w:rFonts w:ascii="Arial" w:cs="Arial" w:eastAsia="Arial" w:hAnsi="Arial"/>
          <w:sz w:val="22"/>
          <w:szCs w:val="22"/>
          <w:color w:val="auto"/>
        </w:rPr>
        <w:t>” shall have the meaning specified in Section 13.01(e).</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Purchase Date</w:t>
      </w:r>
      <w:r>
        <w:rPr>
          <w:rFonts w:ascii="Arial" w:cs="Arial" w:eastAsia="Arial" w:hAnsi="Arial"/>
          <w:sz w:val="22"/>
          <w:szCs w:val="22"/>
          <w:color w:val="auto"/>
        </w:rPr>
        <w:t>” shall have the meaning specified in Section 15.01(a).</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Purchase Notice</w:t>
      </w:r>
      <w:r>
        <w:rPr>
          <w:rFonts w:ascii="Arial" w:cs="Arial" w:eastAsia="Arial" w:hAnsi="Arial"/>
          <w:sz w:val="22"/>
          <w:szCs w:val="22"/>
          <w:color w:val="auto"/>
        </w:rPr>
        <w:t>” shall have the meaning specified in Section 15.01(c).</w:t>
      </w:r>
    </w:p>
    <w:p>
      <w:pPr>
        <w:spacing w:after="0" w:line="206" w:lineRule="exact"/>
        <w:rPr>
          <w:sz w:val="20"/>
          <w:szCs w:val="20"/>
          <w:color w:val="auto"/>
        </w:rPr>
      </w:pPr>
    </w:p>
    <w:p>
      <w:pPr>
        <w:ind w:firstLine="799"/>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Change Purchase Price</w:t>
      </w:r>
      <w:r>
        <w:rPr>
          <w:rFonts w:ascii="Arial" w:cs="Arial" w:eastAsia="Arial" w:hAnsi="Arial"/>
          <w:sz w:val="19"/>
          <w:szCs w:val="19"/>
          <w:color w:val="auto"/>
        </w:rPr>
        <w:t xml:space="preserve">” of any Note, means 100% of the principal amount of the Note to be repurchased plus unpaid interest, if any, accrued and unpaid to, but excluding, the Fundamental Change Purchase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Fundamental Change Purchase Date is after a Regular Record Date and on or prior to the corresponding Interest Payment Date, the Fundamental Change Purchase Price shall not include any accrued and unpaid interest.</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Note</w:t>
      </w:r>
      <w:r>
        <w:rPr>
          <w:rFonts w:ascii="Arial" w:cs="Arial" w:eastAsia="Arial" w:hAnsi="Arial"/>
          <w:sz w:val="22"/>
          <w:szCs w:val="22"/>
          <w:color w:val="auto"/>
        </w:rPr>
        <w:t>” shall have the meaning specified in Section 2.05(b).</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Holder</w:t>
      </w:r>
      <w:r>
        <w:rPr>
          <w:rFonts w:ascii="Arial" w:cs="Arial" w:eastAsia="Arial" w:hAnsi="Arial"/>
          <w:sz w:val="19"/>
          <w:szCs w:val="19"/>
          <w:color w:val="auto"/>
        </w:rPr>
        <w:t>” or “</w:t>
      </w:r>
      <w:r>
        <w:rPr>
          <w:rFonts w:ascii="Arial" w:cs="Arial" w:eastAsia="Arial" w:hAnsi="Arial"/>
          <w:sz w:val="19"/>
          <w:szCs w:val="19"/>
          <w:b w:val="1"/>
          <w:bCs w:val="1"/>
          <w:color w:val="auto"/>
        </w:rPr>
        <w:t>Holder of a Note</w:t>
      </w:r>
      <w:r>
        <w:rPr>
          <w:rFonts w:ascii="Arial" w:cs="Arial" w:eastAsia="Arial" w:hAnsi="Arial"/>
          <w:sz w:val="19"/>
          <w:szCs w:val="19"/>
          <w:color w:val="auto"/>
        </w:rPr>
        <w:t>” means the person in whose name a Note is registered on the Note Registrar’s books.</w:t>
      </w:r>
    </w:p>
    <w:p>
      <w:pPr>
        <w:spacing w:after="0" w:line="241" w:lineRule="exact"/>
        <w:rPr>
          <w:sz w:val="20"/>
          <w:szCs w:val="20"/>
          <w:color w:val="auto"/>
        </w:rPr>
      </w:pPr>
    </w:p>
    <w:p>
      <w:pPr>
        <w:ind w:right="60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w:t>
      </w:r>
      <w:r>
        <w:rPr>
          <w:rFonts w:ascii="Arial" w:cs="Arial" w:eastAsia="Arial" w:hAnsi="Arial"/>
          <w:sz w:val="22"/>
          <w:szCs w:val="22"/>
          <w:color w:val="auto"/>
        </w:rPr>
        <w:t>” means this instrument as originally executed or, if amended or supplemented as herein provided, as so amended or supplemented.</w:t>
      </w:r>
    </w:p>
    <w:p>
      <w:pPr>
        <w:spacing w:after="0" w:line="163" w:lineRule="exact"/>
        <w:rPr>
          <w:sz w:val="20"/>
          <w:szCs w:val="20"/>
          <w:color w:val="auto"/>
        </w:rPr>
      </w:pPr>
    </w:p>
    <w:p>
      <w:pPr>
        <w:ind w:right="260" w:firstLine="799"/>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Payment Date</w:t>
      </w:r>
      <w:r>
        <w:rPr>
          <w:rFonts w:ascii="Arial" w:cs="Arial" w:eastAsia="Arial" w:hAnsi="Arial"/>
          <w:sz w:val="19"/>
          <w:szCs w:val="19"/>
          <w:color w:val="auto"/>
        </w:rPr>
        <w:t xml:space="preserve">” means each February 15 and August 15 of each year, beginning on February 15, 2016;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any Interest Payment Date falls on a date that is not a Business Day, such payment of interest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postponed until the next succeeding Business Day, and no interest or other amount will be paid as a result of such postponement.</w:t>
      </w:r>
    </w:p>
    <w:p>
      <w:pPr>
        <w:spacing w:after="0" w:line="123" w:lineRule="exact"/>
        <w:rPr>
          <w:sz w:val="20"/>
          <w:szCs w:val="20"/>
          <w:color w:val="auto"/>
        </w:rPr>
      </w:pPr>
    </w:p>
    <w:p>
      <w:pPr>
        <w:ind w:right="36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Date</w:t>
      </w:r>
      <w:r>
        <w:rPr>
          <w:rFonts w:ascii="Arial" w:cs="Arial" w:eastAsia="Arial" w:hAnsi="Arial"/>
          <w:sz w:val="22"/>
          <w:szCs w:val="22"/>
          <w:color w:val="auto"/>
        </w:rPr>
        <w:t>” of any Note means the date on which the Note was originally issued or deemed issued as set forth on the face of the Note.</w:t>
      </w:r>
    </w:p>
    <w:p>
      <w:pPr>
        <w:spacing w:after="0" w:line="163" w:lineRule="exact"/>
        <w:rPr>
          <w:sz w:val="20"/>
          <w:szCs w:val="20"/>
          <w:color w:val="auto"/>
        </w:rPr>
      </w:pPr>
    </w:p>
    <w:p>
      <w:pPr>
        <w:ind w:right="60" w:firstLine="79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Last Reported Sale Price</w:t>
      </w:r>
      <w:r>
        <w:rPr>
          <w:rFonts w:ascii="Arial" w:cs="Arial" w:eastAsia="Arial" w:hAnsi="Arial"/>
          <w:sz w:val="22"/>
          <w:szCs w:val="22"/>
          <w:color w:val="auto"/>
        </w:rPr>
        <w:t>” means on any Business Day or Trading Day, the reported last sale price per share of the Company’s Common Stock (or if no last sale price is reported, the average of the bid and ask prices per share or, if more than one in either case, the average of the average bid and the average ask prices per share) on such date reported by the Nasdaq Global Market or, if the Company’s Common Stock (or the applicable security) is not quoted on the Nasdaq Global Market, as reported by the principal national securities exchange on which the Company’s Common Stock (or such other security) is listed, or if no such prices are available, the Last Reported Sale Price per share shall be the fair value of a share of Common Stock (or such other security) as reasonably</w:t>
      </w:r>
    </w:p>
    <w:p>
      <w:pPr>
        <w:sectPr>
          <w:pgSz w:w="11900" w:h="16838" w:orient="portrait"/>
          <w:cols w:equalWidth="0" w:num="1">
            <w:col w:w="11400"/>
          </w:cols>
          <w:pgMar w:left="240" w:top="261" w:right="259" w:bottom="1440" w:gutter="0" w:footer="0" w:header="0"/>
        </w:sectPr>
      </w:pPr>
    </w:p>
    <w:bookmarkStart w:id="61" w:name="page62"/>
    <w:bookmarkEnd w:id="61"/>
    <w:p>
      <w:pPr>
        <w:ind w:right="18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by the Board of Directors (which determination shall be conclusive and shall be evidenced by an Officer’s Certificate delivered to the Trustee).</w:t>
      </w:r>
    </w:p>
    <w:p>
      <w:pPr>
        <w:spacing w:after="0" w:line="167" w:lineRule="exact"/>
        <w:rPr>
          <w:sz w:val="20"/>
          <w:szCs w:val="20"/>
          <w:color w:val="auto"/>
        </w:rPr>
      </w:pPr>
    </w:p>
    <w:p>
      <w:pPr>
        <w:ind w:right="260" w:firstLine="79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Make-Whole Fundamental Change</w:t>
      </w:r>
      <w:r>
        <w:rPr>
          <w:rFonts w:ascii="Arial" w:cs="Arial" w:eastAsia="Arial" w:hAnsi="Arial"/>
          <w:sz w:val="22"/>
          <w:szCs w:val="22"/>
          <w:color w:val="auto"/>
        </w:rPr>
        <w:t>” means any Fundamental Change as described in the definition thereof, and determined after giving effect to any exceptions or exclusions to such definition, but without regard to clause (ii)(x) of the definition of Change of Control and excluding a Fundamental Change described under clause (iii) of the definition of Change of Control.</w:t>
      </w:r>
    </w:p>
    <w:p>
      <w:pPr>
        <w:spacing w:after="0" w:line="181" w:lineRule="exact"/>
        <w:rPr>
          <w:sz w:val="20"/>
          <w:szCs w:val="20"/>
          <w:color w:val="auto"/>
        </w:rPr>
      </w:pPr>
    </w:p>
    <w:p>
      <w:pPr>
        <w:ind w:right="10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Make-Whole Fundamental Change Effective Date</w:t>
      </w:r>
      <w:r>
        <w:rPr>
          <w:rFonts w:ascii="Arial" w:cs="Arial" w:eastAsia="Arial" w:hAnsi="Arial"/>
          <w:sz w:val="22"/>
          <w:szCs w:val="22"/>
          <w:color w:val="auto"/>
        </w:rPr>
        <w:t>” means the date on which any Make-Whole Fundamental Change becomes effective.</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Make-Whole Fundamental Change Notice</w:t>
      </w:r>
      <w:r>
        <w:rPr>
          <w:rFonts w:ascii="Arial" w:cs="Arial" w:eastAsia="Arial" w:hAnsi="Arial"/>
          <w:sz w:val="22"/>
          <w:szCs w:val="22"/>
          <w:color w:val="auto"/>
        </w:rPr>
        <w:t>” has the meaning specified in Section 13.01(e).</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Mann</w:t>
      </w:r>
      <w:r>
        <w:rPr>
          <w:rFonts w:ascii="Arial" w:cs="Arial" w:eastAsia="Arial" w:hAnsi="Arial"/>
          <w:sz w:val="22"/>
          <w:szCs w:val="22"/>
          <w:color w:val="auto"/>
        </w:rPr>
        <w:t>” means the individual Alfred E. Mann.</w:t>
      </w:r>
    </w:p>
    <w:p>
      <w:pPr>
        <w:spacing w:after="0" w:line="206" w:lineRule="exact"/>
        <w:rPr>
          <w:sz w:val="20"/>
          <w:szCs w:val="20"/>
          <w:color w:val="auto"/>
        </w:rPr>
      </w:pPr>
    </w:p>
    <w:p>
      <w:pPr>
        <w:ind w:right="20" w:firstLine="799"/>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Disruption Event</w:t>
      </w:r>
      <w:r>
        <w:rPr>
          <w:rFonts w:ascii="Arial" w:cs="Arial" w:eastAsia="Arial" w:hAnsi="Arial"/>
          <w:sz w:val="19"/>
          <w:szCs w:val="19"/>
          <w:color w:val="auto"/>
        </w:rPr>
        <w:t>” means (1) a failure by the primary exchange or quotation system on which the Common Stock trades or is quoted to open for trading during its regular trading session or (2) the occurrence or existence, prior to 1:00 p.m., New York City time, on any Trading Day for the Common Stock, of an aggregate one half-hour period of any suspension or limitation imposed on trading (by reason of movements in price exceeding limits permitted by the stock exchange or otherwise) in the Common Stock or in any options, contracts or future contracts relating to the Common Stock.</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August 15, 2018.</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Nonpayment Default</w:t>
      </w:r>
      <w:r>
        <w:rPr>
          <w:rFonts w:ascii="Arial" w:cs="Arial" w:eastAsia="Arial" w:hAnsi="Arial"/>
          <w:sz w:val="22"/>
          <w:szCs w:val="22"/>
          <w:color w:val="auto"/>
        </w:rPr>
        <w:t>” has the meaning set forth in Section 18.01(b)(ii).</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w:t>
      </w:r>
      <w:r>
        <w:rPr>
          <w:rFonts w:ascii="Arial" w:cs="Arial" w:eastAsia="Arial" w:hAnsi="Arial"/>
          <w:sz w:val="22"/>
          <w:szCs w:val="22"/>
          <w:color w:val="auto"/>
        </w:rPr>
        <w:t>” or “</w:t>
      </w:r>
      <w:r>
        <w:rPr>
          <w:rFonts w:ascii="Arial" w:cs="Arial" w:eastAsia="Arial" w:hAnsi="Arial"/>
          <w:sz w:val="22"/>
          <w:szCs w:val="22"/>
          <w:b w:val="1"/>
          <w:bCs w:val="1"/>
          <w:color w:val="auto"/>
        </w:rPr>
        <w:t>Notes</w:t>
      </w:r>
      <w:r>
        <w:rPr>
          <w:rFonts w:ascii="Arial" w:cs="Arial" w:eastAsia="Arial" w:hAnsi="Arial"/>
          <w:sz w:val="22"/>
          <w:szCs w:val="22"/>
          <w:color w:val="auto"/>
        </w:rPr>
        <w:t>” shall have the meaning specified in the first “Whereas” clause of this Indenture.</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 Register</w:t>
      </w:r>
      <w:r>
        <w:rPr>
          <w:rFonts w:ascii="Arial" w:cs="Arial" w:eastAsia="Arial" w:hAnsi="Arial"/>
          <w:sz w:val="22"/>
          <w:szCs w:val="22"/>
          <w:color w:val="auto"/>
        </w:rPr>
        <w:t>” shall have the meaning specified in Section 2.05(a).</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 Registrar</w:t>
      </w:r>
      <w:r>
        <w:rPr>
          <w:rFonts w:ascii="Arial" w:cs="Arial" w:eastAsia="Arial" w:hAnsi="Arial"/>
          <w:sz w:val="22"/>
          <w:szCs w:val="22"/>
          <w:color w:val="auto"/>
        </w:rPr>
        <w:t>” shall have the meaning specified in Section 2.05(a).</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Redemption</w:t>
      </w:r>
      <w:r>
        <w:rPr>
          <w:rFonts w:ascii="Arial" w:cs="Arial" w:eastAsia="Arial" w:hAnsi="Arial"/>
          <w:sz w:val="22"/>
          <w:szCs w:val="22"/>
          <w:color w:val="auto"/>
        </w:rPr>
        <w:t>” has the meaning set forth in Section 14.03.</w:t>
      </w:r>
    </w:p>
    <w:p>
      <w:pPr>
        <w:spacing w:after="0" w:line="206" w:lineRule="exact"/>
        <w:rPr>
          <w:sz w:val="20"/>
          <w:szCs w:val="20"/>
          <w:color w:val="auto"/>
        </w:rPr>
      </w:pPr>
    </w:p>
    <w:p>
      <w:pPr>
        <w:ind w:firstLine="799"/>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Officer</w:t>
      </w:r>
      <w:r>
        <w:rPr>
          <w:rFonts w:ascii="Arial" w:cs="Arial" w:eastAsia="Arial" w:hAnsi="Arial"/>
          <w:sz w:val="19"/>
          <w:szCs w:val="19"/>
          <w:color w:val="auto"/>
        </w:rPr>
        <w:t>” means, with respect to the Company, the chairman of the Board of Directors, a chief executive officer, a president, a chief financial officer, chief operating officer, any executive vice president, any senior vice president, any vice president, the treasurer or any assistant treasurer, the controller or any assistant controller or the secretary or any assistant secretary.</w:t>
      </w:r>
    </w:p>
    <w:p>
      <w:pPr>
        <w:sectPr>
          <w:pgSz w:w="11900" w:h="16838" w:orient="portrait"/>
          <w:cols w:equalWidth="0" w:num="1">
            <w:col w:w="11360"/>
          </w:cols>
          <w:pgMar w:left="240" w:top="267" w:right="299" w:bottom="1440" w:gutter="0" w:footer="0" w:header="0"/>
        </w:sectPr>
      </w:pPr>
    </w:p>
    <w:bookmarkStart w:id="62" w:name="page63"/>
    <w:bookmarkEnd w:id="62"/>
    <w:p>
      <w:pPr>
        <w:ind w:right="560" w:firstLine="799"/>
        <w:spacing w:after="0" w:line="25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b w:val="1"/>
          <w:bCs w:val="1"/>
          <w:color w:val="auto"/>
        </w:rPr>
        <w:t>Officer’s Certificate</w:t>
      </w:r>
      <w:r>
        <w:rPr>
          <w:rFonts w:ascii="Arial" w:cs="Arial" w:eastAsia="Arial" w:hAnsi="Arial"/>
          <w:sz w:val="22"/>
          <w:szCs w:val="22"/>
          <w:color w:val="auto"/>
        </w:rPr>
        <w:t>,” means a certificate signed by any Officer. Each such certificate shall include the statements provided for in Section 17.05, if and to the extent required by the provisions thereof.</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of business</w:t>
      </w:r>
      <w:r>
        <w:rPr>
          <w:rFonts w:ascii="Arial" w:cs="Arial" w:eastAsia="Arial" w:hAnsi="Arial"/>
          <w:sz w:val="22"/>
          <w:szCs w:val="22"/>
          <w:color w:val="auto"/>
        </w:rPr>
        <w:t>” means 9:00 a.m. (New York City time).</w:t>
      </w:r>
    </w:p>
    <w:p>
      <w:pPr>
        <w:spacing w:after="0" w:line="206" w:lineRule="exact"/>
        <w:rPr>
          <w:sz w:val="20"/>
          <w:szCs w:val="20"/>
          <w:color w:val="auto"/>
        </w:rPr>
      </w:pPr>
    </w:p>
    <w:p>
      <w:pPr>
        <w:ind w:firstLine="799"/>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Opinion of Counsel</w:t>
      </w:r>
      <w:r>
        <w:rPr>
          <w:rFonts w:ascii="Arial" w:cs="Arial" w:eastAsia="Arial" w:hAnsi="Arial"/>
          <w:sz w:val="22"/>
          <w:szCs w:val="22"/>
          <w:color w:val="auto"/>
        </w:rPr>
        <w:t>” means a written opinion, subject to customary exceptions, from legal counsel who is reasonably acceptable to the Trustee that is delivered to the Trustee in accordance with the terms hereof. The counsel may be an employee of or counsel to the Company or the Trustee. Each such opinion shall include the statements provided for in Section 17.05 if and to the extent required by the provisions thereof.</w:t>
      </w:r>
    </w:p>
    <w:p>
      <w:pPr>
        <w:spacing w:after="0" w:line="181" w:lineRule="exact"/>
        <w:rPr>
          <w:sz w:val="20"/>
          <w:szCs w:val="20"/>
          <w:color w:val="auto"/>
        </w:rPr>
      </w:pPr>
    </w:p>
    <w:p>
      <w:pPr>
        <w:ind w:right="580" w:firstLine="799"/>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Outstanding</w:t>
      </w:r>
      <w:r>
        <w:rPr>
          <w:rFonts w:ascii="Arial" w:cs="Arial" w:eastAsia="Arial" w:hAnsi="Arial"/>
          <w:sz w:val="21"/>
          <w:szCs w:val="21"/>
          <w:color w:val="auto"/>
        </w:rPr>
        <w:t>,” when used with reference to Notes, shall, subject to the provisions of Section 8.04, mean, as of any particular time, all Notes authenticated and delivered by the Trustee under this Indenture, except:</w:t>
      </w:r>
    </w:p>
    <w:p>
      <w:pPr>
        <w:spacing w:after="0" w:line="145" w:lineRule="exact"/>
        <w:rPr>
          <w:sz w:val="20"/>
          <w:szCs w:val="20"/>
          <w:color w:val="auto"/>
        </w:rPr>
      </w:pPr>
    </w:p>
    <w:p>
      <w:pPr>
        <w:ind w:left="2220" w:hanging="670"/>
        <w:spacing w:after="0"/>
        <w:tabs>
          <w:tab w:leader="none" w:pos="22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Notes theretofore canceled by the Trustee or accepted by the Trustee for cancellation;</w:t>
      </w:r>
    </w:p>
    <w:p>
      <w:pPr>
        <w:spacing w:after="0" w:line="206" w:lineRule="exact"/>
        <w:rPr>
          <w:rFonts w:ascii="Arial" w:cs="Arial" w:eastAsia="Arial" w:hAnsi="Arial"/>
          <w:sz w:val="22"/>
          <w:szCs w:val="22"/>
          <w:color w:val="auto"/>
        </w:rPr>
      </w:pPr>
    </w:p>
    <w:p>
      <w:pPr>
        <w:ind w:left="800" w:right="60" w:firstLine="750"/>
        <w:spacing w:after="0" w:line="297" w:lineRule="auto"/>
        <w:tabs>
          <w:tab w:leader="none" w:pos="2227" w:val="left"/>
        </w:tabs>
        <w:numPr>
          <w:ilvl w:val="0"/>
          <w:numId w:val="23"/>
        </w:numPr>
        <w:rPr>
          <w:rFonts w:ascii="Arial" w:cs="Arial" w:eastAsia="Arial" w:hAnsi="Arial"/>
          <w:sz w:val="19"/>
          <w:szCs w:val="19"/>
          <w:color w:val="auto"/>
        </w:rPr>
      </w:pPr>
      <w:r>
        <w:rPr>
          <w:rFonts w:ascii="Arial" w:cs="Arial" w:eastAsia="Arial" w:hAnsi="Arial"/>
          <w:sz w:val="19"/>
          <w:szCs w:val="19"/>
          <w:color w:val="auto"/>
        </w:rPr>
        <w:t>Notes that have been paid pursuant to Section 2.08 or Notes in lieu of which, or in substitution for which, other Notes shall have been authenticated and delivered pursuant to the terms of Section 2.06 unless proof satisfactory to the Trustee is presented that any such Notes are held by protected purchasers in due course; and</w:t>
      </w:r>
    </w:p>
    <w:p>
      <w:pPr>
        <w:spacing w:after="0" w:line="134" w:lineRule="exact"/>
        <w:rPr>
          <w:rFonts w:ascii="Arial" w:cs="Arial" w:eastAsia="Arial" w:hAnsi="Arial"/>
          <w:sz w:val="19"/>
          <w:szCs w:val="19"/>
          <w:color w:val="auto"/>
        </w:rPr>
      </w:pPr>
    </w:p>
    <w:p>
      <w:pPr>
        <w:ind w:left="2220" w:hanging="670"/>
        <w:spacing w:after="0"/>
        <w:tabs>
          <w:tab w:leader="none" w:pos="22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Notes converted pursuant to Article 13.</w:t>
      </w:r>
    </w:p>
    <w:p>
      <w:pPr>
        <w:spacing w:after="0" w:line="200" w:lineRule="exact"/>
        <w:rPr>
          <w:sz w:val="20"/>
          <w:szCs w:val="20"/>
          <w:color w:val="auto"/>
        </w:rPr>
      </w:pPr>
    </w:p>
    <w:p>
      <w:pPr>
        <w:ind w:right="34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Paying Agent</w:t>
      </w:r>
      <w:r>
        <w:rPr>
          <w:rFonts w:ascii="Arial" w:cs="Arial" w:eastAsia="Arial" w:hAnsi="Arial"/>
          <w:sz w:val="22"/>
          <w:szCs w:val="22"/>
          <w:color w:val="auto"/>
        </w:rPr>
        <w:t>” means the office or agency designated by the Company pursuant to Section 4.05 where Notes may be presented for payment.</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Blockage Notice</w:t>
      </w:r>
      <w:r>
        <w:rPr>
          <w:rFonts w:ascii="Arial" w:cs="Arial" w:eastAsia="Arial" w:hAnsi="Arial"/>
          <w:sz w:val="22"/>
          <w:szCs w:val="22"/>
          <w:color w:val="auto"/>
        </w:rPr>
        <w:t>” has the meaning set forth in Section 18.01(b) (ii).</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Default</w:t>
      </w:r>
      <w:r>
        <w:rPr>
          <w:rFonts w:ascii="Arial" w:cs="Arial" w:eastAsia="Arial" w:hAnsi="Arial"/>
          <w:sz w:val="22"/>
          <w:szCs w:val="22"/>
          <w:color w:val="auto"/>
        </w:rPr>
        <w:t>” has the meaning set forth in Section 18.01(b)(i).</w:t>
      </w:r>
    </w:p>
    <w:p>
      <w:pPr>
        <w:spacing w:after="0" w:line="206" w:lineRule="exact"/>
        <w:rPr>
          <w:sz w:val="20"/>
          <w:szCs w:val="20"/>
          <w:color w:val="auto"/>
        </w:rPr>
      </w:pPr>
    </w:p>
    <w:p>
      <w:pPr>
        <w:ind w:right="180" w:firstLine="799"/>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or “</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partnership, limited liability company, joint venture, association, joint-stock company, trust, unincorporated organization, government or any agency or political subdivision thereof or any syndicate or group that would be deemed to be a “</w:t>
      </w:r>
      <w:r>
        <w:rPr>
          <w:rFonts w:ascii="Arial" w:cs="Arial" w:eastAsia="Arial" w:hAnsi="Arial"/>
          <w:sz w:val="19"/>
          <w:szCs w:val="19"/>
          <w:b w:val="1"/>
          <w:bCs w:val="1"/>
          <w:color w:val="auto"/>
        </w:rPr>
        <w:t>person</w:t>
      </w:r>
      <w:r>
        <w:rPr>
          <w:rFonts w:ascii="Arial" w:cs="Arial" w:eastAsia="Arial" w:hAnsi="Arial"/>
          <w:sz w:val="19"/>
          <w:szCs w:val="19"/>
          <w:color w:val="auto"/>
        </w:rPr>
        <w:t>” under Section 13(d)(3) of the Exchange Act or any other entity.</w:t>
      </w:r>
    </w:p>
    <w:p>
      <w:pPr>
        <w:spacing w:after="0" w:line="123" w:lineRule="exact"/>
        <w:rPr>
          <w:sz w:val="20"/>
          <w:szCs w:val="20"/>
          <w:color w:val="auto"/>
        </w:rPr>
      </w:pPr>
    </w:p>
    <w:p>
      <w:pPr>
        <w:jc w:val="both"/>
        <w:ind w:right="20" w:firstLine="79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Predecessor Note</w:t>
      </w:r>
      <w:r>
        <w:rPr>
          <w:rFonts w:ascii="Arial" w:cs="Arial" w:eastAsia="Arial" w:hAnsi="Arial"/>
          <w:sz w:val="22"/>
          <w:szCs w:val="22"/>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w:t>
      </w:r>
    </w:p>
    <w:p>
      <w:pPr>
        <w:sectPr>
          <w:pgSz w:w="11900" w:h="16838" w:orient="portrait"/>
          <w:cols w:equalWidth="0" w:num="1">
            <w:col w:w="11400"/>
          </w:cols>
          <w:pgMar w:left="240" w:top="261" w:right="259" w:bottom="1440" w:gutter="0" w:footer="0" w:header="0"/>
        </w:sectPr>
      </w:pPr>
    </w:p>
    <w:bookmarkStart w:id="63" w:name="page64"/>
    <w:bookmarkEnd w:id="63"/>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destroyed or stolen Note shall be deemed to evidence the same debt as the mutilated, lost, destroyed or stolen Note that it replaces.</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Receiver</w:t>
      </w:r>
      <w:r>
        <w:rPr>
          <w:rFonts w:ascii="Arial" w:cs="Arial" w:eastAsia="Arial" w:hAnsi="Arial"/>
          <w:sz w:val="22"/>
          <w:szCs w:val="22"/>
          <w:color w:val="auto"/>
        </w:rPr>
        <w:t>” shall have the meaning specified in Section 6.01.</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Date</w:t>
      </w:r>
      <w:r>
        <w:rPr>
          <w:rFonts w:ascii="Arial" w:cs="Arial" w:eastAsia="Arial" w:hAnsi="Arial"/>
          <w:sz w:val="22"/>
          <w:szCs w:val="22"/>
          <w:color w:val="auto"/>
        </w:rPr>
        <w:t>” shall have the meaning specified in Section 14.01(b).</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Price</w:t>
      </w:r>
      <w:r>
        <w:rPr>
          <w:rFonts w:ascii="Arial" w:cs="Arial" w:eastAsia="Arial" w:hAnsi="Arial"/>
          <w:sz w:val="22"/>
          <w:szCs w:val="22"/>
          <w:color w:val="auto"/>
        </w:rPr>
        <w:t>” shall have the meaning specified in Section 14.01(b).</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Property</w:t>
      </w:r>
      <w:r>
        <w:rPr>
          <w:rFonts w:ascii="Arial" w:cs="Arial" w:eastAsia="Arial" w:hAnsi="Arial"/>
          <w:sz w:val="22"/>
          <w:szCs w:val="22"/>
          <w:color w:val="auto"/>
        </w:rPr>
        <w:t>” shall have the meaning specified in Section 13.10.</w:t>
      </w:r>
    </w:p>
    <w:p>
      <w:pPr>
        <w:spacing w:after="0" w:line="206" w:lineRule="exact"/>
        <w:rPr>
          <w:sz w:val="20"/>
          <w:szCs w:val="20"/>
          <w:color w:val="auto"/>
        </w:rPr>
      </w:pPr>
    </w:p>
    <w:p>
      <w:pPr>
        <w:ind w:right="14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Regular Record Date</w:t>
      </w:r>
      <w:r>
        <w:rPr>
          <w:rFonts w:ascii="Arial" w:cs="Arial" w:eastAsia="Arial" w:hAnsi="Arial"/>
          <w:sz w:val="22"/>
          <w:szCs w:val="22"/>
          <w:color w:val="auto"/>
        </w:rPr>
        <w:t>,” with respect to any Interest Payment Date, shall mean the February 1 or August 1 (whether or not such day is a Business Day) immediately preceding such Interest Payment Date.</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Resale Restriction Termination Date</w:t>
      </w:r>
      <w:r>
        <w:rPr>
          <w:rFonts w:ascii="Arial" w:cs="Arial" w:eastAsia="Arial" w:hAnsi="Arial"/>
          <w:sz w:val="22"/>
          <w:szCs w:val="22"/>
          <w:color w:val="auto"/>
        </w:rPr>
        <w:t>” shall have the meaning specified in Section 2.05(c).</w:t>
      </w:r>
    </w:p>
    <w:p>
      <w:pPr>
        <w:spacing w:after="0" w:line="206" w:lineRule="exact"/>
        <w:rPr>
          <w:sz w:val="20"/>
          <w:szCs w:val="20"/>
          <w:color w:val="auto"/>
        </w:rPr>
      </w:pPr>
    </w:p>
    <w:p>
      <w:pPr>
        <w:ind w:firstLine="799"/>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Responsible Officer</w:t>
      </w:r>
      <w:r>
        <w:rPr>
          <w:rFonts w:ascii="Arial" w:cs="Arial" w:eastAsia="Arial" w:hAnsi="Arial"/>
          <w:sz w:val="21"/>
          <w:szCs w:val="21"/>
          <w:color w:val="auto"/>
        </w:rPr>
        <w:t>”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69" w:lineRule="exact"/>
        <w:rPr>
          <w:sz w:val="20"/>
          <w:szCs w:val="20"/>
          <w:color w:val="auto"/>
        </w:rPr>
      </w:pPr>
    </w:p>
    <w:p>
      <w:pPr>
        <w:ind w:right="22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Note</w:t>
      </w:r>
      <w:r>
        <w:rPr>
          <w:rFonts w:ascii="Arial" w:cs="Arial" w:eastAsia="Arial" w:hAnsi="Arial"/>
          <w:sz w:val="22"/>
          <w:szCs w:val="22"/>
          <w:color w:val="auto"/>
        </w:rPr>
        <w:t>” means each Additional Note that is subject to transfer restrictions under the Securities Act (or other applicable securities laws), as determined by the Company.</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Securities</w:t>
      </w:r>
      <w:r>
        <w:rPr>
          <w:rFonts w:ascii="Arial" w:cs="Arial" w:eastAsia="Arial" w:hAnsi="Arial"/>
          <w:sz w:val="22"/>
          <w:szCs w:val="22"/>
          <w:color w:val="auto"/>
        </w:rPr>
        <w:t>” shall have the meaning specified in Section 2.05(c).</w:t>
      </w:r>
    </w:p>
    <w:p>
      <w:pPr>
        <w:spacing w:after="0" w:line="206" w:lineRule="exact"/>
        <w:rPr>
          <w:sz w:val="20"/>
          <w:szCs w:val="20"/>
          <w:color w:val="auto"/>
        </w:rPr>
      </w:pPr>
    </w:p>
    <w:p>
      <w:pPr>
        <w:ind w:right="94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Rights</w:t>
      </w:r>
      <w:r>
        <w:rPr>
          <w:rFonts w:ascii="Arial" w:cs="Arial" w:eastAsia="Arial" w:hAnsi="Arial"/>
          <w:sz w:val="22"/>
          <w:szCs w:val="22"/>
          <w:color w:val="auto"/>
        </w:rPr>
        <w:t>” means any common stock or preferred stock purchase right or warrant, as the case may be, that all or substantially all shares of Common Stock may be entitled to receive under a Rights Plan.</w:t>
      </w:r>
    </w:p>
    <w:p>
      <w:pPr>
        <w:spacing w:after="0" w:line="163" w:lineRule="exact"/>
        <w:rPr>
          <w:sz w:val="20"/>
          <w:szCs w:val="20"/>
          <w:color w:val="auto"/>
        </w:rPr>
      </w:pPr>
    </w:p>
    <w:p>
      <w:pPr>
        <w:ind w:right="2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Rights Plan</w:t>
      </w:r>
      <w:r>
        <w:rPr>
          <w:rFonts w:ascii="Arial" w:cs="Arial" w:eastAsia="Arial" w:hAnsi="Arial"/>
          <w:sz w:val="22"/>
          <w:szCs w:val="22"/>
          <w:color w:val="auto"/>
        </w:rPr>
        <w:t>” means any common stock or preferred stock rights plan or any similar plan adopted by the Company after the date hereof.</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w:t>
      </w:r>
      <w:r>
        <w:rPr>
          <w:rFonts w:ascii="Arial" w:cs="Arial" w:eastAsia="Arial" w:hAnsi="Arial"/>
          <w:sz w:val="22"/>
          <w:szCs w:val="22"/>
          <w:color w:val="auto"/>
        </w:rPr>
        <w:t>” means Rule 144 as promulgated under the Securities Act.</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144A</w:t>
      </w:r>
      <w:r>
        <w:rPr>
          <w:rFonts w:ascii="Arial" w:cs="Arial" w:eastAsia="Arial" w:hAnsi="Arial"/>
          <w:sz w:val="22"/>
          <w:szCs w:val="22"/>
          <w:color w:val="auto"/>
        </w:rPr>
        <w:t>” means Rule 144A as promulgated under the Securities Act.</w:t>
      </w:r>
    </w:p>
    <w:p>
      <w:pPr>
        <w:sectPr>
          <w:pgSz w:w="11900" w:h="16838" w:orient="portrait"/>
          <w:cols w:equalWidth="0" w:num="1">
            <w:col w:w="11300"/>
          </w:cols>
          <w:pgMar w:left="240" w:top="267" w:right="359" w:bottom="1440" w:gutter="0" w:footer="0" w:header="0"/>
        </w:sectPr>
      </w:pPr>
    </w:p>
    <w:bookmarkStart w:id="64" w:name="page65"/>
    <w:bookmarkEnd w:id="64"/>
    <w:p>
      <w:pPr>
        <w:ind w:left="8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Securities Act of 1933, as amended, and the rules and regulations promulgated thereunder.</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Interest</w:t>
      </w:r>
      <w:r>
        <w:rPr>
          <w:rFonts w:ascii="Arial" w:cs="Arial" w:eastAsia="Arial" w:hAnsi="Arial"/>
          <w:sz w:val="22"/>
          <w:szCs w:val="22"/>
          <w:color w:val="auto"/>
        </w:rPr>
        <w:t>” shall have the meaning specified in Section 6.02.</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Spin-Off</w:t>
      </w:r>
      <w:r>
        <w:rPr>
          <w:rFonts w:ascii="Arial" w:cs="Arial" w:eastAsia="Arial" w:hAnsi="Arial"/>
          <w:sz w:val="22"/>
          <w:szCs w:val="22"/>
          <w:color w:val="auto"/>
        </w:rPr>
        <w:t>” shall have the meaning specified in Section 13.06(c).</w:t>
      </w:r>
    </w:p>
    <w:p>
      <w:pPr>
        <w:spacing w:after="0" w:line="206" w:lineRule="exact"/>
        <w:rPr>
          <w:sz w:val="20"/>
          <w:szCs w:val="20"/>
          <w:color w:val="auto"/>
        </w:rPr>
      </w:pPr>
    </w:p>
    <w:p>
      <w:pPr>
        <w:ind w:right="40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Price</w:t>
      </w:r>
      <w:r>
        <w:rPr>
          <w:rFonts w:ascii="Arial" w:cs="Arial" w:eastAsia="Arial" w:hAnsi="Arial"/>
          <w:sz w:val="22"/>
          <w:szCs w:val="22"/>
          <w:color w:val="auto"/>
        </w:rPr>
        <w:t>” means the price paid or deemed to be paid per share of the Common Stock in connection with a Make-Whole Fundamental Change subject to adjustment as determined pursuant to Section 13.01(e).</w:t>
      </w:r>
    </w:p>
    <w:p>
      <w:pPr>
        <w:spacing w:after="0" w:line="163" w:lineRule="exact"/>
        <w:rPr>
          <w:sz w:val="20"/>
          <w:szCs w:val="20"/>
          <w:color w:val="auto"/>
        </w:rPr>
      </w:pPr>
    </w:p>
    <w:p>
      <w:pPr>
        <w:ind w:right="200" w:firstLine="79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a corporation or other entity more than 50% of the outstanding Voting Stock of which is owned, directly or indirectly, by the Company or by one or more other Subsidiaries of the Company, or by the Company and one or more other Subsidiaries of the Company.</w:t>
      </w:r>
    </w:p>
    <w:p>
      <w:pPr>
        <w:spacing w:after="0" w:line="177" w:lineRule="exact"/>
        <w:rPr>
          <w:sz w:val="20"/>
          <w:szCs w:val="20"/>
          <w:color w:val="auto"/>
        </w:rPr>
      </w:pPr>
    </w:p>
    <w:p>
      <w:pPr>
        <w:ind w:firstLine="799"/>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of Trading</w:t>
      </w:r>
      <w:r>
        <w:rPr>
          <w:rFonts w:ascii="Arial" w:cs="Arial" w:eastAsia="Arial" w:hAnsi="Arial"/>
          <w:sz w:val="19"/>
          <w:szCs w:val="19"/>
          <w:color w:val="auto"/>
        </w:rPr>
        <w:t>” means the occurrence of the Common Stock (or other common stock into which the Notes are convertible) not being listed for trading on a United States national securities exchange nor approved for listing on any United States system of automated dissemination of quotations of securities prices nor traded in over-the-counter securities markets and no American Depositary Shares or similar instruments for the Common Stock are so listed or approved for listing in the United States.</w:t>
      </w:r>
    </w:p>
    <w:p>
      <w:pPr>
        <w:spacing w:after="0" w:line="136" w:lineRule="exact"/>
        <w:rPr>
          <w:sz w:val="20"/>
          <w:szCs w:val="20"/>
          <w:color w:val="auto"/>
        </w:rPr>
      </w:pPr>
    </w:p>
    <w:p>
      <w:pPr>
        <w:ind w:right="160" w:firstLine="799"/>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Trading Day</w:t>
      </w:r>
      <w:r>
        <w:rPr>
          <w:rFonts w:ascii="Arial" w:cs="Arial" w:eastAsia="Arial" w:hAnsi="Arial"/>
          <w:sz w:val="21"/>
          <w:szCs w:val="21"/>
          <w:color w:val="auto"/>
        </w:rPr>
        <w:t>” means any day during which trading in the Common Stock generally occurs on the primary exchange or quotation system on which the Common Stock then trades or is quoted and there is no Market Disruption Event, unless the Common Stock is not so traded or quotes, in which case “</w:t>
      </w:r>
      <w:r>
        <w:rPr>
          <w:rFonts w:ascii="Arial" w:cs="Arial" w:eastAsia="Arial" w:hAnsi="Arial"/>
          <w:sz w:val="21"/>
          <w:szCs w:val="21"/>
          <w:b w:val="1"/>
          <w:bCs w:val="1"/>
          <w:color w:val="auto"/>
        </w:rPr>
        <w:t>Trading Day</w:t>
      </w:r>
      <w:r>
        <w:rPr>
          <w:rFonts w:ascii="Arial" w:cs="Arial" w:eastAsia="Arial" w:hAnsi="Arial"/>
          <w:sz w:val="21"/>
          <w:szCs w:val="21"/>
          <w:color w:val="auto"/>
        </w:rPr>
        <w:t>” means a Business Day.</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 shall have the meaning specified in Section 2.05(c).</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 Indenture Act</w:t>
      </w:r>
      <w:r>
        <w:rPr>
          <w:rFonts w:ascii="Arial" w:cs="Arial" w:eastAsia="Arial" w:hAnsi="Arial"/>
          <w:sz w:val="22"/>
          <w:szCs w:val="22"/>
          <w:color w:val="auto"/>
        </w:rPr>
        <w:t>” means the Trust Indenture Act of 1939, as amended.</w:t>
      </w:r>
    </w:p>
    <w:p>
      <w:pPr>
        <w:spacing w:after="0" w:line="206" w:lineRule="exact"/>
        <w:rPr>
          <w:sz w:val="20"/>
          <w:szCs w:val="20"/>
          <w:color w:val="auto"/>
        </w:rPr>
      </w:pPr>
    </w:p>
    <w:p>
      <w:pPr>
        <w:ind w:right="80" w:firstLine="799"/>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Trustee</w:t>
      </w:r>
      <w:r>
        <w:rPr>
          <w:rFonts w:ascii="Arial" w:cs="Arial" w:eastAsia="Arial" w:hAnsi="Arial"/>
          <w:sz w:val="22"/>
          <w:szCs w:val="22"/>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means the United States of America.</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Valuation Period</w:t>
      </w:r>
      <w:r>
        <w:rPr>
          <w:rFonts w:ascii="Arial" w:cs="Arial" w:eastAsia="Arial" w:hAnsi="Arial"/>
          <w:sz w:val="22"/>
          <w:szCs w:val="22"/>
          <w:color w:val="auto"/>
        </w:rPr>
        <w:t>” shall have the meaning specified in Section 13.06(c).</w:t>
      </w:r>
    </w:p>
    <w:p>
      <w:pPr>
        <w:spacing w:after="0" w:line="206" w:lineRule="exact"/>
        <w:rPr>
          <w:sz w:val="20"/>
          <w:szCs w:val="20"/>
          <w:color w:val="auto"/>
        </w:rPr>
      </w:pPr>
    </w:p>
    <w:p>
      <w:pPr>
        <w:ind w:right="180" w:firstLine="799"/>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Stock</w:t>
      </w:r>
      <w:r>
        <w:rPr>
          <w:rFonts w:ascii="Arial" w:cs="Arial" w:eastAsia="Arial" w:hAnsi="Arial"/>
          <w:sz w:val="22"/>
          <w:szCs w:val="22"/>
          <w:color w:val="auto"/>
        </w:rPr>
        <w:t>” of a Person means all classes of Capital Stock or other interests (including partnership interests) of such Person then outstanding and</w:t>
      </w:r>
    </w:p>
    <w:p>
      <w:pPr>
        <w:sectPr>
          <w:pgSz w:w="11900" w:h="16838" w:orient="portrait"/>
          <w:cols w:equalWidth="0" w:num="1">
            <w:col w:w="11380"/>
          </w:cols>
          <w:pgMar w:left="240" w:top="261" w:right="279" w:bottom="1440" w:gutter="0" w:footer="0" w:header="0"/>
        </w:sectPr>
      </w:pPr>
    </w:p>
    <w:bookmarkStart w:id="65" w:name="page66"/>
    <w:bookmarkEnd w:id="65"/>
    <w:p>
      <w:pPr>
        <w:ind w:right="2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normally entitled (without regard to the occurrence of any contingency within the control of such person to satisfy) to vote in the election of directors, managers or trustees thereof.</w:t>
      </w:r>
    </w:p>
    <w:p>
      <w:pPr>
        <w:spacing w:after="0" w:line="173" w:lineRule="exact"/>
        <w:rPr>
          <w:sz w:val="20"/>
          <w:szCs w:val="20"/>
          <w:color w:val="auto"/>
        </w:rPr>
      </w:pPr>
    </w:p>
    <w:p>
      <w:pPr>
        <w:ind w:right="220" w:firstLine="799"/>
        <w:spacing w:after="0" w:line="279" w:lineRule="auto"/>
        <w:rPr>
          <w:sz w:val="20"/>
          <w:szCs w:val="20"/>
          <w:color w:val="auto"/>
        </w:rPr>
      </w:pPr>
      <w:r>
        <w:rPr>
          <w:rFonts w:ascii="Arial" w:cs="Arial" w:eastAsia="Arial" w:hAnsi="Arial"/>
          <w:sz w:val="19"/>
          <w:szCs w:val="19"/>
          <w:i w:val="1"/>
          <w:iCs w:val="1"/>
          <w:color w:val="auto"/>
        </w:rPr>
        <w:t xml:space="preserve">Section 1.02. References to Interest. </w:t>
      </w:r>
      <w:r>
        <w:rPr>
          <w:rFonts w:ascii="Arial" w:cs="Arial" w:eastAsia="Arial" w:hAnsi="Arial"/>
          <w:sz w:val="19"/>
          <w:szCs w:val="19"/>
          <w:color w:val="auto"/>
        </w:rPr>
        <w:t>Any reference to the payment of interest on, or in respect of, any Note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shall be deemed to include mention of the payment of Special Interest (if applicable) and Additional Interest (if applicable) if, in such context, Special Interest and Additional Interest, as applicable, was, or would be, payable pursuant to Section 6.01 and Section 12.01, respectively. An express mention of the payment of Special Interest (if applicable) or Additional Interest (if applicable) in any provision hereof shall not be construed as excluding Additional Interest or Special Interest, as applicable, in those provisions hereof where such express mention is not made.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2</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w:t>
      </w:r>
      <w:r>
        <w:rPr>
          <w:rFonts w:ascii="Arial" w:cs="Arial" w:eastAsia="Arial" w:hAnsi="Arial"/>
          <w:sz w:val="18"/>
          <w:szCs w:val="18"/>
          <w:color w:val="auto"/>
        </w:rPr>
        <w:t>SSUE</w:t>
      </w:r>
      <w:r>
        <w:rPr>
          <w:rFonts w:ascii="Arial" w:cs="Arial" w:eastAsia="Arial" w:hAnsi="Arial"/>
          <w:sz w:val="22"/>
          <w:szCs w:val="22"/>
          <w:color w:val="auto"/>
        </w:rPr>
        <w:t>, D</w:t>
      </w:r>
      <w:r>
        <w:rPr>
          <w:rFonts w:ascii="Arial" w:cs="Arial" w:eastAsia="Arial" w:hAnsi="Arial"/>
          <w:sz w:val="18"/>
          <w:szCs w:val="18"/>
          <w:color w:val="auto"/>
        </w:rPr>
        <w:t>ESCRIPTION</w:t>
      </w:r>
      <w:r>
        <w:rPr>
          <w:rFonts w:ascii="Arial" w:cs="Arial" w:eastAsia="Arial" w:hAnsi="Arial"/>
          <w:sz w:val="22"/>
          <w:szCs w:val="22"/>
          <w:color w:val="auto"/>
        </w:rPr>
        <w:t>, E</w:t>
      </w:r>
      <w:r>
        <w:rPr>
          <w:rFonts w:ascii="Arial" w:cs="Arial" w:eastAsia="Arial" w:hAnsi="Arial"/>
          <w:sz w:val="18"/>
          <w:szCs w:val="18"/>
          <w:color w:val="auto"/>
        </w:rPr>
        <w:t>XECUTION</w:t>
      </w:r>
      <w:r>
        <w:rPr>
          <w:rFonts w:ascii="Arial" w:cs="Arial" w:eastAsia="Arial" w:hAnsi="Arial"/>
          <w:sz w:val="22"/>
          <w:szCs w:val="22"/>
          <w:color w:val="auto"/>
        </w:rPr>
        <w:t>, R</w:t>
      </w:r>
      <w:r>
        <w:rPr>
          <w:rFonts w:ascii="Arial" w:cs="Arial" w:eastAsia="Arial" w:hAnsi="Arial"/>
          <w:sz w:val="18"/>
          <w:szCs w:val="18"/>
          <w:color w:val="auto"/>
        </w:rPr>
        <w:t>EGISTRATION AND</w:t>
      </w:r>
      <w:r>
        <w:rPr>
          <w:rFonts w:ascii="Arial" w:cs="Arial" w:eastAsia="Arial" w:hAnsi="Arial"/>
          <w:sz w:val="22"/>
          <w:szCs w:val="22"/>
          <w:color w:val="auto"/>
        </w:rPr>
        <w:t xml:space="preserve"> E</w:t>
      </w:r>
      <w:r>
        <w:rPr>
          <w:rFonts w:ascii="Arial" w:cs="Arial" w:eastAsia="Arial" w:hAnsi="Arial"/>
          <w:sz w:val="18"/>
          <w:szCs w:val="18"/>
          <w:color w:val="auto"/>
        </w:rPr>
        <w:t>XCHANGE OF</w:t>
      </w:r>
      <w:r>
        <w:rPr>
          <w:rFonts w:ascii="Arial" w:cs="Arial" w:eastAsia="Arial" w:hAnsi="Arial"/>
          <w:sz w:val="22"/>
          <w:szCs w:val="22"/>
          <w:color w:val="auto"/>
        </w:rPr>
        <w:t xml:space="preserve"> N</w:t>
      </w:r>
      <w:r>
        <w:rPr>
          <w:rFonts w:ascii="Arial" w:cs="Arial" w:eastAsia="Arial" w:hAnsi="Arial"/>
          <w:sz w:val="18"/>
          <w:szCs w:val="18"/>
          <w:color w:val="auto"/>
        </w:rPr>
        <w:t>OTES</w:t>
      </w:r>
    </w:p>
    <w:p>
      <w:pPr>
        <w:spacing w:after="0" w:line="188" w:lineRule="exact"/>
        <w:rPr>
          <w:sz w:val="20"/>
          <w:szCs w:val="20"/>
          <w:color w:val="auto"/>
        </w:rPr>
      </w:pPr>
    </w:p>
    <w:p>
      <w:pPr>
        <w:ind w:right="60" w:firstLine="799"/>
        <w:spacing w:after="0" w:line="287" w:lineRule="auto"/>
        <w:rPr>
          <w:sz w:val="20"/>
          <w:szCs w:val="20"/>
          <w:color w:val="auto"/>
        </w:rPr>
      </w:pPr>
      <w:r>
        <w:rPr>
          <w:rFonts w:ascii="Arial" w:cs="Arial" w:eastAsia="Arial" w:hAnsi="Arial"/>
          <w:sz w:val="19"/>
          <w:szCs w:val="19"/>
          <w:i w:val="1"/>
          <w:iCs w:val="1"/>
          <w:color w:val="auto"/>
        </w:rPr>
        <w:t xml:space="preserve">Section 2.01. Designation and Amount. </w:t>
      </w:r>
      <w:r>
        <w:rPr>
          <w:rFonts w:ascii="Arial" w:cs="Arial" w:eastAsia="Arial" w:hAnsi="Arial"/>
          <w:sz w:val="19"/>
          <w:szCs w:val="19"/>
          <w:color w:val="auto"/>
        </w:rPr>
        <w:t>The Notes shall be designated as the “5.75% Convertible Senior Subordinated</w:t>
      </w:r>
      <w:r>
        <w:rPr>
          <w:rFonts w:ascii="Arial" w:cs="Arial" w:eastAsia="Arial" w:hAnsi="Arial"/>
          <w:sz w:val="19"/>
          <w:szCs w:val="19"/>
          <w:i w:val="1"/>
          <w:iCs w:val="1"/>
          <w:color w:val="auto"/>
        </w:rPr>
        <w:t xml:space="preserve"> </w:t>
      </w:r>
      <w:r>
        <w:rPr>
          <w:rFonts w:ascii="Arial" w:cs="Arial" w:eastAsia="Arial" w:hAnsi="Arial"/>
          <w:sz w:val="19"/>
          <w:szCs w:val="19"/>
          <w:color w:val="auto"/>
        </w:rPr>
        <w:t>Exchange Notes due 2018.” The aggregate principal amount of Notes that may be authenticated and delivered under this Indenture is initially limited to $27,690,000, subject to Section 2.10, and except for Notes authenticated and delivered upon registration or transfer of, or in exchange for, or in lieu of other Notes pursuant to Section 2.05, Section 2.06 and Section 2.07.</w:t>
      </w:r>
    </w:p>
    <w:p>
      <w:pPr>
        <w:spacing w:after="0" w:line="143" w:lineRule="exact"/>
        <w:rPr>
          <w:sz w:val="20"/>
          <w:szCs w:val="20"/>
          <w:color w:val="auto"/>
        </w:rPr>
      </w:pPr>
    </w:p>
    <w:p>
      <w:pPr>
        <w:ind w:right="140" w:firstLine="799"/>
        <w:spacing w:after="0" w:line="328" w:lineRule="auto"/>
        <w:rPr>
          <w:sz w:val="20"/>
          <w:szCs w:val="20"/>
          <w:color w:val="auto"/>
        </w:rPr>
      </w:pPr>
      <w:r>
        <w:rPr>
          <w:rFonts w:ascii="Arial" w:cs="Arial" w:eastAsia="Arial" w:hAnsi="Arial"/>
          <w:sz w:val="19"/>
          <w:szCs w:val="19"/>
          <w:i w:val="1"/>
          <w:iCs w:val="1"/>
          <w:color w:val="auto"/>
        </w:rPr>
        <w:t xml:space="preserve">Section 2.02. Form of Notes. </w:t>
      </w:r>
      <w:r>
        <w:rPr>
          <w:rFonts w:ascii="Arial" w:cs="Arial" w:eastAsia="Arial" w:hAnsi="Arial"/>
          <w:sz w:val="19"/>
          <w:szCs w:val="19"/>
          <w:color w:val="auto"/>
        </w:rPr>
        <w:t>The Notes and the Trustee’s certificate of authentication to be borne by such Notes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substantially in the respective forms set forth in Exhibit A, which are incorporated in and made a part of this Indenture.</w:t>
      </w:r>
    </w:p>
    <w:p>
      <w:pPr>
        <w:spacing w:after="0" w:line="105" w:lineRule="exact"/>
        <w:rPr>
          <w:sz w:val="20"/>
          <w:szCs w:val="20"/>
          <w:color w:val="auto"/>
        </w:rPr>
      </w:pPr>
    </w:p>
    <w:p>
      <w:pPr>
        <w:ind w:firstLine="799"/>
        <w:spacing w:after="0" w:line="235" w:lineRule="auto"/>
        <w:rPr>
          <w:sz w:val="20"/>
          <w:szCs w:val="20"/>
          <w:color w:val="auto"/>
        </w:rPr>
      </w:pPr>
      <w:r>
        <w:rPr>
          <w:rFonts w:ascii="Arial" w:cs="Arial" w:eastAsia="Arial" w:hAnsi="Arial"/>
          <w:sz w:val="22"/>
          <w:szCs w:val="22"/>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8" w:lineRule="exact"/>
        <w:rPr>
          <w:sz w:val="20"/>
          <w:szCs w:val="20"/>
          <w:color w:val="auto"/>
        </w:rPr>
      </w:pPr>
    </w:p>
    <w:p>
      <w:pPr>
        <w:ind w:right="20" w:firstLine="799"/>
        <w:spacing w:after="0"/>
        <w:rPr>
          <w:sz w:val="20"/>
          <w:szCs w:val="20"/>
          <w:color w:val="auto"/>
        </w:rPr>
      </w:pPr>
      <w:r>
        <w:rPr>
          <w:rFonts w:ascii="Arial" w:cs="Arial" w:eastAsia="Arial" w:hAnsi="Arial"/>
          <w:sz w:val="22"/>
          <w:szCs w:val="22"/>
          <w:color w:val="auto"/>
        </w:rPr>
        <w:t>The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w:t>
      </w:r>
    </w:p>
    <w:p>
      <w:pPr>
        <w:sectPr>
          <w:pgSz w:w="11900" w:h="16838" w:orient="portrait"/>
          <w:cols w:equalWidth="0" w:num="1">
            <w:col w:w="11360"/>
          </w:cols>
          <w:pgMar w:left="240" w:top="267" w:right="299" w:bottom="1440" w:gutter="0" w:footer="0" w:header="0"/>
        </w:sectPr>
      </w:pPr>
    </w:p>
    <w:bookmarkStart w:id="66" w:name="page67"/>
    <w:bookmarkEnd w:id="66"/>
    <w:p>
      <w:pPr>
        <w:ind w:right="40"/>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thereby may from time to time be increased or reduced to reflect purchases, conversions, transfers, exchanges or issuances of additional Notes permitted hereby. Any endorsement of the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any Fundamental Change Purchase Price or Redemption Price, as applicable) of, and accrued and unpaid interest, if any, on, the Global Note shall be made to the Holder of such Note on the date of payment, unless a record date or other means of determining Holders eligible to receive payment is provided for herein.</w:t>
      </w:r>
    </w:p>
    <w:p>
      <w:pPr>
        <w:spacing w:after="0" w:line="153" w:lineRule="exact"/>
        <w:rPr>
          <w:sz w:val="20"/>
          <w:szCs w:val="20"/>
          <w:color w:val="auto"/>
        </w:rPr>
      </w:pPr>
    </w:p>
    <w:p>
      <w:pPr>
        <w:ind w:right="60" w:firstLine="799"/>
        <w:spacing w:after="0" w:line="258" w:lineRule="auto"/>
        <w:rPr>
          <w:sz w:val="20"/>
          <w:szCs w:val="20"/>
          <w:color w:val="auto"/>
        </w:rPr>
      </w:pPr>
      <w:r>
        <w:rPr>
          <w:rFonts w:ascii="Arial" w:cs="Arial" w:eastAsia="Arial" w:hAnsi="Arial"/>
          <w:sz w:val="21"/>
          <w:szCs w:val="21"/>
          <w:color w:val="auto"/>
        </w:rPr>
        <w:t>The terms and provisions contained in the Form of Note attached as Exhibit A hereto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67" w:lineRule="exact"/>
        <w:rPr>
          <w:sz w:val="20"/>
          <w:szCs w:val="20"/>
          <w:color w:val="auto"/>
        </w:rPr>
      </w:pPr>
    </w:p>
    <w:p>
      <w:pPr>
        <w:ind w:right="40" w:firstLine="799"/>
        <w:spacing w:after="0" w:line="282" w:lineRule="auto"/>
        <w:rPr>
          <w:sz w:val="20"/>
          <w:szCs w:val="20"/>
          <w:color w:val="auto"/>
        </w:rPr>
      </w:pPr>
      <w:r>
        <w:rPr>
          <w:rFonts w:ascii="Arial" w:cs="Arial" w:eastAsia="Arial" w:hAnsi="Arial"/>
          <w:sz w:val="19"/>
          <w:szCs w:val="19"/>
          <w:i w:val="1"/>
          <w:iCs w:val="1"/>
          <w:color w:val="auto"/>
        </w:rPr>
        <w:t xml:space="preserve">Section 2.03. Date and Denomination of Notes; Payments of Interest. </w:t>
      </w:r>
      <w:r>
        <w:rPr>
          <w:rFonts w:ascii="Arial" w:cs="Arial" w:eastAsia="Arial" w:hAnsi="Arial"/>
          <w:sz w:val="19"/>
          <w:szCs w:val="19"/>
          <w:color w:val="auto"/>
        </w:rPr>
        <w:t>The Notes shall be issuable in registered form</w:t>
      </w:r>
      <w:r>
        <w:rPr>
          <w:rFonts w:ascii="Arial" w:cs="Arial" w:eastAsia="Arial" w:hAnsi="Arial"/>
          <w:sz w:val="19"/>
          <w:szCs w:val="19"/>
          <w:i w:val="1"/>
          <w:iCs w:val="1"/>
          <w:color w:val="auto"/>
        </w:rPr>
        <w:t xml:space="preserve"> </w:t>
      </w:r>
      <w:r>
        <w:rPr>
          <w:rFonts w:ascii="Arial" w:cs="Arial" w:eastAsia="Arial" w:hAnsi="Arial"/>
          <w:sz w:val="19"/>
          <w:szCs w:val="19"/>
          <w:color w:val="auto"/>
        </w:rPr>
        <w:t>without coupons in denominations of $1,000 principal amount and multiples thereof. Each Note shall be dated the date of its authentication and shall bear interest from the date of issuance of such Note or from the most recent date to which interest has been paid or duly provided for, to the date the principal amount of such Note is paid or deemed paid, as the case may be. Interest on the Notes shall be computed on the basis of a 360-day year comprised of twelve 30-day months.</w:t>
      </w:r>
    </w:p>
    <w:p>
      <w:pPr>
        <w:spacing w:after="0" w:line="148" w:lineRule="exact"/>
        <w:rPr>
          <w:sz w:val="20"/>
          <w:szCs w:val="20"/>
          <w:color w:val="auto"/>
        </w:rPr>
      </w:pPr>
    </w:p>
    <w:p>
      <w:pPr>
        <w:ind w:right="20" w:firstLine="799"/>
        <w:spacing w:after="0" w:line="245" w:lineRule="auto"/>
        <w:rPr>
          <w:sz w:val="20"/>
          <w:szCs w:val="20"/>
          <w:color w:val="auto"/>
        </w:rPr>
      </w:pPr>
      <w:r>
        <w:rPr>
          <w:rFonts w:ascii="Arial" w:cs="Arial" w:eastAsia="Arial" w:hAnsi="Arial"/>
          <w:sz w:val="21"/>
          <w:szCs w:val="21"/>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Interest shall be payable at the office of the Paying Agent, which shall initially be the Corporate Trust Office of the Trustee as the Company’s Paying Agent and Note Registrar. The Company shall pay interest on any Notes in certificated form (i) to the Person entitled thereto having an aggregate principal amount of $2,000,000 or less, by check mailed to such Person at the address set forth in the Note Register and (ii) to the Person entitled thereto having an aggregate principal amount of more than $2,000,000, either by check mailed to such Person or, upon application by such Person to the Note Registrar not later than the relevant Regular Record Date, by wire transfer in immediately available funds to such Person’s account within the United States, which application and wire transfer instructions shall remain in effect until such Person notifies, in writing, the Note Registrar to the contrary.</w:t>
      </w:r>
    </w:p>
    <w:p>
      <w:pPr>
        <w:spacing w:after="0" w:line="182"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Any Defaulted Interest shall forthwith cease to be payable to the Holder of such Note on the relevant Regular Record Date by virtue of its having been such</w:t>
      </w:r>
    </w:p>
    <w:p>
      <w:pPr>
        <w:sectPr>
          <w:pgSz w:w="11900" w:h="16838" w:orient="portrait"/>
          <w:cols w:equalWidth="0" w:num="1">
            <w:col w:w="11400"/>
          </w:cols>
          <w:pgMar w:left="240" w:top="267" w:right="259" w:bottom="1440" w:gutter="0" w:footer="0" w:header="0"/>
        </w:sectPr>
      </w:pPr>
    </w:p>
    <w:bookmarkStart w:id="67" w:name="page68"/>
    <w:bookmarkEnd w:id="67"/>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and such Defaulted Interest shall be paid by the Company, at its election in each case, as provided in clause (1) or</w:t>
      </w:r>
    </w:p>
    <w:p>
      <w:pPr>
        <w:spacing w:after="0" w:line="2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below:</w:t>
      </w:r>
    </w:p>
    <w:p>
      <w:pPr>
        <w:spacing w:after="0" w:line="188" w:lineRule="exact"/>
        <w:rPr>
          <w:rFonts w:ascii="Arial" w:cs="Arial" w:eastAsia="Arial" w:hAnsi="Arial"/>
          <w:sz w:val="22"/>
          <w:szCs w:val="22"/>
          <w:color w:val="auto"/>
        </w:rPr>
      </w:pPr>
    </w:p>
    <w:p>
      <w:pPr>
        <w:ind w:firstLine="807"/>
        <w:spacing w:after="0" w:line="270" w:lineRule="auto"/>
        <w:tabs>
          <w:tab w:leader="none" w:pos="1479"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Company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be not less than 20 days after the receipt by the Trustee of such notice, unless the Trustee shall consent to an earlier date), and at the same time the Company shall deposit with the Trustee an amount of money equal to the aggregate amount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fifteen days and not less than ten days prior to the date of the proposed payment, and not less than ten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Interest and the special record date therefor to be delivered, or in the case of Notes in certificated form, mailed, first-class postage prepaid, to each Holder at its address as it appears in the Note Register, not less than ten days prior to such special record date. Notice of the proposed payment of such Defaulted Interest and the special record date therefor having been so mailed, such Defaulted Interest shall be paid to the Persons in whose names the Notes (or their respective Predecessor Notes) are registered at the close of business on such special record date and shall no longer be payable pursuant to the following clause (2) of this Section 2.03.</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right="180" w:firstLine="807"/>
        <w:spacing w:after="0" w:line="236" w:lineRule="auto"/>
        <w:tabs>
          <w:tab w:leader="none" w:pos="1479"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Company may make payment of any Defaulted Interest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88" w:lineRule="exact"/>
        <w:rPr>
          <w:sz w:val="20"/>
          <w:szCs w:val="20"/>
          <w:color w:val="auto"/>
        </w:rPr>
      </w:pPr>
    </w:p>
    <w:p>
      <w:pPr>
        <w:ind w:right="60" w:firstLine="799"/>
        <w:spacing w:after="0" w:line="258" w:lineRule="auto"/>
        <w:rPr>
          <w:sz w:val="20"/>
          <w:szCs w:val="20"/>
          <w:color w:val="auto"/>
        </w:rPr>
      </w:pPr>
      <w:r>
        <w:rPr>
          <w:rFonts w:ascii="Arial" w:cs="Arial" w:eastAsia="Arial" w:hAnsi="Arial"/>
          <w:sz w:val="21"/>
          <w:szCs w:val="21"/>
          <w:color w:val="auto"/>
        </w:rPr>
        <w:t>If the Company makes a distribution of property to holders of Common Stock that would be taxable to them as a dividend for United States federal income tax purposes and the Conversion Rate is increased, the Company may offset any withholding tax applicable to non-United States Holders against cash payments of interest payable on the Notes.</w:t>
      </w:r>
    </w:p>
    <w:p>
      <w:pPr>
        <w:sectPr>
          <w:pgSz w:w="11900" w:h="16838" w:orient="portrait"/>
          <w:cols w:equalWidth="0" w:num="1">
            <w:col w:w="11420"/>
          </w:cols>
          <w:pgMar w:left="240" w:top="267" w:right="239" w:bottom="1440" w:gutter="0" w:footer="0" w:header="0"/>
        </w:sectPr>
      </w:pPr>
    </w:p>
    <w:bookmarkStart w:id="68" w:name="page69"/>
    <w:bookmarkEnd w:id="68"/>
    <w:p>
      <w:pPr>
        <w:ind w:right="60" w:firstLine="799"/>
        <w:spacing w:after="0" w:line="251" w:lineRule="auto"/>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2.04. Execution, Authentication and Delivery of Notes. </w:t>
      </w:r>
      <w:r>
        <w:rPr>
          <w:rFonts w:ascii="Arial" w:cs="Arial" w:eastAsia="Arial" w:hAnsi="Arial"/>
          <w:sz w:val="22"/>
          <w:szCs w:val="22"/>
          <w:color w:val="auto"/>
        </w:rPr>
        <w:t>The Notes shall be signed in the name and on behalf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by the manual or facsimile signature of any Officer.</w:t>
      </w:r>
    </w:p>
    <w:p>
      <w:pPr>
        <w:spacing w:after="0" w:line="173" w:lineRule="exact"/>
        <w:rPr>
          <w:sz w:val="20"/>
          <w:szCs w:val="20"/>
          <w:color w:val="auto"/>
        </w:rPr>
      </w:pPr>
    </w:p>
    <w:p>
      <w:pPr>
        <w:ind w:right="300" w:firstLine="799"/>
        <w:spacing w:after="0" w:line="287" w:lineRule="auto"/>
        <w:rPr>
          <w:sz w:val="20"/>
          <w:szCs w:val="20"/>
          <w:color w:val="auto"/>
        </w:rPr>
      </w:pPr>
      <w:r>
        <w:rPr>
          <w:rFonts w:ascii="Arial" w:cs="Arial" w:eastAsia="Arial" w:hAnsi="Arial"/>
          <w:sz w:val="19"/>
          <w:szCs w:val="19"/>
          <w:color w:val="auto"/>
        </w:rPr>
        <w:t>At any time and from time to time after the date of the execution and delivery of this Indenture, the Company may, in accordance with the terms of this Indenture, deliver additional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spacing w:after="0" w:line="143" w:lineRule="exact"/>
        <w:rPr>
          <w:sz w:val="20"/>
          <w:szCs w:val="20"/>
          <w:color w:val="auto"/>
        </w:rPr>
      </w:pPr>
    </w:p>
    <w:p>
      <w:pPr>
        <w:ind w:right="20" w:firstLine="799"/>
        <w:spacing w:after="0" w:line="248" w:lineRule="auto"/>
        <w:rPr>
          <w:sz w:val="20"/>
          <w:szCs w:val="20"/>
          <w:color w:val="auto"/>
        </w:rPr>
      </w:pPr>
      <w:r>
        <w:rPr>
          <w:rFonts w:ascii="Arial" w:cs="Arial" w:eastAsia="Arial" w:hAnsi="Arial"/>
          <w:sz w:val="21"/>
          <w:szCs w:val="21"/>
          <w:color w:val="auto"/>
        </w:rPr>
        <w:t>Only such Notes as shall bear thereon a certificate of authentication substantially in the form set forth on the Form of Note attached as Exhibit A hereto, executed manually by a Responsible Officer of the Trustee (or an authorized officer of an authenticating agent appointed by the Trustee), shall be entitled to the benefits of this Indenture or be valid or obligatory for any purpose. Such certificate of authentication executed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22"/>
          <w:szCs w:val="22"/>
          <w:color w:val="auto"/>
        </w:rPr>
        <w:t>All Notes shall be dated that date of their authentication.</w:t>
      </w:r>
    </w:p>
    <w:p>
      <w:pPr>
        <w:spacing w:after="0" w:line="206" w:lineRule="exact"/>
        <w:rPr>
          <w:sz w:val="20"/>
          <w:szCs w:val="20"/>
          <w:color w:val="auto"/>
        </w:rPr>
      </w:pPr>
    </w:p>
    <w:p>
      <w:pPr>
        <w:ind w:firstLine="799"/>
        <w:spacing w:after="0" w:line="235" w:lineRule="auto"/>
        <w:rPr>
          <w:sz w:val="20"/>
          <w:szCs w:val="20"/>
          <w:color w:val="auto"/>
        </w:rPr>
      </w:pPr>
      <w:r>
        <w:rPr>
          <w:rFonts w:ascii="Arial" w:cs="Arial" w:eastAsia="Arial" w:hAnsi="Arial"/>
          <w:sz w:val="22"/>
          <w:szCs w:val="22"/>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 as, at the actual date of the execution of such Note, shall be an Officer of the Company, although at the date of the execution of this Indenture any such person was not such an Officer.</w:t>
      </w:r>
    </w:p>
    <w:p>
      <w:pPr>
        <w:spacing w:after="0" w:line="188" w:lineRule="exact"/>
        <w:rPr>
          <w:sz w:val="20"/>
          <w:szCs w:val="20"/>
          <w:color w:val="auto"/>
        </w:rPr>
      </w:pPr>
    </w:p>
    <w:p>
      <w:pPr>
        <w:jc w:val="both"/>
        <w:ind w:right="140" w:firstLine="799"/>
        <w:spacing w:after="0"/>
        <w:rPr>
          <w:sz w:val="20"/>
          <w:szCs w:val="20"/>
          <w:color w:val="auto"/>
        </w:rPr>
      </w:pPr>
      <w:r>
        <w:rPr>
          <w:rFonts w:ascii="Arial" w:cs="Arial" w:eastAsia="Arial" w:hAnsi="Arial"/>
          <w:sz w:val="22"/>
          <w:szCs w:val="22"/>
          <w:color w:val="auto"/>
        </w:rPr>
        <w:t>The Trustee shall have the right to decline to authenticate and deliver any Notes under this Indenture if the Trustee, being advised by counsel, determines that such action may not lawfully be taken or if the Trustee in good faith shall determine that such action would expose the Trustee to personal liability.</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Section 2.05. Exchange and Registration of Transfer of Notes; Restrictions on Transfer; Depositary; Automatic Exchange.</w:t>
      </w:r>
    </w:p>
    <w:p>
      <w:pPr>
        <w:spacing w:after="0" w:line="43" w:lineRule="exact"/>
        <w:rPr>
          <w:sz w:val="20"/>
          <w:szCs w:val="20"/>
          <w:color w:val="auto"/>
        </w:rPr>
      </w:pPr>
    </w:p>
    <w:p>
      <w:pPr>
        <w:ind w:right="440" w:firstLine="8"/>
        <w:spacing w:after="0" w:line="308" w:lineRule="auto"/>
        <w:tabs>
          <w:tab w:leader="none" w:pos="29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shall cause to be kept at the Corporate Trust Office a register (the register maintained in such office or in any other office or agency of the Company being herein sometimes collectively referred to as the “</w:t>
      </w:r>
      <w:r>
        <w:rPr>
          <w:rFonts w:ascii="Arial" w:cs="Arial" w:eastAsia="Arial" w:hAnsi="Arial"/>
          <w:sz w:val="19"/>
          <w:szCs w:val="19"/>
          <w:b w:val="1"/>
          <w:bCs w:val="1"/>
          <w:color w:val="auto"/>
        </w:rPr>
        <w:t>Note Register</w:t>
      </w:r>
      <w:r>
        <w:rPr>
          <w:rFonts w:ascii="Arial" w:cs="Arial" w:eastAsia="Arial" w:hAnsi="Arial"/>
          <w:sz w:val="19"/>
          <w:szCs w:val="19"/>
          <w:color w:val="auto"/>
        </w:rPr>
        <w:t>”) in which,</w:t>
      </w:r>
    </w:p>
    <w:p>
      <w:pPr>
        <w:sectPr>
          <w:pgSz w:w="11900" w:h="16838" w:orient="portrait"/>
          <w:cols w:equalWidth="0" w:num="1">
            <w:col w:w="11420"/>
          </w:cols>
          <w:pgMar w:left="240" w:top="267" w:right="239" w:bottom="1440" w:gutter="0" w:footer="0" w:header="0"/>
        </w:sectPr>
      </w:pPr>
    </w:p>
    <w:bookmarkStart w:id="69" w:name="page70"/>
    <w:bookmarkEnd w:id="69"/>
    <w:p>
      <w:pPr>
        <w:ind w:right="120"/>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such reasonable regulations as it may prescribe, the Company shall provide for the registration of Notes and of transfers of Notes. The Note Register shall be in written form or in any form capable of being converted into written form within a reasonable period of time. The Trustee is hereby appointed “</w:t>
      </w:r>
      <w:r>
        <w:rPr>
          <w:rFonts w:ascii="Arial" w:cs="Arial" w:eastAsia="Arial" w:hAnsi="Arial"/>
          <w:sz w:val="22"/>
          <w:szCs w:val="22"/>
          <w:b w:val="1"/>
          <w:bCs w:val="1"/>
          <w:color w:val="auto"/>
        </w:rPr>
        <w:t>Note Registrar</w:t>
      </w:r>
      <w:r>
        <w:rPr>
          <w:rFonts w:ascii="Arial" w:cs="Arial" w:eastAsia="Arial" w:hAnsi="Arial"/>
          <w:sz w:val="22"/>
          <w:szCs w:val="22"/>
          <w:color w:val="auto"/>
        </w:rPr>
        <w:t>” for the purpose of registering Notes and transfers of Notes as herein provided. The Company may appoint a new Note Registrar without prior notice to Holders. The Company may appoint one or more co-registrars.</w:t>
      </w:r>
    </w:p>
    <w:p>
      <w:pPr>
        <w:spacing w:after="0" w:line="188" w:lineRule="exact"/>
        <w:rPr>
          <w:sz w:val="20"/>
          <w:szCs w:val="20"/>
          <w:color w:val="auto"/>
        </w:rPr>
      </w:pPr>
    </w:p>
    <w:p>
      <w:pPr>
        <w:ind w:right="240" w:firstLine="799"/>
        <w:spacing w:after="0" w:line="287" w:lineRule="auto"/>
        <w:rPr>
          <w:sz w:val="20"/>
          <w:szCs w:val="20"/>
          <w:color w:val="auto"/>
        </w:rPr>
      </w:pPr>
      <w:r>
        <w:rPr>
          <w:rFonts w:ascii="Arial" w:cs="Arial" w:eastAsia="Arial" w:hAnsi="Arial"/>
          <w:sz w:val="19"/>
          <w:szCs w:val="19"/>
          <w:color w:val="auto"/>
        </w:rPr>
        <w:t>Upon surrender for registration of transfer of any Note to the Note Registrar or any co-registrar,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43" w:lineRule="exact"/>
        <w:rPr>
          <w:sz w:val="20"/>
          <w:szCs w:val="20"/>
          <w:color w:val="auto"/>
        </w:rPr>
      </w:pPr>
    </w:p>
    <w:p>
      <w:pPr>
        <w:ind w:right="60" w:firstLine="799"/>
        <w:spacing w:after="0" w:line="236" w:lineRule="auto"/>
        <w:rPr>
          <w:sz w:val="20"/>
          <w:szCs w:val="20"/>
          <w:color w:val="auto"/>
        </w:rPr>
      </w:pPr>
      <w:r>
        <w:rPr>
          <w:rFonts w:ascii="Arial" w:cs="Arial" w:eastAsia="Arial" w:hAnsi="Arial"/>
          <w:sz w:val="22"/>
          <w:szCs w:val="22"/>
          <w:color w:val="auto"/>
        </w:rPr>
        <w:t>Notes may be exchanged for other Notes of any authorized denominations and of a like aggregate principal amount, upon surrender of the Notes to be exchanged at any such office or agency maintained by the Company pursuant to Section 4.05.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8" w:lineRule="exact"/>
        <w:rPr>
          <w:sz w:val="20"/>
          <w:szCs w:val="20"/>
          <w:color w:val="auto"/>
        </w:rPr>
      </w:pPr>
    </w:p>
    <w:p>
      <w:pPr>
        <w:ind w:firstLine="799"/>
        <w:spacing w:after="0" w:line="238" w:lineRule="auto"/>
        <w:rPr>
          <w:sz w:val="20"/>
          <w:szCs w:val="20"/>
          <w:color w:val="auto"/>
        </w:rPr>
      </w:pPr>
      <w:r>
        <w:rPr>
          <w:rFonts w:ascii="Arial" w:cs="Arial" w:eastAsia="Arial" w:hAnsi="Arial"/>
          <w:sz w:val="22"/>
          <w:szCs w:val="22"/>
          <w:color w:val="auto"/>
        </w:rPr>
        <w:t>All Notes presented or surrendered for registration of transfer or for exchange, purchase or conversion shall (if so required by the Company, the Trustee, the Note Registrar or any co-registrar) be duly endorsed, or be accompanied by a written instrument or instruments of transfer in form satisfactory to the Company and duly executed, by the Holder thereof or its attorney-in-fact duly authorized in writing.</w:t>
      </w:r>
    </w:p>
    <w:p>
      <w:pPr>
        <w:spacing w:after="0" w:line="185" w:lineRule="exact"/>
        <w:rPr>
          <w:sz w:val="20"/>
          <w:szCs w:val="20"/>
          <w:color w:val="auto"/>
        </w:rPr>
      </w:pPr>
    </w:p>
    <w:p>
      <w:pPr>
        <w:ind w:right="20" w:firstLine="799"/>
        <w:spacing w:after="0" w:line="282" w:lineRule="auto"/>
        <w:rPr>
          <w:sz w:val="20"/>
          <w:szCs w:val="20"/>
          <w:color w:val="auto"/>
        </w:rPr>
      </w:pPr>
      <w:r>
        <w:rPr>
          <w:rFonts w:ascii="Arial" w:cs="Arial" w:eastAsia="Arial" w:hAnsi="Arial"/>
          <w:sz w:val="19"/>
          <w:szCs w:val="19"/>
          <w:color w:val="auto"/>
        </w:rPr>
        <w:t>No service charge shall be charged by the Company, the Trustee or the Notes Registrar to the Holder for any exchange or registration of transfer of Notes, but the Holder may be required by the Company, the Trustee, the Notes Registrar or otherwise to pay a sum sufficient to cover any tax, assessments or other governmental charges that may be imposed in connection therewith as a result of the name of the Holder of the new Notes issued upon such exchange or registration of transfer of Notes being different from the name of the Holder of the old Notes presented or surrendered for such exchange or registration of transfer.</w:t>
      </w:r>
    </w:p>
    <w:p>
      <w:pPr>
        <w:spacing w:after="0" w:line="148" w:lineRule="exact"/>
        <w:rPr>
          <w:sz w:val="20"/>
          <w:szCs w:val="20"/>
          <w:color w:val="auto"/>
        </w:rPr>
      </w:pPr>
    </w:p>
    <w:p>
      <w:pPr>
        <w:ind w:right="360" w:firstLine="799"/>
        <w:spacing w:after="0"/>
        <w:rPr>
          <w:sz w:val="20"/>
          <w:szCs w:val="20"/>
          <w:color w:val="auto"/>
        </w:rPr>
      </w:pPr>
      <w:r>
        <w:rPr>
          <w:rFonts w:ascii="Arial" w:cs="Arial" w:eastAsia="Arial" w:hAnsi="Arial"/>
          <w:sz w:val="22"/>
          <w:szCs w:val="22"/>
          <w:color w:val="auto"/>
        </w:rPr>
        <w:t>None of the Company, the Trustee, the Note Registrar or any co-registrar shall be required to exchange or register a transfer of any Notes surrendered for conversion, redemption or repurchase except for any portion of that Note that is not being repurchased, redeemed or converted, as the case may be.</w:t>
      </w:r>
    </w:p>
    <w:p>
      <w:pPr>
        <w:sectPr>
          <w:pgSz w:w="11900" w:h="16838" w:orient="portrait"/>
          <w:cols w:equalWidth="0" w:num="1">
            <w:col w:w="11380"/>
          </w:cols>
          <w:pgMar w:left="240" w:top="267" w:right="279" w:bottom="1440" w:gutter="0" w:footer="0" w:header="0"/>
        </w:sectPr>
      </w:pPr>
    </w:p>
    <w:bookmarkStart w:id="70" w:name="page71"/>
    <w:bookmarkEnd w:id="70"/>
    <w:p>
      <w:pPr>
        <w:ind w:right="140" w:firstLine="799"/>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 For greater certainty, all Notes issued upon any registration of transfer or exchange of Notes will be issued as evidence of the same continuing indebtedness of the Company under this Indenture and in no circumstances is the Company obligated under the Indenture to repay the principal amount of the exchanged Notes by virtue of the registration of a transfer or exchange.</w:t>
      </w:r>
    </w:p>
    <w:p>
      <w:pPr>
        <w:spacing w:after="0" w:line="177" w:lineRule="exact"/>
        <w:rPr>
          <w:sz w:val="20"/>
          <w:szCs w:val="20"/>
          <w:color w:val="auto"/>
        </w:rPr>
      </w:pPr>
    </w:p>
    <w:p>
      <w:pPr>
        <w:ind w:right="20" w:firstLine="807"/>
        <w:spacing w:after="0" w:line="272" w:lineRule="auto"/>
        <w:tabs>
          <w:tab w:leader="none" w:pos="1483" w:val="left"/>
        </w:tabs>
        <w:numPr>
          <w:ilvl w:val="0"/>
          <w:numId w:val="26"/>
        </w:numPr>
        <w:rPr>
          <w:rFonts w:ascii="Arial" w:cs="Arial" w:eastAsia="Arial" w:hAnsi="Arial"/>
          <w:sz w:val="19"/>
          <w:szCs w:val="19"/>
          <w:color w:val="auto"/>
        </w:rPr>
      </w:pPr>
      <w:r>
        <w:rPr>
          <w:rFonts w:ascii="Arial" w:cs="Arial" w:eastAsia="Arial" w:hAnsi="Arial"/>
          <w:sz w:val="19"/>
          <w:szCs w:val="19"/>
          <w:color w:val="auto"/>
        </w:rPr>
        <w:t>So long as the Notes are eligible for book-entry settlement with the Depositary, unless otherwise required by law or except as provided in Section 2.05(c), all Notes shall be represented by one or more Notes in global form (each, a “</w:t>
      </w:r>
      <w:r>
        <w:rPr>
          <w:rFonts w:ascii="Arial" w:cs="Arial" w:eastAsia="Arial" w:hAnsi="Arial"/>
          <w:sz w:val="19"/>
          <w:szCs w:val="19"/>
          <w:b w:val="1"/>
          <w:bCs w:val="1"/>
          <w:color w:val="auto"/>
        </w:rPr>
        <w:t>Global</w:t>
      </w:r>
      <w:r>
        <w:rPr>
          <w:rFonts w:ascii="Arial" w:cs="Arial" w:eastAsia="Arial" w:hAnsi="Arial"/>
          <w:sz w:val="19"/>
          <w:szCs w:val="19"/>
          <w:color w:val="auto"/>
        </w:rPr>
        <w:t xml:space="preserve"> </w:t>
      </w:r>
      <w:r>
        <w:rPr>
          <w:rFonts w:ascii="Arial" w:cs="Arial" w:eastAsia="Arial" w:hAnsi="Arial"/>
          <w:sz w:val="19"/>
          <w:szCs w:val="19"/>
          <w:b w:val="1"/>
          <w:bCs w:val="1"/>
          <w:color w:val="auto"/>
        </w:rPr>
        <w:t>Note</w:t>
      </w:r>
      <w:r>
        <w:rPr>
          <w:rFonts w:ascii="Arial" w:cs="Arial" w:eastAsia="Arial" w:hAnsi="Arial"/>
          <w:sz w:val="19"/>
          <w:szCs w:val="19"/>
          <w:color w:val="auto"/>
        </w:rPr>
        <w:t>”) registered in the name of the Depositary or the nominee of the Depositary. The transfer and exchange of beneficial interests</w:t>
      </w:r>
      <w:r>
        <w:rPr>
          <w:rFonts w:ascii="Arial" w:cs="Arial" w:eastAsia="Arial" w:hAnsi="Arial"/>
          <w:sz w:val="19"/>
          <w:szCs w:val="19"/>
          <w:b w:val="1"/>
          <w:bCs w:val="1"/>
          <w:color w:val="auto"/>
        </w:rPr>
        <w:t xml:space="preserve"> </w:t>
      </w:r>
      <w:r>
        <w:rPr>
          <w:rFonts w:ascii="Arial" w:cs="Arial" w:eastAsia="Arial" w:hAnsi="Arial"/>
          <w:sz w:val="19"/>
          <w:szCs w:val="19"/>
          <w:color w:val="auto"/>
        </w:rPr>
        <w:t>in a Global Note that does not involve the issuance of a Note in certificated form shall be effected through the Depositary (but not the Trustee or the Custodian) in accordance with this Indenture (including the restrictions on transfer set forth herein) and the procedures of the Depositary therefor. Members of, or participants in, the Depositary (“</w:t>
      </w:r>
      <w:r>
        <w:rPr>
          <w:rFonts w:ascii="Arial" w:cs="Arial" w:eastAsia="Arial" w:hAnsi="Arial"/>
          <w:sz w:val="19"/>
          <w:szCs w:val="19"/>
          <w:b w:val="1"/>
          <w:bCs w:val="1"/>
          <w:color w:val="auto"/>
        </w:rPr>
        <w:t>Agent Members</w:t>
      </w:r>
      <w:r>
        <w:rPr>
          <w:rFonts w:ascii="Arial" w:cs="Arial" w:eastAsia="Arial" w:hAnsi="Arial"/>
          <w:sz w:val="19"/>
          <w:szCs w:val="19"/>
          <w:color w:val="auto"/>
        </w:rPr>
        <w:t>”) shall have no rights under this Indenture with respect to any Global Note held on their behalf by the Depositary, or the Trustee as its custodian, or under the Global Note, and the Depositary may be treated by the Company, the Trustee and any agent of the Company or the Trustee as the absolute owner of the 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governing the exercise of the rights of any Holder.</w:t>
      </w:r>
    </w:p>
    <w:p>
      <w:pPr>
        <w:spacing w:after="0" w:line="161" w:lineRule="exact"/>
        <w:rPr>
          <w:rFonts w:ascii="Arial" w:cs="Arial" w:eastAsia="Arial" w:hAnsi="Arial"/>
          <w:sz w:val="19"/>
          <w:szCs w:val="19"/>
          <w:color w:val="auto"/>
        </w:rPr>
      </w:pPr>
    </w:p>
    <w:p>
      <w:pPr>
        <w:ind w:right="20" w:firstLine="807"/>
        <w:spacing w:after="0" w:line="248" w:lineRule="auto"/>
        <w:tabs>
          <w:tab w:leader="none" w:pos="1471" w:val="left"/>
        </w:tabs>
        <w:numPr>
          <w:ilvl w:val="0"/>
          <w:numId w:val="26"/>
        </w:numPr>
        <w:rPr>
          <w:rFonts w:ascii="Arial" w:cs="Arial" w:eastAsia="Arial" w:hAnsi="Arial"/>
          <w:sz w:val="21"/>
          <w:szCs w:val="21"/>
          <w:color w:val="auto"/>
        </w:rPr>
      </w:pPr>
      <w:r>
        <w:rPr>
          <w:rFonts w:ascii="Arial" w:cs="Arial" w:eastAsia="Arial" w:hAnsi="Arial"/>
          <w:sz w:val="21"/>
          <w:szCs w:val="21"/>
          <w:color w:val="auto"/>
        </w:rPr>
        <w:t>Every Additional Note that bears or is required under this Section 2.05(c) to bear the legend set forth in this Section 2.05(c) (together with any Common Stock issued upon conversion of the Additional Notes and required to bear a similar legend, the “</w:t>
      </w:r>
      <w:r>
        <w:rPr>
          <w:rFonts w:ascii="Arial" w:cs="Arial" w:eastAsia="Arial" w:hAnsi="Arial"/>
          <w:sz w:val="21"/>
          <w:szCs w:val="21"/>
          <w:b w:val="1"/>
          <w:bCs w:val="1"/>
          <w:color w:val="auto"/>
        </w:rPr>
        <w:t>Restricted Securities</w:t>
      </w:r>
      <w:r>
        <w:rPr>
          <w:rFonts w:ascii="Arial" w:cs="Arial" w:eastAsia="Arial" w:hAnsi="Arial"/>
          <w:sz w:val="21"/>
          <w:szCs w:val="21"/>
          <w:color w:val="auto"/>
        </w:rPr>
        <w:t>”) shall be subject to the restrictions on transfer set forth in this Section 2.05(c) (including the legend set forth below), and the holder of each such Restricted Security, by such holder’s acceptance thereof, agrees to be bound by all such restrictions on transfer. As used in this Section 2.05(c), the term “</w:t>
      </w:r>
      <w:r>
        <w:rPr>
          <w:rFonts w:ascii="Arial" w:cs="Arial" w:eastAsia="Arial" w:hAnsi="Arial"/>
          <w:sz w:val="21"/>
          <w:szCs w:val="21"/>
          <w:b w:val="1"/>
          <w:bCs w:val="1"/>
          <w:color w:val="auto"/>
        </w:rPr>
        <w:t>transfer</w:t>
      </w:r>
      <w:r>
        <w:rPr>
          <w:rFonts w:ascii="Arial" w:cs="Arial" w:eastAsia="Arial" w:hAnsi="Arial"/>
          <w:sz w:val="21"/>
          <w:szCs w:val="21"/>
          <w:color w:val="auto"/>
        </w:rPr>
        <w:t>” encompasses any sale, pledge, transfer or other disposition whatsoever of any Restricted Security.</w:t>
      </w:r>
    </w:p>
    <w:p>
      <w:pPr>
        <w:spacing w:after="0" w:line="171" w:lineRule="exact"/>
        <w:rPr>
          <w:sz w:val="20"/>
          <w:szCs w:val="20"/>
          <w:color w:val="auto"/>
        </w:rPr>
      </w:pPr>
    </w:p>
    <w:p>
      <w:pPr>
        <w:ind w:firstLine="799"/>
        <w:spacing w:after="0" w:line="280" w:lineRule="auto"/>
        <w:rPr>
          <w:sz w:val="20"/>
          <w:szCs w:val="20"/>
          <w:color w:val="auto"/>
        </w:rPr>
      </w:pPr>
      <w:r>
        <w:rPr>
          <w:rFonts w:ascii="Arial" w:cs="Arial" w:eastAsia="Arial" w:hAnsi="Arial"/>
          <w:sz w:val="19"/>
          <w:szCs w:val="19"/>
          <w:color w:val="auto"/>
        </w:rPr>
        <w:t>Until the date (the “</w:t>
      </w:r>
      <w:r>
        <w:rPr>
          <w:rFonts w:ascii="Arial" w:cs="Arial" w:eastAsia="Arial" w:hAnsi="Arial"/>
          <w:sz w:val="19"/>
          <w:szCs w:val="19"/>
          <w:b w:val="1"/>
          <w:bCs w:val="1"/>
          <w:color w:val="auto"/>
        </w:rPr>
        <w:t>Resale Restriction Termination Date</w:t>
      </w:r>
      <w:r>
        <w:rPr>
          <w:rFonts w:ascii="Arial" w:cs="Arial" w:eastAsia="Arial" w:hAnsi="Arial"/>
          <w:sz w:val="19"/>
          <w:szCs w:val="19"/>
          <w:color w:val="auto"/>
        </w:rPr>
        <w:t>”) that is the later of (i) the date that is one year after the date of issuance of any Restricted Note, or such shorter period of time as permitted by Rule 144 or any successor provision thereto, and</w:t>
      </w:r>
    </w:p>
    <w:p>
      <w:pPr>
        <w:ind w:right="60" w:firstLine="8"/>
        <w:spacing w:after="0" w:line="237" w:lineRule="auto"/>
        <w:tabs>
          <w:tab w:leader="none" w:pos="318" w:val="left"/>
        </w:tabs>
        <w:numPr>
          <w:ilvl w:val="0"/>
          <w:numId w:val="27"/>
        </w:numPr>
        <w:rPr>
          <w:rFonts w:ascii="Arial" w:cs="Arial" w:eastAsia="Arial" w:hAnsi="Arial"/>
          <w:sz w:val="22"/>
          <w:szCs w:val="22"/>
          <w:color w:val="auto"/>
        </w:rPr>
      </w:pPr>
      <w:r>
        <w:rPr>
          <w:rFonts w:ascii="Arial" w:cs="Arial" w:eastAsia="Arial" w:hAnsi="Arial"/>
          <w:sz w:val="22"/>
          <w:szCs w:val="22"/>
          <w:color w:val="auto"/>
        </w:rPr>
        <w:t>such later date, if any, as may be required by applicable laws, any certificate evidencing such Restricted Note (and all securities issued in</w:t>
      </w:r>
    </w:p>
    <w:p>
      <w:pPr>
        <w:sectPr>
          <w:pgSz w:w="11900" w:h="16838" w:orient="portrait"/>
          <w:cols w:equalWidth="0" w:num="1">
            <w:col w:w="11400"/>
          </w:cols>
          <w:pgMar w:left="240" w:top="267" w:right="259" w:bottom="1440" w:gutter="0" w:footer="0" w:header="0"/>
        </w:sectPr>
      </w:pPr>
    </w:p>
    <w:bookmarkStart w:id="71" w:name="page72"/>
    <w:bookmarkEnd w:id="71"/>
    <w:p>
      <w:pPr>
        <w:ind w:right="100"/>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therefor or substitution thereof, and all shares of Common Stock, if any, issued upon conversion thereof, if applicable) shall bear a legend in substantially the following form (unless such Restricted Notes or shares of Common Stock, if any, have been transferred pursuant to a registration statement that has become or been declared effective under the Securities Act and that continues to be effective at the time of such transfer, pursuant to the exemption from registration provided by Rule 144 or any similar provision then in force under the Securities Act, or unless otherwise agreed by the Company in writing, with written notice thereof to the Trustee):</w:t>
      </w:r>
    </w:p>
    <w:p>
      <w:pPr>
        <w:spacing w:after="0" w:line="188"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THE SALE OF THIS NOTE HAS NOT BEEN REGISTERED UNDER THE U.S. SECURITIES ACT OF 1933, AS AMENDED (THE “SECURITIES ACT”), AND ACCORDINGLY, THIS NOTE MAY NOT BE OFFERED, SOLD, PLEDGED OR OTHERWISE TRANSFERRED EXCEPT AS SET FORTH IN THE FOLLOWING SENTENCE. BY ITS ACQUISITION HEREOF, OR OF A BENEFICIAL OWNERSHIP HEREIN, THE ACQUIRER: (I) REPRESENTS THAT IT, AND ANY ACCOUNT FOR WHICH IT IS ACTING, IS A “QUALIFIED INSTITUTIONAL BUYER” (WITHIN THE MEANING OF RULE 144A UNDER THE SECURITIES ACT) AND THAT IT EXERCISES SOLE INVESTMENT DISCRETION WITH RESPECT TO EACH SUCH ACCOUNT, AND (II) AGREES (1) THAT IT WILL NOT WITHIN THE LATER OF (X) ONE YEAR AFTER THE DATE OF ISSUANCE OF THIS NOTE AND (Y) 90 DAYS AFTER IT CEASES TO BE AN AFFILIATE (WITHIN THE MEANING OF RULE 144 UNDER THE SECURITIES ACT) OF MANNKIND CORPORATION (THE “COMPANY”), OFFER, RESELL, PLEDGE OR OTHERWISE TRANSFER THE NOTES EVIDENCED HEREBY, THE COMMON STOCK ISSUABLE UPON CONVERSION OF SUCH NOTES OR ANY BENEFICIAL OWNERSHIP HEREIN, EXCEPT: (A) TO THE COMPANY OR ANY SUBSIDIARY THEREOF; (B) UNDER A REGISTRATION STATEMENT THAT HAS BECOME EFFECTIVE UNDER THE SECURITIES ACT; (C)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INCLUDING RULE 144, IF AVAILABLE; AND (2) THAT IT WILL, PRIOR TO ANY TRANSFER OF THIS NOTE WITHIN THE LATER OF (X) SIX MONTHS (OR, IF THE COMPANY HAS NOT SATISFIED THE CURRENT PUBLIC INFORMATION REQUIREMENTS OF RULE 144, ONE YEAR) AFTER THE DATE OF ISSUANCE OF THIS NOTE AND (Y) 90 DAYS AFTER IT CEASES TO BE AN AFFILIATE (WITHIN THE MEANING OF RULE 144) OF THE</w:t>
      </w:r>
    </w:p>
    <w:p>
      <w:pPr>
        <w:sectPr>
          <w:pgSz w:w="11900" w:h="16838" w:orient="portrait"/>
          <w:cols w:equalWidth="0" w:num="1">
            <w:col w:w="11420"/>
          </w:cols>
          <w:pgMar w:left="240" w:top="267" w:right="239" w:bottom="1440" w:gutter="0" w:footer="0" w:header="0"/>
        </w:sectPr>
      </w:pPr>
    </w:p>
    <w:bookmarkStart w:id="72" w:name="page73"/>
    <w:bookmarkEnd w:id="72"/>
    <w:p>
      <w:pPr>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FURNISH TO THE TRUSTEE AND THE COMPANY SUCH CERTIFICATIONS, LEGAL OPINIONS OR OTHER INFORMATION AS THEY MAY REQUIRE AND MAY RELY UPON TO CONFIRM THAT SUCH TRANSFER IS BEING MADE PURSUANT TO AN EXEMPTION FROM, OR IN A TRANSACTION NOT SUBJECT TO, THE REGISTRATION REQUIREMENTS OF THE SECURITIES ACT AND APPLICABLE STATE SECURITIES LAWS. IN ANY EVENT, NO AFFILIATE OF THE COMPANY MAY RESELL THIS NOTE OTHER THAN UNDER A REGISTRATION STATEMENT THAT HAS BECOME EFFECTIVE UNDER THE SECURITIES ACT OR PURSUANT TO AN EXEMPTION FROM THE REGISTRATION REQUIREMENTS OF THE SECURITIES ACT IN A TRANSACTION THAT RESULTS IN SUCH NOTE NO LONGER BEING “RESTRICTED SECURITIES” (AS DEFINED UNDER RULE 144). NO REPRESENTATION IS MADE AS TO THE AVAILABILITY OF ANY EXEMPTION FROM THE REGISTRATION REQUIREMENTS OF THE SECURITIES ACT. EACH PURCHASER AND TRANSFEREE OF A NOTE AND THE COMMON STOCK ISSUABLE UPON CONVERSION OF A NOTE WILL BE DEEMED TO HAVE REPRESENTED BY ITS PURCHASE AND HOLDING OF THE NOTE AND THE COMMON STOCK ISSUABLE UPON CONVERSION OF THE NOTE THAT (A) ITS PURCHASE AND HOLDING OF THE NOTE AND THE COMMON STOCK ISSUABLE UPON CONVERSION OF THE NOTE IS NOT MADE ON BEHALF OF OR WITH “PLAN ASSETS” OF ANY PLAN SUBJECT TO TITLE I OF ERISA, SECTION 4975 OF THE CODE OR ANY SIMILAR LAW OR (B) ITS PURCHASE AND HOLDING OF THE NOTE AND THE COMMON STOCK ISSUABLE UPON CONVERSION OF THE NOTE WILL NOT RESULT IN A NON-EXEMPT PROHIBITED TRANSACTION UNDER SECTION 406 OF ERISA, SECTION 4975 OF THE CODE OR ANY SIMILAR LAW.</w:t>
      </w:r>
    </w:p>
    <w:p>
      <w:pPr>
        <w:spacing w:after="0" w:line="200" w:lineRule="exact"/>
        <w:rPr>
          <w:sz w:val="20"/>
          <w:szCs w:val="20"/>
          <w:color w:val="auto"/>
        </w:rPr>
      </w:pPr>
    </w:p>
    <w:p>
      <w:pPr>
        <w:spacing w:after="0" w:line="216" w:lineRule="exact"/>
        <w:rPr>
          <w:sz w:val="20"/>
          <w:szCs w:val="20"/>
          <w:color w:val="auto"/>
        </w:rPr>
      </w:pPr>
    </w:p>
    <w:p>
      <w:pPr>
        <w:ind w:right="360" w:firstLine="799"/>
        <w:spacing w:after="0" w:line="251" w:lineRule="auto"/>
        <w:rPr>
          <w:sz w:val="20"/>
          <w:szCs w:val="20"/>
          <w:color w:val="auto"/>
        </w:rPr>
      </w:pPr>
      <w:r>
        <w:rPr>
          <w:rFonts w:ascii="Arial" w:cs="Arial" w:eastAsia="Arial" w:hAnsi="Arial"/>
          <w:sz w:val="22"/>
          <w:szCs w:val="22"/>
          <w:color w:val="auto"/>
        </w:rPr>
        <w:t>Any Common Stock issued upon conversion of the Notes prior to the Resale Restriction Termination Date shall bear a similar legend.</w:t>
      </w:r>
    </w:p>
    <w:p>
      <w:pPr>
        <w:spacing w:after="0" w:line="173" w:lineRule="exact"/>
        <w:rPr>
          <w:sz w:val="20"/>
          <w:szCs w:val="20"/>
          <w:color w:val="auto"/>
        </w:rPr>
      </w:pPr>
    </w:p>
    <w:p>
      <w:pPr>
        <w:ind w:right="260" w:firstLine="799"/>
        <w:spacing w:after="0" w:line="251" w:lineRule="auto"/>
        <w:rPr>
          <w:sz w:val="20"/>
          <w:szCs w:val="20"/>
          <w:color w:val="auto"/>
        </w:rPr>
      </w:pPr>
      <w:r>
        <w:rPr>
          <w:rFonts w:ascii="Arial" w:cs="Arial" w:eastAsia="Arial" w:hAnsi="Arial"/>
          <w:sz w:val="22"/>
          <w:szCs w:val="22"/>
          <w:color w:val="auto"/>
        </w:rPr>
        <w:t>No transfer of any Note prior to the Resale Restriction Termination Date will be registered by the Note Registrar unless the applicable box on the Form of Assignment and Transfer has been checked.</w:t>
      </w:r>
    </w:p>
    <w:p>
      <w:pPr>
        <w:spacing w:after="0" w:line="173" w:lineRule="exact"/>
        <w:rPr>
          <w:sz w:val="20"/>
          <w:szCs w:val="20"/>
          <w:color w:val="auto"/>
        </w:rPr>
      </w:pPr>
    </w:p>
    <w:p>
      <w:pPr>
        <w:ind w:right="220" w:firstLine="799"/>
        <w:spacing w:after="0" w:line="279" w:lineRule="auto"/>
        <w:rPr>
          <w:sz w:val="20"/>
          <w:szCs w:val="20"/>
          <w:color w:val="auto"/>
        </w:rPr>
      </w:pPr>
      <w:r>
        <w:rPr>
          <w:rFonts w:ascii="Arial" w:cs="Arial" w:eastAsia="Arial" w:hAnsi="Arial"/>
          <w:sz w:val="19"/>
          <w:szCs w:val="19"/>
          <w:color w:val="auto"/>
        </w:rPr>
        <w:t>Notwithstanding anything to the contrary contained in this Indenture or any Restricted Note, such Restricted Note (or security issued in exchange or substitution therefor) (i) as to which such restrictions on transfer shall have expired in accordance with their terms, (ii)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Restricted Note for exchange to the Note Registrar in</w:t>
      </w:r>
    </w:p>
    <w:p>
      <w:pPr>
        <w:sectPr>
          <w:pgSz w:w="11900" w:h="16838" w:orient="portrait"/>
          <w:cols w:equalWidth="0" w:num="1">
            <w:col w:w="11400"/>
          </w:cols>
          <w:pgMar w:left="240" w:top="267" w:right="259" w:bottom="1440" w:gutter="0" w:footer="0" w:header="0"/>
        </w:sectPr>
      </w:pPr>
    </w:p>
    <w:bookmarkStart w:id="73" w:name="page74"/>
    <w:bookmarkEnd w:id="73"/>
    <w:p>
      <w:pPr>
        <w:ind w:right="20"/>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the provisions of this Section 2.05, be exchanged for a new Note or Notes, of like tenor and aggregate principal amount, which shall not bear the restrictive legend required by this Section 2.05(c). The Company shall be entitled to instruct the Trustee in writing to so surrender any Global Note as to which any of the conditions set forth in clause (i) through (iii) of the immediately preceding sentence have been satisfied, and, upon such instruction, the Trustee shall so surrender such Global Note for exchange; and any new Global Note so exchanged therefor shall not bear the restrictive legend specified in this Section 2.05(c) and shall not be assigned a restricted CUSIP.</w:t>
      </w:r>
    </w:p>
    <w:p>
      <w:pPr>
        <w:spacing w:after="0" w:line="177" w:lineRule="exact"/>
        <w:rPr>
          <w:sz w:val="20"/>
          <w:szCs w:val="20"/>
          <w:color w:val="auto"/>
        </w:rPr>
      </w:pPr>
    </w:p>
    <w:p>
      <w:pPr>
        <w:ind w:right="140" w:firstLine="799"/>
        <w:spacing w:after="0" w:line="238" w:lineRule="auto"/>
        <w:rPr>
          <w:sz w:val="20"/>
          <w:szCs w:val="20"/>
          <w:color w:val="auto"/>
        </w:rPr>
      </w:pPr>
      <w:r>
        <w:rPr>
          <w:rFonts w:ascii="Arial" w:cs="Arial" w:eastAsia="Arial" w:hAnsi="Arial"/>
          <w:sz w:val="22"/>
          <w:szCs w:val="22"/>
          <w:color w:val="auto"/>
        </w:rPr>
        <w:t>Notwithstanding any other provisions of this Indenture (other than the provisions set forth in this Section 2.05(c)), a Global Note may not be transferred as a whole or in part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85" w:lineRule="exact"/>
        <w:rPr>
          <w:sz w:val="20"/>
          <w:szCs w:val="20"/>
          <w:color w:val="auto"/>
        </w:rPr>
      </w:pPr>
    </w:p>
    <w:p>
      <w:pPr>
        <w:ind w:right="20" w:firstLine="799"/>
        <w:spacing w:after="0" w:line="238" w:lineRule="auto"/>
        <w:rPr>
          <w:sz w:val="20"/>
          <w:szCs w:val="20"/>
          <w:color w:val="auto"/>
        </w:rPr>
      </w:pPr>
      <w:r>
        <w:rPr>
          <w:rFonts w:ascii="Arial" w:cs="Arial" w:eastAsia="Arial" w:hAnsi="Arial"/>
          <w:sz w:val="22"/>
          <w:szCs w:val="22"/>
          <w:color w:val="auto"/>
        </w:rPr>
        <w:t>The Depositary shall be a clearing agency registered under the Exchange Act. The Company initially appoints The Depository Trust Company (“</w:t>
      </w:r>
      <w:r>
        <w:rPr>
          <w:rFonts w:ascii="Arial" w:cs="Arial" w:eastAsia="Arial" w:hAnsi="Arial"/>
          <w:sz w:val="22"/>
          <w:szCs w:val="22"/>
          <w:b w:val="1"/>
          <w:bCs w:val="1"/>
          <w:color w:val="auto"/>
        </w:rPr>
        <w:t>DTC</w:t>
      </w:r>
      <w:r>
        <w:rPr>
          <w:rFonts w:ascii="Arial" w:cs="Arial" w:eastAsia="Arial" w:hAnsi="Arial"/>
          <w:sz w:val="22"/>
          <w:szCs w:val="22"/>
          <w:color w:val="auto"/>
        </w:rPr>
        <w:t>”) to act as Depositary with respect to the Global Note. Initially, the Global Notes shall be issued to the Depositary, registered in the name of Cede &amp; Co., as the nominee of the Depositary, and deposited with the Trustee as custodian for DTC.</w:t>
      </w:r>
    </w:p>
    <w:p>
      <w:pPr>
        <w:spacing w:after="0" w:line="185" w:lineRule="exact"/>
        <w:rPr>
          <w:sz w:val="20"/>
          <w:szCs w:val="20"/>
          <w:color w:val="auto"/>
        </w:rPr>
      </w:pPr>
    </w:p>
    <w:p>
      <w:pPr>
        <w:ind w:firstLine="799"/>
        <w:spacing w:after="0" w:line="275" w:lineRule="auto"/>
        <w:rPr>
          <w:sz w:val="20"/>
          <w:szCs w:val="20"/>
          <w:color w:val="auto"/>
        </w:rPr>
      </w:pPr>
      <w:r>
        <w:rPr>
          <w:rFonts w:ascii="Arial" w:cs="Arial" w:eastAsia="Arial" w:hAnsi="Arial"/>
          <w:sz w:val="19"/>
          <w:szCs w:val="19"/>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upon the request of the beneficial owner of the Notes, the Company will execute, and the Trustee, upon receipt of an Officer’s Certificate and a Company Order for the authentication and delivery of Notes, will authenticate and deliver Notes in definitive form to each such beneficial owner of the related Notes (or a portion thereof) in an aggregate principal amount equal to the principal amount of such Global Note, in exchange for such Global Note, and upon delivery of the Global Note to the Trustee such Global Note shall be canceled.</w:t>
      </w:r>
    </w:p>
    <w:p>
      <w:pPr>
        <w:spacing w:after="0" w:line="158" w:lineRule="exact"/>
        <w:rPr>
          <w:sz w:val="20"/>
          <w:szCs w:val="20"/>
          <w:color w:val="auto"/>
        </w:rPr>
      </w:pPr>
    </w:p>
    <w:p>
      <w:pPr>
        <w:ind w:right="40" w:firstLine="799"/>
        <w:spacing w:after="0" w:line="252" w:lineRule="auto"/>
        <w:rPr>
          <w:sz w:val="20"/>
          <w:szCs w:val="20"/>
          <w:color w:val="auto"/>
        </w:rPr>
      </w:pPr>
      <w:r>
        <w:rPr>
          <w:rFonts w:ascii="Arial" w:cs="Arial" w:eastAsia="Arial" w:hAnsi="Arial"/>
          <w:sz w:val="21"/>
          <w:szCs w:val="21"/>
          <w:color w:val="auto"/>
        </w:rPr>
        <w:t>Notes in certificated form issued in exchange for all or a part of the Global Note pursuant to this Section 2.05(c) shall be registered in such names and in such authorized denominations as the Depositary, pursuant to instructions from its direct or indirect participants or otherwise, shall instruct the Trustee. Upon execution and authentication, the Trustee shall deliver such Notes in certificated form to the Persons in whose names such Notes are so registered.</w:t>
      </w:r>
    </w:p>
    <w:p>
      <w:pPr>
        <w:sectPr>
          <w:pgSz w:w="11900" w:h="16838" w:orient="portrait"/>
          <w:cols w:equalWidth="0" w:num="1">
            <w:col w:w="11420"/>
          </w:cols>
          <w:pgMar w:left="240" w:top="267" w:right="239" w:bottom="1440" w:gutter="0" w:footer="0" w:header="0"/>
        </w:sectPr>
      </w:pPr>
    </w:p>
    <w:bookmarkStart w:id="74" w:name="page75"/>
    <w:bookmarkEnd w:id="74"/>
    <w:p>
      <w:pPr>
        <w:ind w:right="20" w:firstLine="799"/>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such time as all interests in a Global Note have been converted, canceled, redeemed, purchased or transferred, such Global Note shall be, upon receipt thereof, canceled by the Trustee in accordance with standing procedures and instructions existing between the Depositary and the Custodian. At any time prior to such cancellation, if any interest in a Global Note is exchanged for Notes in certificated form, converted, canceled, purchased or transferred to a transferee who receives Notes in certificated form therefor or any Note in certificated form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58" w:lineRule="exact"/>
        <w:rPr>
          <w:sz w:val="20"/>
          <w:szCs w:val="20"/>
          <w:color w:val="auto"/>
        </w:rPr>
      </w:pPr>
    </w:p>
    <w:p>
      <w:pPr>
        <w:ind w:firstLine="799"/>
        <w:spacing w:after="0"/>
        <w:rPr>
          <w:sz w:val="20"/>
          <w:szCs w:val="20"/>
          <w:color w:val="auto"/>
        </w:rPr>
      </w:pPr>
      <w:r>
        <w:rPr>
          <w:rFonts w:ascii="Arial" w:cs="Arial" w:eastAsia="Arial" w:hAnsi="Arial"/>
          <w:sz w:val="22"/>
          <w:szCs w:val="22"/>
          <w:color w:val="auto"/>
        </w:rPr>
        <w:t>None of the Company, the Trustee nor any agent of the Company or the Trustee will have any responsibility or liability for any aspect of the records relating to or payments made on account of beneficial ownership interests of a Global Note or maintaining, supervising or reviewing any records relating to such beneficial ownership interests.</w:t>
      </w:r>
    </w:p>
    <w:p>
      <w:pPr>
        <w:spacing w:after="0" w:line="186" w:lineRule="exact"/>
        <w:rPr>
          <w:sz w:val="20"/>
          <w:szCs w:val="20"/>
          <w:color w:val="auto"/>
        </w:rPr>
      </w:pPr>
    </w:p>
    <w:p>
      <w:pPr>
        <w:ind w:right="80" w:firstLine="799"/>
        <w:spacing w:after="0" w:line="282" w:lineRule="auto"/>
        <w:rPr>
          <w:sz w:val="20"/>
          <w:szCs w:val="20"/>
          <w:color w:val="auto"/>
        </w:rPr>
      </w:pPr>
      <w:r>
        <w:rPr>
          <w:rFonts w:ascii="Arial" w:cs="Arial" w:eastAsia="Arial" w:hAnsi="Arial"/>
          <w:sz w:val="19"/>
          <w:szCs w:val="19"/>
          <w:color w:val="auto"/>
        </w:rPr>
        <w:t>The Trustee shall have no obligation or duty to monitor, determine or inquire into compliance with any restriction on transfer imposed under the Indenture or applicable law with respect to any transfer of any Note (including any transfers between or among Depositaries or beneficial owners of interests in any Global Notes)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of the Indenture.</w:t>
      </w:r>
    </w:p>
    <w:p>
      <w:pPr>
        <w:spacing w:after="0" w:line="148" w:lineRule="exact"/>
        <w:rPr>
          <w:sz w:val="20"/>
          <w:szCs w:val="20"/>
          <w:color w:val="auto"/>
        </w:rPr>
      </w:pPr>
    </w:p>
    <w:p>
      <w:pPr>
        <w:ind w:right="360" w:firstLine="807"/>
        <w:spacing w:after="0" w:line="276" w:lineRule="auto"/>
        <w:tabs>
          <w:tab w:leader="none" w:pos="1479"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Company may cause the removal of the legends required by Sections 2.05(c) from any Global Note at any time on or after the Resale Restriction Date by: (i) instructing the Trustee to remove the such legends from such Global Note;</w:t>
      </w:r>
    </w:p>
    <w:p>
      <w:pPr>
        <w:spacing w:after="0" w:line="1" w:lineRule="exact"/>
        <w:rPr>
          <w:rFonts w:ascii="Arial" w:cs="Arial" w:eastAsia="Arial" w:hAnsi="Arial"/>
          <w:sz w:val="19"/>
          <w:szCs w:val="19"/>
          <w:color w:val="auto"/>
        </w:rPr>
      </w:pPr>
    </w:p>
    <w:p>
      <w:pPr>
        <w:ind w:right="180" w:firstLine="8"/>
        <w:spacing w:after="0" w:line="233" w:lineRule="auto"/>
        <w:tabs>
          <w:tab w:leader="none" w:pos="318" w:val="left"/>
        </w:tabs>
        <w:numPr>
          <w:ilvl w:val="0"/>
          <w:numId w:val="29"/>
        </w:numPr>
        <w:rPr>
          <w:rFonts w:ascii="Arial" w:cs="Arial" w:eastAsia="Arial" w:hAnsi="Arial"/>
          <w:sz w:val="22"/>
          <w:szCs w:val="22"/>
          <w:color w:val="auto"/>
        </w:rPr>
      </w:pPr>
      <w:r>
        <w:rPr>
          <w:rFonts w:ascii="Arial" w:cs="Arial" w:eastAsia="Arial" w:hAnsi="Arial"/>
          <w:sz w:val="22"/>
          <w:szCs w:val="22"/>
          <w:color w:val="auto"/>
        </w:rPr>
        <w:t>providing to the Trustee and the Depositary written notice to change the CUSIP number for the Notes to the applicable unrestricted CUSIP number; and (iv) complying with any Applicable Procedures for delegending or otherwise exchanging such Global Note for a Global Note not bearing the restrictive legend (including DTC’s mandatory exchange process, if applicable); whereupon any legends otherwise required by Section 2.05(c) shall be removed from any Global Notes without any further action on the part of the Holders.</w:t>
      </w:r>
    </w:p>
    <w:p>
      <w:pPr>
        <w:spacing w:after="0" w:line="186" w:lineRule="exact"/>
        <w:rPr>
          <w:sz w:val="20"/>
          <w:szCs w:val="20"/>
          <w:color w:val="auto"/>
        </w:rPr>
      </w:pPr>
    </w:p>
    <w:p>
      <w:pPr>
        <w:jc w:val="both"/>
        <w:ind w:right="80" w:firstLine="799"/>
        <w:spacing w:after="0"/>
        <w:rPr>
          <w:sz w:val="20"/>
          <w:szCs w:val="20"/>
          <w:color w:val="auto"/>
        </w:rPr>
      </w:pPr>
      <w:r>
        <w:rPr>
          <w:rFonts w:ascii="Arial" w:cs="Arial" w:eastAsia="Arial" w:hAnsi="Arial"/>
          <w:sz w:val="22"/>
          <w:szCs w:val="22"/>
          <w:i w:val="1"/>
          <w:iCs w:val="1"/>
          <w:color w:val="auto"/>
        </w:rPr>
        <w:t xml:space="preserve">Section 2.06. Mutilated, Destroyed, Lost or Stolen Notes. </w:t>
      </w:r>
      <w:r>
        <w:rPr>
          <w:rFonts w:ascii="Arial" w:cs="Arial" w:eastAsia="Arial" w:hAnsi="Arial"/>
          <w:sz w:val="22"/>
          <w:szCs w:val="22"/>
          <w:color w:val="auto"/>
        </w:rPr>
        <w:t>In case any Note shall become mutilated or be destroyed, lost or</w:t>
      </w:r>
      <w:r>
        <w:rPr>
          <w:rFonts w:ascii="Arial" w:cs="Arial" w:eastAsia="Arial" w:hAnsi="Arial"/>
          <w:sz w:val="22"/>
          <w:szCs w:val="22"/>
          <w:i w:val="1"/>
          <w:iCs w:val="1"/>
          <w:color w:val="auto"/>
        </w:rPr>
        <w:t xml:space="preserve"> </w:t>
      </w:r>
      <w:r>
        <w:rPr>
          <w:rFonts w:ascii="Arial" w:cs="Arial" w:eastAsia="Arial" w:hAnsi="Arial"/>
          <w:sz w:val="22"/>
          <w:szCs w:val="22"/>
          <w:color w:val="auto"/>
        </w:rPr>
        <w:t>stolen, the Company in its discretion may execute, and upon its written request the Trustee or an authenticating agent appointed by the Trustee shall authenticate and deliver, a</w:t>
      </w:r>
    </w:p>
    <w:p>
      <w:pPr>
        <w:sectPr>
          <w:pgSz w:w="11900" w:h="16838" w:orient="portrait"/>
          <w:cols w:equalWidth="0" w:num="1">
            <w:col w:w="11420"/>
          </w:cols>
          <w:pgMar w:left="240" w:top="267" w:right="239" w:bottom="1440" w:gutter="0" w:footer="0" w:header="0"/>
        </w:sectPr>
      </w:pPr>
    </w:p>
    <w:bookmarkStart w:id="75" w:name="page76"/>
    <w:bookmarkEnd w:id="75"/>
    <w:p>
      <w:pPr>
        <w:ind w:right="140"/>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Note, bearing a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the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the authenticating agent, evidence to their satisfaction of the destruction, loss or theft of such Note and of the ownership thereof.</w:t>
      </w:r>
    </w:p>
    <w:p>
      <w:pPr>
        <w:spacing w:after="0" w:line="151" w:lineRule="exact"/>
        <w:rPr>
          <w:sz w:val="20"/>
          <w:szCs w:val="20"/>
          <w:color w:val="auto"/>
        </w:rPr>
      </w:pPr>
    </w:p>
    <w:p>
      <w:pPr>
        <w:ind w:firstLine="799"/>
        <w:spacing w:after="0" w:line="244" w:lineRule="auto"/>
        <w:rPr>
          <w:sz w:val="20"/>
          <w:szCs w:val="20"/>
          <w:color w:val="auto"/>
        </w:rPr>
      </w:pPr>
      <w:r>
        <w:rPr>
          <w:rFonts w:ascii="Arial" w:cs="Arial" w:eastAsia="Arial" w:hAnsi="Arial"/>
          <w:sz w:val="21"/>
          <w:szCs w:val="21"/>
          <w:color w:val="auto"/>
        </w:rPr>
        <w:t>The Trustee or the authenticating agent, if applicable, may authenticate any such substituted Note and deliver the same upon the receipt of such security or indemnity as the Trustee, the Company and, if applicable, the authenticating agent may require. Upon the issuance of any substitute Note, the Company or the Trustee may require the payment by the Holder of a sum sufficient to cover any tax, assessment or other governmental charge that may be imposed in relation thereto and any other expenses connected therewith. In case any Note that has matured or is about to mature or has been tendered for redemption or purchase upon a Fundamental Change or is about to be converted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the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85" w:lineRule="exact"/>
        <w:rPr>
          <w:sz w:val="20"/>
          <w:szCs w:val="20"/>
          <w:color w:val="auto"/>
        </w:rPr>
      </w:pPr>
    </w:p>
    <w:p>
      <w:pPr>
        <w:ind w:right="40" w:firstLine="799"/>
        <w:spacing w:after="0" w:line="275" w:lineRule="auto"/>
        <w:rPr>
          <w:sz w:val="20"/>
          <w:szCs w:val="20"/>
          <w:color w:val="auto"/>
        </w:rPr>
      </w:pPr>
      <w:r>
        <w:rPr>
          <w:rFonts w:ascii="Arial" w:cs="Arial" w:eastAsia="Arial" w:hAnsi="Arial"/>
          <w:sz w:val="19"/>
          <w:szCs w:val="19"/>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conversion or purchase of mutilated, destroyed, lost or stolen Notes and shall preclude any and all other rights or remedies, notwithstanding any law or statute existing or hereafter enacted to the contrary with respect to the replacement or payment or conversion of negotiable instruments or other securities without their surrender.</w:t>
      </w:r>
    </w:p>
    <w:p>
      <w:pPr>
        <w:sectPr>
          <w:pgSz w:w="11900" w:h="16838" w:orient="portrait"/>
          <w:cols w:equalWidth="0" w:num="1">
            <w:col w:w="11400"/>
          </w:cols>
          <w:pgMar w:left="240" w:top="267" w:right="259" w:bottom="1440" w:gutter="0" w:footer="0" w:header="0"/>
        </w:sectPr>
      </w:pPr>
    </w:p>
    <w:bookmarkStart w:id="76" w:name="page77"/>
    <w:bookmarkEnd w:id="76"/>
    <w:p>
      <w:pPr>
        <w:ind w:right="80" w:firstLine="799"/>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greater certainty, every substitute Note issued pursuant to the provisions of this Section 2.06 by virtue of the fact that any Note is mutilated, destroyed, lost or stolen will be issued as evidence of the same continuing indebtedness of the Company under this Indenture and in no circumstances is the Company obligated under the Indenture to repay the principal amount of the substituted Note by virtue of such mutilation, destruction or loss.</w:t>
      </w:r>
    </w:p>
    <w:p>
      <w:pPr>
        <w:spacing w:after="0" w:line="185" w:lineRule="exact"/>
        <w:rPr>
          <w:sz w:val="20"/>
          <w:szCs w:val="20"/>
          <w:color w:val="auto"/>
        </w:rPr>
      </w:pPr>
    </w:p>
    <w:p>
      <w:pPr>
        <w:ind w:firstLine="799"/>
        <w:spacing w:after="0" w:line="272" w:lineRule="auto"/>
        <w:rPr>
          <w:sz w:val="20"/>
          <w:szCs w:val="20"/>
          <w:color w:val="auto"/>
        </w:rPr>
      </w:pPr>
      <w:r>
        <w:rPr>
          <w:rFonts w:ascii="Arial" w:cs="Arial" w:eastAsia="Arial" w:hAnsi="Arial"/>
          <w:sz w:val="19"/>
          <w:szCs w:val="19"/>
          <w:i w:val="1"/>
          <w:iCs w:val="1"/>
          <w:color w:val="auto"/>
        </w:rPr>
        <w:t xml:space="preserve">Section 2.07. Temporary Notes. </w:t>
      </w:r>
      <w:r>
        <w:rPr>
          <w:rFonts w:ascii="Arial" w:cs="Arial" w:eastAsia="Arial" w:hAnsi="Arial"/>
          <w:sz w:val="19"/>
          <w:szCs w:val="19"/>
          <w:color w:val="auto"/>
        </w:rPr>
        <w:t>Pending the preparation of Notes in certificated form, the Company may execute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Trustee or an authenticating agent appointed by the Trustee shall, upon written request of the Company, authenticate and deliver temporary Notes (printed or lithographed). Temporary Notes shall be issuable in any authorized denomination, and substantially in the form of the Notes in certificated form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Notes in certificated form. Without unreasonable delay, the Company will execute and deliver to the Trustee or such authenticating agent Notes in certificated form (other than any Global Note) and thereupon any or all temporary Notes (other than any Global Note) may be surrendered in exchange therefor, at each office or agency maintained by the Company pursuant to Section 4.05 and the Trustee or such authenticating agent shall authenticate and deliver in exchange for such temporary Notes an equal aggregate principal amount of Notes in certificated form. Such exchange shall be made by the Company at its own expense and without any charge therefor. Until so exchanged, the temporary Notes shall in all respects be entitled to the same benefits and subject to the same limitations under this Indenture as Notes in certificated form authenticated and delivered hereunder.</w:t>
      </w:r>
    </w:p>
    <w:p>
      <w:pPr>
        <w:spacing w:after="0" w:line="157" w:lineRule="exact"/>
        <w:rPr>
          <w:sz w:val="20"/>
          <w:szCs w:val="20"/>
          <w:color w:val="auto"/>
        </w:rPr>
      </w:pPr>
    </w:p>
    <w:p>
      <w:pPr>
        <w:ind w:firstLine="799"/>
        <w:spacing w:after="0" w:line="297" w:lineRule="auto"/>
        <w:rPr>
          <w:sz w:val="20"/>
          <w:szCs w:val="20"/>
          <w:color w:val="auto"/>
        </w:rPr>
      </w:pPr>
      <w:r>
        <w:rPr>
          <w:rFonts w:ascii="Arial" w:cs="Arial" w:eastAsia="Arial" w:hAnsi="Arial"/>
          <w:sz w:val="19"/>
          <w:szCs w:val="19"/>
          <w:color w:val="auto"/>
        </w:rPr>
        <w:t>For greater certainty, each Note issued pursuant to the provisions of this Section 2.07 in exchange for a temporary Note will be issued as evidence of the same continuing indebtedness of the Company under this Indenture and in no circumstances is the Company obligated under the Indenture to repay the principal amount of the temporary Note by virtue of the exchange.</w:t>
      </w:r>
    </w:p>
    <w:p>
      <w:pPr>
        <w:spacing w:after="0" w:line="134" w:lineRule="exact"/>
        <w:rPr>
          <w:sz w:val="20"/>
          <w:szCs w:val="20"/>
          <w:color w:val="auto"/>
        </w:rPr>
      </w:pPr>
    </w:p>
    <w:p>
      <w:pPr>
        <w:ind w:firstLine="799"/>
        <w:spacing w:after="0" w:line="279" w:lineRule="auto"/>
        <w:rPr>
          <w:sz w:val="20"/>
          <w:szCs w:val="20"/>
          <w:color w:val="auto"/>
        </w:rPr>
      </w:pPr>
      <w:r>
        <w:rPr>
          <w:rFonts w:ascii="Arial" w:cs="Arial" w:eastAsia="Arial" w:hAnsi="Arial"/>
          <w:sz w:val="19"/>
          <w:szCs w:val="19"/>
          <w:i w:val="1"/>
          <w:iCs w:val="1"/>
          <w:color w:val="auto"/>
        </w:rPr>
        <w:t xml:space="preserve">Section 2.08. Cancellation of Notes Paid, Etc. </w:t>
      </w:r>
      <w:r>
        <w:rPr>
          <w:rFonts w:ascii="Arial" w:cs="Arial" w:eastAsia="Arial" w:hAnsi="Arial"/>
          <w:sz w:val="19"/>
          <w:szCs w:val="19"/>
          <w:color w:val="auto"/>
        </w:rPr>
        <w:t>All Notes surrendered for the purpose of payment, purchase, conversion,</w:t>
      </w:r>
      <w:r>
        <w:rPr>
          <w:rFonts w:ascii="Arial" w:cs="Arial" w:eastAsia="Arial" w:hAnsi="Arial"/>
          <w:sz w:val="19"/>
          <w:szCs w:val="19"/>
          <w:i w:val="1"/>
          <w:iCs w:val="1"/>
          <w:color w:val="auto"/>
        </w:rPr>
        <w:t xml:space="preserve"> </w:t>
      </w:r>
      <w:r>
        <w:rPr>
          <w:rFonts w:ascii="Arial" w:cs="Arial" w:eastAsia="Arial" w:hAnsi="Arial"/>
          <w:sz w:val="19"/>
          <w:szCs w:val="19"/>
          <w:color w:val="auto"/>
        </w:rPr>
        <w:t>exchange or registration of transfer, shall, if surrendered to the Company or any Paying Agent or any Note Registrar or any Conversion Agent, be surrendered to the Trustee and promptly canceled by it, or, if surrendered to the Trustee, shall be promptly canceled by it, and no Notes shall be issued in lieu thereof except as expressly permitted by any of the provisions of this Indenture. The Trustee shall dispose of canceled Notes in accordance with its customary procedures and, after such disposition, shall deliver a written confirmation of such disposition to the Company, at the Company’s</w:t>
      </w:r>
    </w:p>
    <w:p>
      <w:pPr>
        <w:sectPr>
          <w:pgSz w:w="11900" w:h="16838" w:orient="portrait"/>
          <w:cols w:equalWidth="0" w:num="1">
            <w:col w:w="11340"/>
          </w:cols>
          <w:pgMar w:left="240" w:top="266" w:right="319" w:bottom="1440" w:gutter="0" w:footer="0" w:header="0"/>
        </w:sectPr>
      </w:pPr>
    </w:p>
    <w:bookmarkStart w:id="77" w:name="page78"/>
    <w:bookmarkEnd w:id="77"/>
    <w:p>
      <w:pPr>
        <w:ind w:right="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written request. If the Company shall acquire any of the Notes, such acquisition shall not operate as satisfaction of the indebtedness represented by such Notes unless and until the same are delivered to the Trustee for cancellation.</w:t>
      </w:r>
    </w:p>
    <w:p>
      <w:pPr>
        <w:spacing w:after="0" w:line="173" w:lineRule="exact"/>
        <w:rPr>
          <w:sz w:val="20"/>
          <w:szCs w:val="20"/>
          <w:color w:val="auto"/>
        </w:rPr>
      </w:pPr>
    </w:p>
    <w:p>
      <w:pPr>
        <w:ind w:firstLine="799"/>
        <w:spacing w:after="0" w:line="282" w:lineRule="auto"/>
        <w:rPr>
          <w:sz w:val="20"/>
          <w:szCs w:val="20"/>
          <w:color w:val="auto"/>
        </w:rPr>
      </w:pPr>
      <w:r>
        <w:rPr>
          <w:rFonts w:ascii="Arial" w:cs="Arial" w:eastAsia="Arial" w:hAnsi="Arial"/>
          <w:sz w:val="19"/>
          <w:szCs w:val="19"/>
          <w:i w:val="1"/>
          <w:iCs w:val="1"/>
          <w:color w:val="auto"/>
        </w:rPr>
        <w:t xml:space="preserve">Section 2.09. CUSIP and ISIN Numbers. </w:t>
      </w:r>
      <w:r>
        <w:rPr>
          <w:rFonts w:ascii="Arial" w:cs="Arial" w:eastAsia="Arial" w:hAnsi="Arial"/>
          <w:sz w:val="19"/>
          <w:szCs w:val="19"/>
          <w:color w:val="auto"/>
        </w:rPr>
        <w:t>The Company in issuing the Notes may use “CUSIP” and “ISIN” numbers (if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then generally in use), and, if so, the Trustee shall use “CUSIP” and “ISIN” numbers in all notices issued to Holders of the Notes as a convenience to such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will promptly notify the Trustee in writing of any change in the “CUSIP” or “ISIN” numbers.</w:t>
      </w:r>
    </w:p>
    <w:p>
      <w:pPr>
        <w:spacing w:after="0" w:line="148" w:lineRule="exact"/>
        <w:rPr>
          <w:sz w:val="20"/>
          <w:szCs w:val="20"/>
          <w:color w:val="auto"/>
        </w:rPr>
      </w:pPr>
    </w:p>
    <w:p>
      <w:pPr>
        <w:ind w:firstLine="799"/>
        <w:spacing w:after="0" w:line="272" w:lineRule="auto"/>
        <w:rPr>
          <w:sz w:val="20"/>
          <w:szCs w:val="20"/>
          <w:color w:val="auto"/>
        </w:rPr>
      </w:pPr>
      <w:r>
        <w:rPr>
          <w:rFonts w:ascii="Arial" w:cs="Arial" w:eastAsia="Arial" w:hAnsi="Arial"/>
          <w:sz w:val="19"/>
          <w:szCs w:val="19"/>
          <w:i w:val="1"/>
          <w:iCs w:val="1"/>
          <w:color w:val="auto"/>
        </w:rPr>
        <w:t xml:space="preserve">Section 2.10. Additional Notes; Purchases. </w:t>
      </w:r>
      <w:r>
        <w:rPr>
          <w:rFonts w:ascii="Arial" w:cs="Arial" w:eastAsia="Arial" w:hAnsi="Arial"/>
          <w:sz w:val="19"/>
          <w:szCs w:val="19"/>
          <w:color w:val="auto"/>
        </w:rPr>
        <w:t>The Company may, without the consent of the Holders of the Notes and</w:t>
      </w:r>
      <w:r>
        <w:rPr>
          <w:rFonts w:ascii="Arial" w:cs="Arial" w:eastAsia="Arial" w:hAnsi="Arial"/>
          <w:sz w:val="19"/>
          <w:szCs w:val="19"/>
          <w:i w:val="1"/>
          <w:iCs w:val="1"/>
          <w:color w:val="auto"/>
        </w:rPr>
        <w:t xml:space="preserve"> </w:t>
      </w:r>
      <w:r>
        <w:rPr>
          <w:rFonts w:ascii="Arial" w:cs="Arial" w:eastAsia="Arial" w:hAnsi="Arial"/>
          <w:sz w:val="19"/>
          <w:szCs w:val="19"/>
          <w:color w:val="auto"/>
        </w:rPr>
        <w:t>notwithstanding Section 2.01, issue additional Notes hereunder (“</w:t>
      </w:r>
      <w:r>
        <w:rPr>
          <w:rFonts w:ascii="Arial" w:cs="Arial" w:eastAsia="Arial" w:hAnsi="Arial"/>
          <w:sz w:val="19"/>
          <w:szCs w:val="19"/>
          <w:b w:val="1"/>
          <w:bCs w:val="1"/>
          <w:color w:val="auto"/>
        </w:rPr>
        <w:t>Additional Notes</w:t>
      </w:r>
      <w:r>
        <w:rPr>
          <w:rFonts w:ascii="Arial" w:cs="Arial" w:eastAsia="Arial" w:hAnsi="Arial"/>
          <w:sz w:val="19"/>
          <w:szCs w:val="19"/>
          <w:color w:val="auto"/>
        </w:rPr>
        <w:t>”) which shall have substantially identical terms as the Notes, other than with respect to (i) the date of issuance, (ii) the issue price and principal amount, (iii) the initial date from which interest begins to accrue and (iv) if applicable, the existence of “transfer” restrictions pursuant to the Securities Act; provided, further, that no Additional Notes may be issued with the same “CUSIP” or “ISIN” number as other Notes unless it is so permitted in accordance with applicable law and such Additional Notes are fungible with the Notes for U.S. federal tax and securities law purposes. The Notes issued on the Issue Date and any Additional Notes shall be treated as a single class for all purposes under this Indenture. With respect to any Additional Notes, the Company shall set forth in an Officer’s Certificate, a copy of which shall be delivered to the Trustee, and in a supplemental indenture, the following information: (1) the aggregate principal amount of Notes outstanding immediately prior to the issuance of such Additional Notes; (2) the issue price, if any, the aggregate principal amount of such Additional Notes to be authenticated and delivered pursuant to this Indenture and the issue date of such Additional Notes; (3) the “CUSIP” or “ISIN” number, as applicable, of such Additional Notes; and (4) whether such Additional Notes will be Restricted Securities.</w:t>
      </w:r>
    </w:p>
    <w:p>
      <w:pPr>
        <w:spacing w:after="0" w:line="200" w:lineRule="exact"/>
        <w:rPr>
          <w:sz w:val="20"/>
          <w:szCs w:val="20"/>
          <w:color w:val="auto"/>
        </w:rPr>
      </w:pPr>
    </w:p>
    <w:p>
      <w:pPr>
        <w:spacing w:after="0" w:line="205" w:lineRule="exact"/>
        <w:rPr>
          <w:sz w:val="20"/>
          <w:szCs w:val="20"/>
          <w:color w:val="auto"/>
        </w:rPr>
      </w:pPr>
    </w:p>
    <w:p>
      <w:pPr>
        <w:ind w:right="20" w:firstLine="799"/>
        <w:spacing w:after="0" w:line="328" w:lineRule="auto"/>
        <w:rPr>
          <w:sz w:val="20"/>
          <w:szCs w:val="20"/>
          <w:color w:val="auto"/>
        </w:rPr>
      </w:pPr>
      <w:r>
        <w:rPr>
          <w:rFonts w:ascii="Arial" w:cs="Arial" w:eastAsia="Arial" w:hAnsi="Arial"/>
          <w:sz w:val="19"/>
          <w:szCs w:val="19"/>
          <w:color w:val="auto"/>
        </w:rPr>
        <w:t>The Company may also from time to time purchase the Notes in open market purchases or negotiated transactions without prior notice to Holders. Any Notes purchased by the Company shall be deemed to be no longer Outstanding under this Indenture.</w:t>
      </w:r>
    </w:p>
    <w:p>
      <w:pPr>
        <w:sectPr>
          <w:pgSz w:w="11900" w:h="16838" w:orient="portrait"/>
          <w:cols w:equalWidth="0" w:num="1">
            <w:col w:w="11400"/>
          </w:cols>
          <w:pgMar w:left="240" w:top="267"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ATISFACTION AND</w:t>
      </w:r>
      <w:r>
        <w:rPr>
          <w:rFonts w:ascii="Arial" w:cs="Arial" w:eastAsia="Arial" w:hAnsi="Arial"/>
          <w:sz w:val="22"/>
          <w:szCs w:val="22"/>
          <w:color w:val="auto"/>
        </w:rPr>
        <w:t xml:space="preserve"> D</w:t>
      </w:r>
      <w:r>
        <w:rPr>
          <w:rFonts w:ascii="Arial" w:cs="Arial" w:eastAsia="Arial" w:hAnsi="Arial"/>
          <w:sz w:val="18"/>
          <w:szCs w:val="18"/>
          <w:color w:val="auto"/>
        </w:rPr>
        <w:t>ISCHARGE</w:t>
      </w:r>
    </w:p>
    <w:p>
      <w:pPr>
        <w:spacing w:after="0" w:line="188" w:lineRule="exact"/>
        <w:rPr>
          <w:sz w:val="20"/>
          <w:szCs w:val="20"/>
          <w:color w:val="auto"/>
        </w:rPr>
      </w:pPr>
    </w:p>
    <w:p>
      <w:pPr>
        <w:ind w:firstLine="799"/>
        <w:spacing w:after="0" w:line="273" w:lineRule="auto"/>
        <w:rPr>
          <w:sz w:val="20"/>
          <w:szCs w:val="20"/>
          <w:color w:val="auto"/>
        </w:rPr>
      </w:pPr>
      <w:r>
        <w:rPr>
          <w:rFonts w:ascii="Arial" w:cs="Arial" w:eastAsia="Arial" w:hAnsi="Arial"/>
          <w:sz w:val="19"/>
          <w:szCs w:val="19"/>
          <w:i w:val="1"/>
          <w:iCs w:val="1"/>
          <w:color w:val="auto"/>
        </w:rPr>
        <w:t xml:space="preserve">Section 3.01. Satisfaction and Discharge. </w:t>
      </w:r>
      <w:r>
        <w:rPr>
          <w:rFonts w:ascii="Arial" w:cs="Arial" w:eastAsia="Arial" w:hAnsi="Arial"/>
          <w:sz w:val="19"/>
          <w:szCs w:val="19"/>
          <w:color w:val="auto"/>
        </w:rPr>
        <w:t>This Indenture shall upon request of the Company contained in an Officer’s</w:t>
      </w:r>
      <w:r>
        <w:rPr>
          <w:rFonts w:ascii="Arial" w:cs="Arial" w:eastAsia="Arial" w:hAnsi="Arial"/>
          <w:sz w:val="19"/>
          <w:szCs w:val="19"/>
          <w:i w:val="1"/>
          <w:iCs w:val="1"/>
          <w:color w:val="auto"/>
        </w:rPr>
        <w:t xml:space="preserve"> </w:t>
      </w:r>
      <w:r>
        <w:rPr>
          <w:rFonts w:ascii="Arial" w:cs="Arial" w:eastAsia="Arial" w:hAnsi="Arial"/>
          <w:sz w:val="19"/>
          <w:szCs w:val="19"/>
          <w:color w:val="auto"/>
        </w:rPr>
        <w:t>Certificate cease to be of further effect, and the Trustee, at the expense of the Company, shall execute proper instruments acknowledging satisfaction and discharge of this Indenture, when (a) (i) the Company delivers to the Trustee all Outstanding Notes (other than Notes replaced pursuant to Section 2.06) for cancellation; or (ii) the Company has irrevocably deposited with the Trustee or delivered to Holders of Notes, as applicable, after the Notes have become due and payable, whether at the Maturity Date, or any Fundamental Change Purchase Date, or upon conversion or otherwise, cash and/or (in the case of conversion) shares of Common Stock (together with cash in lieu of fractional shares), as applicable, sufficient to pay all of the Outstanding Notes and all other sums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 such satisfaction and discharge.</w:t>
      </w:r>
    </w:p>
    <w:p>
      <w:pPr>
        <w:spacing w:after="0" w:line="156" w:lineRule="exact"/>
        <w:rPr>
          <w:sz w:val="20"/>
          <w:szCs w:val="20"/>
          <w:color w:val="auto"/>
        </w:rPr>
      </w:pPr>
    </w:p>
    <w:p>
      <w:pPr>
        <w:ind w:right="40" w:firstLine="799"/>
        <w:spacing w:after="0" w:line="279" w:lineRule="auto"/>
        <w:rPr>
          <w:sz w:val="20"/>
          <w:szCs w:val="20"/>
          <w:color w:val="auto"/>
        </w:rPr>
      </w:pPr>
      <w:r>
        <w:rPr>
          <w:rFonts w:ascii="Arial" w:cs="Arial" w:eastAsia="Arial" w:hAnsi="Arial"/>
          <w:sz w:val="19"/>
          <w:szCs w:val="19"/>
          <w:i w:val="1"/>
          <w:iCs w:val="1"/>
          <w:color w:val="auto"/>
        </w:rPr>
        <w:t xml:space="preserve">Section 3.02. Deposited Monies To Be Held In Trust. </w:t>
      </w:r>
      <w:r>
        <w:rPr>
          <w:rFonts w:ascii="Arial" w:cs="Arial" w:eastAsia="Arial" w:hAnsi="Arial"/>
          <w:sz w:val="19"/>
          <w:szCs w:val="19"/>
          <w:color w:val="auto"/>
        </w:rPr>
        <w:t>Subject to Section 3.03 hereof, all monies deposited with the Trustee</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Section 3.01 hereof shall be held in trust and applied by it to the payment, either directly or through any Paying Agent (including the Company if acting as its own Paying Agent), to the Holders for the payment or repurchase of which such monies have been deposited with the Trustee, of all sums due and to become due thereon for principal, premium, if any, and interest. All monies deposited with the Trustee pursuant to Section 3.01 hereof (and held by it or any Paying Agent) for the payment of Notes subsequently converted shall be returned to the Company upon request of the Company.</w:t>
      </w:r>
    </w:p>
    <w:p>
      <w:pPr>
        <w:spacing w:after="0" w:line="151" w:lineRule="exact"/>
        <w:rPr>
          <w:sz w:val="20"/>
          <w:szCs w:val="20"/>
          <w:color w:val="auto"/>
        </w:rPr>
      </w:pPr>
    </w:p>
    <w:p>
      <w:pPr>
        <w:ind w:firstLine="799"/>
        <w:spacing w:after="0" w:line="277" w:lineRule="auto"/>
        <w:rPr>
          <w:sz w:val="20"/>
          <w:szCs w:val="20"/>
          <w:color w:val="auto"/>
        </w:rPr>
      </w:pPr>
      <w:r>
        <w:rPr>
          <w:rFonts w:ascii="Arial" w:cs="Arial" w:eastAsia="Arial" w:hAnsi="Arial"/>
          <w:sz w:val="19"/>
          <w:szCs w:val="19"/>
          <w:i w:val="1"/>
          <w:iCs w:val="1"/>
          <w:color w:val="auto"/>
        </w:rPr>
        <w:t xml:space="preserve">Section 3.03. Return Of Unclaimed Monies. </w:t>
      </w:r>
      <w:r>
        <w:rPr>
          <w:rFonts w:ascii="Arial" w:cs="Arial" w:eastAsia="Arial" w:hAnsi="Arial"/>
          <w:sz w:val="19"/>
          <w:szCs w:val="19"/>
          <w:color w:val="auto"/>
        </w:rPr>
        <w:t>Subject to applicable escheat laws, the Trustee and the Paying Agent shall pay</w:t>
      </w:r>
      <w:r>
        <w:rPr>
          <w:rFonts w:ascii="Arial" w:cs="Arial" w:eastAsia="Arial" w:hAnsi="Arial"/>
          <w:sz w:val="19"/>
          <w:szCs w:val="19"/>
          <w:i w:val="1"/>
          <w:iCs w:val="1"/>
          <w:color w:val="auto"/>
        </w:rPr>
        <w:t xml:space="preserve"> </w:t>
      </w:r>
      <w:r>
        <w:rPr>
          <w:rFonts w:ascii="Arial" w:cs="Arial" w:eastAsia="Arial" w:hAnsi="Arial"/>
          <w:sz w:val="19"/>
          <w:szCs w:val="19"/>
          <w:color w:val="auto"/>
        </w:rPr>
        <w:t>to the Company upon written request any money held by them for the payment of principal of or accrued and unpaid interest on the Notes that remains unclaimed for two years after the date upon which such payment shall have become due. Notwithstanding the foregoing, the Trustee and Paying Agent shall have the right to withhold payment of such money to the Company until the Trustee or Paying Agent at the expense of the Company mails to each Holder, a notice stating that such money shall be repaid to the Company if unclaimed after a date no less than 30 days from the mailing. After payment to the Company by the Trustee or Paying Agent, all liability of the Trustee and the Paying Agent with respect to such money shall cease, and Holders</w:t>
      </w:r>
    </w:p>
    <w:p>
      <w:pPr>
        <w:sectPr>
          <w:pgSz w:w="11900" w:h="16838" w:orient="portrait"/>
          <w:cols w:equalWidth="0" w:num="1">
            <w:col w:w="11400"/>
          </w:cols>
          <w:pgMar w:left="240" w:top="267" w:right="25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entitled to the money must look to the Company for payment as general creditors, subject to applicable law.</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4</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ARTICULAR</w:t>
      </w:r>
      <w:r>
        <w:rPr>
          <w:rFonts w:ascii="Arial" w:cs="Arial" w:eastAsia="Arial" w:hAnsi="Arial"/>
          <w:sz w:val="22"/>
          <w:szCs w:val="22"/>
          <w:color w:val="auto"/>
        </w:rPr>
        <w:t xml:space="preserve"> C</w:t>
      </w:r>
      <w:r>
        <w:rPr>
          <w:rFonts w:ascii="Arial" w:cs="Arial" w:eastAsia="Arial" w:hAnsi="Arial"/>
          <w:sz w:val="18"/>
          <w:szCs w:val="18"/>
          <w:color w:val="auto"/>
        </w:rPr>
        <w:t>OVENANTS OF THE</w:t>
      </w:r>
      <w:r>
        <w:rPr>
          <w:rFonts w:ascii="Arial" w:cs="Arial" w:eastAsia="Arial" w:hAnsi="Arial"/>
          <w:sz w:val="22"/>
          <w:szCs w:val="22"/>
          <w:color w:val="auto"/>
        </w:rPr>
        <w:t xml:space="preserve"> C</w:t>
      </w:r>
      <w:r>
        <w:rPr>
          <w:rFonts w:ascii="Arial" w:cs="Arial" w:eastAsia="Arial" w:hAnsi="Arial"/>
          <w:sz w:val="18"/>
          <w:szCs w:val="18"/>
          <w:color w:val="auto"/>
        </w:rPr>
        <w:t>OMPANY</w:t>
      </w:r>
    </w:p>
    <w:p>
      <w:pPr>
        <w:spacing w:after="0" w:line="188" w:lineRule="exact"/>
        <w:rPr>
          <w:sz w:val="20"/>
          <w:szCs w:val="20"/>
          <w:color w:val="auto"/>
        </w:rPr>
      </w:pPr>
    </w:p>
    <w:p>
      <w:pPr>
        <w:ind w:right="80" w:firstLine="799"/>
        <w:spacing w:after="0" w:line="234" w:lineRule="auto"/>
        <w:rPr>
          <w:sz w:val="20"/>
          <w:szCs w:val="20"/>
          <w:color w:val="auto"/>
        </w:rPr>
      </w:pPr>
      <w:r>
        <w:rPr>
          <w:rFonts w:ascii="Arial" w:cs="Arial" w:eastAsia="Arial" w:hAnsi="Arial"/>
          <w:sz w:val="22"/>
          <w:szCs w:val="22"/>
          <w:i w:val="1"/>
          <w:iCs w:val="1"/>
          <w:color w:val="auto"/>
        </w:rPr>
        <w:t xml:space="preserve">Section 4.01. Payment of Principal and Interest. </w:t>
      </w:r>
      <w:r>
        <w:rPr>
          <w:rFonts w:ascii="Arial" w:cs="Arial" w:eastAsia="Arial" w:hAnsi="Arial"/>
          <w:sz w:val="22"/>
          <w:szCs w:val="22"/>
          <w:color w:val="auto"/>
        </w:rPr>
        <w:t>(a) The Company shall promptly make all payments in respect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Notes on the dates and in the manner provided in the Notes and this Indenture. A payment of principal or interest shall be considered paid on the date it is due if the Paying Agent holds by 10:00 a.m. (New York City time) on that date money or securities, deposited by or on behalf of the Company sufficient to make the payment. The Company shall, to the fullest extent permitted by law, pay interest in immediately available funds on overdue principal amount and interest at the annual rate borne by the Notes compounded semiannually, which interest shall accrue from the date such overdue amount was originally due to the date payment of such amount, including interest thereon, has been made or duly provided for. All such interest shall be payable on demand.</w:t>
      </w:r>
    </w:p>
    <w:p>
      <w:pPr>
        <w:spacing w:after="0" w:line="188" w:lineRule="exact"/>
        <w:rPr>
          <w:sz w:val="20"/>
          <w:szCs w:val="20"/>
          <w:color w:val="auto"/>
        </w:rPr>
      </w:pPr>
    </w:p>
    <w:p>
      <w:pPr>
        <w:ind w:firstLine="807"/>
        <w:spacing w:after="0" w:line="234" w:lineRule="auto"/>
        <w:tabs>
          <w:tab w:leader="none" w:pos="1483" w:val="left"/>
        </w:tabs>
        <w:numPr>
          <w:ilvl w:val="0"/>
          <w:numId w:val="30"/>
        </w:numPr>
        <w:rPr>
          <w:rFonts w:ascii="Arial" w:cs="Arial" w:eastAsia="Arial" w:hAnsi="Arial"/>
          <w:sz w:val="22"/>
          <w:szCs w:val="22"/>
          <w:color w:val="auto"/>
        </w:rPr>
      </w:pPr>
      <w:r>
        <w:rPr>
          <w:rFonts w:ascii="Arial" w:cs="Arial" w:eastAsia="Arial" w:hAnsi="Arial"/>
          <w:sz w:val="22"/>
          <w:szCs w:val="22"/>
          <w:color w:val="auto"/>
        </w:rPr>
        <w:t>Payment of the principal of and interest, if any, on the Notes shall be made at the office or agency of the Company maintained for that purpose, which shall initially be at the Trustee’s Corporate Trust Office, in such coin or currency of the United States of America as at the time of payment is legal tender for payment of public and private debts; provided, however, that, subject to Section 2.03, the Company may pay principal and interest in respect of any Note in certificated form by check or wire transfer payable in such money. Notwithstanding the foregoing, so long as the Notes are registered in the name of a Depositary or its nominee, all payments thereon shall be made by wire transfer of immediately available funds to the account of the Depositary or its nominee.</w:t>
      </w:r>
    </w:p>
    <w:p>
      <w:pPr>
        <w:spacing w:after="0" w:line="191" w:lineRule="exact"/>
        <w:rPr>
          <w:sz w:val="20"/>
          <w:szCs w:val="20"/>
          <w:color w:val="auto"/>
        </w:rPr>
      </w:pPr>
    </w:p>
    <w:p>
      <w:pPr>
        <w:ind w:right="80" w:firstLine="799"/>
        <w:spacing w:after="0" w:line="236" w:lineRule="auto"/>
        <w:rPr>
          <w:sz w:val="20"/>
          <w:szCs w:val="20"/>
          <w:color w:val="auto"/>
        </w:rPr>
      </w:pPr>
      <w:r>
        <w:rPr>
          <w:rFonts w:ascii="Arial" w:cs="Arial" w:eastAsia="Arial" w:hAnsi="Arial"/>
          <w:sz w:val="22"/>
          <w:szCs w:val="22"/>
          <w:i w:val="1"/>
          <w:iCs w:val="1"/>
          <w:color w:val="auto"/>
        </w:rPr>
        <w:t xml:space="preserve">Section 4.02. Corporate Existence. </w:t>
      </w:r>
      <w:r>
        <w:rPr>
          <w:rFonts w:ascii="Arial" w:cs="Arial" w:eastAsia="Arial" w:hAnsi="Arial"/>
          <w:sz w:val="22"/>
          <w:szCs w:val="22"/>
          <w:color w:val="auto"/>
        </w:rPr>
        <w:t>Subject to Article 10 hereof, the Company will do or cause to be done all things</w:t>
      </w:r>
      <w:r>
        <w:rPr>
          <w:rFonts w:ascii="Arial" w:cs="Arial" w:eastAsia="Arial" w:hAnsi="Arial"/>
          <w:sz w:val="22"/>
          <w:szCs w:val="22"/>
          <w:i w:val="1"/>
          <w:iCs w:val="1"/>
          <w:color w:val="auto"/>
        </w:rPr>
        <w:t xml:space="preserve"> </w:t>
      </w:r>
      <w:r>
        <w:rPr>
          <w:rFonts w:ascii="Arial" w:cs="Arial" w:eastAsia="Arial" w:hAnsi="Arial"/>
          <w:sz w:val="22"/>
          <w:szCs w:val="22"/>
          <w:color w:val="auto"/>
        </w:rPr>
        <w:t>necessary to preserve and keep in full force and effect its corporate existence and rights (charter and statutory); provided, however, that the Company shall not be required to preserve any such right or franchise if the Company determines that the preservation thereof is no longer desirable in the conduct of the business of the Company and that the loss thereof is not disadvantageous in any material respect to the Holders.</w:t>
      </w:r>
    </w:p>
    <w:p>
      <w:pPr>
        <w:spacing w:after="0" w:line="188" w:lineRule="exact"/>
        <w:rPr>
          <w:sz w:val="20"/>
          <w:szCs w:val="20"/>
          <w:color w:val="auto"/>
        </w:rPr>
      </w:pPr>
    </w:p>
    <w:p>
      <w:pPr>
        <w:ind w:right="80" w:firstLine="799"/>
        <w:spacing w:after="0" w:line="252" w:lineRule="auto"/>
        <w:rPr>
          <w:sz w:val="20"/>
          <w:szCs w:val="20"/>
          <w:color w:val="auto"/>
        </w:rPr>
      </w:pPr>
      <w:r>
        <w:rPr>
          <w:rFonts w:ascii="Arial" w:cs="Arial" w:eastAsia="Arial" w:hAnsi="Arial"/>
          <w:sz w:val="21"/>
          <w:szCs w:val="21"/>
          <w:i w:val="1"/>
          <w:iCs w:val="1"/>
          <w:color w:val="auto"/>
        </w:rPr>
        <w:t xml:space="preserve">Section 4.03. Rule 144A Information Requirement and Reports. </w:t>
      </w:r>
      <w:r>
        <w:rPr>
          <w:rFonts w:ascii="Arial" w:cs="Arial" w:eastAsia="Arial" w:hAnsi="Arial"/>
          <w:sz w:val="21"/>
          <w:szCs w:val="21"/>
          <w:color w:val="auto"/>
        </w:rPr>
        <w:t>(a) At any time the Company is not subject to Sections 13</w:t>
      </w:r>
      <w:r>
        <w:rPr>
          <w:rFonts w:ascii="Arial" w:cs="Arial" w:eastAsia="Arial" w:hAnsi="Arial"/>
          <w:sz w:val="21"/>
          <w:szCs w:val="21"/>
          <w:i w:val="1"/>
          <w:iCs w:val="1"/>
          <w:color w:val="auto"/>
        </w:rPr>
        <w:t xml:space="preserve"> </w:t>
      </w:r>
      <w:r>
        <w:rPr>
          <w:rFonts w:ascii="Arial" w:cs="Arial" w:eastAsia="Arial" w:hAnsi="Arial"/>
          <w:sz w:val="21"/>
          <w:szCs w:val="21"/>
          <w:color w:val="auto"/>
        </w:rPr>
        <w:t>or 15(d) of the Exchange Act, the Company shall, so long as any of the Notes or any shares of Common Stock issuable upon conversion thereof shall, at such time, constitute “restricted securities” within the meaning of Rule 144(a)(3) under the Securities Act, upon written request, provide to any Holder, beneficial owner or prospective purchaser</w:t>
      </w:r>
    </w:p>
    <w:p>
      <w:pPr>
        <w:sectPr>
          <w:pgSz w:w="11900" w:h="16838" w:orient="portrait"/>
          <w:cols w:equalWidth="0" w:num="1">
            <w:col w:w="11400"/>
          </w:cols>
          <w:pgMar w:left="240" w:top="267" w:right="259" w:bottom="1440" w:gutter="0" w:footer="0" w:header="0"/>
        </w:sectPr>
      </w:pPr>
    </w:p>
    <w:bookmarkStart w:id="80" w:name="page81"/>
    <w:bookmarkEnd w:id="80"/>
    <w:p>
      <w:pPr>
        <w:ind w:right="1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Notes or any shares of Common Stock issued upon conversion of such Notes, the information required to be delivered pursuant to Rule 144A(d)(4) under the Securities Act to facilitate the resale of such Notes or shares of Common Stock pursuant to Rule 144A under the Securities Act.</w:t>
      </w:r>
    </w:p>
    <w:p>
      <w:pPr>
        <w:spacing w:after="0" w:line="186" w:lineRule="exact"/>
        <w:rPr>
          <w:sz w:val="20"/>
          <w:szCs w:val="20"/>
          <w:color w:val="auto"/>
        </w:rPr>
      </w:pPr>
    </w:p>
    <w:p>
      <w:pPr>
        <w:ind w:right="100" w:firstLine="807"/>
        <w:spacing w:after="0" w:line="277" w:lineRule="auto"/>
        <w:tabs>
          <w:tab w:leader="none" w:pos="1479"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The Company shall furnish to the Trustee within 15 calendar days after the Company is required to file any documents or reports with the Commission pursuant to Sections 13 or 15(d) of the Exchange Act (giving effect to all applicable grace periods provided under the Exchange Act including that provided by Rule 12b-25 under the Exchange Act) copies of such documents or reports. Any such document or report that the Company files with the Commission through the Commission’s EDGAR system shall be deemed furnished to the Trustee for purposes of this Section 4.03(b) at the time such documents are filed or furnished via the Commission’s EDGAR system,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Trustee shall have no responsibility for determining whether such filing has taken place, nor shall the Trustee have any liability for the timeliness or content of any filing or report hereunder.</w:t>
      </w:r>
    </w:p>
    <w:p>
      <w:pPr>
        <w:spacing w:after="0" w:line="153" w:lineRule="exact"/>
        <w:rPr>
          <w:sz w:val="20"/>
          <w:szCs w:val="20"/>
          <w:color w:val="auto"/>
        </w:rPr>
      </w:pPr>
    </w:p>
    <w:p>
      <w:pPr>
        <w:ind w:firstLine="799"/>
        <w:spacing w:after="0" w:line="247" w:lineRule="auto"/>
        <w:rPr>
          <w:sz w:val="20"/>
          <w:szCs w:val="20"/>
          <w:color w:val="auto"/>
        </w:rPr>
      </w:pPr>
      <w:r>
        <w:rPr>
          <w:rFonts w:ascii="Arial" w:cs="Arial" w:eastAsia="Arial" w:hAnsi="Arial"/>
          <w:sz w:val="21"/>
          <w:szCs w:val="21"/>
          <w:i w:val="1"/>
          <w:iCs w:val="1"/>
          <w:color w:val="auto"/>
        </w:rPr>
        <w:t xml:space="preserve">Section 4.04. Compliance Certificate. </w:t>
      </w:r>
      <w:r>
        <w:rPr>
          <w:rFonts w:ascii="Arial" w:cs="Arial" w:eastAsia="Arial" w:hAnsi="Arial"/>
          <w:sz w:val="21"/>
          <w:szCs w:val="21"/>
          <w:color w:val="auto"/>
        </w:rPr>
        <w:t>The Company shall deliver to the Trustee, within 120 days after the end of each</w:t>
      </w:r>
      <w:r>
        <w:rPr>
          <w:rFonts w:ascii="Arial" w:cs="Arial" w:eastAsia="Arial" w:hAnsi="Arial"/>
          <w:sz w:val="21"/>
          <w:szCs w:val="21"/>
          <w:i w:val="1"/>
          <w:iCs w:val="1"/>
          <w:color w:val="auto"/>
        </w:rPr>
        <w:t xml:space="preserve"> </w:t>
      </w:r>
      <w:r>
        <w:rPr>
          <w:rFonts w:ascii="Arial" w:cs="Arial" w:eastAsia="Arial" w:hAnsi="Arial"/>
          <w:sz w:val="21"/>
          <w:szCs w:val="21"/>
          <w:color w:val="auto"/>
        </w:rPr>
        <w:t>fiscal year of the Company (beginning with the fiscal year ending December 31, 2015) an Officer’s Certificate stating whether or not, to the knowledge of such officer, the Company is in default in the performance and observance of any of the terms, provisions and conditions of this Indenture and, if the Company shall be in default, specifying all such defaults and the nature and status thereof of which they may have knowledge. Within five Business Days of an Officer of the Company coming to have actual knowledge of a Default or Event of Default, regardless of the date, the Company shall deliver an Officer’s Certificate to the Trustee specifying such Default or Event of Default and the nature and status thereof.</w:t>
      </w:r>
    </w:p>
    <w:p>
      <w:pPr>
        <w:spacing w:after="0" w:line="178" w:lineRule="exact"/>
        <w:rPr>
          <w:sz w:val="20"/>
          <w:szCs w:val="20"/>
          <w:color w:val="auto"/>
        </w:rPr>
      </w:pPr>
    </w:p>
    <w:p>
      <w:pPr>
        <w:ind w:right="60" w:firstLine="799"/>
        <w:spacing w:after="0" w:line="271" w:lineRule="auto"/>
        <w:rPr>
          <w:sz w:val="20"/>
          <w:szCs w:val="20"/>
          <w:color w:val="auto"/>
        </w:rPr>
      </w:pPr>
      <w:r>
        <w:rPr>
          <w:rFonts w:ascii="Arial" w:cs="Arial" w:eastAsia="Arial" w:hAnsi="Arial"/>
          <w:sz w:val="19"/>
          <w:szCs w:val="19"/>
          <w:i w:val="1"/>
          <w:iCs w:val="1"/>
          <w:color w:val="auto"/>
        </w:rPr>
        <w:t xml:space="preserve">Section 4.05. Maintenance of Office or Agency. </w:t>
      </w:r>
      <w:r>
        <w:rPr>
          <w:rFonts w:ascii="Arial" w:cs="Arial" w:eastAsia="Arial" w:hAnsi="Arial"/>
          <w:sz w:val="19"/>
          <w:szCs w:val="19"/>
          <w:color w:val="auto"/>
        </w:rPr>
        <w:t>So long as any Notes remain Outstanding, the Company agrees to</w:t>
      </w:r>
      <w:r>
        <w:rPr>
          <w:rFonts w:ascii="Arial" w:cs="Arial" w:eastAsia="Arial" w:hAnsi="Arial"/>
          <w:sz w:val="19"/>
          <w:szCs w:val="19"/>
          <w:i w:val="1"/>
          <w:iCs w:val="1"/>
          <w:color w:val="auto"/>
        </w:rPr>
        <w:t xml:space="preserve"> </w:t>
      </w:r>
      <w:r>
        <w:rPr>
          <w:rFonts w:ascii="Arial" w:cs="Arial" w:eastAsia="Arial" w:hAnsi="Arial"/>
          <w:sz w:val="19"/>
          <w:szCs w:val="19"/>
          <w:color w:val="auto"/>
        </w:rPr>
        <w:t>maintain an office or agency with respect to such Notes and at such other location or locations as may be designated as provided in this Section 4.05, where (i) Notes may be presented for conversion (“</w:t>
      </w:r>
      <w:r>
        <w:rPr>
          <w:rFonts w:ascii="Arial" w:cs="Arial" w:eastAsia="Arial" w:hAnsi="Arial"/>
          <w:sz w:val="19"/>
          <w:szCs w:val="19"/>
          <w:b w:val="1"/>
          <w:bCs w:val="1"/>
          <w:color w:val="auto"/>
        </w:rPr>
        <w:t>Conversion Agent</w:t>
      </w:r>
      <w:r>
        <w:rPr>
          <w:rFonts w:ascii="Arial" w:cs="Arial" w:eastAsia="Arial" w:hAnsi="Arial"/>
          <w:sz w:val="19"/>
          <w:szCs w:val="19"/>
          <w:color w:val="auto"/>
        </w:rPr>
        <w:t>”), (ii) Notes may be presented for payment (“</w:t>
      </w:r>
      <w:r>
        <w:rPr>
          <w:rFonts w:ascii="Arial" w:cs="Arial" w:eastAsia="Arial" w:hAnsi="Arial"/>
          <w:sz w:val="19"/>
          <w:szCs w:val="19"/>
          <w:b w:val="1"/>
          <w:bCs w:val="1"/>
          <w:color w:val="auto"/>
        </w:rPr>
        <w:t>Paying Agent</w:t>
      </w:r>
      <w:r>
        <w:rPr>
          <w:rFonts w:ascii="Arial" w:cs="Arial" w:eastAsia="Arial" w:hAnsi="Arial"/>
          <w:sz w:val="19"/>
          <w:szCs w:val="19"/>
          <w:color w:val="auto"/>
        </w:rPr>
        <w:t>”), (ii) Notes may be presented as herein above authorized for registration of transfer and exchange, and</w:t>
      </w:r>
    </w:p>
    <w:p>
      <w:pPr>
        <w:spacing w:after="0" w:line="4" w:lineRule="exact"/>
        <w:rPr>
          <w:sz w:val="20"/>
          <w:szCs w:val="20"/>
          <w:color w:val="auto"/>
        </w:rPr>
      </w:pPr>
    </w:p>
    <w:p>
      <w:pPr>
        <w:ind w:right="40" w:firstLine="8"/>
        <w:spacing w:after="0" w:line="232" w:lineRule="auto"/>
        <w:tabs>
          <w:tab w:leader="none" w:pos="378"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notices and demands to or upon the Company in respect of the Notes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w:t>
      </w:r>
    </w:p>
    <w:p>
      <w:pPr>
        <w:sectPr>
          <w:pgSz w:w="11900" w:h="16838" w:orient="portrait"/>
          <w:cols w:equalWidth="0" w:num="1">
            <w:col w:w="11380"/>
          </w:cols>
          <w:pgMar w:left="240" w:top="267" w:right="279" w:bottom="1440" w:gutter="0" w:footer="0" w:header="0"/>
        </w:sectPr>
      </w:pPr>
    </w:p>
    <w:bookmarkStart w:id="81" w:name="page82"/>
    <w:bookmarkEnd w:id="81"/>
    <w:p>
      <w:pPr>
        <w:ind w:right="1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as its agent to receive all such presentations, notices and demands. The Company initially appoints the Corporate Trust Office of the Trustee as Conversion Agent and Paying Agent with respect to the Notes.</w:t>
      </w:r>
    </w:p>
    <w:p>
      <w:pPr>
        <w:spacing w:after="0" w:line="173" w:lineRule="exact"/>
        <w:rPr>
          <w:sz w:val="20"/>
          <w:szCs w:val="20"/>
          <w:color w:val="auto"/>
        </w:rPr>
      </w:pPr>
    </w:p>
    <w:p>
      <w:pPr>
        <w:ind w:right="320" w:firstLine="799"/>
        <w:spacing w:after="0"/>
        <w:rPr>
          <w:sz w:val="20"/>
          <w:szCs w:val="20"/>
          <w:color w:val="auto"/>
        </w:rPr>
      </w:pPr>
      <w:r>
        <w:rPr>
          <w:rFonts w:ascii="Arial" w:cs="Arial" w:eastAsia="Arial" w:hAnsi="Arial"/>
          <w:sz w:val="22"/>
          <w:szCs w:val="22"/>
          <w:i w:val="1"/>
          <w:iCs w:val="1"/>
          <w:color w:val="auto"/>
        </w:rPr>
        <w:t xml:space="preserve">Section 4.06. Paying Agents. </w:t>
      </w:r>
      <w:r>
        <w:rPr>
          <w:rFonts w:ascii="Arial" w:cs="Arial" w:eastAsia="Arial" w:hAnsi="Arial"/>
          <w:sz w:val="22"/>
          <w:szCs w:val="22"/>
          <w:color w:val="auto"/>
        </w:rPr>
        <w:t>(a) If the Company shall appoint one or more paying agents for the Notes, other than the</w:t>
      </w:r>
      <w:r>
        <w:rPr>
          <w:rFonts w:ascii="Arial" w:cs="Arial" w:eastAsia="Arial" w:hAnsi="Arial"/>
          <w:sz w:val="22"/>
          <w:szCs w:val="22"/>
          <w:i w:val="1"/>
          <w:iCs w:val="1"/>
          <w:color w:val="auto"/>
        </w:rPr>
        <w:t xml:space="preserve"> </w:t>
      </w:r>
      <w:r>
        <w:rPr>
          <w:rFonts w:ascii="Arial" w:cs="Arial" w:eastAsia="Arial" w:hAnsi="Arial"/>
          <w:sz w:val="22"/>
          <w:szCs w:val="22"/>
          <w:color w:val="auto"/>
        </w:rPr>
        <w:t>Trustee, the Company will cause each such paying agent to execute and deliver to the Trustee an instrument in which such agent shall agree with the Trustee, subject to the provisions of this Section 4.06:</w:t>
      </w:r>
    </w:p>
    <w:p>
      <w:pPr>
        <w:spacing w:after="0" w:line="186" w:lineRule="exact"/>
        <w:rPr>
          <w:sz w:val="20"/>
          <w:szCs w:val="20"/>
          <w:color w:val="auto"/>
        </w:rPr>
      </w:pPr>
    </w:p>
    <w:p>
      <w:pPr>
        <w:jc w:val="both"/>
        <w:ind w:left="800" w:right="20" w:firstLine="750"/>
        <w:spacing w:after="0"/>
        <w:tabs>
          <w:tab w:leader="none" w:pos="2179"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that it will hold all sums held by it as such agent for the payment of the principal of (and premium, if any) or interest on the Notes (whether such sums have been paid to it by the Company or by any other obligor of such Notes) in trust for the benefit of the Persons entitled thereto;</w:t>
      </w:r>
    </w:p>
    <w:p>
      <w:pPr>
        <w:spacing w:after="0" w:line="186" w:lineRule="exact"/>
        <w:rPr>
          <w:rFonts w:ascii="Arial" w:cs="Arial" w:eastAsia="Arial" w:hAnsi="Arial"/>
          <w:sz w:val="22"/>
          <w:szCs w:val="22"/>
          <w:color w:val="auto"/>
        </w:rPr>
      </w:pPr>
    </w:p>
    <w:p>
      <w:pPr>
        <w:ind w:left="800" w:right="100" w:firstLine="750"/>
        <w:spacing w:after="0" w:line="251" w:lineRule="auto"/>
        <w:tabs>
          <w:tab w:leader="none" w:pos="2185"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that it will give the Trustee notice of any failure by the Company to make any payment of the principal of (and premium, if any) or interest on the Notes when the same shall be due and payable;</w:t>
      </w:r>
    </w:p>
    <w:p>
      <w:pPr>
        <w:spacing w:after="0" w:line="173" w:lineRule="exact"/>
        <w:rPr>
          <w:rFonts w:ascii="Arial" w:cs="Arial" w:eastAsia="Arial" w:hAnsi="Arial"/>
          <w:sz w:val="22"/>
          <w:szCs w:val="22"/>
          <w:color w:val="auto"/>
        </w:rPr>
      </w:pPr>
    </w:p>
    <w:p>
      <w:pPr>
        <w:jc w:val="both"/>
        <w:ind w:left="800" w:right="100" w:firstLine="750"/>
        <w:spacing w:after="0"/>
        <w:tabs>
          <w:tab w:leader="none" w:pos="2191"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that it will, at any time during the continuance of any failure referred to in the preceding paragraph (a)(ii) above, upon the written request of the Trustee, forthwith pay to the Trustee all sums so held in trust by such paying agent; and</w:t>
      </w:r>
    </w:p>
    <w:p>
      <w:pPr>
        <w:spacing w:after="0" w:line="186" w:lineRule="exact"/>
        <w:rPr>
          <w:rFonts w:ascii="Arial" w:cs="Arial" w:eastAsia="Arial" w:hAnsi="Arial"/>
          <w:sz w:val="22"/>
          <w:szCs w:val="22"/>
          <w:color w:val="auto"/>
        </w:rPr>
      </w:pPr>
    </w:p>
    <w:p>
      <w:pPr>
        <w:ind w:left="2180" w:hanging="630"/>
        <w:spacing w:after="0"/>
        <w:tabs>
          <w:tab w:leader="none" w:pos="218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that it will perform all other duties of paying agent as set forth in this Indenture.</w:t>
      </w:r>
    </w:p>
    <w:p>
      <w:pPr>
        <w:spacing w:after="0" w:line="206" w:lineRule="exact"/>
        <w:rPr>
          <w:rFonts w:ascii="Arial" w:cs="Arial" w:eastAsia="Arial" w:hAnsi="Arial"/>
          <w:sz w:val="22"/>
          <w:szCs w:val="22"/>
          <w:color w:val="auto"/>
        </w:rPr>
      </w:pPr>
    </w:p>
    <w:p>
      <w:pPr>
        <w:ind w:right="200" w:firstLine="807"/>
        <w:spacing w:after="0" w:line="235" w:lineRule="auto"/>
        <w:tabs>
          <w:tab w:leader="none" w:pos="1483" w:val="left"/>
        </w:tabs>
        <w:numPr>
          <w:ilvl w:val="0"/>
          <w:numId w:val="34"/>
        </w:numPr>
        <w:rPr>
          <w:rFonts w:ascii="Arial" w:cs="Arial" w:eastAsia="Arial" w:hAnsi="Arial"/>
          <w:sz w:val="22"/>
          <w:szCs w:val="22"/>
          <w:color w:val="auto"/>
        </w:rPr>
      </w:pPr>
      <w:r>
        <w:rPr>
          <w:rFonts w:ascii="Arial" w:cs="Arial" w:eastAsia="Arial" w:hAnsi="Arial"/>
          <w:sz w:val="22"/>
          <w:szCs w:val="22"/>
          <w:color w:val="auto"/>
        </w:rPr>
        <w:t>If the Company shall act as its own paying agent with respect to any Notes, it will on or before each due date of the principal of (and premium, if any) or interest on the Notes, set aside, segregate and hold in trust for the benefit of the Persons entitled thereto a sum sufficient to pay such principal (and premium, if any) or interest so becoming due on Notes until such sums shall be paid to such Persons or otherwise disposed of as herein provided and will promptly notify the Trustee of such action, or any failure to take such action. The Trustee shall have no liability or responsibility for the action or inaction of any Paying Agent (that is not the Trustee).</w:t>
      </w:r>
    </w:p>
    <w:p>
      <w:pPr>
        <w:spacing w:after="0" w:line="188" w:lineRule="exact"/>
        <w:rPr>
          <w:rFonts w:ascii="Arial" w:cs="Arial" w:eastAsia="Arial" w:hAnsi="Arial"/>
          <w:sz w:val="22"/>
          <w:szCs w:val="22"/>
          <w:color w:val="auto"/>
        </w:rPr>
      </w:pPr>
    </w:p>
    <w:p>
      <w:pPr>
        <w:ind w:firstLine="807"/>
        <w:spacing w:after="0" w:line="282" w:lineRule="auto"/>
        <w:tabs>
          <w:tab w:leader="none" w:pos="1471"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Notwithstanding anything in this Section 4.06 to the contrary, (i) the agreement to hold sums in trust as provided in this Section 4.06 is subject to the provisions of Section 3.02 and Section 3.03,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w:t>
      </w:r>
    </w:p>
    <w:p>
      <w:pPr>
        <w:sectPr>
          <w:pgSz w:w="11900" w:h="16838" w:orient="portrait"/>
          <w:cols w:equalWidth="0" w:num="1">
            <w:col w:w="11420"/>
          </w:cols>
          <w:pgMar w:left="240" w:top="267" w:right="239" w:bottom="1440" w:gutter="0" w:footer="0" w:header="0"/>
        </w:sectPr>
      </w:pPr>
    </w:p>
    <w:bookmarkStart w:id="82" w:name="page83"/>
    <w:bookmarkEnd w:id="82"/>
    <w:p>
      <w:pPr>
        <w:ind w:right="4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any paying agent to the Trustee, the Company or such paying agent shall be released from all further liability with respect to such money.</w:t>
      </w:r>
    </w:p>
    <w:p>
      <w:pPr>
        <w:spacing w:after="0" w:line="173" w:lineRule="exact"/>
        <w:rPr>
          <w:sz w:val="20"/>
          <w:szCs w:val="20"/>
          <w:color w:val="auto"/>
        </w:rPr>
      </w:pPr>
    </w:p>
    <w:p>
      <w:pPr>
        <w:ind w:right="120" w:firstLine="799"/>
        <w:spacing w:after="0"/>
        <w:rPr>
          <w:sz w:val="20"/>
          <w:szCs w:val="20"/>
          <w:color w:val="auto"/>
        </w:rPr>
      </w:pPr>
      <w:r>
        <w:rPr>
          <w:rFonts w:ascii="Arial" w:cs="Arial" w:eastAsia="Arial" w:hAnsi="Arial"/>
          <w:sz w:val="22"/>
          <w:szCs w:val="22"/>
          <w:i w:val="1"/>
          <w:iCs w:val="1"/>
          <w:color w:val="auto"/>
        </w:rPr>
        <w:t xml:space="preserve">Section 4.07. Appointment to Fill Vacancy in Office of Trustee. </w:t>
      </w:r>
      <w:r>
        <w:rPr>
          <w:rFonts w:ascii="Arial" w:cs="Arial" w:eastAsia="Arial" w:hAnsi="Arial"/>
          <w:sz w:val="22"/>
          <w:szCs w:val="22"/>
          <w:color w:val="auto"/>
        </w:rPr>
        <w:t>The Company, whenever necessary to avoid or fill a</w:t>
      </w:r>
      <w:r>
        <w:rPr>
          <w:rFonts w:ascii="Arial" w:cs="Arial" w:eastAsia="Arial" w:hAnsi="Arial"/>
          <w:sz w:val="22"/>
          <w:szCs w:val="22"/>
          <w:i w:val="1"/>
          <w:iCs w:val="1"/>
          <w:color w:val="auto"/>
        </w:rPr>
        <w:t xml:space="preserve"> </w:t>
      </w:r>
      <w:r>
        <w:rPr>
          <w:rFonts w:ascii="Arial" w:cs="Arial" w:eastAsia="Arial" w:hAnsi="Arial"/>
          <w:sz w:val="22"/>
          <w:szCs w:val="22"/>
          <w:color w:val="auto"/>
        </w:rPr>
        <w:t>vacancy in the office of Trustee, will appoint, in the manner provided in Section 7.10, a Trustee, so that there shall at all times be a Trustee hereunder.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5</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OLDERS</w:t>
      </w:r>
      <w:r>
        <w:rPr>
          <w:rFonts w:ascii="Arial" w:cs="Arial" w:eastAsia="Arial" w:hAnsi="Arial"/>
          <w:sz w:val="22"/>
          <w:szCs w:val="22"/>
          <w:color w:val="auto"/>
        </w:rPr>
        <w:t>’ L</w:t>
      </w:r>
      <w:r>
        <w:rPr>
          <w:rFonts w:ascii="Arial" w:cs="Arial" w:eastAsia="Arial" w:hAnsi="Arial"/>
          <w:sz w:val="18"/>
          <w:szCs w:val="18"/>
          <w:color w:val="auto"/>
        </w:rPr>
        <w:t>ISTS AND</w:t>
      </w:r>
      <w:r>
        <w:rPr>
          <w:rFonts w:ascii="Arial" w:cs="Arial" w:eastAsia="Arial" w:hAnsi="Arial"/>
          <w:sz w:val="22"/>
          <w:szCs w:val="22"/>
          <w:color w:val="auto"/>
        </w:rPr>
        <w:t xml:space="preserve"> R</w:t>
      </w:r>
      <w:r>
        <w:rPr>
          <w:rFonts w:ascii="Arial" w:cs="Arial" w:eastAsia="Arial" w:hAnsi="Arial"/>
          <w:sz w:val="18"/>
          <w:szCs w:val="18"/>
          <w:color w:val="auto"/>
        </w:rPr>
        <w:t>EPORTS BY THE</w:t>
      </w:r>
      <w:r>
        <w:rPr>
          <w:rFonts w:ascii="Arial" w:cs="Arial" w:eastAsia="Arial" w:hAnsi="Arial"/>
          <w:sz w:val="22"/>
          <w:szCs w:val="22"/>
          <w:color w:val="auto"/>
        </w:rPr>
        <w:t xml:space="preserve"> C</w:t>
      </w:r>
      <w:r>
        <w:rPr>
          <w:rFonts w:ascii="Arial" w:cs="Arial" w:eastAsia="Arial" w:hAnsi="Arial"/>
          <w:sz w:val="18"/>
          <w:szCs w:val="18"/>
          <w:color w:val="auto"/>
        </w:rPr>
        <w:t>OMPANY AND THE</w:t>
      </w:r>
      <w:r>
        <w:rPr>
          <w:rFonts w:ascii="Arial" w:cs="Arial" w:eastAsia="Arial" w:hAnsi="Arial"/>
          <w:sz w:val="22"/>
          <w:szCs w:val="22"/>
          <w:color w:val="auto"/>
        </w:rPr>
        <w:t xml:space="preserve"> T</w:t>
      </w:r>
      <w:r>
        <w:rPr>
          <w:rFonts w:ascii="Arial" w:cs="Arial" w:eastAsia="Arial" w:hAnsi="Arial"/>
          <w:sz w:val="18"/>
          <w:szCs w:val="18"/>
          <w:color w:val="auto"/>
        </w:rPr>
        <w:t>RUSTEE</w:t>
      </w:r>
    </w:p>
    <w:p>
      <w:pPr>
        <w:spacing w:after="0" w:line="188" w:lineRule="exact"/>
        <w:rPr>
          <w:sz w:val="20"/>
          <w:szCs w:val="20"/>
          <w:color w:val="auto"/>
        </w:rPr>
      </w:pPr>
    </w:p>
    <w:p>
      <w:pPr>
        <w:ind w:right="40" w:firstLine="799"/>
        <w:spacing w:after="0" w:line="246" w:lineRule="auto"/>
        <w:rPr>
          <w:sz w:val="20"/>
          <w:szCs w:val="20"/>
          <w:color w:val="auto"/>
        </w:rPr>
      </w:pPr>
      <w:r>
        <w:rPr>
          <w:rFonts w:ascii="Arial" w:cs="Arial" w:eastAsia="Arial" w:hAnsi="Arial"/>
          <w:sz w:val="21"/>
          <w:szCs w:val="21"/>
          <w:i w:val="1"/>
          <w:iCs w:val="1"/>
          <w:color w:val="auto"/>
        </w:rPr>
        <w:t xml:space="preserve">Section 5.01. Company to Furnish Trustee Names and Addresses of Holders. </w:t>
      </w:r>
      <w:r>
        <w:rPr>
          <w:rFonts w:ascii="Arial" w:cs="Arial" w:eastAsia="Arial" w:hAnsi="Arial"/>
          <w:sz w:val="21"/>
          <w:szCs w:val="21"/>
          <w:color w:val="auto"/>
        </w:rPr>
        <w:t>The Company will furnish or cause to be</w:t>
      </w:r>
      <w:r>
        <w:rPr>
          <w:rFonts w:ascii="Arial" w:cs="Arial" w:eastAsia="Arial" w:hAnsi="Arial"/>
          <w:sz w:val="21"/>
          <w:szCs w:val="21"/>
          <w:i w:val="1"/>
          <w:iCs w:val="1"/>
          <w:color w:val="auto"/>
        </w:rPr>
        <w:t xml:space="preserve"> </w:t>
      </w:r>
      <w:r>
        <w:rPr>
          <w:rFonts w:ascii="Arial" w:cs="Arial" w:eastAsia="Arial" w:hAnsi="Arial"/>
          <w:sz w:val="21"/>
          <w:szCs w:val="21"/>
          <w:color w:val="auto"/>
        </w:rPr>
        <w:t>furnished to the Trustee (a) within 10 days after each Regular Record Date, a list, in such form as the Trustee may reasonably require, of the names and addresses of the Holders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Notes for which the Trustee shall be the Note Registrar.</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Section 5.02. Preservation Of Information; Communications With Holders.</w:t>
      </w:r>
    </w:p>
    <w:p>
      <w:pPr>
        <w:spacing w:after="0" w:line="206" w:lineRule="exact"/>
        <w:rPr>
          <w:sz w:val="20"/>
          <w:szCs w:val="20"/>
          <w:color w:val="auto"/>
        </w:rPr>
      </w:pPr>
    </w:p>
    <w:p>
      <w:pPr>
        <w:jc w:val="both"/>
        <w:ind w:right="260" w:firstLine="807"/>
        <w:spacing w:after="0" w:line="297" w:lineRule="auto"/>
        <w:tabs>
          <w:tab w:leader="none" w:pos="1467"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Trustee shall preserve, in as current a form as is reasonably practicable, all information as to the names and addresses of the Holders of Notes contained in the most recent list furnished to it as provided in Section 5.01 and as to the names and addresses of Holders of Notes received by the Trustee in its capacity as Note Registrar (if acting in such capacity).</w:t>
      </w:r>
    </w:p>
    <w:p>
      <w:pPr>
        <w:spacing w:after="0" w:line="134" w:lineRule="exact"/>
        <w:rPr>
          <w:rFonts w:ascii="Arial" w:cs="Arial" w:eastAsia="Arial" w:hAnsi="Arial"/>
          <w:sz w:val="19"/>
          <w:szCs w:val="19"/>
          <w:color w:val="auto"/>
        </w:rPr>
      </w:pPr>
    </w:p>
    <w:p>
      <w:pPr>
        <w:ind w:left="1480" w:hanging="673"/>
        <w:spacing w:after="0"/>
        <w:tabs>
          <w:tab w:leader="none" w:pos="14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Trustee may destroy any list furnished to it as provided in Section 5.01 upon receipt of a new list so furnished.</w:t>
      </w:r>
    </w:p>
    <w:p>
      <w:pPr>
        <w:spacing w:after="0" w:line="240" w:lineRule="exact"/>
        <w:rPr>
          <w:rFonts w:ascii="Arial" w:cs="Arial" w:eastAsia="Arial" w:hAnsi="Arial"/>
          <w:sz w:val="19"/>
          <w:szCs w:val="19"/>
          <w:color w:val="auto"/>
        </w:rPr>
      </w:pPr>
    </w:p>
    <w:p>
      <w:pPr>
        <w:ind w:right="80" w:firstLine="807"/>
        <w:spacing w:after="0" w:line="274" w:lineRule="auto"/>
        <w:tabs>
          <w:tab w:leader="none" w:pos="1467"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rights of Holders to communicate with other Holders with respect to their rights under this Indenture or under the Notes, and the corresponding rights and duties of the Trustee, shall be as provided by the Trust Indenture Act.</w:t>
      </w:r>
    </w:p>
    <w:p>
      <w:pPr>
        <w:spacing w:after="0" w:line="150" w:lineRule="exact"/>
        <w:rPr>
          <w:rFonts w:ascii="Arial" w:cs="Arial" w:eastAsia="Arial" w:hAnsi="Arial"/>
          <w:sz w:val="21"/>
          <w:szCs w:val="21"/>
          <w:color w:val="auto"/>
        </w:rPr>
      </w:pPr>
    </w:p>
    <w:p>
      <w:pPr>
        <w:ind w:right="660" w:firstLine="807"/>
        <w:spacing w:after="0" w:line="328" w:lineRule="auto"/>
        <w:tabs>
          <w:tab w:leader="none" w:pos="1483" w:val="left"/>
        </w:tabs>
        <w:numPr>
          <w:ilvl w:val="0"/>
          <w:numId w:val="35"/>
        </w:numPr>
        <w:rPr>
          <w:rFonts w:ascii="Arial" w:cs="Arial" w:eastAsia="Arial" w:hAnsi="Arial"/>
          <w:sz w:val="19"/>
          <w:szCs w:val="19"/>
          <w:color w:val="auto"/>
        </w:rPr>
      </w:pPr>
      <w:r>
        <w:rPr>
          <w:rFonts w:ascii="Arial" w:cs="Arial" w:eastAsia="Arial" w:hAnsi="Arial"/>
          <w:sz w:val="19"/>
          <w:szCs w:val="19"/>
          <w:color w:val="auto"/>
        </w:rPr>
        <w:t>Every Holder, by receiving and holding the same, agrees with the Company and the Trustee that neither the Company nor the Trustee nor any agent of either of them shall be held accountable by reason of any disclosure of</w:t>
      </w:r>
    </w:p>
    <w:p>
      <w:pPr>
        <w:sectPr>
          <w:pgSz w:w="11900" w:h="16838" w:orient="portrait"/>
          <w:cols w:equalWidth="0" w:num="1">
            <w:col w:w="11420"/>
          </w:cols>
          <w:pgMar w:left="240" w:top="267" w:right="239" w:bottom="1440" w:gutter="0" w:footer="0" w:header="0"/>
        </w:sectPr>
      </w:pPr>
    </w:p>
    <w:bookmarkStart w:id="83" w:name="page84"/>
    <w:bookmarkEnd w:id="83"/>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as to names and addresses of Holders made pursuant hereto or otherwise in accordance with the Trust Indenture Act.</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Section 5.03. Reports by the Trustee.</w:t>
      </w:r>
    </w:p>
    <w:p>
      <w:pPr>
        <w:spacing w:after="0" w:line="206" w:lineRule="exact"/>
        <w:rPr>
          <w:sz w:val="20"/>
          <w:szCs w:val="20"/>
          <w:color w:val="auto"/>
        </w:rPr>
      </w:pPr>
    </w:p>
    <w:p>
      <w:pPr>
        <w:ind w:firstLine="807"/>
        <w:spacing w:after="0" w:line="238" w:lineRule="auto"/>
        <w:tabs>
          <w:tab w:leader="none" w:pos="1471" w:val="left"/>
        </w:tabs>
        <w:numPr>
          <w:ilvl w:val="0"/>
          <w:numId w:val="36"/>
        </w:numPr>
        <w:rPr>
          <w:rFonts w:ascii="Arial" w:cs="Arial" w:eastAsia="Arial" w:hAnsi="Arial"/>
          <w:sz w:val="22"/>
          <w:szCs w:val="22"/>
          <w:color w:val="auto"/>
        </w:rPr>
      </w:pPr>
      <w:r>
        <w:rPr>
          <w:rFonts w:ascii="Arial" w:cs="Arial" w:eastAsia="Arial" w:hAnsi="Arial"/>
          <w:sz w:val="22"/>
          <w:szCs w:val="22"/>
          <w:color w:val="auto"/>
        </w:rPr>
        <w:t>On or before July 1 in each year, commencing July 1, 2016, in which any of the Notes are Outstanding, the Trustee shall transmit by mail, first class postage prepaid or in accordance with Applicable Procedures, to the Holders, as their names and addresses appear upon the Note Register, a brief report dated as of the preceding May 1, if and to the extent required under Section 313(a) of the Trust Indenture Act.</w:t>
      </w:r>
    </w:p>
    <w:p>
      <w:pPr>
        <w:spacing w:after="0" w:line="185" w:lineRule="exact"/>
        <w:rPr>
          <w:rFonts w:ascii="Arial" w:cs="Arial" w:eastAsia="Arial" w:hAnsi="Arial"/>
          <w:sz w:val="22"/>
          <w:szCs w:val="22"/>
          <w:color w:val="auto"/>
        </w:rPr>
      </w:pPr>
    </w:p>
    <w:p>
      <w:pPr>
        <w:ind w:left="1480" w:hanging="673"/>
        <w:spacing w:after="0"/>
        <w:tabs>
          <w:tab w:leader="none" w:pos="14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Trustee shall comply with Section 313(b) and 313(c) of the Trust Indenture Act.</w:t>
      </w:r>
    </w:p>
    <w:p>
      <w:pPr>
        <w:spacing w:after="0" w:line="206" w:lineRule="exact"/>
        <w:rPr>
          <w:rFonts w:ascii="Arial" w:cs="Arial" w:eastAsia="Arial" w:hAnsi="Arial"/>
          <w:sz w:val="22"/>
          <w:szCs w:val="22"/>
          <w:color w:val="auto"/>
        </w:rPr>
      </w:pPr>
    </w:p>
    <w:p>
      <w:pPr>
        <w:ind w:right="260" w:firstLine="807"/>
        <w:spacing w:after="0" w:line="297" w:lineRule="auto"/>
        <w:tabs>
          <w:tab w:leader="none" w:pos="1459"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copy of each such report shall, at the time of such transmission to Holders, be filed by the Trustee with the Company, with each securities exchange upon which any Notes are listed (if so listed) and also with the Securities and Exchange Commission. The Company agrees to notify the Trustee when any Notes become listed on any securities exchange.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6</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EFAULT AND</w:t>
      </w:r>
      <w:r>
        <w:rPr>
          <w:rFonts w:ascii="Arial" w:cs="Arial" w:eastAsia="Arial" w:hAnsi="Arial"/>
          <w:sz w:val="22"/>
          <w:szCs w:val="22"/>
          <w:color w:val="auto"/>
        </w:rPr>
        <w:t xml:space="preserve"> R</w:t>
      </w:r>
      <w:r>
        <w:rPr>
          <w:rFonts w:ascii="Arial" w:cs="Arial" w:eastAsia="Arial" w:hAnsi="Arial"/>
          <w:sz w:val="18"/>
          <w:szCs w:val="18"/>
          <w:color w:val="auto"/>
        </w:rPr>
        <w:t>EMEDIES</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 xml:space="preserve">Section 6.01. Events of Default. </w:t>
      </w:r>
      <w:r>
        <w:rPr>
          <w:rFonts w:ascii="Arial" w:cs="Arial" w:eastAsia="Arial" w:hAnsi="Arial"/>
          <w:sz w:val="22"/>
          <w:szCs w:val="22"/>
          <w:color w:val="auto"/>
        </w:rPr>
        <w:t>An “</w:t>
      </w:r>
      <w:r>
        <w:rPr>
          <w:rFonts w:ascii="Arial" w:cs="Arial" w:eastAsia="Arial" w:hAnsi="Arial"/>
          <w:sz w:val="22"/>
          <w:szCs w:val="22"/>
          <w:b w:val="1"/>
          <w:bCs w:val="1"/>
          <w:color w:val="auto"/>
        </w:rPr>
        <w:t>Event of Default</w:t>
      </w:r>
      <w:r>
        <w:rPr>
          <w:rFonts w:ascii="Arial" w:cs="Arial" w:eastAsia="Arial" w:hAnsi="Arial"/>
          <w:sz w:val="22"/>
          <w:szCs w:val="22"/>
          <w:color w:val="auto"/>
        </w:rPr>
        <w:t>” shall occur when any of the following occurs:</w:t>
      </w:r>
    </w:p>
    <w:p>
      <w:pPr>
        <w:spacing w:after="0" w:line="212" w:lineRule="exact"/>
        <w:rPr>
          <w:sz w:val="20"/>
          <w:szCs w:val="20"/>
          <w:color w:val="auto"/>
        </w:rPr>
      </w:pPr>
    </w:p>
    <w:p>
      <w:pPr>
        <w:ind w:right="200" w:firstLine="807"/>
        <w:spacing w:after="0" w:line="251" w:lineRule="auto"/>
        <w:tabs>
          <w:tab w:leader="none" w:pos="1471"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fails to pay when due the principal of or premium, if any, on any of the Notes at the Maturity Date, upon repurchase, redemption, acceleration or otherwise; or</w:t>
      </w:r>
    </w:p>
    <w:p>
      <w:pPr>
        <w:spacing w:after="0" w:line="173" w:lineRule="exact"/>
        <w:rPr>
          <w:rFonts w:ascii="Arial" w:cs="Arial" w:eastAsia="Arial" w:hAnsi="Arial"/>
          <w:sz w:val="22"/>
          <w:szCs w:val="22"/>
          <w:color w:val="auto"/>
        </w:rPr>
      </w:pPr>
    </w:p>
    <w:p>
      <w:pPr>
        <w:ind w:left="1500" w:hanging="693"/>
        <w:spacing w:after="0"/>
        <w:tabs>
          <w:tab w:leader="none" w:pos="15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 fails to pay an installment of interest on any of the Notes for 30 days after the date when due; or</w:t>
      </w:r>
    </w:p>
    <w:p>
      <w:pPr>
        <w:spacing w:after="0" w:line="240" w:lineRule="exact"/>
        <w:rPr>
          <w:rFonts w:ascii="Arial" w:cs="Arial" w:eastAsia="Arial" w:hAnsi="Arial"/>
          <w:sz w:val="19"/>
          <w:szCs w:val="19"/>
          <w:color w:val="auto"/>
        </w:rPr>
      </w:pPr>
    </w:p>
    <w:p>
      <w:pPr>
        <w:ind w:right="20" w:firstLine="807"/>
        <w:spacing w:after="0"/>
        <w:tabs>
          <w:tab w:leader="none" w:pos="1471"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fails to deliver when due all shares of Common Stock, together with cash instead of fractional shares, and/or other property, if applicable, deliverable upon conversion of the Notes pursuant to Article 13, which failure continues for 10 days; or</w:t>
      </w:r>
    </w:p>
    <w:p>
      <w:pPr>
        <w:spacing w:after="0" w:line="186" w:lineRule="exact"/>
        <w:rPr>
          <w:rFonts w:ascii="Arial" w:cs="Arial" w:eastAsia="Arial" w:hAnsi="Arial"/>
          <w:sz w:val="22"/>
          <w:szCs w:val="22"/>
          <w:color w:val="auto"/>
        </w:rPr>
      </w:pPr>
    </w:p>
    <w:p>
      <w:pPr>
        <w:ind w:right="280" w:firstLine="807"/>
        <w:spacing w:after="0" w:line="238" w:lineRule="auto"/>
        <w:tabs>
          <w:tab w:leader="none" w:pos="1483"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fails to perform or observe any other term, covenant or agreement contained in the Notes or this Indenture for a period of 60 days after written notice of such failure, requiring the Company to remedy the same, shall have been given to the Company by the Trustee or to the Company and the Trustee by the Holders of at least 25% in aggregate principal amount of the then-Outstanding Notes; or</w:t>
      </w:r>
    </w:p>
    <w:p>
      <w:pPr>
        <w:sectPr>
          <w:pgSz w:w="11900" w:h="16838" w:orient="portrait"/>
          <w:cols w:equalWidth="0" w:num="1">
            <w:col w:w="11420"/>
          </w:cols>
          <w:pgMar w:left="240" w:top="267" w:right="239" w:bottom="1440" w:gutter="0" w:footer="0" w:header="0"/>
        </w:sectPr>
      </w:pPr>
    </w:p>
    <w:bookmarkStart w:id="84" w:name="page85"/>
    <w:bookmarkEnd w:id="84"/>
    <w:p>
      <w:pPr>
        <w:ind w:right="40" w:firstLine="807"/>
        <w:spacing w:after="0" w:line="271" w:lineRule="auto"/>
        <w:tabs>
          <w:tab w:leader="none" w:pos="1471" w:val="left"/>
        </w:tabs>
        <w:numPr>
          <w:ilvl w:val="1"/>
          <w:numId w:val="3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the Company fails to make any payment by the end of the applicable grace period, if any, after the maturity of any indebtedness for borrowed money in an amount in excess of $25,000,000 or (ii) there is an acceleration of any indebtedness for borrowed money in an amount in excess of $25,000,000 because of a default with respect to such indebtedness without such indebtedness having been discharged or such acceleration having been cured, waived, rescinded or annulled, in the case of either</w:t>
      </w:r>
    </w:p>
    <w:p>
      <w:pPr>
        <w:spacing w:after="0" w:line="3" w:lineRule="exact"/>
        <w:rPr>
          <w:rFonts w:ascii="Arial" w:cs="Arial" w:eastAsia="Arial" w:hAnsi="Arial"/>
          <w:sz w:val="19"/>
          <w:szCs w:val="19"/>
          <w:color w:val="auto"/>
        </w:rPr>
      </w:pPr>
    </w:p>
    <w:p>
      <w:pPr>
        <w:ind w:right="280" w:firstLine="8"/>
        <w:spacing w:after="0" w:line="237" w:lineRule="auto"/>
        <w:tabs>
          <w:tab w:leader="none" w:pos="258" w:val="left"/>
        </w:tabs>
        <w:numPr>
          <w:ilvl w:val="0"/>
          <w:numId w:val="39"/>
        </w:numPr>
        <w:rPr>
          <w:rFonts w:ascii="Arial" w:cs="Arial" w:eastAsia="Arial" w:hAnsi="Arial"/>
          <w:sz w:val="22"/>
          <w:szCs w:val="22"/>
          <w:color w:val="auto"/>
        </w:rPr>
      </w:pPr>
      <w:r>
        <w:rPr>
          <w:rFonts w:ascii="Arial" w:cs="Arial" w:eastAsia="Arial" w:hAnsi="Arial"/>
          <w:sz w:val="22"/>
          <w:szCs w:val="22"/>
          <w:color w:val="auto"/>
        </w:rPr>
        <w:t>or (ii) above, for a period of 30 days after written notice to the Company by the Trustee or to the Company and the Trustee by Holders of at least 25% in aggregate principal amount of the then-Outstanding Notes; or</w:t>
      </w:r>
    </w:p>
    <w:p>
      <w:pPr>
        <w:spacing w:after="0" w:line="184" w:lineRule="exact"/>
        <w:rPr>
          <w:rFonts w:ascii="Arial" w:cs="Arial" w:eastAsia="Arial" w:hAnsi="Arial"/>
          <w:sz w:val="22"/>
          <w:szCs w:val="22"/>
          <w:color w:val="auto"/>
        </w:rPr>
      </w:pPr>
    </w:p>
    <w:p>
      <w:pPr>
        <w:ind w:left="1460" w:hanging="653"/>
        <w:spacing w:after="0"/>
        <w:tabs>
          <w:tab w:leader="none" w:pos="146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Company fails to provide a Fundamental Change Company Notice in accordance with Section 15.01; or</w:t>
      </w:r>
    </w:p>
    <w:p>
      <w:pPr>
        <w:spacing w:after="0" w:line="240" w:lineRule="exact"/>
        <w:rPr>
          <w:rFonts w:ascii="Arial" w:cs="Arial" w:eastAsia="Arial" w:hAnsi="Arial"/>
          <w:sz w:val="19"/>
          <w:szCs w:val="19"/>
          <w:color w:val="auto"/>
        </w:rPr>
      </w:pPr>
    </w:p>
    <w:p>
      <w:pPr>
        <w:ind w:firstLine="807"/>
        <w:spacing w:after="0" w:line="238" w:lineRule="auto"/>
        <w:tabs>
          <w:tab w:leader="none" w:pos="1483" w:val="left"/>
        </w:tabs>
        <w:numPr>
          <w:ilvl w:val="1"/>
          <w:numId w:val="39"/>
        </w:numPr>
        <w:rPr>
          <w:rFonts w:ascii="Arial" w:cs="Arial" w:eastAsia="Arial" w:hAnsi="Arial"/>
          <w:sz w:val="22"/>
          <w:szCs w:val="22"/>
          <w:color w:val="auto"/>
        </w:rPr>
      </w:pPr>
      <w:r>
        <w:rPr>
          <w:rFonts w:ascii="Arial" w:cs="Arial" w:eastAsia="Arial" w:hAnsi="Arial"/>
          <w:sz w:val="22"/>
          <w:szCs w:val="22"/>
          <w:color w:val="auto"/>
        </w:rPr>
        <w:t>a court having jurisdiction enters a decree or order under any Bankruptcy Law that: (i) for relief against the Company in an involuntary case or proceeding; or adjudicates the Company bankrupt or insolvent; or (ii) appoints a Receiver of the Company or of any substantial part of its property; or (iii) orders the winding up or liquidation of the Company, and (iv) the decree or order remains unstayed and in effect for a period of 90 days; or</w:t>
      </w:r>
    </w:p>
    <w:p>
      <w:pPr>
        <w:spacing w:after="0" w:line="185" w:lineRule="exact"/>
        <w:rPr>
          <w:rFonts w:ascii="Arial" w:cs="Arial" w:eastAsia="Arial" w:hAnsi="Arial"/>
          <w:sz w:val="22"/>
          <w:szCs w:val="22"/>
          <w:color w:val="auto"/>
        </w:rPr>
      </w:pPr>
    </w:p>
    <w:p>
      <w:pPr>
        <w:ind w:left="1500" w:hanging="693"/>
        <w:spacing w:after="0"/>
        <w:tabs>
          <w:tab w:leader="none" w:pos="150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Company pursuant to or within the meaning of any Bankruptcy Law:</w:t>
      </w:r>
    </w:p>
    <w:p>
      <w:pPr>
        <w:spacing w:after="0" w:line="206" w:lineRule="exact"/>
        <w:rPr>
          <w:rFonts w:ascii="Arial" w:cs="Arial" w:eastAsia="Arial" w:hAnsi="Arial"/>
          <w:sz w:val="22"/>
          <w:szCs w:val="22"/>
          <w:color w:val="auto"/>
        </w:rPr>
      </w:pPr>
    </w:p>
    <w:p>
      <w:pPr>
        <w:ind w:left="2180" w:hanging="630"/>
        <w:spacing w:after="0"/>
        <w:tabs>
          <w:tab w:leader="none" w:pos="2180" w:val="left"/>
        </w:tabs>
        <w:numPr>
          <w:ilvl w:val="2"/>
          <w:numId w:val="39"/>
        </w:numPr>
        <w:rPr>
          <w:rFonts w:ascii="Arial" w:cs="Arial" w:eastAsia="Arial" w:hAnsi="Arial"/>
          <w:sz w:val="22"/>
          <w:szCs w:val="22"/>
          <w:color w:val="auto"/>
        </w:rPr>
      </w:pPr>
      <w:r>
        <w:rPr>
          <w:rFonts w:ascii="Arial" w:cs="Arial" w:eastAsia="Arial" w:hAnsi="Arial"/>
          <w:sz w:val="22"/>
          <w:szCs w:val="22"/>
          <w:color w:val="auto"/>
        </w:rPr>
        <w:t>commences as a debtor a voluntary case or proceeding;</w:t>
      </w:r>
    </w:p>
    <w:p>
      <w:pPr>
        <w:spacing w:after="0" w:line="206" w:lineRule="exact"/>
        <w:rPr>
          <w:rFonts w:ascii="Arial" w:cs="Arial" w:eastAsia="Arial" w:hAnsi="Arial"/>
          <w:sz w:val="22"/>
          <w:szCs w:val="22"/>
          <w:color w:val="auto"/>
        </w:rPr>
      </w:pPr>
    </w:p>
    <w:p>
      <w:pPr>
        <w:ind w:left="800" w:right="1040" w:firstLine="750"/>
        <w:spacing w:after="0" w:line="251" w:lineRule="auto"/>
        <w:tabs>
          <w:tab w:leader="none" w:pos="2185" w:val="left"/>
        </w:tabs>
        <w:numPr>
          <w:ilvl w:val="2"/>
          <w:numId w:val="39"/>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 or proceeding or the commencement of any case against it;</w:t>
      </w:r>
    </w:p>
    <w:p>
      <w:pPr>
        <w:spacing w:after="0" w:line="173" w:lineRule="exact"/>
        <w:rPr>
          <w:rFonts w:ascii="Arial" w:cs="Arial" w:eastAsia="Arial" w:hAnsi="Arial"/>
          <w:sz w:val="22"/>
          <w:szCs w:val="22"/>
          <w:color w:val="auto"/>
        </w:rPr>
      </w:pPr>
    </w:p>
    <w:p>
      <w:pPr>
        <w:ind w:left="2200" w:hanging="650"/>
        <w:spacing w:after="0"/>
        <w:tabs>
          <w:tab w:leader="none" w:pos="2200" w:val="left"/>
        </w:tabs>
        <w:numPr>
          <w:ilvl w:val="2"/>
          <w:numId w:val="39"/>
        </w:numPr>
        <w:rPr>
          <w:rFonts w:ascii="Arial" w:cs="Arial" w:eastAsia="Arial" w:hAnsi="Arial"/>
          <w:sz w:val="22"/>
          <w:szCs w:val="22"/>
          <w:color w:val="auto"/>
        </w:rPr>
      </w:pPr>
      <w:r>
        <w:rPr>
          <w:rFonts w:ascii="Arial" w:cs="Arial" w:eastAsia="Arial" w:hAnsi="Arial"/>
          <w:sz w:val="22"/>
          <w:szCs w:val="22"/>
          <w:color w:val="auto"/>
        </w:rPr>
        <w:t>consents to the appointment of a Receiver of it or for all or substantially all of its property;</w:t>
      </w:r>
    </w:p>
    <w:p>
      <w:pPr>
        <w:spacing w:after="0" w:line="206" w:lineRule="exact"/>
        <w:rPr>
          <w:rFonts w:ascii="Arial" w:cs="Arial" w:eastAsia="Arial" w:hAnsi="Arial"/>
          <w:sz w:val="22"/>
          <w:szCs w:val="22"/>
          <w:color w:val="auto"/>
        </w:rPr>
      </w:pPr>
    </w:p>
    <w:p>
      <w:pPr>
        <w:ind w:left="2180" w:hanging="630"/>
        <w:spacing w:after="0"/>
        <w:tabs>
          <w:tab w:leader="none" w:pos="2180" w:val="left"/>
        </w:tabs>
        <w:numPr>
          <w:ilvl w:val="2"/>
          <w:numId w:val="39"/>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w:t>
      </w:r>
    </w:p>
    <w:p>
      <w:pPr>
        <w:spacing w:after="0" w:line="206" w:lineRule="exact"/>
        <w:rPr>
          <w:rFonts w:ascii="Arial" w:cs="Arial" w:eastAsia="Arial" w:hAnsi="Arial"/>
          <w:sz w:val="22"/>
          <w:szCs w:val="22"/>
          <w:color w:val="auto"/>
        </w:rPr>
      </w:pPr>
    </w:p>
    <w:p>
      <w:pPr>
        <w:ind w:left="2180" w:hanging="630"/>
        <w:spacing w:after="0"/>
        <w:tabs>
          <w:tab w:leader="none" w:pos="2180" w:val="left"/>
        </w:tabs>
        <w:numPr>
          <w:ilvl w:val="2"/>
          <w:numId w:val="39"/>
        </w:numPr>
        <w:rPr>
          <w:rFonts w:ascii="Arial" w:cs="Arial" w:eastAsia="Arial" w:hAnsi="Arial"/>
          <w:sz w:val="22"/>
          <w:szCs w:val="22"/>
          <w:color w:val="auto"/>
        </w:rPr>
      </w:pPr>
      <w:r>
        <w:rPr>
          <w:rFonts w:ascii="Arial" w:cs="Arial" w:eastAsia="Arial" w:hAnsi="Arial"/>
          <w:sz w:val="22"/>
          <w:szCs w:val="22"/>
          <w:color w:val="auto"/>
        </w:rPr>
        <w:t>files a petition in bankruptcy or answer or consent seeking reorganization or relief; or</w:t>
      </w:r>
    </w:p>
    <w:p>
      <w:pPr>
        <w:spacing w:after="0" w:line="206" w:lineRule="exact"/>
        <w:rPr>
          <w:rFonts w:ascii="Arial" w:cs="Arial" w:eastAsia="Arial" w:hAnsi="Arial"/>
          <w:sz w:val="22"/>
          <w:szCs w:val="22"/>
          <w:color w:val="auto"/>
        </w:rPr>
      </w:pPr>
    </w:p>
    <w:p>
      <w:pPr>
        <w:ind w:left="2180" w:hanging="630"/>
        <w:spacing w:after="0"/>
        <w:tabs>
          <w:tab w:leader="none" w:pos="2180" w:val="left"/>
        </w:tabs>
        <w:numPr>
          <w:ilvl w:val="2"/>
          <w:numId w:val="39"/>
        </w:numPr>
        <w:rPr>
          <w:rFonts w:ascii="Arial" w:cs="Arial" w:eastAsia="Arial" w:hAnsi="Arial"/>
          <w:sz w:val="21"/>
          <w:szCs w:val="21"/>
          <w:color w:val="auto"/>
        </w:rPr>
      </w:pPr>
      <w:r>
        <w:rPr>
          <w:rFonts w:ascii="Arial" w:cs="Arial" w:eastAsia="Arial" w:hAnsi="Arial"/>
          <w:sz w:val="21"/>
          <w:szCs w:val="21"/>
          <w:color w:val="auto"/>
        </w:rPr>
        <w:t>consents to the filing of such a petition or the appointment of or taking possession by a Receiver.</w:t>
      </w:r>
    </w:p>
    <w:p>
      <w:pPr>
        <w:spacing w:after="0" w:line="212" w:lineRule="exact"/>
        <w:rPr>
          <w:sz w:val="20"/>
          <w:szCs w:val="20"/>
          <w:color w:val="auto"/>
        </w:rPr>
      </w:pPr>
    </w:p>
    <w:p>
      <w:pPr>
        <w:jc w:val="both"/>
        <w:ind w:right="200" w:firstLine="799"/>
        <w:spacing w:after="0" w:line="24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Bankruptcy Law</w:t>
      </w:r>
      <w:r>
        <w:rPr>
          <w:rFonts w:ascii="Arial" w:cs="Arial" w:eastAsia="Arial" w:hAnsi="Arial"/>
          <w:sz w:val="22"/>
          <w:szCs w:val="22"/>
          <w:color w:val="auto"/>
        </w:rPr>
        <w:t>” means Title 11 of the United States Code (or any successor thereto) or any similar federal or state law for the relief of debtors. The term “</w:t>
      </w:r>
      <w:r>
        <w:rPr>
          <w:rFonts w:ascii="Arial" w:cs="Arial" w:eastAsia="Arial" w:hAnsi="Arial"/>
          <w:sz w:val="22"/>
          <w:szCs w:val="22"/>
          <w:b w:val="1"/>
          <w:bCs w:val="1"/>
          <w:color w:val="auto"/>
        </w:rPr>
        <w:t>Receiver</w:t>
      </w:r>
      <w:r>
        <w:rPr>
          <w:rFonts w:ascii="Arial" w:cs="Arial" w:eastAsia="Arial" w:hAnsi="Arial"/>
          <w:sz w:val="22"/>
          <w:szCs w:val="22"/>
          <w:color w:val="auto"/>
        </w:rPr>
        <w:t>” means any receiver, trustee, assignee, liquidator, sequestrator or similar official under any Bankruptcy Law.</w:t>
      </w:r>
    </w:p>
    <w:p>
      <w:pPr>
        <w:sectPr>
          <w:pgSz w:w="11900" w:h="16838" w:orient="portrait"/>
          <w:cols w:equalWidth="0" w:num="1">
            <w:col w:w="11420"/>
          </w:cols>
          <w:pgMar w:left="240" w:top="267" w:right="239" w:bottom="1440" w:gutter="0" w:footer="0" w:header="0"/>
        </w:sectPr>
      </w:pPr>
    </w:p>
    <w:bookmarkStart w:id="85" w:name="page86"/>
    <w:bookmarkEnd w:id="85"/>
    <w:p>
      <w:pPr>
        <w:ind w:right="320" w:firstLine="799"/>
        <w:spacing w:after="0" w:line="277"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Acceleration of Maturity; Rescission and Annulment. </w:t>
      </w:r>
      <w:r>
        <w:rPr>
          <w:rFonts w:ascii="Arial" w:cs="Arial" w:eastAsia="Arial" w:hAnsi="Arial"/>
          <w:sz w:val="19"/>
          <w:szCs w:val="19"/>
          <w:color w:val="auto"/>
        </w:rPr>
        <w:t>If an Event of Default with respect to Outstanding</w:t>
      </w:r>
      <w:r>
        <w:rPr>
          <w:rFonts w:ascii="Arial" w:cs="Arial" w:eastAsia="Arial" w:hAnsi="Arial"/>
          <w:sz w:val="19"/>
          <w:szCs w:val="19"/>
          <w:i w:val="1"/>
          <w:iCs w:val="1"/>
          <w:color w:val="auto"/>
        </w:rPr>
        <w:t xml:space="preserve"> </w:t>
      </w:r>
      <w:r>
        <w:rPr>
          <w:rFonts w:ascii="Arial" w:cs="Arial" w:eastAsia="Arial" w:hAnsi="Arial"/>
          <w:sz w:val="19"/>
          <w:szCs w:val="19"/>
          <w:color w:val="auto"/>
        </w:rPr>
        <w:t>Notes (other than an Event of Default specified Section 6.01(g) or 6.01(h) hereof in respect of the Company) occurs and is continuing, the Trustee or the Holders of at least 25% in aggregate principal amount of the then-Outstanding Notes, by written notice to the Trustee, may declare the Notes due and payable at their principal amount plus any accrued and unpaid interest, and thereupon the Trustee may, at its discretion, proceed to protect and enforce the rights of the Holders by the appropriate judicial proceedings. Such declaration may be rescinded and annulled with the written consent of the Holders of a majority in aggregate principal amount of the then-Outstanding Notes, subject to the provisions of this Indenture.</w:t>
      </w:r>
    </w:p>
    <w:p>
      <w:pPr>
        <w:spacing w:after="0" w:line="153" w:lineRule="exact"/>
        <w:rPr>
          <w:sz w:val="20"/>
          <w:szCs w:val="20"/>
          <w:color w:val="auto"/>
        </w:rPr>
      </w:pPr>
    </w:p>
    <w:p>
      <w:pPr>
        <w:ind w:right="120" w:firstLine="799"/>
        <w:spacing w:after="0"/>
        <w:rPr>
          <w:sz w:val="20"/>
          <w:szCs w:val="20"/>
          <w:color w:val="auto"/>
        </w:rPr>
      </w:pPr>
      <w:r>
        <w:rPr>
          <w:rFonts w:ascii="Arial" w:cs="Arial" w:eastAsia="Arial" w:hAnsi="Arial"/>
          <w:sz w:val="22"/>
          <w:szCs w:val="22"/>
          <w:color w:val="auto"/>
        </w:rPr>
        <w:t>If an Event of Default specified in Section 6.01(g) or 6.01(h) hereof occurs and is continuing, then all unpaid principal of and accrued and unpaid interest on the Outstanding Notes shall become immediately due and payable, without any declaration or other act on the part of the Trustee or any Holder.</w:t>
      </w:r>
    </w:p>
    <w:p>
      <w:pPr>
        <w:spacing w:after="0" w:line="186" w:lineRule="exact"/>
        <w:rPr>
          <w:sz w:val="20"/>
          <w:szCs w:val="20"/>
          <w:color w:val="auto"/>
        </w:rPr>
      </w:pPr>
    </w:p>
    <w:p>
      <w:pPr>
        <w:ind w:right="40" w:firstLine="799"/>
        <w:spacing w:after="0" w:line="247" w:lineRule="auto"/>
        <w:rPr>
          <w:sz w:val="20"/>
          <w:szCs w:val="20"/>
          <w:color w:val="auto"/>
        </w:rPr>
      </w:pPr>
      <w:r>
        <w:rPr>
          <w:rFonts w:ascii="Arial" w:cs="Arial" w:eastAsia="Arial" w:hAnsi="Arial"/>
          <w:sz w:val="21"/>
          <w:szCs w:val="21"/>
          <w:color w:val="auto"/>
        </w:rPr>
        <w:t>Notwithstanding the foregoing, at the election of the Company, the sole remedy for an Event of Default specified in Section 6.01(d) relating to the failure by the Company to comply with its reporting obligations under Section 4.03 and for any failure to comply with the requirements of Section 314(a)(1) of the Trust Indenture Act, shall (i) for the first 90 days after the occurrence of such an Event of Default, consist exclusively of the right to receive special interest on Notes (the “</w:t>
      </w:r>
      <w:r>
        <w:rPr>
          <w:rFonts w:ascii="Arial" w:cs="Arial" w:eastAsia="Arial" w:hAnsi="Arial"/>
          <w:sz w:val="21"/>
          <w:szCs w:val="21"/>
          <w:b w:val="1"/>
          <w:bCs w:val="1"/>
          <w:color w:val="auto"/>
        </w:rPr>
        <w:t>Special Interest</w:t>
      </w:r>
      <w:r>
        <w:rPr>
          <w:rFonts w:ascii="Arial" w:cs="Arial" w:eastAsia="Arial" w:hAnsi="Arial"/>
          <w:sz w:val="21"/>
          <w:szCs w:val="21"/>
          <w:color w:val="auto"/>
        </w:rPr>
        <w:t>”) at an annual rate equal to 0.25% of the principal amount of the Outstanding Notes, and (ii) for the next 90 days after the expiration of such 90 day period, consist exclusively of the right to receive Special Interest on the Notes at an annual rate equal to 0.50% of the principal amount of the Outstanding Notes.</w:t>
      </w:r>
    </w:p>
    <w:p>
      <w:pPr>
        <w:spacing w:after="0" w:line="178" w:lineRule="exact"/>
        <w:rPr>
          <w:sz w:val="20"/>
          <w:szCs w:val="20"/>
          <w:color w:val="auto"/>
        </w:rPr>
      </w:pPr>
    </w:p>
    <w:p>
      <w:pPr>
        <w:ind w:firstLine="799"/>
        <w:spacing w:after="0" w:line="273" w:lineRule="auto"/>
        <w:rPr>
          <w:sz w:val="20"/>
          <w:szCs w:val="20"/>
          <w:color w:val="auto"/>
        </w:rPr>
      </w:pPr>
      <w:r>
        <w:rPr>
          <w:rFonts w:ascii="Arial" w:cs="Arial" w:eastAsia="Arial" w:hAnsi="Arial"/>
          <w:sz w:val="19"/>
          <w:szCs w:val="19"/>
          <w:color w:val="auto"/>
        </w:rPr>
        <w:t>The Special Interest shall be paid semi-annually in arrears, with the first semi-annual payment due on the first Interest Payment Date following the date on which the Special Interest began to accrue on any Notes. The Special Interest will accrue on all Outstanding Notes from and including the date on which an Event of Default relating to a failure to comply with the reporting obligations under Section 4.03 or a failure to comply with the requirements of Section 314(a)(1) of the Trust Indenture Act first occurs to but not including the 180th day thereafter (or such earlier date on which the Event of Default relating to such reporting obligations shall have been cured or waived). On such 180th day (or earlier, if such Event of Default is cured or waived pursuant to Section 6.04 prior to such 180th day), such Special Interest will cease to accrue and, if such Event of Default relating to such reporting obligations has not been cured or waived prior to such 180th day the Notes shall be subject to acceleration as provided above in this Section 6.02. The provisions described in this paragraph shall not affect the rights of the Holders in the event of the occurrence of any other Event of Default. In the event the Company does not elect to pay Special Interest upon an Event of Default in accordance with this paragraph, the Notes will be subject to</w:t>
      </w:r>
    </w:p>
    <w:p>
      <w:pPr>
        <w:sectPr>
          <w:pgSz w:w="11900" w:h="16838" w:orient="portrait"/>
          <w:cols w:equalWidth="0" w:num="1">
            <w:col w:w="11400"/>
          </w:cols>
          <w:pgMar w:left="240" w:top="267" w:right="259" w:bottom="1440" w:gutter="0" w:footer="0" w:header="0"/>
        </w:sectPr>
      </w:pPr>
    </w:p>
    <w:bookmarkStart w:id="86" w:name="page87"/>
    <w:bookmarkEnd w:id="86"/>
    <w:p>
      <w:pPr>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acceleration as provided in this Section 6.02. If the Company elects to pay Special Interest as the sole remedy for an Event of Default specified in Section 6.01(d) relating to the failure by the Company to comply with its obligations under Section 4.03 or any failure to comply with the requirements of Section 314(a)(1) of the Trust Indenture Act, the Company shall notify in writing, in the manner provided for in Section 17.03, the Holders and the Trustee of such election at any time on or before the close of business on the date on which such Event of Default first occurs.</w:t>
      </w:r>
    </w:p>
    <w:p>
      <w:pPr>
        <w:spacing w:after="0" w:line="188" w:lineRule="exact"/>
        <w:rPr>
          <w:sz w:val="20"/>
          <w:szCs w:val="20"/>
          <w:color w:val="auto"/>
        </w:rPr>
      </w:pPr>
    </w:p>
    <w:p>
      <w:pPr>
        <w:ind w:right="300" w:firstLine="799"/>
        <w:spacing w:after="0" w:line="251" w:lineRule="auto"/>
        <w:rPr>
          <w:sz w:val="20"/>
          <w:szCs w:val="20"/>
          <w:color w:val="auto"/>
        </w:rPr>
      </w:pPr>
      <w:r>
        <w:rPr>
          <w:rFonts w:ascii="Arial" w:cs="Arial" w:eastAsia="Arial" w:hAnsi="Arial"/>
          <w:sz w:val="22"/>
          <w:szCs w:val="22"/>
          <w:color w:val="auto"/>
        </w:rPr>
        <w:t>The Holders of a majority in aggregate principal amount of the then-Outstanding Notes by written notice to the Trustee may rescind and annul an acceleration and its consequences if:</w:t>
      </w:r>
    </w:p>
    <w:p>
      <w:pPr>
        <w:spacing w:after="0" w:line="173" w:lineRule="exact"/>
        <w:rPr>
          <w:sz w:val="20"/>
          <w:szCs w:val="20"/>
          <w:color w:val="auto"/>
        </w:rPr>
      </w:pPr>
    </w:p>
    <w:p>
      <w:pPr>
        <w:ind w:right="340" w:firstLine="807"/>
        <w:spacing w:after="0"/>
        <w:tabs>
          <w:tab w:leader="none" w:pos="1483" w:val="left"/>
        </w:tabs>
        <w:numPr>
          <w:ilvl w:val="0"/>
          <w:numId w:val="40"/>
        </w:numPr>
        <w:rPr>
          <w:rFonts w:ascii="Arial" w:cs="Arial" w:eastAsia="Arial" w:hAnsi="Arial"/>
          <w:sz w:val="22"/>
          <w:szCs w:val="22"/>
          <w:color w:val="auto"/>
        </w:rPr>
      </w:pPr>
      <w:r>
        <w:rPr>
          <w:rFonts w:ascii="Arial" w:cs="Arial" w:eastAsia="Arial" w:hAnsi="Arial"/>
          <w:sz w:val="22"/>
          <w:szCs w:val="22"/>
          <w:color w:val="auto"/>
        </w:rPr>
        <w:t>all existing Events of Default, other than the nonpayment of principal (including the Redemption Price and the Fundamental Change Purchase Price, if applicable) of or interest on the Notes which has become due solely because of the acceleration, have been remedied, cured or waived, and</w:t>
      </w:r>
    </w:p>
    <w:p>
      <w:pPr>
        <w:spacing w:after="0" w:line="186" w:lineRule="exact"/>
        <w:rPr>
          <w:rFonts w:ascii="Arial" w:cs="Arial" w:eastAsia="Arial" w:hAnsi="Arial"/>
          <w:sz w:val="22"/>
          <w:szCs w:val="22"/>
          <w:color w:val="auto"/>
        </w:rPr>
      </w:pPr>
    </w:p>
    <w:p>
      <w:pPr>
        <w:ind w:left="1500" w:hanging="693"/>
        <w:spacing w:after="0"/>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rescission would not conflict with any judgment or decree of a court of competent jurisdiction;</w:t>
      </w:r>
    </w:p>
    <w:p>
      <w:pPr>
        <w:spacing w:after="0" w:line="206" w:lineRule="exact"/>
        <w:rPr>
          <w:sz w:val="20"/>
          <w:szCs w:val="20"/>
          <w:color w:val="auto"/>
        </w:rPr>
      </w:pPr>
    </w:p>
    <w:p>
      <w:pPr>
        <w:ind w:right="100" w:firstLine="799"/>
        <w:spacing w:after="0" w:line="276"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such declaration of acceleration has been made based on the existence of an Event of</w:t>
      </w:r>
      <w:r>
        <w:rPr>
          <w:rFonts w:ascii="Arial" w:cs="Arial" w:eastAsia="Arial" w:hAnsi="Arial"/>
          <w:sz w:val="19"/>
          <w:szCs w:val="19"/>
          <w:i w:val="1"/>
          <w:iCs w:val="1"/>
          <w:color w:val="auto"/>
        </w:rPr>
        <w:t xml:space="preserve"> </w:t>
      </w:r>
      <w:r>
        <w:rPr>
          <w:rFonts w:ascii="Arial" w:cs="Arial" w:eastAsia="Arial" w:hAnsi="Arial"/>
          <w:sz w:val="19"/>
          <w:szCs w:val="19"/>
          <w:color w:val="auto"/>
        </w:rPr>
        <w:t>Default under Section 6.01(e) hereof and such Event of Default has been remedied, cured or waived in accordance with</w:t>
      </w:r>
    </w:p>
    <w:p>
      <w:pPr>
        <w:spacing w:after="0" w:line="2" w:lineRule="exact"/>
        <w:rPr>
          <w:sz w:val="20"/>
          <w:szCs w:val="20"/>
          <w:color w:val="auto"/>
        </w:rPr>
      </w:pPr>
    </w:p>
    <w:p>
      <w:pPr>
        <w:jc w:val="both"/>
        <w:ind w:right="780"/>
        <w:spacing w:after="0" w:line="234" w:lineRule="auto"/>
        <w:rPr>
          <w:sz w:val="20"/>
          <w:szCs w:val="20"/>
          <w:color w:val="auto"/>
        </w:rPr>
      </w:pPr>
      <w:r>
        <w:rPr>
          <w:rFonts w:ascii="Arial" w:cs="Arial" w:eastAsia="Arial" w:hAnsi="Arial"/>
          <w:sz w:val="22"/>
          <w:szCs w:val="22"/>
          <w:color w:val="auto"/>
        </w:rPr>
        <w:t>Section 6.01(e) hereof, then, without any further action by the Holders, such declaration of acceleration shall be rescinded automatically and the consequences of such declaration shall be annulled. No such rescission or annulment shall affect any subsequent Default or impair any right consequent thereon.</w:t>
      </w:r>
    </w:p>
    <w:p>
      <w:pPr>
        <w:spacing w:after="0" w:line="187" w:lineRule="exact"/>
        <w:rPr>
          <w:sz w:val="20"/>
          <w:szCs w:val="20"/>
          <w:color w:val="auto"/>
        </w:rPr>
      </w:pPr>
    </w:p>
    <w:p>
      <w:pPr>
        <w:ind w:right="120" w:firstLine="799"/>
        <w:spacing w:after="0" w:line="252" w:lineRule="auto"/>
        <w:rPr>
          <w:sz w:val="20"/>
          <w:szCs w:val="20"/>
          <w:color w:val="auto"/>
        </w:rPr>
      </w:pPr>
      <w:r>
        <w:rPr>
          <w:rFonts w:ascii="Arial" w:cs="Arial" w:eastAsia="Arial" w:hAnsi="Arial"/>
          <w:sz w:val="21"/>
          <w:szCs w:val="21"/>
          <w:i w:val="1"/>
          <w:iCs w:val="1"/>
          <w:color w:val="auto"/>
        </w:rPr>
        <w:t xml:space="preserve">Section 6.03. Other Remedies. </w:t>
      </w:r>
      <w:r>
        <w:rPr>
          <w:rFonts w:ascii="Arial" w:cs="Arial" w:eastAsia="Arial" w:hAnsi="Arial"/>
          <w:sz w:val="21"/>
          <w:szCs w:val="21"/>
          <w:color w:val="auto"/>
        </w:rPr>
        <w:t>If an Event of Default with respect to Outstanding Notes occurs and is continuing, the</w:t>
      </w:r>
      <w:r>
        <w:rPr>
          <w:rFonts w:ascii="Arial" w:cs="Arial" w:eastAsia="Arial" w:hAnsi="Arial"/>
          <w:sz w:val="21"/>
          <w:szCs w:val="21"/>
          <w:i w:val="1"/>
          <w:iCs w:val="1"/>
          <w:color w:val="auto"/>
        </w:rPr>
        <w:t xml:space="preserve"> </w:t>
      </w:r>
      <w:r>
        <w:rPr>
          <w:rFonts w:ascii="Arial" w:cs="Arial" w:eastAsia="Arial" w:hAnsi="Arial"/>
          <w:sz w:val="21"/>
          <w:szCs w:val="21"/>
          <w:color w:val="auto"/>
        </w:rPr>
        <w:t>Trustee may pursue any available remedy by proceeding at law or in equity to collect the payment of principal of or interest on the Notes or to enforce the performance of any provision of the Notes. The Trustee may maintain a proceeding even if it does not possess any of the securities or does not produce any of them in the proceeding.</w:t>
      </w:r>
    </w:p>
    <w:p>
      <w:pPr>
        <w:spacing w:after="0" w:line="174" w:lineRule="exact"/>
        <w:rPr>
          <w:sz w:val="20"/>
          <w:szCs w:val="20"/>
          <w:color w:val="auto"/>
        </w:rPr>
      </w:pPr>
    </w:p>
    <w:p>
      <w:pPr>
        <w:ind w:right="340" w:firstLine="799"/>
        <w:spacing w:after="0" w:line="236" w:lineRule="auto"/>
        <w:rPr>
          <w:sz w:val="20"/>
          <w:szCs w:val="20"/>
          <w:color w:val="auto"/>
        </w:rPr>
      </w:pPr>
      <w:r>
        <w:rPr>
          <w:rFonts w:ascii="Arial" w:cs="Arial" w:eastAsia="Arial" w:hAnsi="Arial"/>
          <w:sz w:val="22"/>
          <w:szCs w:val="22"/>
          <w:i w:val="1"/>
          <w:iCs w:val="1"/>
          <w:color w:val="auto"/>
        </w:rPr>
        <w:t xml:space="preserve">Section 6.04. Waiver of Past Defaults. </w:t>
      </w:r>
      <w:r>
        <w:rPr>
          <w:rFonts w:ascii="Arial" w:cs="Arial" w:eastAsia="Arial" w:hAnsi="Arial"/>
          <w:sz w:val="22"/>
          <w:szCs w:val="22"/>
          <w:color w:val="auto"/>
        </w:rPr>
        <w:t>The Holders, either (a) through the written consent of not less than a majority in</w:t>
      </w:r>
      <w:r>
        <w:rPr>
          <w:rFonts w:ascii="Arial" w:cs="Arial" w:eastAsia="Arial" w:hAnsi="Arial"/>
          <w:sz w:val="22"/>
          <w:szCs w:val="22"/>
          <w:i w:val="1"/>
          <w:iCs w:val="1"/>
          <w:color w:val="auto"/>
        </w:rPr>
        <w:t xml:space="preserve"> </w:t>
      </w:r>
      <w:r>
        <w:rPr>
          <w:rFonts w:ascii="Arial" w:cs="Arial" w:eastAsia="Arial" w:hAnsi="Arial"/>
          <w:sz w:val="22"/>
          <w:szCs w:val="22"/>
          <w:color w:val="auto"/>
        </w:rPr>
        <w:t>aggregate principal amount of the Notes then Outstanding or (b) by the adoption of a resolution, at a meeting of Holders of the Notes then Outstanding at which a quorum is present, by the Holders of at least a majority in aggregate principal amount of the Outstanding Notes represented at such meeting, may, on behalf of the Holders of all of the Notes, waive an existing Default or Event of Default, except a Default or Event of Default:</w:t>
      </w:r>
    </w:p>
    <w:p>
      <w:pPr>
        <w:sectPr>
          <w:pgSz w:w="11900" w:h="16838" w:orient="portrait"/>
          <w:cols w:equalWidth="0" w:num="1">
            <w:col w:w="11400"/>
          </w:cols>
          <w:pgMar w:left="240" w:top="267" w:right="259" w:bottom="1440" w:gutter="0" w:footer="0" w:header="0"/>
        </w:sectPr>
      </w:pPr>
    </w:p>
    <w:bookmarkStart w:id="87" w:name="page88"/>
    <w:bookmarkEnd w:id="87"/>
    <w:p>
      <w:pPr>
        <w:ind w:left="1500" w:hanging="693"/>
        <w:spacing w:after="0"/>
        <w:tabs>
          <w:tab w:leader="none" w:pos="1500" w:val="left"/>
        </w:tabs>
        <w:numPr>
          <w:ilvl w:val="0"/>
          <w:numId w:val="41"/>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payment of the principal of or premium, if any, or interest on any Note;</w:t>
      </w:r>
    </w:p>
    <w:p>
      <w:pPr>
        <w:spacing w:after="0" w:line="206" w:lineRule="exact"/>
        <w:rPr>
          <w:rFonts w:ascii="Arial" w:cs="Arial" w:eastAsia="Arial" w:hAnsi="Arial"/>
          <w:sz w:val="22"/>
          <w:szCs w:val="22"/>
          <w:color w:val="auto"/>
        </w:rPr>
      </w:pPr>
    </w:p>
    <w:p>
      <w:pPr>
        <w:ind w:left="1500" w:hanging="693"/>
        <w:spacing w:after="0"/>
        <w:tabs>
          <w:tab w:leader="none" w:pos="15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respect of the right to convert any Note in accordance with Article 13; or</w:t>
      </w:r>
    </w:p>
    <w:p>
      <w:pPr>
        <w:spacing w:after="0" w:line="206" w:lineRule="exact"/>
        <w:rPr>
          <w:rFonts w:ascii="Arial" w:cs="Arial" w:eastAsia="Arial" w:hAnsi="Arial"/>
          <w:sz w:val="22"/>
          <w:szCs w:val="22"/>
          <w:color w:val="auto"/>
        </w:rPr>
      </w:pPr>
    </w:p>
    <w:p>
      <w:pPr>
        <w:ind w:right="40" w:firstLine="807"/>
        <w:spacing w:after="0" w:line="251" w:lineRule="auto"/>
        <w:tabs>
          <w:tab w:leader="none" w:pos="1483"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respect of the covenants or provisions hereof which, under Section 9.02 hereof, cannot be modified or amended without the consent of the Holder of each Outstanding Note affected.</w:t>
      </w:r>
    </w:p>
    <w:p>
      <w:pPr>
        <w:spacing w:after="0" w:line="173" w:lineRule="exact"/>
        <w:rPr>
          <w:sz w:val="20"/>
          <w:szCs w:val="20"/>
          <w:color w:val="auto"/>
        </w:rPr>
      </w:pPr>
    </w:p>
    <w:p>
      <w:pPr>
        <w:ind w:right="300" w:firstLine="799"/>
        <w:spacing w:after="0"/>
        <w:rPr>
          <w:sz w:val="20"/>
          <w:szCs w:val="20"/>
          <w:color w:val="auto"/>
        </w:rPr>
      </w:pPr>
      <w:r>
        <w:rPr>
          <w:rFonts w:ascii="Arial" w:cs="Arial" w:eastAsia="Arial" w:hAnsi="Arial"/>
          <w:sz w:val="22"/>
          <w:szCs w:val="22"/>
          <w:color w:val="auto"/>
        </w:rPr>
        <w:t>Upon any such waiver, such Default shall cease to exist, and any Event of Default arising therefrom shall be deemed to have been cured, for every purpose of this Indenture; provided, however, that no such waiver shall extend to any subsequent or other Default or impair any right consequent thereon.</w:t>
      </w:r>
    </w:p>
    <w:p>
      <w:pPr>
        <w:spacing w:after="0" w:line="186" w:lineRule="exact"/>
        <w:rPr>
          <w:sz w:val="20"/>
          <w:szCs w:val="20"/>
          <w:color w:val="auto"/>
        </w:rPr>
      </w:pPr>
    </w:p>
    <w:p>
      <w:pPr>
        <w:ind w:right="400" w:firstLine="799"/>
        <w:spacing w:after="0" w:line="279" w:lineRule="auto"/>
        <w:rPr>
          <w:sz w:val="20"/>
          <w:szCs w:val="20"/>
          <w:color w:val="auto"/>
        </w:rPr>
      </w:pPr>
      <w:r>
        <w:rPr>
          <w:rFonts w:ascii="Arial" w:cs="Arial" w:eastAsia="Arial" w:hAnsi="Arial"/>
          <w:sz w:val="19"/>
          <w:szCs w:val="19"/>
          <w:i w:val="1"/>
          <w:iCs w:val="1"/>
          <w:color w:val="auto"/>
        </w:rPr>
        <w:t xml:space="preserve">Section 6.05. Control by Majority. </w:t>
      </w:r>
      <w:r>
        <w:rPr>
          <w:rFonts w:ascii="Arial" w:cs="Arial" w:eastAsia="Arial" w:hAnsi="Arial"/>
          <w:sz w:val="19"/>
          <w:szCs w:val="19"/>
          <w:color w:val="auto"/>
        </w:rPr>
        <w:t>The Holders, either (a) through the written consent of not less than a majority in</w:t>
      </w:r>
      <w:r>
        <w:rPr>
          <w:rFonts w:ascii="Arial" w:cs="Arial" w:eastAsia="Arial" w:hAnsi="Arial"/>
          <w:sz w:val="19"/>
          <w:szCs w:val="19"/>
          <w:i w:val="1"/>
          <w:iCs w:val="1"/>
          <w:color w:val="auto"/>
        </w:rPr>
        <w:t xml:space="preserve"> </w:t>
      </w:r>
      <w:r>
        <w:rPr>
          <w:rFonts w:ascii="Arial" w:cs="Arial" w:eastAsia="Arial" w:hAnsi="Arial"/>
          <w:sz w:val="19"/>
          <w:szCs w:val="19"/>
          <w:color w:val="auto"/>
        </w:rPr>
        <w:t>aggregate principal amount of the Notes then Outstanding, or (b) by the adoption of a resolution, at a meeting of Holders of the Notes then Outstanding at which a quorum is present, by the Holders of at least a majority in aggregate principal amount of the Outstanding Notes represented at such meeting, shall have the right to direct the time, method and place of conducting any proceeding for any remedy available to the Trustee or exercising any trust or power conferred on the Trustee, subject to the provisions of this Indenture. However, the Trustee may refuse to follow any direction that:</w:t>
      </w:r>
    </w:p>
    <w:p>
      <w:pPr>
        <w:spacing w:after="0" w:line="151" w:lineRule="exact"/>
        <w:rPr>
          <w:sz w:val="20"/>
          <w:szCs w:val="20"/>
          <w:color w:val="auto"/>
        </w:rPr>
      </w:pPr>
    </w:p>
    <w:p>
      <w:pPr>
        <w:ind w:left="1480" w:hanging="673"/>
        <w:spacing w:after="0"/>
        <w:tabs>
          <w:tab w:leader="none" w:pos="14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conflicts with any law or with this Indenture,</w:t>
      </w:r>
    </w:p>
    <w:p>
      <w:pPr>
        <w:spacing w:after="0" w:line="206" w:lineRule="exact"/>
        <w:rPr>
          <w:rFonts w:ascii="Arial" w:cs="Arial" w:eastAsia="Arial" w:hAnsi="Arial"/>
          <w:sz w:val="22"/>
          <w:szCs w:val="22"/>
          <w:color w:val="auto"/>
        </w:rPr>
      </w:pPr>
    </w:p>
    <w:p>
      <w:pPr>
        <w:ind w:left="1500" w:hanging="693"/>
        <w:spacing w:after="0"/>
        <w:tabs>
          <w:tab w:leader="none" w:pos="15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Trustee determines may be unduly prejudicial to the rights of the Holders not joining therein, or</w:t>
      </w:r>
    </w:p>
    <w:p>
      <w:pPr>
        <w:spacing w:after="0" w:line="206" w:lineRule="exact"/>
        <w:rPr>
          <w:rFonts w:ascii="Arial" w:cs="Arial" w:eastAsia="Arial" w:hAnsi="Arial"/>
          <w:sz w:val="22"/>
          <w:szCs w:val="22"/>
          <w:color w:val="auto"/>
        </w:rPr>
      </w:pPr>
    </w:p>
    <w:p>
      <w:pPr>
        <w:ind w:left="1480" w:hanging="673"/>
        <w:spacing w:after="0"/>
        <w:tabs>
          <w:tab w:leader="none" w:pos="14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 the Trustee’s reasonable judgment may expose the Trustee to personal liability.</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Trustee may take any other action deemed proper by the Trustee which is not inconsistent with such direction.</w:t>
      </w:r>
    </w:p>
    <w:p>
      <w:pPr>
        <w:spacing w:after="0" w:line="241" w:lineRule="exact"/>
        <w:rPr>
          <w:sz w:val="20"/>
          <w:szCs w:val="20"/>
          <w:color w:val="auto"/>
        </w:rPr>
      </w:pPr>
    </w:p>
    <w:p>
      <w:pPr>
        <w:ind w:firstLine="799"/>
        <w:spacing w:after="0" w:line="238" w:lineRule="auto"/>
        <w:rPr>
          <w:sz w:val="20"/>
          <w:szCs w:val="20"/>
          <w:color w:val="auto"/>
        </w:rPr>
      </w:pPr>
      <w:r>
        <w:rPr>
          <w:rFonts w:ascii="Arial" w:cs="Arial" w:eastAsia="Arial" w:hAnsi="Arial"/>
          <w:sz w:val="22"/>
          <w:szCs w:val="22"/>
          <w:i w:val="1"/>
          <w:iCs w:val="1"/>
          <w:color w:val="auto"/>
        </w:rPr>
        <w:t xml:space="preserve">Section 6.06. Limitation On Suit. </w:t>
      </w:r>
      <w:r>
        <w:rPr>
          <w:rFonts w:ascii="Arial" w:cs="Arial" w:eastAsia="Arial" w:hAnsi="Arial"/>
          <w:sz w:val="22"/>
          <w:szCs w:val="22"/>
          <w:color w:val="auto"/>
        </w:rPr>
        <w:t>No Holder of any Note may pursue any remedy with respect to this Indenture or the</w:t>
      </w:r>
      <w:r>
        <w:rPr>
          <w:rFonts w:ascii="Arial" w:cs="Arial" w:eastAsia="Arial" w:hAnsi="Arial"/>
          <w:sz w:val="22"/>
          <w:szCs w:val="22"/>
          <w:i w:val="1"/>
          <w:iCs w:val="1"/>
          <w:color w:val="auto"/>
        </w:rPr>
        <w:t xml:space="preserve"> </w:t>
      </w:r>
      <w:r>
        <w:rPr>
          <w:rFonts w:ascii="Arial" w:cs="Arial" w:eastAsia="Arial" w:hAnsi="Arial"/>
          <w:sz w:val="22"/>
          <w:szCs w:val="22"/>
          <w:color w:val="auto"/>
        </w:rPr>
        <w:t>Notes (including instituting any proceeding, judicial or otherwise, with respect to this Indenture or for the appointment of a receiver or trustee), except, in the case of a Default or Event of Default in the payment of the principal of or premium on, if any, or interest on the Notes unless:</w:t>
      </w:r>
    </w:p>
    <w:p>
      <w:pPr>
        <w:spacing w:after="0" w:line="185" w:lineRule="exact"/>
        <w:rPr>
          <w:sz w:val="20"/>
          <w:szCs w:val="20"/>
          <w:color w:val="auto"/>
        </w:rPr>
      </w:pPr>
    </w:p>
    <w:p>
      <w:pPr>
        <w:ind w:left="1480" w:hanging="673"/>
        <w:spacing w:after="0"/>
        <w:tabs>
          <w:tab w:leader="none" w:pos="14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such Holder has previously given written notice to the Trustee of an Event of Default that is continuing;</w:t>
      </w:r>
    </w:p>
    <w:p>
      <w:pPr>
        <w:sectPr>
          <w:pgSz w:w="11900" w:h="16838" w:orient="portrait"/>
          <w:cols w:equalWidth="0" w:num="1">
            <w:col w:w="11400"/>
          </w:cols>
          <w:pgMar w:left="240" w:top="267" w:right="259" w:bottom="1440" w:gutter="0" w:footer="0" w:header="0"/>
        </w:sectPr>
      </w:pPr>
    </w:p>
    <w:bookmarkStart w:id="88" w:name="page89"/>
    <w:bookmarkEnd w:id="88"/>
    <w:p>
      <w:pPr>
        <w:ind w:right="40" w:firstLine="807"/>
        <w:spacing w:after="0" w:line="328" w:lineRule="auto"/>
        <w:tabs>
          <w:tab w:leader="none" w:pos="1483" w:val="left"/>
        </w:tabs>
        <w:numPr>
          <w:ilvl w:val="0"/>
          <w:numId w:val="4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Holders of at least 25% in aggregate principal amount of the Notes then Outstanding shall have made a written request to the Trustee, and shall have offered to the Trustee indemnity satisfactory to the Trustee, to pursue the remedy;</w:t>
      </w:r>
    </w:p>
    <w:p>
      <w:pPr>
        <w:spacing w:after="0" w:line="105" w:lineRule="exact"/>
        <w:rPr>
          <w:rFonts w:ascii="Arial" w:cs="Arial" w:eastAsia="Arial" w:hAnsi="Arial"/>
          <w:sz w:val="19"/>
          <w:szCs w:val="19"/>
          <w:color w:val="auto"/>
        </w:rPr>
      </w:pPr>
    </w:p>
    <w:p>
      <w:pPr>
        <w:ind w:right="300" w:firstLine="807"/>
        <w:spacing w:after="0"/>
        <w:tabs>
          <w:tab w:leader="none" w:pos="1471"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 direction inconsistent with such written request has been given to the Trustee by the Holders of a majority in aggregate principal amount of the Notes then Outstanding (or such amount as shall have acted at a meeting pursuant to the provisions of this Indenture);</w:t>
      </w:r>
    </w:p>
    <w:p>
      <w:pPr>
        <w:spacing w:after="0" w:line="186" w:lineRule="exact"/>
        <w:rPr>
          <w:rFonts w:ascii="Arial" w:cs="Arial" w:eastAsia="Arial" w:hAnsi="Arial"/>
          <w:sz w:val="22"/>
          <w:szCs w:val="22"/>
          <w:color w:val="auto"/>
        </w:rPr>
      </w:pPr>
    </w:p>
    <w:p>
      <w:pPr>
        <w:ind w:firstLine="807"/>
        <w:spacing w:after="0" w:line="251" w:lineRule="auto"/>
        <w:tabs>
          <w:tab w:leader="none" w:pos="1483"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such Holder or Holders have offered the Trustee security or indemnity satisfactory to the Trustee against any costs, liabilities or expenses incurred in complying with such request; and</w:t>
      </w:r>
    </w:p>
    <w:p>
      <w:pPr>
        <w:spacing w:after="0" w:line="173" w:lineRule="exact"/>
        <w:rPr>
          <w:rFonts w:ascii="Arial" w:cs="Arial" w:eastAsia="Arial" w:hAnsi="Arial"/>
          <w:sz w:val="22"/>
          <w:szCs w:val="22"/>
          <w:color w:val="auto"/>
        </w:rPr>
      </w:pPr>
    </w:p>
    <w:p>
      <w:pPr>
        <w:ind w:left="1480" w:hanging="673"/>
        <w:spacing w:after="0"/>
        <w:tabs>
          <w:tab w:leader="none" w:pos="14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Trustee has failed to comply with the request for 60 days after the receipt of such request and an offer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indemnity.</w:t>
      </w:r>
    </w:p>
    <w:p>
      <w:pPr>
        <w:spacing w:after="0" w:line="188" w:lineRule="exact"/>
        <w:rPr>
          <w:sz w:val="20"/>
          <w:szCs w:val="20"/>
          <w:color w:val="auto"/>
        </w:rPr>
      </w:pPr>
    </w:p>
    <w:p>
      <w:pPr>
        <w:ind w:right="20" w:firstLine="799"/>
        <w:spacing w:after="0"/>
        <w:rPr>
          <w:sz w:val="20"/>
          <w:szCs w:val="20"/>
          <w:color w:val="auto"/>
        </w:rPr>
      </w:pPr>
      <w:r>
        <w:rPr>
          <w:rFonts w:ascii="Arial" w:cs="Arial" w:eastAsia="Arial" w:hAnsi="Arial"/>
          <w:sz w:val="22"/>
          <w:szCs w:val="22"/>
          <w:color w:val="auto"/>
        </w:rPr>
        <w:t>A Holder of Notes may not use this Indenture to prejudice the rights of another Holder of Notes or to obtain a preference or priority over another Holder of Notes (it being understood that the Trustee does not have an affirmative duty to ascertain whether or not such actions or forbearances are unduly prejudicial to such Holders).</w:t>
      </w:r>
    </w:p>
    <w:p>
      <w:pPr>
        <w:spacing w:after="0" w:line="186" w:lineRule="exact"/>
        <w:rPr>
          <w:sz w:val="20"/>
          <w:szCs w:val="20"/>
          <w:color w:val="auto"/>
        </w:rPr>
      </w:pPr>
    </w:p>
    <w:p>
      <w:pPr>
        <w:ind w:right="500" w:firstLine="799"/>
        <w:spacing w:after="0" w:line="274" w:lineRule="auto"/>
        <w:rPr>
          <w:sz w:val="20"/>
          <w:szCs w:val="20"/>
          <w:color w:val="auto"/>
        </w:rPr>
      </w:pPr>
      <w:r>
        <w:rPr>
          <w:rFonts w:ascii="Arial" w:cs="Arial" w:eastAsia="Arial" w:hAnsi="Arial"/>
          <w:sz w:val="21"/>
          <w:szCs w:val="21"/>
          <w:i w:val="1"/>
          <w:iCs w:val="1"/>
          <w:color w:val="auto"/>
        </w:rPr>
        <w:t xml:space="preserve">Section 6.07. Unconditional Rights of Holders to Receive Payment and to Convert. </w:t>
      </w:r>
      <w:r>
        <w:rPr>
          <w:rFonts w:ascii="Arial" w:cs="Arial" w:eastAsia="Arial" w:hAnsi="Arial"/>
          <w:sz w:val="21"/>
          <w:szCs w:val="21"/>
          <w:color w:val="auto"/>
        </w:rPr>
        <w:t>In addition to the other rights and</w:t>
      </w:r>
      <w:r>
        <w:rPr>
          <w:rFonts w:ascii="Arial" w:cs="Arial" w:eastAsia="Arial" w:hAnsi="Arial"/>
          <w:sz w:val="21"/>
          <w:szCs w:val="21"/>
          <w:i w:val="1"/>
          <w:iCs w:val="1"/>
          <w:color w:val="auto"/>
        </w:rPr>
        <w:t xml:space="preserve"> </w:t>
      </w:r>
      <w:r>
        <w:rPr>
          <w:rFonts w:ascii="Arial" w:cs="Arial" w:eastAsia="Arial" w:hAnsi="Arial"/>
          <w:sz w:val="21"/>
          <w:szCs w:val="21"/>
          <w:color w:val="auto"/>
        </w:rPr>
        <w:t>remedies set forth in this Article 6, the following shall apply with respect to the Notes under this Indenture.</w:t>
      </w:r>
    </w:p>
    <w:p>
      <w:pPr>
        <w:spacing w:after="0" w:line="151" w:lineRule="exact"/>
        <w:rPr>
          <w:sz w:val="20"/>
          <w:szCs w:val="20"/>
          <w:color w:val="auto"/>
        </w:rPr>
      </w:pPr>
    </w:p>
    <w:p>
      <w:pPr>
        <w:ind w:right="120" w:firstLine="799"/>
        <w:spacing w:after="0" w:line="279" w:lineRule="auto"/>
        <w:rPr>
          <w:sz w:val="20"/>
          <w:szCs w:val="20"/>
          <w:color w:val="auto"/>
        </w:rPr>
      </w:pPr>
      <w:r>
        <w:rPr>
          <w:rFonts w:ascii="Arial" w:cs="Arial" w:eastAsia="Arial" w:hAnsi="Arial"/>
          <w:sz w:val="19"/>
          <w:szCs w:val="19"/>
          <w:color w:val="auto"/>
        </w:rPr>
        <w:t>Notwithstanding any other provision in this Indenture, the Holder of any Note shall have the right, which is absolute and unconditional, to receive payment of the principal amount (including the Redemption Price and the Fundamental Change Purchase Price, if applicable), interest and Fundamental Change Make-Whole Premium, if any, in respect of the Notes held by such Holder, on or after the respective due dates expressed in the Notes and this Indenture, and to convert such Note in accordance with Article 13, and to bring suit for the enforcement of any such payment on or after such respective due dates or for the right to convert in accordance with Article 13, and shall not be impaired or affected without the consent of such Holder.</w:t>
      </w:r>
    </w:p>
    <w:p>
      <w:pPr>
        <w:spacing w:after="0" w:line="151" w:lineRule="exact"/>
        <w:rPr>
          <w:sz w:val="20"/>
          <w:szCs w:val="20"/>
          <w:color w:val="auto"/>
        </w:rPr>
      </w:pPr>
    </w:p>
    <w:p>
      <w:pPr>
        <w:ind w:right="260" w:firstLine="799"/>
        <w:spacing w:after="0" w:line="235" w:lineRule="auto"/>
        <w:rPr>
          <w:sz w:val="20"/>
          <w:szCs w:val="20"/>
          <w:color w:val="auto"/>
        </w:rPr>
      </w:pPr>
      <w:r>
        <w:rPr>
          <w:rFonts w:ascii="Arial" w:cs="Arial" w:eastAsia="Arial" w:hAnsi="Arial"/>
          <w:sz w:val="22"/>
          <w:szCs w:val="22"/>
          <w:i w:val="1"/>
          <w:iCs w:val="1"/>
          <w:color w:val="auto"/>
        </w:rPr>
        <w:t>Section 6.08</w:t>
      </w:r>
      <w:r>
        <w:rPr>
          <w:rFonts w:ascii="Arial" w:cs="Arial" w:eastAsia="Arial" w:hAnsi="Arial"/>
          <w:sz w:val="22"/>
          <w:szCs w:val="22"/>
          <w:color w:val="auto"/>
        </w:rPr>
        <w:t>.</w:t>
      </w:r>
      <w:r>
        <w:rPr>
          <w:rFonts w:ascii="Arial" w:cs="Arial" w:eastAsia="Arial" w:hAnsi="Arial"/>
          <w:sz w:val="22"/>
          <w:szCs w:val="22"/>
          <w:i w:val="1"/>
          <w:iCs w:val="1"/>
          <w:color w:val="auto"/>
        </w:rPr>
        <w:t xml:space="preserve"> Collection of Indebtedness and Suits For Enforcement By the Trustee. </w:t>
      </w:r>
      <w:r>
        <w:rPr>
          <w:rFonts w:ascii="Arial" w:cs="Arial" w:eastAsia="Arial" w:hAnsi="Arial"/>
          <w:sz w:val="22"/>
          <w:szCs w:val="22"/>
          <w:color w:val="auto"/>
        </w:rPr>
        <w:t>The Company covenants that if an</w:t>
      </w:r>
      <w:r>
        <w:rPr>
          <w:rFonts w:ascii="Arial" w:cs="Arial" w:eastAsia="Arial" w:hAnsi="Arial"/>
          <w:sz w:val="22"/>
          <w:szCs w:val="22"/>
          <w:i w:val="1"/>
          <w:iCs w:val="1"/>
          <w:color w:val="auto"/>
        </w:rPr>
        <w:t xml:space="preserve"> </w:t>
      </w:r>
      <w:r>
        <w:rPr>
          <w:rFonts w:ascii="Arial" w:cs="Arial" w:eastAsia="Arial" w:hAnsi="Arial"/>
          <w:sz w:val="22"/>
          <w:szCs w:val="22"/>
          <w:color w:val="auto"/>
        </w:rPr>
        <w:t>Event of Default occurs under Section 6.01(a) or Section 6.01(b), then the Company shall, upon demand of the Trustee, pay to it, for the benefit of the Holders of such Notes, the whole amount then due and payable (as expressed therein or as a result of any acceleration effected pursuant to Section 6.02 hereof) on such Notes for principal (including the Redemption Price and Fundamental Change Purchase Price, if applicable) and premium, if any, and interest and, to the extent that payment of such interest shall</w:t>
      </w:r>
    </w:p>
    <w:p>
      <w:pPr>
        <w:sectPr>
          <w:pgSz w:w="11900" w:h="16838" w:orient="portrait"/>
          <w:cols w:equalWidth="0" w:num="1">
            <w:col w:w="11420"/>
          </w:cols>
          <w:pgMar w:left="240" w:top="266" w:right="239" w:bottom="1440" w:gutter="0" w:footer="0" w:header="0"/>
        </w:sectPr>
      </w:pPr>
    </w:p>
    <w:bookmarkStart w:id="89" w:name="page90"/>
    <w:bookmarkEnd w:id="89"/>
    <w:p>
      <w:pPr>
        <w:ind w:right="40"/>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legally enforceable, interest on any overdue principal (including the Redemption Price and the Fundamental Change Purchase Price, if applicable) and premium, if any, and on any overdue interest, in each case at the rate borne by the Notes from the required payment date, and, in addition thereto, such further amount as shall be sufficient to cover the costs and expenses of collection, including the reasonable compensation, expenses, disbursements and advances of the Trustee, its agents and counsel.</w:t>
      </w:r>
    </w:p>
    <w:p>
      <w:pPr>
        <w:spacing w:after="0" w:line="143" w:lineRule="exact"/>
        <w:rPr>
          <w:sz w:val="20"/>
          <w:szCs w:val="20"/>
          <w:color w:val="auto"/>
        </w:rPr>
      </w:pPr>
    </w:p>
    <w:p>
      <w:pPr>
        <w:ind w:right="140" w:firstLine="799"/>
        <w:spacing w:after="0" w:line="287" w:lineRule="auto"/>
        <w:rPr>
          <w:sz w:val="20"/>
          <w:szCs w:val="20"/>
          <w:color w:val="auto"/>
        </w:rPr>
      </w:pPr>
      <w:r>
        <w:rPr>
          <w:rFonts w:ascii="Arial" w:cs="Arial" w:eastAsia="Arial" w:hAnsi="Arial"/>
          <w:sz w:val="19"/>
          <w:szCs w:val="19"/>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and collect the moneys adjudged or decreed to be payable in the manner provided by law out of the property of the Company, wherever situated.</w:t>
      </w:r>
    </w:p>
    <w:p>
      <w:pPr>
        <w:spacing w:after="0" w:line="143" w:lineRule="exact"/>
        <w:rPr>
          <w:sz w:val="20"/>
          <w:szCs w:val="20"/>
          <w:color w:val="auto"/>
        </w:rPr>
      </w:pPr>
    </w:p>
    <w:p>
      <w:pPr>
        <w:ind w:right="140" w:firstLine="799"/>
        <w:spacing w:after="0" w:line="252" w:lineRule="auto"/>
        <w:rPr>
          <w:sz w:val="20"/>
          <w:szCs w:val="20"/>
          <w:color w:val="auto"/>
        </w:rPr>
      </w:pPr>
      <w:r>
        <w:rPr>
          <w:rFonts w:ascii="Arial" w:cs="Arial" w:eastAsia="Arial" w:hAnsi="Arial"/>
          <w:sz w:val="21"/>
          <w:szCs w:val="21"/>
          <w:color w:val="auto"/>
        </w:rPr>
        <w:t>If an Event of Default occurs and is continuing, the Trustee may in its discretion proceed to protect and enforce its rights and the rights of the Holders of Notes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4" w:lineRule="exact"/>
        <w:rPr>
          <w:sz w:val="20"/>
          <w:szCs w:val="20"/>
          <w:color w:val="auto"/>
        </w:rPr>
      </w:pPr>
    </w:p>
    <w:p>
      <w:pPr>
        <w:ind w:firstLine="799"/>
        <w:spacing w:after="0" w:line="271" w:lineRule="auto"/>
        <w:rPr>
          <w:sz w:val="20"/>
          <w:szCs w:val="20"/>
          <w:color w:val="auto"/>
        </w:rPr>
      </w:pPr>
      <w:r>
        <w:rPr>
          <w:rFonts w:ascii="Arial" w:cs="Arial" w:eastAsia="Arial" w:hAnsi="Arial"/>
          <w:sz w:val="19"/>
          <w:szCs w:val="19"/>
          <w:i w:val="1"/>
          <w:iCs w:val="1"/>
          <w:color w:val="auto"/>
        </w:rPr>
        <w:t xml:space="preserve">Section 6.09. Trustee May File Proofs of Claim. </w:t>
      </w:r>
      <w:r>
        <w:rPr>
          <w:rFonts w:ascii="Arial" w:cs="Arial" w:eastAsia="Arial" w:hAnsi="Arial"/>
          <w:sz w:val="19"/>
          <w:szCs w:val="19"/>
          <w:color w:val="auto"/>
        </w:rPr>
        <w:t>In case of the pendency of any receivership, insolvency, liquidation,</w:t>
      </w:r>
      <w:r>
        <w:rPr>
          <w:rFonts w:ascii="Arial" w:cs="Arial" w:eastAsia="Arial" w:hAnsi="Arial"/>
          <w:sz w:val="19"/>
          <w:szCs w:val="19"/>
          <w:i w:val="1"/>
          <w:iCs w:val="1"/>
          <w:color w:val="auto"/>
        </w:rPr>
        <w:t xml:space="preserve"> </w:t>
      </w:r>
      <w:r>
        <w:rPr>
          <w:rFonts w:ascii="Arial" w:cs="Arial" w:eastAsia="Arial" w:hAnsi="Arial"/>
          <w:sz w:val="19"/>
          <w:szCs w:val="19"/>
          <w:color w:val="auto"/>
        </w:rPr>
        <w:t>bankruptcy, reorganization, arrangement, adjustment, composition or other judicial proceeding relative to the Company or the property of the Company or its creditors, the Trustee (irrespective of whether the principal of the Notes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(1) to file and prove a claim for the whole amount of principal (including the Redemption Price and the Fundamental Change Purchase Price, if applicable) and premium, if any, and interest owing and unpaid in respect of the Notes and to file such other papers or documents as may be necessary or advisable in order to have the claims of the Trustee (including any claim for the reasonable compensation, expenses, disbursements and advances of the Trustee, its agents and counsel, and any other amounts due to the Trustee hereunder) and of the Holders of Notes allowed in such judicial proceeding, and (2) to collect and receive any moneys or other property payable or deliverable on any such claim and to distribute the same; and any custodian, receiver, assignee, trustee, liquidator, sequestrator or other similar official in any such judicial proceedings is hereby authorized by each Holder of Notes to make such payments to the Trustee and, in the event that the Trustee shall consent to the making of such payments directly to the Holders of Notes, to pay to the Trustee any amount due to it for the</w:t>
      </w:r>
    </w:p>
    <w:p>
      <w:pPr>
        <w:sectPr>
          <w:pgSz w:w="11900" w:h="16838" w:orient="portrait"/>
          <w:cols w:equalWidth="0" w:num="1">
            <w:col w:w="11360"/>
          </w:cols>
          <w:pgMar w:left="240" w:top="267" w:right="299" w:bottom="1440" w:gutter="0" w:footer="0" w:header="0"/>
        </w:sectPr>
      </w:pPr>
    </w:p>
    <w:bookmarkStart w:id="90" w:name="page91"/>
    <w:bookmarkEnd w:id="90"/>
    <w:p>
      <w:pPr>
        <w:ind w:right="16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compensation, expenses, disbursements and advances of the Trustee, its agents and counsel and any other amounts due the Trustee under this Indenture.</w:t>
      </w:r>
    </w:p>
    <w:p>
      <w:pPr>
        <w:spacing w:after="0" w:line="173" w:lineRule="exact"/>
        <w:rPr>
          <w:sz w:val="20"/>
          <w:szCs w:val="20"/>
          <w:color w:val="auto"/>
        </w:rPr>
      </w:pPr>
    </w:p>
    <w:p>
      <w:pPr>
        <w:ind w:right="100" w:firstLine="799"/>
        <w:spacing w:after="0" w:line="297" w:lineRule="auto"/>
        <w:rPr>
          <w:sz w:val="20"/>
          <w:szCs w:val="20"/>
          <w:color w:val="auto"/>
        </w:rPr>
      </w:pPr>
      <w:r>
        <w:rPr>
          <w:rFonts w:ascii="Arial" w:cs="Arial" w:eastAsia="Arial" w:hAnsi="Arial"/>
          <w:sz w:val="19"/>
          <w:szCs w:val="19"/>
          <w:color w:val="auto"/>
        </w:rPr>
        <w:t>Nothing contained herein shall be deemed to authorize the Trustee to authorize or consent to or accept, or adopt on behalf of any Holder of a Note, any plan of reorganization, arrangement, adjustment or composition affecting the Notes or the rights of any Holder thereof or to authorize the Trustee to vote in respect of the claim of any Holder of a Note in any such proceeding.</w:t>
      </w:r>
    </w:p>
    <w:p>
      <w:pPr>
        <w:spacing w:after="0" w:line="134" w:lineRule="exact"/>
        <w:rPr>
          <w:sz w:val="20"/>
          <w:szCs w:val="20"/>
          <w:color w:val="auto"/>
        </w:rPr>
      </w:pPr>
    </w:p>
    <w:p>
      <w:pPr>
        <w:ind w:firstLine="799"/>
        <w:spacing w:after="0" w:line="235" w:lineRule="auto"/>
        <w:rPr>
          <w:sz w:val="20"/>
          <w:szCs w:val="20"/>
          <w:color w:val="auto"/>
        </w:rPr>
      </w:pPr>
      <w:r>
        <w:rPr>
          <w:rFonts w:ascii="Arial" w:cs="Arial" w:eastAsia="Arial" w:hAnsi="Arial"/>
          <w:sz w:val="22"/>
          <w:szCs w:val="22"/>
          <w:i w:val="1"/>
          <w:iCs w:val="1"/>
          <w:color w:val="auto"/>
        </w:rPr>
        <w:t xml:space="preserve">Section 6.10. Restoration of Rights and Remedies. </w:t>
      </w:r>
      <w:r>
        <w:rPr>
          <w:rFonts w:ascii="Arial" w:cs="Arial" w:eastAsia="Arial" w:hAnsi="Arial"/>
          <w:sz w:val="22"/>
          <w:szCs w:val="22"/>
          <w:color w:val="auto"/>
        </w:rPr>
        <w:t>If the Trustee or any Holder of a Note has instituted any proceeding to</w:t>
      </w:r>
      <w:r>
        <w:rPr>
          <w:rFonts w:ascii="Arial" w:cs="Arial" w:eastAsia="Arial" w:hAnsi="Arial"/>
          <w:sz w:val="22"/>
          <w:szCs w:val="22"/>
          <w:i w:val="1"/>
          <w:iCs w:val="1"/>
          <w:color w:val="auto"/>
        </w:rPr>
        <w:t xml:space="preserve"> </w:t>
      </w:r>
      <w:r>
        <w:rPr>
          <w:rFonts w:ascii="Arial" w:cs="Arial" w:eastAsia="Arial" w:hAnsi="Arial"/>
          <w:sz w:val="22"/>
          <w:szCs w:val="22"/>
          <w:color w:val="auto"/>
        </w:rPr>
        <w:t>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Notes shall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100" w:firstLine="799"/>
        <w:spacing w:after="0" w:line="279" w:lineRule="auto"/>
        <w:rPr>
          <w:sz w:val="20"/>
          <w:szCs w:val="20"/>
          <w:color w:val="auto"/>
        </w:rPr>
      </w:pPr>
      <w:r>
        <w:rPr>
          <w:rFonts w:ascii="Arial" w:cs="Arial" w:eastAsia="Arial" w:hAnsi="Arial"/>
          <w:sz w:val="19"/>
          <w:szCs w:val="19"/>
          <w:i w:val="1"/>
          <w:iCs w:val="1"/>
          <w:color w:val="auto"/>
        </w:rPr>
        <w:t xml:space="preserve">Section 6.11. Rights and Remedies Cumulative. </w:t>
      </w:r>
      <w:r>
        <w:rPr>
          <w:rFonts w:ascii="Arial" w:cs="Arial" w:eastAsia="Arial" w:hAnsi="Arial"/>
          <w:sz w:val="19"/>
          <w:szCs w:val="19"/>
          <w:color w:val="auto"/>
        </w:rPr>
        <w:t>Except as otherwise provided with respect to the replacement or payment</w:t>
      </w:r>
      <w:r>
        <w:rPr>
          <w:rFonts w:ascii="Arial" w:cs="Arial" w:eastAsia="Arial" w:hAnsi="Arial"/>
          <w:sz w:val="19"/>
          <w:szCs w:val="19"/>
          <w:i w:val="1"/>
          <w:iCs w:val="1"/>
          <w:color w:val="auto"/>
        </w:rPr>
        <w:t xml:space="preserve"> </w:t>
      </w:r>
      <w:r>
        <w:rPr>
          <w:rFonts w:ascii="Arial" w:cs="Arial" w:eastAsia="Arial" w:hAnsi="Arial"/>
          <w:sz w:val="19"/>
          <w:szCs w:val="19"/>
          <w:color w:val="auto"/>
        </w:rPr>
        <w:t>of mutilated, destroyed, lost or stolen Notes in Section 2.05(d), no right or remedy conferred in this Indenture upon or reserved to the Trustee or to the Holders of Notes is intended to be exclusive of any other right or remedy, and every right and remedy shall, to the extent permitted by law, be cumulative and in addition to every other right and remedy given hereunder or hereafter existing at law or in equity or otherwise. The assertion or employment of any right or remedy hereunder, or otherwise, shall not prevent the concurrent assertion or employment of any other appropriate right or remedy.</w:t>
      </w:r>
    </w:p>
    <w:p>
      <w:pPr>
        <w:spacing w:after="0" w:line="151" w:lineRule="exact"/>
        <w:rPr>
          <w:sz w:val="20"/>
          <w:szCs w:val="20"/>
          <w:color w:val="auto"/>
        </w:rPr>
      </w:pPr>
    </w:p>
    <w:p>
      <w:pPr>
        <w:ind w:right="40" w:firstLine="799"/>
        <w:spacing w:after="0" w:line="236" w:lineRule="auto"/>
        <w:rPr>
          <w:sz w:val="20"/>
          <w:szCs w:val="20"/>
          <w:color w:val="auto"/>
        </w:rPr>
      </w:pPr>
      <w:r>
        <w:rPr>
          <w:rFonts w:ascii="Arial" w:cs="Arial" w:eastAsia="Arial" w:hAnsi="Arial"/>
          <w:sz w:val="22"/>
          <w:szCs w:val="22"/>
          <w:i w:val="1"/>
          <w:iCs w:val="1"/>
          <w:color w:val="auto"/>
        </w:rPr>
        <w:t xml:space="preserve">Section 6.12. Delay or Omission Not Waiver. </w:t>
      </w:r>
      <w:r>
        <w:rPr>
          <w:rFonts w:ascii="Arial" w:cs="Arial" w:eastAsia="Arial" w:hAnsi="Arial"/>
          <w:sz w:val="22"/>
          <w:szCs w:val="22"/>
          <w:color w:val="auto"/>
        </w:rPr>
        <w:t>No delay or omission of the Trustee or of any Holder of any Note to exercise</w:t>
      </w:r>
      <w:r>
        <w:rPr>
          <w:rFonts w:ascii="Arial" w:cs="Arial" w:eastAsia="Arial" w:hAnsi="Arial"/>
          <w:sz w:val="22"/>
          <w:szCs w:val="22"/>
          <w:i w:val="1"/>
          <w:iCs w:val="1"/>
          <w:color w:val="auto"/>
        </w:rPr>
        <w:t xml:space="preserve"> </w:t>
      </w:r>
      <w:r>
        <w:rPr>
          <w:rFonts w:ascii="Arial" w:cs="Arial" w:eastAsia="Arial" w:hAnsi="Arial"/>
          <w:sz w:val="22"/>
          <w:szCs w:val="22"/>
          <w:color w:val="auto"/>
        </w:rPr>
        <w:t>any right or remedy accruing upon any Event of Default shall impair any such right or remedy or constitute a waiver of any such Event of Default or any acquiescence therein. Every right and remedy given by this Article or by law to the Trustee or to the Holders of Notes may be exercised from time to time, and as often as may be deemed expedient, by the Trustee or by the Holders of Notes, as the case may be.</w:t>
      </w:r>
    </w:p>
    <w:p>
      <w:pPr>
        <w:spacing w:after="0" w:line="188" w:lineRule="exact"/>
        <w:rPr>
          <w:sz w:val="20"/>
          <w:szCs w:val="20"/>
          <w:color w:val="auto"/>
        </w:rPr>
      </w:pPr>
    </w:p>
    <w:p>
      <w:pPr>
        <w:ind w:right="80" w:firstLine="799"/>
        <w:spacing w:after="0" w:line="236" w:lineRule="auto"/>
        <w:rPr>
          <w:sz w:val="20"/>
          <w:szCs w:val="20"/>
          <w:color w:val="auto"/>
        </w:rPr>
      </w:pPr>
      <w:r>
        <w:rPr>
          <w:rFonts w:ascii="Arial" w:cs="Arial" w:eastAsia="Arial" w:hAnsi="Arial"/>
          <w:sz w:val="22"/>
          <w:szCs w:val="22"/>
          <w:i w:val="1"/>
          <w:iCs w:val="1"/>
          <w:color w:val="auto"/>
        </w:rPr>
        <w:t xml:space="preserve">Section 6.13. Application of Money Collected. </w:t>
      </w:r>
      <w:r>
        <w:rPr>
          <w:rFonts w:ascii="Arial" w:cs="Arial" w:eastAsia="Arial" w:hAnsi="Arial"/>
          <w:sz w:val="22"/>
          <w:szCs w:val="22"/>
          <w:color w:val="auto"/>
        </w:rPr>
        <w:t>Any money and property collected by the Trustee pursuant to this Article 6</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applied in the following order, at the date or dates fixed by the Trustee and, in case of the distribution of such money and property on account of principal (including the Redemption Price and the Fundamental Change Purchase Price, if applicable) or premium, if any, or interest, upon presentation of the Notes and the notation thereon of the payment if only partially paid and upon surrender thereof if fully paid:</w:t>
      </w:r>
    </w:p>
    <w:p>
      <w:pPr>
        <w:sectPr>
          <w:pgSz w:w="11900" w:h="16838" w:orient="portrait"/>
          <w:cols w:equalWidth="0" w:num="1">
            <w:col w:w="11420"/>
          </w:cols>
          <w:pgMar w:left="240" w:top="267" w:right="239" w:bottom="1440" w:gutter="0" w:footer="0" w:header="0"/>
        </w:sectPr>
      </w:pPr>
    </w:p>
    <w:bookmarkStart w:id="91" w:name="page92"/>
    <w:bookmarkEnd w:id="91"/>
    <w:p>
      <w:pPr>
        <w:ind w:left="8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To the payment of all amounts due the Trustee, including its agents and counsel;</w:t>
      </w:r>
    </w:p>
    <w:p>
      <w:pPr>
        <w:spacing w:after="0" w:line="206" w:lineRule="exact"/>
        <w:rPr>
          <w:sz w:val="20"/>
          <w:szCs w:val="20"/>
          <w:color w:val="auto"/>
        </w:rPr>
      </w:pPr>
    </w:p>
    <w:p>
      <w:pPr>
        <w:ind w:right="200" w:firstLine="799"/>
        <w:spacing w:after="0" w:line="249" w:lineRule="auto"/>
        <w:rPr>
          <w:sz w:val="20"/>
          <w:szCs w:val="20"/>
          <w:color w:val="auto"/>
        </w:rPr>
      </w:pPr>
      <w:r>
        <w:rPr>
          <w:rFonts w:ascii="Arial" w:cs="Arial" w:eastAsia="Arial" w:hAnsi="Arial"/>
          <w:sz w:val="21"/>
          <w:szCs w:val="21"/>
          <w:color w:val="auto"/>
        </w:rPr>
        <w:t>SECOND: To the payment of the amounts then due and unpaid for principal (including the Redemption Price and the Fundamental Change Purchase Price, if applicable) of and premium, if any, and interest on the Notes and coupons in respect of which or for the benefit of which such money has been collected, ratably, without preference or priority of any kind, according to the amounts due and payable on such Notes for principal (including the Redemption Price and the Fundamental Change Purchase Price, if applicable) and premium, if any, and interest, respectively; and</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THIRD: Any remaining amounts shall be repaid to the Company.</w:t>
      </w:r>
    </w:p>
    <w:p>
      <w:pPr>
        <w:spacing w:after="0" w:line="206" w:lineRule="exact"/>
        <w:rPr>
          <w:sz w:val="20"/>
          <w:szCs w:val="20"/>
          <w:color w:val="auto"/>
        </w:rPr>
      </w:pPr>
    </w:p>
    <w:p>
      <w:pPr>
        <w:ind w:firstLine="799"/>
        <w:spacing w:after="0" w:line="272" w:lineRule="auto"/>
        <w:rPr>
          <w:sz w:val="20"/>
          <w:szCs w:val="20"/>
          <w:color w:val="auto"/>
        </w:rPr>
      </w:pPr>
      <w:r>
        <w:rPr>
          <w:rFonts w:ascii="Arial" w:cs="Arial" w:eastAsia="Arial" w:hAnsi="Arial"/>
          <w:sz w:val="19"/>
          <w:szCs w:val="19"/>
          <w:i w:val="1"/>
          <w:iCs w:val="1"/>
          <w:color w:val="auto"/>
        </w:rPr>
        <w:t xml:space="preserve">Section 6.14. Undertaking For Costs. </w:t>
      </w:r>
      <w:r>
        <w:rPr>
          <w:rFonts w:ascii="Arial" w:cs="Arial" w:eastAsia="Arial" w:hAnsi="Arial"/>
          <w:sz w:val="19"/>
          <w:szCs w:val="19"/>
          <w:color w:val="auto"/>
        </w:rPr>
        <w:t>All parties to this Indenture agree, and each Holder of any Note by such Holder’s</w:t>
      </w:r>
      <w:r>
        <w:rPr>
          <w:rFonts w:ascii="Arial" w:cs="Arial" w:eastAsia="Arial" w:hAnsi="Arial"/>
          <w:sz w:val="19"/>
          <w:szCs w:val="19"/>
          <w:i w:val="1"/>
          <w:iCs w:val="1"/>
          <w:color w:val="auto"/>
        </w:rPr>
        <w:t xml:space="preserve"> </w:t>
      </w:r>
      <w:r>
        <w:rPr>
          <w:rFonts w:ascii="Arial" w:cs="Arial" w:eastAsia="Arial" w:hAnsi="Arial"/>
          <w:sz w:val="19"/>
          <w:szCs w:val="19"/>
          <w:color w:val="auto"/>
        </w:rPr>
        <w:t>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6.14 shall not apply to any suit instituted by the Company, to any suit instituted by the Trustee, to any suit instituted by any Holder, or group of Holders, holding in the aggregate more than 10% in aggregate principal amount of the Notes then Outstanding, or to any suit instituted by any Holder of any Note for the enforcement of the payment of the principal (including the Redemption Price and the Fundamental Change Purchase Price, if applicable) of or premium, if any, or interest on any Note on or after the stated maturity expressed in such Note ( or in the case of a redemption, on or after the Redemption Date or, in the case of exercise of a repurchase right in connection with a Fundamental Change, on or after the Fundamental Change Purchase Date) or for the enforcement of the right to convert any Note in accordance with Article 13.</w:t>
      </w:r>
    </w:p>
    <w:p>
      <w:pPr>
        <w:spacing w:after="0" w:line="157" w:lineRule="exact"/>
        <w:rPr>
          <w:sz w:val="20"/>
          <w:szCs w:val="20"/>
          <w:color w:val="auto"/>
        </w:rPr>
      </w:pPr>
    </w:p>
    <w:p>
      <w:pPr>
        <w:ind w:right="80" w:firstLine="799"/>
        <w:spacing w:after="0" w:line="282" w:lineRule="auto"/>
        <w:rPr>
          <w:sz w:val="20"/>
          <w:szCs w:val="20"/>
          <w:color w:val="auto"/>
        </w:rPr>
      </w:pPr>
      <w:r>
        <w:rPr>
          <w:rFonts w:ascii="Arial" w:cs="Arial" w:eastAsia="Arial" w:hAnsi="Arial"/>
          <w:sz w:val="19"/>
          <w:szCs w:val="19"/>
          <w:i w:val="1"/>
          <w:iCs w:val="1"/>
          <w:color w:val="auto"/>
        </w:rPr>
        <w:t xml:space="preserve">Section 6.15. Waiver of Stay or Extension Laws. </w:t>
      </w:r>
      <w:r>
        <w:rPr>
          <w:rFonts w:ascii="Arial" w:cs="Arial" w:eastAsia="Arial" w:hAnsi="Arial"/>
          <w:sz w:val="19"/>
          <w:szCs w:val="19"/>
          <w:color w:val="auto"/>
        </w:rPr>
        <w:t>The Company covenants (to the extent that it may lawfully do so) that it</w:t>
      </w:r>
      <w:r>
        <w:rPr>
          <w:rFonts w:ascii="Arial" w:cs="Arial" w:eastAsia="Arial" w:hAnsi="Arial"/>
          <w:sz w:val="19"/>
          <w:szCs w:val="19"/>
          <w:i w:val="1"/>
          <w:iCs w:val="1"/>
          <w:color w:val="auto"/>
        </w:rPr>
        <w:t xml:space="preserve"> </w:t>
      </w:r>
      <w:r>
        <w:rPr>
          <w:rFonts w:ascii="Arial" w:cs="Arial" w:eastAsia="Arial" w:hAnsi="Arial"/>
          <w:sz w:val="19"/>
          <w:szCs w:val="19"/>
          <w:color w:val="auto"/>
        </w:rPr>
        <w:t>will not at any time insist upon, or plead, or in any manner whatsoever claim to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w:t>
      </w:r>
    </w:p>
    <w:p>
      <w:pPr>
        <w:sectPr>
          <w:pgSz w:w="11900" w:h="16838" w:orient="portrait"/>
          <w:cols w:equalWidth="0" w:num="1">
            <w:col w:w="11400"/>
          </w:cols>
          <w:pgMar w:left="240" w:top="267" w:right="25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suffer and permit the execution of every such power as though no such law had been enacted.</w:t>
      </w:r>
    </w:p>
    <w:p>
      <w:pPr>
        <w:spacing w:after="0" w:line="206" w:lineRule="exact"/>
        <w:rPr>
          <w:sz w:val="20"/>
          <w:szCs w:val="20"/>
          <w:color w:val="auto"/>
        </w:rPr>
      </w:pPr>
    </w:p>
    <w:p>
      <w:pPr>
        <w:ind w:right="120" w:firstLine="799"/>
        <w:spacing w:after="0" w:line="234" w:lineRule="auto"/>
        <w:rPr>
          <w:sz w:val="20"/>
          <w:szCs w:val="20"/>
          <w:color w:val="auto"/>
        </w:rPr>
      </w:pPr>
      <w:r>
        <w:rPr>
          <w:rFonts w:ascii="Arial" w:cs="Arial" w:eastAsia="Arial" w:hAnsi="Arial"/>
          <w:sz w:val="22"/>
          <w:szCs w:val="22"/>
          <w:i w:val="1"/>
          <w:iCs w:val="1"/>
          <w:color w:val="auto"/>
        </w:rPr>
        <w:t xml:space="preserve">Section 6.16. Notice of Default. </w:t>
      </w:r>
      <w:r>
        <w:rPr>
          <w:rFonts w:ascii="Arial" w:cs="Arial" w:eastAsia="Arial" w:hAnsi="Arial"/>
          <w:sz w:val="22"/>
          <w:szCs w:val="22"/>
          <w:color w:val="auto"/>
        </w:rPr>
        <w:t>If any Default or any Event of Default occurs and is continuing and if such Default or</w:t>
      </w:r>
      <w:r>
        <w:rPr>
          <w:rFonts w:ascii="Arial" w:cs="Arial" w:eastAsia="Arial" w:hAnsi="Arial"/>
          <w:sz w:val="22"/>
          <w:szCs w:val="22"/>
          <w:i w:val="1"/>
          <w:iCs w:val="1"/>
          <w:color w:val="auto"/>
        </w:rPr>
        <w:t xml:space="preserve"> </w:t>
      </w:r>
      <w:r>
        <w:rPr>
          <w:rFonts w:ascii="Arial" w:cs="Arial" w:eastAsia="Arial" w:hAnsi="Arial"/>
          <w:sz w:val="22"/>
          <w:szCs w:val="22"/>
          <w:color w:val="auto"/>
        </w:rPr>
        <w:t>Event of Default is actually known to a Responsible Officer of the Trustee, the Trustee shall within 90 days of the occurrence of a Default or Event of Default, mail to each Holder notice of all uncured Defaults or Events of Default known to the Trustee, unless such Default or Event of Default has been cured; provided, however, that, except in the case of a default in the payment of the principal of (including upon redemption or repurchase, as applicable) or premium, if any, or interest on any Note, the Trustee shall be protected in withholding such notice if the Trustee in good faith determines that the withholding of such notice is in the best interest of such Holders.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7</w:t>
      </w:r>
    </w:p>
    <w:p>
      <w:pPr>
        <w:spacing w:after="0" w:line="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ONCERNING THE TRUSTEE</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Section 7.01. Certain Duties and Responsibilities of Trustee.</w:t>
      </w:r>
    </w:p>
    <w:p>
      <w:pPr>
        <w:spacing w:after="0" w:line="206" w:lineRule="exact"/>
        <w:rPr>
          <w:sz w:val="20"/>
          <w:szCs w:val="20"/>
          <w:color w:val="auto"/>
        </w:rPr>
      </w:pPr>
    </w:p>
    <w:p>
      <w:pPr>
        <w:ind w:right="120" w:firstLine="807"/>
        <w:spacing w:after="0" w:line="248" w:lineRule="auto"/>
        <w:tabs>
          <w:tab w:leader="none" w:pos="1467"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Trustee, prior to the occurrence of an Event of Default and after the curing of all Events of Default that may have occurred, shall undertake to perform with respect to the Notes such duties and only such duties as are specifically set forth in this Indenture, and no implied covenants shall be read into this Indenture against the Trustee. In case an Event of Default has occurred (that has not been cured or waived), the Trustee shall exercise with respect to the Notes such of the rights and powers vested in it by this Indenture, and use the same degree of care and skill in their exercise, as a prudent person would exercise or use under the circumstances in the conduct of his or her own affairs.</w:t>
      </w:r>
    </w:p>
    <w:p>
      <w:pPr>
        <w:spacing w:after="0" w:line="177" w:lineRule="exact"/>
        <w:rPr>
          <w:rFonts w:ascii="Arial" w:cs="Arial" w:eastAsia="Arial" w:hAnsi="Arial"/>
          <w:sz w:val="21"/>
          <w:szCs w:val="21"/>
          <w:color w:val="auto"/>
        </w:rPr>
      </w:pPr>
    </w:p>
    <w:p>
      <w:pPr>
        <w:ind w:right="120" w:firstLine="807"/>
        <w:spacing w:after="0" w:line="251" w:lineRule="auto"/>
        <w:tabs>
          <w:tab w:leader="none" w:pos="1483" w:val="left"/>
        </w:tabs>
        <w:numPr>
          <w:ilvl w:val="0"/>
          <w:numId w:val="45"/>
        </w:numPr>
        <w:rPr>
          <w:rFonts w:ascii="Arial" w:cs="Arial" w:eastAsia="Arial" w:hAnsi="Arial"/>
          <w:sz w:val="22"/>
          <w:szCs w:val="22"/>
          <w:color w:val="auto"/>
        </w:rPr>
      </w:pPr>
      <w:r>
        <w:rPr>
          <w:rFonts w:ascii="Arial" w:cs="Arial" w:eastAsia="Arial" w:hAnsi="Arial"/>
          <w:sz w:val="22"/>
          <w:szCs w:val="22"/>
          <w:color w:val="auto"/>
        </w:rPr>
        <w:t>No provision of this Indenture shall be construed to relieve the Trustee from liability for its own negligent action, its own negligent failure to act, or its own willful misconduct, except that:</w:t>
      </w:r>
    </w:p>
    <w:p>
      <w:pPr>
        <w:spacing w:after="0" w:line="173" w:lineRule="exact"/>
        <w:rPr>
          <w:rFonts w:ascii="Arial" w:cs="Arial" w:eastAsia="Arial" w:hAnsi="Arial"/>
          <w:sz w:val="22"/>
          <w:szCs w:val="22"/>
          <w:color w:val="auto"/>
        </w:rPr>
      </w:pPr>
    </w:p>
    <w:p>
      <w:pPr>
        <w:ind w:left="800" w:firstLine="750"/>
        <w:spacing w:after="0" w:line="251" w:lineRule="auto"/>
        <w:tabs>
          <w:tab w:leader="none" w:pos="2179" w:val="left"/>
        </w:tabs>
        <w:numPr>
          <w:ilvl w:val="1"/>
          <w:numId w:val="45"/>
        </w:numPr>
        <w:rPr>
          <w:rFonts w:ascii="Arial" w:cs="Arial" w:eastAsia="Arial" w:hAnsi="Arial"/>
          <w:sz w:val="22"/>
          <w:szCs w:val="22"/>
          <w:color w:val="auto"/>
        </w:rPr>
      </w:pPr>
      <w:r>
        <w:rPr>
          <w:rFonts w:ascii="Arial" w:cs="Arial" w:eastAsia="Arial" w:hAnsi="Arial"/>
          <w:sz w:val="22"/>
          <w:szCs w:val="22"/>
          <w:color w:val="auto"/>
        </w:rPr>
        <w:t>prior to the occurrence of an Event of Default and after the curing or waiving of all such Events of Default that may have occurred:</w:t>
      </w:r>
    </w:p>
    <w:p>
      <w:pPr>
        <w:spacing w:after="0" w:line="173" w:lineRule="exact"/>
        <w:rPr>
          <w:rFonts w:ascii="Arial" w:cs="Arial" w:eastAsia="Arial" w:hAnsi="Arial"/>
          <w:sz w:val="22"/>
          <w:szCs w:val="22"/>
          <w:color w:val="auto"/>
        </w:rPr>
      </w:pPr>
    </w:p>
    <w:p>
      <w:pPr>
        <w:ind w:left="1720" w:right="20" w:firstLine="679"/>
        <w:spacing w:after="0" w:line="238" w:lineRule="auto"/>
        <w:tabs>
          <w:tab w:leader="none" w:pos="3131" w:val="left"/>
        </w:tabs>
        <w:numPr>
          <w:ilvl w:val="2"/>
          <w:numId w:val="45"/>
        </w:numPr>
        <w:rPr>
          <w:rFonts w:ascii="Arial" w:cs="Arial" w:eastAsia="Arial" w:hAnsi="Arial"/>
          <w:sz w:val="22"/>
          <w:szCs w:val="22"/>
          <w:color w:val="auto"/>
        </w:rPr>
      </w:pPr>
      <w:r>
        <w:rPr>
          <w:rFonts w:ascii="Arial" w:cs="Arial" w:eastAsia="Arial" w:hAnsi="Arial"/>
          <w:sz w:val="22"/>
          <w:szCs w:val="22"/>
          <w:color w:val="auto"/>
        </w:rPr>
        <w:t>the duties and obligations of the Trustee shall with respect to the Notes be determined solely by the express provisions of this Indenture, and the Trustee shall not be liable with respect to the Notes except for the performance of such duties and obligations as are specifically set forth in this Indenture and subject to the terms of this Indenture, and no</w:t>
      </w:r>
    </w:p>
    <w:p>
      <w:pPr>
        <w:sectPr>
          <w:pgSz w:w="11900" w:h="16838" w:orient="portrait"/>
          <w:cols w:equalWidth="0" w:num="1">
            <w:col w:w="11400"/>
          </w:cols>
          <w:pgMar w:left="240" w:top="267" w:right="259" w:bottom="1440" w:gutter="0" w:footer="0" w:header="0"/>
        </w:sectPr>
      </w:pPr>
    </w:p>
    <w:bookmarkStart w:id="93" w:name="page94"/>
    <w:bookmarkEnd w:id="93"/>
    <w:p>
      <w:pPr>
        <w:ind w:left="9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implied covenants or obligations shall be read into this Indenture against the Trustee; and</w:t>
      </w:r>
    </w:p>
    <w:p>
      <w:pPr>
        <w:spacing w:after="0" w:line="206" w:lineRule="exact"/>
        <w:rPr>
          <w:sz w:val="20"/>
          <w:szCs w:val="20"/>
          <w:color w:val="auto"/>
        </w:rPr>
      </w:pPr>
    </w:p>
    <w:p>
      <w:pPr>
        <w:ind w:left="920" w:right="40" w:firstLine="679"/>
        <w:spacing w:after="0" w:line="279" w:lineRule="auto"/>
        <w:tabs>
          <w:tab w:leader="none" w:pos="2319" w:val="left"/>
        </w:tabs>
        <w:numPr>
          <w:ilvl w:val="1"/>
          <w:numId w:val="46"/>
        </w:numPr>
        <w:rPr>
          <w:rFonts w:ascii="Arial" w:cs="Arial" w:eastAsia="Arial" w:hAnsi="Arial"/>
          <w:sz w:val="19"/>
          <w:szCs w:val="19"/>
          <w:color w:val="auto"/>
        </w:rPr>
      </w:pPr>
      <w:r>
        <w:rPr>
          <w:rFonts w:ascii="Arial" w:cs="Arial" w:eastAsia="Arial" w:hAnsi="Arial"/>
          <w:sz w:val="19"/>
          <w:szCs w:val="19"/>
          <w:color w:val="auto"/>
        </w:rPr>
        <w:t>in the absence of negligence or willful misconduct on the part of the Trustee, the Trustee may with respect to the Notes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50" w:lineRule="exact"/>
        <w:rPr>
          <w:rFonts w:ascii="Arial" w:cs="Arial" w:eastAsia="Arial" w:hAnsi="Arial"/>
          <w:sz w:val="19"/>
          <w:szCs w:val="19"/>
          <w:color w:val="auto"/>
        </w:rPr>
      </w:pPr>
    </w:p>
    <w:p>
      <w:pPr>
        <w:jc w:val="both"/>
        <w:ind w:right="240" w:firstLine="750"/>
        <w:spacing w:after="0"/>
        <w:tabs>
          <w:tab w:leader="none" w:pos="1439"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86" w:lineRule="exact"/>
        <w:rPr>
          <w:rFonts w:ascii="Arial" w:cs="Arial" w:eastAsia="Arial" w:hAnsi="Arial"/>
          <w:sz w:val="22"/>
          <w:szCs w:val="22"/>
          <w:color w:val="auto"/>
        </w:rPr>
      </w:pPr>
    </w:p>
    <w:p>
      <w:pPr>
        <w:ind w:right="80" w:firstLine="750"/>
        <w:spacing w:after="0" w:line="287" w:lineRule="auto"/>
        <w:tabs>
          <w:tab w:leader="none" w:pos="1391"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Trustee shall not be liable with respect to any action taken or omitted to be taken by it in good faith in accordance with the direction of the Holders of not less than a majority in principal amount of the Notes at the time Outstanding relating to the time, method and place of conducting any proceeding for any remedy available to the Trustee, or exercising any trust or power conferred upon the Trustee under this Indenture with respect to the Notes; and</w:t>
      </w:r>
    </w:p>
    <w:p>
      <w:pPr>
        <w:spacing w:after="0" w:line="143" w:lineRule="exact"/>
        <w:rPr>
          <w:rFonts w:ascii="Arial" w:cs="Arial" w:eastAsia="Arial" w:hAnsi="Arial"/>
          <w:sz w:val="19"/>
          <w:szCs w:val="19"/>
          <w:color w:val="auto"/>
        </w:rPr>
      </w:pPr>
    </w:p>
    <w:p>
      <w:pPr>
        <w:ind w:firstLine="750"/>
        <w:spacing w:after="0" w:line="287" w:lineRule="auto"/>
        <w:tabs>
          <w:tab w:leader="none" w:pos="1379"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Section 7.02. Certain Rights of Trustee. </w:t>
      </w:r>
      <w:r>
        <w:rPr>
          <w:rFonts w:ascii="Arial" w:cs="Arial" w:eastAsia="Arial" w:hAnsi="Arial"/>
          <w:sz w:val="22"/>
          <w:szCs w:val="22"/>
          <w:color w:val="auto"/>
        </w:rPr>
        <w:t>Except as otherwise provided in Section 7.01:</w:t>
      </w:r>
    </w:p>
    <w:p>
      <w:pPr>
        <w:spacing w:after="0" w:line="206" w:lineRule="exact"/>
        <w:rPr>
          <w:sz w:val="20"/>
          <w:szCs w:val="20"/>
          <w:color w:val="auto"/>
        </w:rPr>
      </w:pPr>
    </w:p>
    <w:p>
      <w:pPr>
        <w:ind w:left="-800" w:right="240" w:firstLine="807"/>
        <w:spacing w:after="0" w:line="297" w:lineRule="auto"/>
        <w:tabs>
          <w:tab w:leader="none" w:pos="671"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Trustee may rely conclusively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34" w:lineRule="exact"/>
        <w:rPr>
          <w:rFonts w:ascii="Arial" w:cs="Arial" w:eastAsia="Arial" w:hAnsi="Arial"/>
          <w:sz w:val="19"/>
          <w:szCs w:val="19"/>
          <w:color w:val="auto"/>
        </w:rPr>
      </w:pPr>
    </w:p>
    <w:p>
      <w:pPr>
        <w:ind w:left="-800" w:right="400" w:firstLine="807"/>
        <w:spacing w:after="0" w:line="251" w:lineRule="auto"/>
        <w:tabs>
          <w:tab w:leader="none" w:pos="683"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request, direction, order or demand of the Company mentioned herein shall be sufficiently evidenced by a Board Resolution or an instrument</w:t>
      </w:r>
    </w:p>
    <w:p>
      <w:pPr>
        <w:sectPr>
          <w:pgSz w:w="11900" w:h="16838" w:orient="portrait"/>
          <w:cols w:equalWidth="0" w:num="1">
            <w:col w:w="10600"/>
          </w:cols>
          <w:pgMar w:left="1040" w:top="267" w:right="259" w:bottom="1440" w:gutter="0" w:footer="0" w:header="0"/>
        </w:sectPr>
      </w:pPr>
    </w:p>
    <w:bookmarkStart w:id="94" w:name="page95"/>
    <w:bookmarkEnd w:id="94"/>
    <w:p>
      <w:pPr>
        <w:ind w:right="88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signed in the name of the Company by any authorized officer of the Company (unless other evidence in respect thereof is specifically prescribed herein);</w:t>
      </w:r>
    </w:p>
    <w:p>
      <w:pPr>
        <w:spacing w:after="0" w:line="173" w:lineRule="exact"/>
        <w:rPr>
          <w:sz w:val="20"/>
          <w:szCs w:val="20"/>
          <w:color w:val="auto"/>
        </w:rPr>
      </w:pPr>
    </w:p>
    <w:p>
      <w:pPr>
        <w:jc w:val="both"/>
        <w:ind w:right="180" w:firstLine="807"/>
        <w:spacing w:after="0"/>
        <w:tabs>
          <w:tab w:leader="none" w:pos="1471"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86" w:lineRule="exact"/>
        <w:rPr>
          <w:rFonts w:ascii="Arial" w:cs="Arial" w:eastAsia="Arial" w:hAnsi="Arial"/>
          <w:sz w:val="22"/>
          <w:szCs w:val="22"/>
          <w:color w:val="auto"/>
        </w:rPr>
      </w:pPr>
    </w:p>
    <w:p>
      <w:pPr>
        <w:jc w:val="both"/>
        <w:ind w:right="20" w:firstLine="807"/>
        <w:spacing w:after="0" w:line="238" w:lineRule="auto"/>
        <w:tabs>
          <w:tab w:leader="none" w:pos="148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order or direction of any of the Holders pursuant to the provisions of this Indenture, unless such Holders shall have offered the Trustee security or indemnity satisfactory to the Trustee against loss, costs, expenses and liabilities that may be incurred therein or thereby;</w:t>
      </w:r>
    </w:p>
    <w:p>
      <w:pPr>
        <w:spacing w:after="0" w:line="185" w:lineRule="exact"/>
        <w:rPr>
          <w:rFonts w:ascii="Arial" w:cs="Arial" w:eastAsia="Arial" w:hAnsi="Arial"/>
          <w:sz w:val="22"/>
          <w:szCs w:val="22"/>
          <w:color w:val="auto"/>
        </w:rPr>
      </w:pPr>
    </w:p>
    <w:p>
      <w:pPr>
        <w:ind w:right="220" w:firstLine="807"/>
        <w:spacing w:after="0" w:line="251" w:lineRule="auto"/>
        <w:tabs>
          <w:tab w:leader="none" w:pos="1471"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Trustee shall not be liable for any action taken or omitted to be taken by it in good faith and believed by it to be authorized or within the discretion or rights or powers conferred upon it by this Indenture;</w:t>
      </w:r>
    </w:p>
    <w:p>
      <w:pPr>
        <w:spacing w:after="0" w:line="173" w:lineRule="exact"/>
        <w:rPr>
          <w:rFonts w:ascii="Arial" w:cs="Arial" w:eastAsia="Arial" w:hAnsi="Arial"/>
          <w:sz w:val="22"/>
          <w:szCs w:val="22"/>
          <w:color w:val="auto"/>
        </w:rPr>
      </w:pPr>
    </w:p>
    <w:p>
      <w:pPr>
        <w:ind w:firstLine="807"/>
        <w:spacing w:after="0" w:line="275" w:lineRule="auto"/>
        <w:tabs>
          <w:tab w:leader="none" w:pos="1447"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Notes affected thereby (determined as provided in Section 8.04);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58" w:lineRule="exact"/>
        <w:rPr>
          <w:rFonts w:ascii="Arial" w:cs="Arial" w:eastAsia="Arial" w:hAnsi="Arial"/>
          <w:sz w:val="19"/>
          <w:szCs w:val="19"/>
          <w:color w:val="auto"/>
        </w:rPr>
      </w:pPr>
    </w:p>
    <w:p>
      <w:pPr>
        <w:ind w:firstLine="807"/>
        <w:spacing w:after="0" w:line="238" w:lineRule="auto"/>
        <w:tabs>
          <w:tab w:leader="none" w:pos="148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Trustee may execute any of the trusts or powers hereunder or perform any duties hereunder either directly or by or through agents, attorneys or other professionals or consultants and may retain such parties in furtherance of its administration hereunder and the Trustee shall not be responsible for any misconduct or negligence on the part of any such agent, attorney or other professional appointed with due care by it hereunder;</w:t>
      </w:r>
    </w:p>
    <w:p>
      <w:pPr>
        <w:spacing w:after="0" w:line="185" w:lineRule="exact"/>
        <w:rPr>
          <w:rFonts w:ascii="Arial" w:cs="Arial" w:eastAsia="Arial" w:hAnsi="Arial"/>
          <w:sz w:val="22"/>
          <w:szCs w:val="22"/>
          <w:color w:val="auto"/>
        </w:rPr>
      </w:pPr>
    </w:p>
    <w:p>
      <w:pPr>
        <w:ind w:right="20" w:firstLine="807"/>
        <w:spacing w:after="0"/>
        <w:tabs>
          <w:tab w:leader="none" w:pos="1483" w:val="left"/>
        </w:tabs>
        <w:numPr>
          <w:ilvl w:val="0"/>
          <w:numId w:val="49"/>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ectPr>
          <w:pgSz w:w="11900" w:h="16838" w:orient="portrait"/>
          <w:cols w:equalWidth="0" w:num="1">
            <w:col w:w="11380"/>
          </w:cols>
          <w:pgMar w:left="240" w:top="267" w:right="279" w:bottom="1440" w:gutter="0" w:footer="0" w:header="0"/>
        </w:sectPr>
      </w:pPr>
    </w:p>
    <w:bookmarkStart w:id="95" w:name="page96"/>
    <w:bookmarkEnd w:id="95"/>
    <w:p>
      <w:pPr>
        <w:ind w:right="20" w:firstLine="807"/>
        <w:spacing w:after="0"/>
        <w:tabs>
          <w:tab w:leader="none" w:pos="1435" w:val="left"/>
        </w:tabs>
        <w:numPr>
          <w:ilvl w:val="0"/>
          <w:numId w:val="5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6" w:lineRule="exact"/>
        <w:rPr>
          <w:rFonts w:ascii="Arial" w:cs="Arial" w:eastAsia="Arial" w:hAnsi="Arial"/>
          <w:sz w:val="22"/>
          <w:szCs w:val="22"/>
          <w:color w:val="auto"/>
        </w:rPr>
      </w:pPr>
    </w:p>
    <w:p>
      <w:pPr>
        <w:ind w:left="1440" w:hanging="633"/>
        <w:spacing w:after="0"/>
        <w:tabs>
          <w:tab w:leader="none" w:pos="14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188" w:lineRule="exact"/>
        <w:rPr>
          <w:rFonts w:ascii="Arial" w:cs="Arial" w:eastAsia="Arial" w:hAnsi="Arial"/>
          <w:sz w:val="19"/>
          <w:szCs w:val="19"/>
          <w:color w:val="auto"/>
        </w:rPr>
      </w:pPr>
    </w:p>
    <w:p>
      <w:pPr>
        <w:ind w:right="180" w:firstLine="807"/>
        <w:spacing w:after="0" w:line="251" w:lineRule="auto"/>
        <w:tabs>
          <w:tab w:leader="none" w:pos="1483"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Trustee may request that the Company deliver a certificate setting forth the names of individuals and/or titles of officers authorized at such time to take specified actions pursuant to this Indenture;</w:t>
      </w:r>
    </w:p>
    <w:p>
      <w:pPr>
        <w:spacing w:after="0" w:line="173" w:lineRule="exact"/>
        <w:rPr>
          <w:rFonts w:ascii="Arial" w:cs="Arial" w:eastAsia="Arial" w:hAnsi="Arial"/>
          <w:sz w:val="22"/>
          <w:szCs w:val="22"/>
          <w:color w:val="auto"/>
        </w:rPr>
      </w:pPr>
    </w:p>
    <w:p>
      <w:pPr>
        <w:ind w:left="1440" w:hanging="633"/>
        <w:spacing w:after="0"/>
        <w:tabs>
          <w:tab w:leader="none" w:pos="14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under no circumstances shall the Trustee be liable in its individual capacity for the obligations evidenced by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Notes.</w:t>
      </w:r>
    </w:p>
    <w:p>
      <w:pPr>
        <w:spacing w:after="0" w:line="188" w:lineRule="exact"/>
        <w:rPr>
          <w:rFonts w:ascii="Arial" w:cs="Arial" w:eastAsia="Arial" w:hAnsi="Arial"/>
          <w:sz w:val="19"/>
          <w:szCs w:val="19"/>
          <w:color w:val="auto"/>
        </w:rPr>
      </w:pPr>
    </w:p>
    <w:p>
      <w:pPr>
        <w:ind w:left="1540" w:hanging="733"/>
        <w:spacing w:after="0"/>
        <w:tabs>
          <w:tab w:leader="none" w:pos="1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permissive right of the Trustee to do things enumerated in the documents shall not be construed as a duty.</w:t>
      </w:r>
    </w:p>
    <w:p>
      <w:pPr>
        <w:spacing w:after="0" w:line="241" w:lineRule="exact"/>
        <w:rPr>
          <w:sz w:val="20"/>
          <w:szCs w:val="20"/>
          <w:color w:val="auto"/>
        </w:rPr>
      </w:pPr>
    </w:p>
    <w:p>
      <w:pPr>
        <w:ind w:firstLine="799"/>
        <w:spacing w:after="0" w:line="277" w:lineRule="auto"/>
        <w:rPr>
          <w:sz w:val="20"/>
          <w:szCs w:val="20"/>
          <w:color w:val="auto"/>
        </w:rPr>
      </w:pPr>
      <w:r>
        <w:rPr>
          <w:rFonts w:ascii="Arial" w:cs="Arial" w:eastAsia="Arial" w:hAnsi="Arial"/>
          <w:sz w:val="19"/>
          <w:szCs w:val="19"/>
          <w:color w:val="auto"/>
        </w:rPr>
        <w:t>In addition, the Trustee shall not be deemed to have knowledge of any Default or Event of Default except (1) any Event of Default occurring pursuant to Section 6.01(a) and 6.01(b)) or (2) any Default or Event of Default of which the Trustee shall have received written notification in the manner set forth in this Indenture or a Responsible Officer of the Trustee shall have obtained actual knowledge. Delivery of reports, information and documents to the Trustee under Section 4.03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conclusively on an Officer’s Certificate).</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Section 7.03. Trustee Not Responsible for Recitals or Issuance or Notes.</w:t>
      </w:r>
    </w:p>
    <w:p>
      <w:pPr>
        <w:spacing w:after="0" w:line="206" w:lineRule="exact"/>
        <w:rPr>
          <w:sz w:val="20"/>
          <w:szCs w:val="20"/>
          <w:color w:val="auto"/>
        </w:rPr>
      </w:pPr>
    </w:p>
    <w:p>
      <w:pPr>
        <w:ind w:right="340" w:firstLine="807"/>
        <w:spacing w:after="0" w:line="251" w:lineRule="auto"/>
        <w:tabs>
          <w:tab w:leader="none" w:pos="146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recitals contained herein and in the Notes shall be taken as the statements of the Company, and the Trustee assumes no responsibility for the correctness of the same.</w:t>
      </w:r>
    </w:p>
    <w:p>
      <w:pPr>
        <w:spacing w:after="0" w:line="173" w:lineRule="exact"/>
        <w:rPr>
          <w:rFonts w:ascii="Arial" w:cs="Arial" w:eastAsia="Arial" w:hAnsi="Arial"/>
          <w:sz w:val="22"/>
          <w:szCs w:val="22"/>
          <w:color w:val="auto"/>
        </w:rPr>
      </w:pPr>
    </w:p>
    <w:p>
      <w:pPr>
        <w:ind w:left="1480" w:hanging="673"/>
        <w:spacing w:after="0"/>
        <w:tabs>
          <w:tab w:leader="none" w:pos="14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Trustee makes no representations as to the validity or sufficiency of this Indenture or of the Notes;</w:t>
      </w:r>
    </w:p>
    <w:p>
      <w:pPr>
        <w:spacing w:after="0" w:line="217" w:lineRule="exact"/>
        <w:rPr>
          <w:rFonts w:ascii="Arial" w:cs="Arial" w:eastAsia="Arial" w:hAnsi="Arial"/>
          <w:sz w:val="21"/>
          <w:szCs w:val="21"/>
          <w:color w:val="auto"/>
        </w:rPr>
      </w:pPr>
    </w:p>
    <w:p>
      <w:pPr>
        <w:ind w:right="260" w:firstLine="807"/>
        <w:spacing w:after="0" w:line="238" w:lineRule="auto"/>
        <w:tabs>
          <w:tab w:leader="none" w:pos="146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Trustee shall not be accountable for the use or application by the Company of any of the Notes or of the proceeds of such Notes, or for the use or application of any moneys paid over by the Trustee in accordance with any provision of this Indenture, or for the use or application of any moneys received by any Paying Agent other than the Trustee, acting in such capacity.</w:t>
      </w:r>
    </w:p>
    <w:p>
      <w:pPr>
        <w:sectPr>
          <w:pgSz w:w="11900" w:h="16838" w:orient="portrait"/>
          <w:cols w:equalWidth="0" w:num="1">
            <w:col w:w="11400"/>
          </w:cols>
          <w:pgMar w:left="240" w:top="266" w:right="259" w:bottom="1440" w:gutter="0" w:footer="0" w:header="0"/>
        </w:sectPr>
      </w:pPr>
    </w:p>
    <w:bookmarkStart w:id="96" w:name="page97"/>
    <w:bookmarkEnd w:id="96"/>
    <w:p>
      <w:pPr>
        <w:ind w:right="120" w:firstLine="799"/>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7.04. May Hold Notes. </w:t>
      </w:r>
      <w:r>
        <w:rPr>
          <w:rFonts w:ascii="Arial" w:cs="Arial" w:eastAsia="Arial" w:hAnsi="Arial"/>
          <w:sz w:val="22"/>
          <w:szCs w:val="22"/>
          <w:color w:val="auto"/>
        </w:rPr>
        <w:t>The Trustee or any Paying Agent or Note Registrar, in its individual or any other capacity,</w:t>
      </w:r>
      <w:r>
        <w:rPr>
          <w:rFonts w:ascii="Arial" w:cs="Arial" w:eastAsia="Arial" w:hAnsi="Arial"/>
          <w:sz w:val="22"/>
          <w:szCs w:val="22"/>
          <w:i w:val="1"/>
          <w:iCs w:val="1"/>
          <w:color w:val="auto"/>
        </w:rPr>
        <w:t xml:space="preserve"> </w:t>
      </w:r>
      <w:r>
        <w:rPr>
          <w:rFonts w:ascii="Arial" w:cs="Arial" w:eastAsia="Arial" w:hAnsi="Arial"/>
          <w:sz w:val="22"/>
          <w:szCs w:val="22"/>
          <w:color w:val="auto"/>
        </w:rPr>
        <w:t>may become the owner or pledgee of Notes with the same rights it would have if it were not Trustee, Paying Agent or Note Registrar.</w:t>
      </w:r>
    </w:p>
    <w:p>
      <w:pPr>
        <w:spacing w:after="0" w:line="186" w:lineRule="exact"/>
        <w:rPr>
          <w:sz w:val="20"/>
          <w:szCs w:val="20"/>
          <w:color w:val="auto"/>
        </w:rPr>
      </w:pPr>
    </w:p>
    <w:p>
      <w:pPr>
        <w:ind w:firstLine="799"/>
        <w:spacing w:after="0" w:line="252" w:lineRule="auto"/>
        <w:rPr>
          <w:sz w:val="20"/>
          <w:szCs w:val="20"/>
          <w:color w:val="auto"/>
        </w:rPr>
      </w:pPr>
      <w:r>
        <w:rPr>
          <w:rFonts w:ascii="Arial" w:cs="Arial" w:eastAsia="Arial" w:hAnsi="Arial"/>
          <w:sz w:val="21"/>
          <w:szCs w:val="21"/>
          <w:i w:val="1"/>
          <w:iCs w:val="1"/>
          <w:color w:val="auto"/>
        </w:rPr>
        <w:t xml:space="preserve">Section 7.05. Moneys Held in Trust. </w:t>
      </w:r>
      <w:r>
        <w:rPr>
          <w:rFonts w:ascii="Arial" w:cs="Arial" w:eastAsia="Arial" w:hAnsi="Arial"/>
          <w:sz w:val="21"/>
          <w:szCs w:val="21"/>
          <w:color w:val="auto"/>
        </w:rPr>
        <w:t>Subject to the provisions of Section 3.03, all moneys received by the Trustee shall,</w:t>
      </w:r>
      <w:r>
        <w:rPr>
          <w:rFonts w:ascii="Arial" w:cs="Arial" w:eastAsia="Arial" w:hAnsi="Arial"/>
          <w:sz w:val="21"/>
          <w:szCs w:val="21"/>
          <w:i w:val="1"/>
          <w:iCs w:val="1"/>
          <w:color w:val="auto"/>
        </w:rPr>
        <w:t xml:space="preserve"> </w:t>
      </w:r>
      <w:r>
        <w:rPr>
          <w:rFonts w:ascii="Arial" w:cs="Arial" w:eastAsia="Arial" w:hAnsi="Arial"/>
          <w:sz w:val="21"/>
          <w:szCs w:val="21"/>
          <w:color w:val="auto"/>
        </w:rPr>
        <w:t>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to in writing with the Company to pay thereon.</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Section 7.06. Compensation and Reimbursement.</w:t>
      </w:r>
    </w:p>
    <w:p>
      <w:pPr>
        <w:spacing w:after="0" w:line="206" w:lineRule="exact"/>
        <w:rPr>
          <w:sz w:val="20"/>
          <w:szCs w:val="20"/>
          <w:color w:val="auto"/>
        </w:rPr>
      </w:pPr>
    </w:p>
    <w:p>
      <w:pPr>
        <w:ind w:right="40" w:firstLine="807"/>
        <w:spacing w:after="0" w:line="272" w:lineRule="auto"/>
        <w:tabs>
          <w:tab w:leader="none" w:pos="1467"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willful misconduct and except as the Company and Trustee may from time to time agree in writing. The Company also covenants to indemnify the Trustee (and its officers, agents, directors and employees) for, and to hold it harmless against, any loss, liability or expense incurred without negligence or willful misconduct on the part of the Trustee and arising out of or in connection with the acceptance or administration of this trust, including the reasonable costs and expenses of defending itself against any claim of liability in the premises.</w:t>
      </w:r>
    </w:p>
    <w:p>
      <w:pPr>
        <w:spacing w:after="0" w:line="161" w:lineRule="exact"/>
        <w:rPr>
          <w:rFonts w:ascii="Arial" w:cs="Arial" w:eastAsia="Arial" w:hAnsi="Arial"/>
          <w:sz w:val="19"/>
          <w:szCs w:val="19"/>
          <w:color w:val="auto"/>
        </w:rPr>
      </w:pPr>
    </w:p>
    <w:p>
      <w:pPr>
        <w:ind w:right="260" w:firstLine="807"/>
        <w:spacing w:after="0" w:line="252" w:lineRule="auto"/>
        <w:tabs>
          <w:tab w:leader="none" w:pos="1479"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obligations of the Company under this Section 7.06 to compensate and indemnify the Trustee and to pay or reimburse the Trustee for reasonable expenses, disbursements and advances shall constitute additional indebtedness hereunder. Such additional indebtedness shall be secured by a lien prior to that of the Notes upon all property and funds held or collected by the Trustee as such, except funds held in trust for the benefit of the Holders.</w:t>
      </w:r>
    </w:p>
    <w:p>
      <w:pPr>
        <w:spacing w:after="0" w:line="174" w:lineRule="exact"/>
        <w:rPr>
          <w:rFonts w:ascii="Arial" w:cs="Arial" w:eastAsia="Arial" w:hAnsi="Arial"/>
          <w:sz w:val="21"/>
          <w:szCs w:val="21"/>
          <w:color w:val="auto"/>
        </w:rPr>
      </w:pPr>
    </w:p>
    <w:p>
      <w:pPr>
        <w:ind w:right="120" w:firstLine="807"/>
        <w:spacing w:after="0" w:line="251" w:lineRule="auto"/>
        <w:tabs>
          <w:tab w:leader="none" w:pos="1467"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Company covenants and agrees to indemnify the Trustee for, and hold it harmless from and against, any loss, liability, damages, claims, costs</w:t>
      </w:r>
    </w:p>
    <w:p>
      <w:pPr>
        <w:sectPr>
          <w:pgSz w:w="11900" w:h="16838" w:orient="portrait"/>
          <w:cols w:equalWidth="0" w:num="1">
            <w:col w:w="11420"/>
          </w:cols>
          <w:pgMar w:left="240" w:top="267" w:right="239" w:bottom="1440" w:gutter="0" w:footer="0" w:header="0"/>
        </w:sectPr>
      </w:pPr>
    </w:p>
    <w:bookmarkStart w:id="97" w:name="page98"/>
    <w:bookmarkEnd w:id="97"/>
    <w:p>
      <w:pPr>
        <w:ind w:right="120"/>
        <w:spacing w:after="0" w:line="24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expense including taxes (other than taxes based upon, measured by or determined by the income of the Trustee) reasonably incurred by it arising out of or in connection with the acceptance or administration of the trust or trusts hereund, er or the performance of its duties hereunder, including the reasonable costs and expenses of defending itself against any claim (whether asserted by the Company, or any Holder or any other Person) or liability in connection with the exercise or performance of any of its powers or duties hereunder or in connection with enforcing the provisions of this Section, except to the extent any such loss, liability or expense may be attributable to its negligence or willful misconduct as determined by a final non-appealable decision of a court of competent jurisdiction.</w:t>
      </w:r>
    </w:p>
    <w:p>
      <w:pPr>
        <w:spacing w:after="0" w:line="178" w:lineRule="exact"/>
        <w:rPr>
          <w:sz w:val="20"/>
          <w:szCs w:val="20"/>
          <w:color w:val="auto"/>
        </w:rPr>
      </w:pPr>
    </w:p>
    <w:p>
      <w:pPr>
        <w:ind w:right="20" w:firstLine="807"/>
        <w:spacing w:after="0" w:line="236" w:lineRule="auto"/>
        <w:tabs>
          <w:tab w:leader="none" w:pos="1483"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addition and without prejudice to the rights provided to the Trustee under any of the provisions of this Indenture, when the Trustee incurs expenses or renders services in connection with an Event of Default specified in Section 6.01(g) or Section 6.01(h), the expenses (including the reasonable charges and expenses of its counsel) and the compensation for the services are intended to constitute expenses of administration under any applicable Federal and State bankruptcy, insolvency or other similar law.</w:t>
      </w:r>
    </w:p>
    <w:p>
      <w:pPr>
        <w:spacing w:after="0" w:line="187" w:lineRule="exact"/>
        <w:rPr>
          <w:rFonts w:ascii="Arial" w:cs="Arial" w:eastAsia="Arial" w:hAnsi="Arial"/>
          <w:sz w:val="22"/>
          <w:szCs w:val="22"/>
          <w:color w:val="auto"/>
        </w:rPr>
      </w:pPr>
    </w:p>
    <w:p>
      <w:pPr>
        <w:ind w:right="80" w:firstLine="807"/>
        <w:spacing w:after="0"/>
        <w:tabs>
          <w:tab w:leader="none" w:pos="1467"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Company’s obligations under this Section 7.06 and the lien referred to in Section 7.06(b) shall survive the resignation or removal of the Trustee, the discharge of the Company’s obligations under Article Eleven of this Indenture and/or the termination of this Indenture.</w:t>
      </w:r>
    </w:p>
    <w:p>
      <w:pPr>
        <w:spacing w:after="0" w:line="186" w:lineRule="exact"/>
        <w:rPr>
          <w:sz w:val="20"/>
          <w:szCs w:val="20"/>
          <w:color w:val="auto"/>
        </w:rPr>
      </w:pPr>
    </w:p>
    <w:p>
      <w:pPr>
        <w:ind w:firstLine="799"/>
        <w:spacing w:after="0" w:line="277" w:lineRule="auto"/>
        <w:rPr>
          <w:sz w:val="20"/>
          <w:szCs w:val="20"/>
          <w:color w:val="auto"/>
        </w:rPr>
      </w:pPr>
      <w:r>
        <w:rPr>
          <w:rFonts w:ascii="Arial" w:cs="Arial" w:eastAsia="Arial" w:hAnsi="Arial"/>
          <w:sz w:val="19"/>
          <w:szCs w:val="19"/>
          <w:i w:val="1"/>
          <w:iCs w:val="1"/>
          <w:color w:val="auto"/>
        </w:rPr>
        <w:t xml:space="preserve">Section 7.07. Reliance on Officer’s Certificate and Opinions. </w:t>
      </w:r>
      <w:r>
        <w:rPr>
          <w:rFonts w:ascii="Arial" w:cs="Arial" w:eastAsia="Arial" w:hAnsi="Arial"/>
          <w:sz w:val="19"/>
          <w:szCs w:val="19"/>
          <w:color w:val="auto"/>
        </w:rPr>
        <w:t>Except as otherwise provided in Section 7.01, whenever in</w:t>
      </w:r>
      <w:r>
        <w:rPr>
          <w:rFonts w:ascii="Arial" w:cs="Arial" w:eastAsia="Arial" w:hAnsi="Arial"/>
          <w:sz w:val="19"/>
          <w:szCs w:val="19"/>
          <w:i w:val="1"/>
          <w:iCs w:val="1"/>
          <w:color w:val="auto"/>
        </w:rPr>
        <w:t xml:space="preserve"> </w:t>
      </w:r>
      <w:r>
        <w:rPr>
          <w:rFonts w:ascii="Arial" w:cs="Arial" w:eastAsia="Arial" w:hAnsi="Arial"/>
          <w:sz w:val="19"/>
          <w:szCs w:val="19"/>
          <w:color w:val="auto"/>
        </w:rPr>
        <w:t>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or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53" w:lineRule="exact"/>
        <w:rPr>
          <w:sz w:val="20"/>
          <w:szCs w:val="20"/>
          <w:color w:val="auto"/>
        </w:rPr>
      </w:pPr>
    </w:p>
    <w:p>
      <w:pPr>
        <w:ind w:right="300" w:firstLine="799"/>
        <w:spacing w:after="0"/>
        <w:rPr>
          <w:sz w:val="20"/>
          <w:szCs w:val="20"/>
          <w:color w:val="auto"/>
        </w:rPr>
      </w:pPr>
      <w:r>
        <w:rPr>
          <w:rFonts w:ascii="Arial" w:cs="Arial" w:eastAsia="Arial" w:hAnsi="Arial"/>
          <w:sz w:val="22"/>
          <w:szCs w:val="22"/>
          <w:i w:val="1"/>
          <w:iCs w:val="1"/>
          <w:color w:val="auto"/>
        </w:rPr>
        <w:t xml:space="preserve">Section 7.08. Disqualification; Conflicting Interests. </w:t>
      </w:r>
      <w:r>
        <w:rPr>
          <w:rFonts w:ascii="Arial" w:cs="Arial" w:eastAsia="Arial" w:hAnsi="Arial"/>
          <w:sz w:val="22"/>
          <w:szCs w:val="22"/>
          <w:color w:val="auto"/>
        </w:rPr>
        <w:t>If the Trustee has or shall acquire any “conflicting interest” within</w:t>
      </w:r>
      <w:r>
        <w:rPr>
          <w:rFonts w:ascii="Arial" w:cs="Arial" w:eastAsia="Arial" w:hAnsi="Arial"/>
          <w:sz w:val="22"/>
          <w:szCs w:val="22"/>
          <w:i w:val="1"/>
          <w:iCs w:val="1"/>
          <w:color w:val="auto"/>
        </w:rPr>
        <w:t xml:space="preserve"> </w:t>
      </w:r>
      <w:r>
        <w:rPr>
          <w:rFonts w:ascii="Arial" w:cs="Arial" w:eastAsia="Arial" w:hAnsi="Arial"/>
          <w:sz w:val="22"/>
          <w:szCs w:val="22"/>
          <w:color w:val="auto"/>
        </w:rPr>
        <w:t>the meaning of Section 310(b) of the Trust Indenture Act, the Trustee and the Company shall in all respects comply with the provisions of Section 310(b) of the Trust Indenture Act.</w:t>
      </w:r>
    </w:p>
    <w:p>
      <w:pPr>
        <w:spacing w:after="0" w:line="186" w:lineRule="exact"/>
        <w:rPr>
          <w:sz w:val="20"/>
          <w:szCs w:val="20"/>
          <w:color w:val="auto"/>
        </w:rPr>
      </w:pPr>
    </w:p>
    <w:p>
      <w:pPr>
        <w:ind w:right="40" w:firstLine="799"/>
        <w:spacing w:after="0" w:line="328" w:lineRule="auto"/>
        <w:rPr>
          <w:sz w:val="20"/>
          <w:szCs w:val="20"/>
          <w:color w:val="auto"/>
        </w:rPr>
      </w:pPr>
      <w:r>
        <w:rPr>
          <w:rFonts w:ascii="Arial" w:cs="Arial" w:eastAsia="Arial" w:hAnsi="Arial"/>
          <w:sz w:val="19"/>
          <w:szCs w:val="19"/>
          <w:i w:val="1"/>
          <w:iCs w:val="1"/>
          <w:color w:val="auto"/>
        </w:rPr>
        <w:t xml:space="preserve">Section 7.09. Corporate Trustee Required; Eligibility. </w:t>
      </w:r>
      <w:r>
        <w:rPr>
          <w:rFonts w:ascii="Arial" w:cs="Arial" w:eastAsia="Arial" w:hAnsi="Arial"/>
          <w:sz w:val="19"/>
          <w:szCs w:val="19"/>
          <w:color w:val="auto"/>
        </w:rPr>
        <w:t>There shall at all times be a Trustee with respect to the Notes issued</w:t>
      </w:r>
      <w:r>
        <w:rPr>
          <w:rFonts w:ascii="Arial" w:cs="Arial" w:eastAsia="Arial" w:hAnsi="Arial"/>
          <w:sz w:val="19"/>
          <w:szCs w:val="19"/>
          <w:i w:val="1"/>
          <w:iCs w:val="1"/>
          <w:color w:val="auto"/>
        </w:rPr>
        <w:t xml:space="preserve"> </w:t>
      </w:r>
      <w:r>
        <w:rPr>
          <w:rFonts w:ascii="Arial" w:cs="Arial" w:eastAsia="Arial" w:hAnsi="Arial"/>
          <w:sz w:val="19"/>
          <w:szCs w:val="19"/>
          <w:color w:val="auto"/>
        </w:rPr>
        <w:t>hereunder which shall at all times be a corporation organized and doing business under the laws of the United</w:t>
      </w:r>
    </w:p>
    <w:p>
      <w:pPr>
        <w:sectPr>
          <w:pgSz w:w="11900" w:h="16838" w:orient="portrait"/>
          <w:cols w:equalWidth="0" w:num="1">
            <w:col w:w="11400"/>
          </w:cols>
          <w:pgMar w:left="240" w:top="267" w:right="259" w:bottom="1440" w:gutter="0" w:footer="0" w:header="0"/>
        </w:sectPr>
      </w:pPr>
    </w:p>
    <w:bookmarkStart w:id="98" w:name="page99"/>
    <w:bookmarkEnd w:id="98"/>
    <w:p>
      <w:pPr>
        <w:ind w:right="2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States of America or any state or territory thereof or of the District of Columbia, or a corporation or other Person permitted to act as trustee by the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5" w:lineRule="exact"/>
        <w:rPr>
          <w:sz w:val="20"/>
          <w:szCs w:val="20"/>
          <w:color w:val="auto"/>
        </w:rPr>
      </w:pPr>
    </w:p>
    <w:p>
      <w:pPr>
        <w:ind w:right="120" w:firstLine="799"/>
        <w:spacing w:after="0" w:line="279" w:lineRule="auto"/>
        <w:rPr>
          <w:sz w:val="20"/>
          <w:szCs w:val="20"/>
          <w:color w:val="auto"/>
        </w:rPr>
      </w:pPr>
      <w:r>
        <w:rPr>
          <w:rFonts w:ascii="Arial" w:cs="Arial" w:eastAsia="Arial" w:hAnsi="Arial"/>
          <w:sz w:val="19"/>
          <w:szCs w:val="19"/>
          <w:color w:val="auto"/>
        </w:rPr>
        <w:t>If such corporation or other Person publishes reports of condition at least annually, pursuant to law or to the requirements of the aforesaid supervising or examining authority, then for the purposes of this Section 7.09,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7.09, the Trustee shall resign promptly in the manner and with the effect specified in Section 7.10.</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Section 7.10. Resignation and Removal; Appointment of Successor.</w:t>
      </w:r>
    </w:p>
    <w:p>
      <w:pPr>
        <w:spacing w:after="0" w:line="206" w:lineRule="exact"/>
        <w:rPr>
          <w:sz w:val="20"/>
          <w:szCs w:val="20"/>
          <w:color w:val="auto"/>
        </w:rPr>
      </w:pPr>
    </w:p>
    <w:p>
      <w:pPr>
        <w:ind w:firstLine="807"/>
        <w:spacing w:after="0" w:line="274" w:lineRule="auto"/>
        <w:tabs>
          <w:tab w:leader="none" w:pos="1467"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Trustee or any successor hereafter appointed may at any time resign with respect to the Notes by giving written notice thereof to the Company. Upon receiving such notice of resignation, the Company shall promptly appoint a successor trustee with respect to the Notes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at the expense of the Company, may petition any court of competent jurisdiction for the appointment of a successor trustee with respect to the Notes, or any Holder who has been a bona fide Holder of Notes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58" w:lineRule="exact"/>
        <w:rPr>
          <w:rFonts w:ascii="Arial" w:cs="Arial" w:eastAsia="Arial" w:hAnsi="Arial"/>
          <w:sz w:val="19"/>
          <w:szCs w:val="19"/>
          <w:color w:val="auto"/>
        </w:rPr>
      </w:pPr>
    </w:p>
    <w:p>
      <w:pPr>
        <w:ind w:left="1500" w:hanging="693"/>
        <w:spacing w:after="0"/>
        <w:tabs>
          <w:tab w:leader="none" w:pos="15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case at any time any one of the following shall occur:</w:t>
      </w:r>
    </w:p>
    <w:p>
      <w:pPr>
        <w:spacing w:after="0" w:line="206" w:lineRule="exact"/>
        <w:rPr>
          <w:rFonts w:ascii="Arial" w:cs="Arial" w:eastAsia="Arial" w:hAnsi="Arial"/>
          <w:sz w:val="22"/>
          <w:szCs w:val="22"/>
          <w:color w:val="auto"/>
        </w:rPr>
      </w:pPr>
    </w:p>
    <w:p>
      <w:pPr>
        <w:ind w:left="800" w:right="340" w:firstLine="750"/>
        <w:spacing w:after="0" w:line="274" w:lineRule="auto"/>
        <w:tabs>
          <w:tab w:leader="none" w:pos="2179"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Trustee shall fail to comply with the provisions of Section 7.08 after written request therefor by the Company or by any Holder who has been a bona fide Holder of Notes for at least six months;</w:t>
      </w:r>
    </w:p>
    <w:p>
      <w:pPr>
        <w:spacing w:after="0" w:line="150" w:lineRule="exact"/>
        <w:rPr>
          <w:rFonts w:ascii="Arial" w:cs="Arial" w:eastAsia="Arial" w:hAnsi="Arial"/>
          <w:sz w:val="21"/>
          <w:szCs w:val="21"/>
          <w:color w:val="auto"/>
        </w:rPr>
      </w:pPr>
    </w:p>
    <w:p>
      <w:pPr>
        <w:ind w:left="800" w:right="440" w:firstLine="750"/>
        <w:spacing w:after="0" w:line="251" w:lineRule="auto"/>
        <w:tabs>
          <w:tab w:leader="none" w:pos="2131"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Trustee shall cease to be eligible in accordance with the provisions of Section 7.09 and shall fail to resign after written request therefor by the Company or by any such Holder; or</w:t>
      </w:r>
    </w:p>
    <w:p>
      <w:pPr>
        <w:sectPr>
          <w:pgSz w:w="11900" w:h="16838" w:orient="portrait"/>
          <w:cols w:equalWidth="0" w:num="1">
            <w:col w:w="11420"/>
          </w:cols>
          <w:pgMar w:left="240" w:top="266" w:right="239" w:bottom="1440" w:gutter="0" w:footer="0" w:header="0"/>
        </w:sectPr>
      </w:pPr>
    </w:p>
    <w:bookmarkStart w:id="99" w:name="page100"/>
    <w:bookmarkEnd w:id="99"/>
    <w:p>
      <w:pPr>
        <w:ind w:left="800" w:right="80" w:firstLine="750"/>
        <w:spacing w:after="0" w:line="238" w:lineRule="auto"/>
        <w:tabs>
          <w:tab w:leader="none" w:pos="2299" w:val="left"/>
        </w:tabs>
        <w:numPr>
          <w:ilvl w:val="0"/>
          <w:numId w:val="5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85" w:lineRule="exact"/>
        <w:rPr>
          <w:sz w:val="20"/>
          <w:szCs w:val="20"/>
          <w:color w:val="auto"/>
        </w:rPr>
      </w:pPr>
    </w:p>
    <w:p>
      <w:pPr>
        <w:ind w:firstLine="799"/>
        <w:spacing w:after="0" w:line="279" w:lineRule="auto"/>
        <w:rPr>
          <w:sz w:val="20"/>
          <w:szCs w:val="20"/>
          <w:color w:val="auto"/>
        </w:rPr>
      </w:pPr>
      <w:r>
        <w:rPr>
          <w:rFonts w:ascii="Arial" w:cs="Arial" w:eastAsia="Arial" w:hAnsi="Arial"/>
          <w:sz w:val="19"/>
          <w:szCs w:val="19"/>
          <w:color w:val="auto"/>
        </w:rPr>
        <w:t>then, in any such case, the Company may remove the Trustee with respect to the Notes and appoint a successor trustee by written instrument, in duplicate, executed by order of the Board of Directors, one copy of which instrument shall be delivered to the Trustee so removed and one copy to the successor trustee, or any Holder who has been a bona fide Holder of Notes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51" w:lineRule="exact"/>
        <w:rPr>
          <w:sz w:val="20"/>
          <w:szCs w:val="20"/>
          <w:color w:val="auto"/>
        </w:rPr>
      </w:pPr>
    </w:p>
    <w:p>
      <w:pPr>
        <w:ind w:right="200" w:firstLine="807"/>
        <w:spacing w:after="0"/>
        <w:tabs>
          <w:tab w:leader="none" w:pos="1467"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Holders of a majority in aggregate principal amount of the Notes at the time Outstanding may at any time remove the Trustee by so notifying the Trustee and the Company in writing and may appoint a successor Trustee with the consent of the Company.</w:t>
      </w:r>
    </w:p>
    <w:p>
      <w:pPr>
        <w:spacing w:after="0" w:line="186" w:lineRule="exact"/>
        <w:rPr>
          <w:rFonts w:ascii="Arial" w:cs="Arial" w:eastAsia="Arial" w:hAnsi="Arial"/>
          <w:sz w:val="22"/>
          <w:szCs w:val="22"/>
          <w:color w:val="auto"/>
        </w:rPr>
      </w:pPr>
    </w:p>
    <w:p>
      <w:pPr>
        <w:ind w:right="520" w:firstLine="807"/>
        <w:spacing w:after="0"/>
        <w:tabs>
          <w:tab w:leader="none" w:pos="1471"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resignation or removal of the Trustee and appointment of a successor trustee with respect to the Notes pursuant to any of the provisions of this Section 7.10 shall become effective upon acceptance of appointment by the successor trustee as provided in Section 7.11.</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Section 7.11. Acceptance of Appointment By Successor.</w:t>
      </w:r>
    </w:p>
    <w:p>
      <w:pPr>
        <w:spacing w:after="0" w:line="206" w:lineRule="exact"/>
        <w:rPr>
          <w:sz w:val="20"/>
          <w:szCs w:val="20"/>
          <w:color w:val="auto"/>
        </w:rPr>
      </w:pPr>
    </w:p>
    <w:p>
      <w:pPr>
        <w:ind w:right="60" w:firstLine="807"/>
        <w:spacing w:after="0" w:line="275" w:lineRule="auto"/>
        <w:tabs>
          <w:tab w:leader="none" w:pos="1471"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case of the appointment hereunder of a successor trustee with respect to all Notes,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The trustee shall have no liability or responsibility for the action or inaction of any successor Trustee.</w:t>
      </w:r>
    </w:p>
    <w:p>
      <w:pPr>
        <w:spacing w:after="0" w:line="158" w:lineRule="exact"/>
        <w:rPr>
          <w:rFonts w:ascii="Arial" w:cs="Arial" w:eastAsia="Arial" w:hAnsi="Arial"/>
          <w:sz w:val="19"/>
          <w:szCs w:val="19"/>
          <w:color w:val="auto"/>
        </w:rPr>
      </w:pPr>
    </w:p>
    <w:p>
      <w:pPr>
        <w:ind w:right="520" w:firstLine="807"/>
        <w:spacing w:after="0" w:line="251" w:lineRule="auto"/>
        <w:tabs>
          <w:tab w:leader="none" w:pos="1483"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case of the appointment hereunder of a successor trustee with respect to some, but not all of the Notes, the Company, the retiring Trustee and</w:t>
      </w:r>
    </w:p>
    <w:p>
      <w:pPr>
        <w:sectPr>
          <w:pgSz w:w="11900" w:h="16838" w:orient="portrait"/>
          <w:cols w:equalWidth="0" w:num="1">
            <w:col w:w="11420"/>
          </w:cols>
          <w:pgMar w:left="240" w:top="267" w:right="239" w:bottom="1440" w:gutter="0" w:footer="0" w:header="0"/>
        </w:sectPr>
      </w:pPr>
    </w:p>
    <w:bookmarkStart w:id="100" w:name="page101"/>
    <w:bookmarkEnd w:id="100"/>
    <w:p>
      <w:pPr>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successor trustee with respect to such Notes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Notes to which the appointment of such successor trustee relates, (ii) shall contain such provisions as shall be deemed necessary or desirable to confirm that all the rights, powers, trusts and duties of the retiring Trustee with respect to the Notes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Notes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Notes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Notes to which the appointment of such successor trustee relates.</w:t>
      </w:r>
    </w:p>
    <w:p>
      <w:pPr>
        <w:spacing w:after="0" w:line="200" w:lineRule="exact"/>
        <w:rPr>
          <w:sz w:val="20"/>
          <w:szCs w:val="20"/>
          <w:color w:val="auto"/>
        </w:rPr>
      </w:pPr>
    </w:p>
    <w:p>
      <w:pPr>
        <w:spacing w:after="0" w:line="211" w:lineRule="exact"/>
        <w:rPr>
          <w:sz w:val="20"/>
          <w:szCs w:val="20"/>
          <w:color w:val="auto"/>
        </w:rPr>
      </w:pPr>
    </w:p>
    <w:p>
      <w:pPr>
        <w:jc w:val="both"/>
        <w:ind w:right="60" w:firstLine="807"/>
        <w:spacing w:after="0"/>
        <w:tabs>
          <w:tab w:leader="none" w:pos="1471" w:val="left"/>
        </w:tabs>
        <w:numPr>
          <w:ilvl w:val="0"/>
          <w:numId w:val="58"/>
        </w:numPr>
        <w:rPr>
          <w:rFonts w:ascii="Arial" w:cs="Arial" w:eastAsia="Arial" w:hAnsi="Arial"/>
          <w:sz w:val="22"/>
          <w:szCs w:val="22"/>
          <w:color w:val="auto"/>
        </w:rPr>
      </w:pPr>
      <w:r>
        <w:rPr>
          <w:rFonts w:ascii="Arial" w:cs="Arial" w:eastAsia="Arial" w:hAnsi="Arial"/>
          <w:sz w:val="22"/>
          <w:szCs w:val="22"/>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7.11, as the case may be.</w:t>
      </w:r>
    </w:p>
    <w:p>
      <w:pPr>
        <w:spacing w:after="0" w:line="186" w:lineRule="exact"/>
        <w:rPr>
          <w:rFonts w:ascii="Arial" w:cs="Arial" w:eastAsia="Arial" w:hAnsi="Arial"/>
          <w:sz w:val="22"/>
          <w:szCs w:val="22"/>
          <w:color w:val="auto"/>
        </w:rPr>
      </w:pPr>
    </w:p>
    <w:p>
      <w:pPr>
        <w:ind w:firstLine="807"/>
        <w:spacing w:after="0" w:line="251" w:lineRule="auto"/>
        <w:tabs>
          <w:tab w:leader="none" w:pos="1483"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 successor trustee shall accept its appointment unless at the time of such acceptance such successor trustee shall be qualified and eligible under this Article 7.</w:t>
      </w:r>
    </w:p>
    <w:p>
      <w:pPr>
        <w:spacing w:after="0" w:line="173" w:lineRule="exact"/>
        <w:rPr>
          <w:rFonts w:ascii="Arial" w:cs="Arial" w:eastAsia="Arial" w:hAnsi="Arial"/>
          <w:sz w:val="22"/>
          <w:szCs w:val="22"/>
          <w:color w:val="auto"/>
        </w:rPr>
      </w:pPr>
    </w:p>
    <w:p>
      <w:pPr>
        <w:ind w:right="40" w:firstLine="807"/>
        <w:spacing w:after="0" w:line="238" w:lineRule="auto"/>
        <w:tabs>
          <w:tab w:leader="none" w:pos="1471" w:val="left"/>
        </w:tabs>
        <w:numPr>
          <w:ilvl w:val="0"/>
          <w:numId w:val="58"/>
        </w:numPr>
        <w:rPr>
          <w:rFonts w:ascii="Arial" w:cs="Arial" w:eastAsia="Arial" w:hAnsi="Arial"/>
          <w:sz w:val="22"/>
          <w:szCs w:val="22"/>
          <w:color w:val="auto"/>
        </w:rPr>
      </w:pPr>
      <w:r>
        <w:rPr>
          <w:rFonts w:ascii="Arial" w:cs="Arial" w:eastAsia="Arial" w:hAnsi="Arial"/>
          <w:sz w:val="22"/>
          <w:szCs w:val="22"/>
          <w:color w:val="auto"/>
        </w:rPr>
        <w:t>Upon acceptance of appointment by a successor trustee as provided in this Section 7.11, the Company shall transmit notice of the succession of such trustee hereunder by mail, first class postage prepaid or in accordance with the Applicable Procedures, to the Holders, as their names and addresses appear upon the Note Register. If the Company fails to transmit such notice within ten days</w:t>
      </w:r>
    </w:p>
    <w:p>
      <w:pPr>
        <w:sectPr>
          <w:pgSz w:w="11900" w:h="16838" w:orient="portrait"/>
          <w:cols w:equalWidth="0" w:num="1">
            <w:col w:w="11400"/>
          </w:cols>
          <w:pgMar w:left="240" w:top="267" w:right="259" w:bottom="1440" w:gutter="0" w:footer="0" w:header="0"/>
        </w:sectPr>
      </w:pPr>
    </w:p>
    <w:bookmarkStart w:id="101" w:name="page102"/>
    <w:bookmarkEnd w:id="101"/>
    <w:p>
      <w:pPr>
        <w:ind w:right="56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acceptance of appointment by the successor trustee, the successor trustee shall cause such notice to be transmitted at the expense of the Company.</w:t>
      </w:r>
    </w:p>
    <w:p>
      <w:pPr>
        <w:spacing w:after="0" w:line="173" w:lineRule="exact"/>
        <w:rPr>
          <w:sz w:val="20"/>
          <w:szCs w:val="20"/>
          <w:color w:val="auto"/>
        </w:rPr>
      </w:pPr>
    </w:p>
    <w:p>
      <w:pPr>
        <w:ind w:right="120" w:firstLine="799"/>
        <w:spacing w:after="0" w:line="271" w:lineRule="auto"/>
        <w:rPr>
          <w:sz w:val="20"/>
          <w:szCs w:val="20"/>
          <w:color w:val="auto"/>
        </w:rPr>
      </w:pPr>
      <w:r>
        <w:rPr>
          <w:rFonts w:ascii="Arial" w:cs="Arial" w:eastAsia="Arial" w:hAnsi="Arial"/>
          <w:sz w:val="19"/>
          <w:szCs w:val="19"/>
          <w:i w:val="1"/>
          <w:iCs w:val="1"/>
          <w:color w:val="auto"/>
        </w:rPr>
        <w:t xml:space="preserve">Section 7.12. Merger, Conversion, Consolidation or Succession to Business. </w:t>
      </w:r>
      <w:r>
        <w:rPr>
          <w:rFonts w:ascii="Arial" w:cs="Arial" w:eastAsia="Arial" w:hAnsi="Arial"/>
          <w:sz w:val="19"/>
          <w:szCs w:val="19"/>
          <w:color w:val="auto"/>
        </w:rPr>
        <w:t>Any corporation into which the Trustee may</w:t>
      </w:r>
      <w:r>
        <w:rPr>
          <w:rFonts w:ascii="Arial" w:cs="Arial" w:eastAsia="Arial" w:hAnsi="Arial"/>
          <w:sz w:val="19"/>
          <w:szCs w:val="19"/>
          <w:i w:val="1"/>
          <w:iCs w:val="1"/>
          <w:color w:val="auto"/>
        </w:rPr>
        <w:t xml:space="preserve"> </w:t>
      </w:r>
      <w:r>
        <w:rPr>
          <w:rFonts w:ascii="Arial" w:cs="Arial" w:eastAsia="Arial" w:hAnsi="Arial"/>
          <w:sz w:val="19"/>
          <w:szCs w:val="19"/>
          <w:color w:val="auto"/>
        </w:rPr>
        <w:t>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w:t>
      </w:r>
    </w:p>
    <w:p>
      <w:pPr>
        <w:spacing w:after="0" w:line="4"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Section 7.08 and eligible under the provisions of Section 7.09, without the execution or filing of any paper or any further act on the part of any of the parties hereto, anything herein to the contrary notwithstanding.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86" w:lineRule="exact"/>
        <w:rPr>
          <w:sz w:val="20"/>
          <w:szCs w:val="20"/>
          <w:color w:val="auto"/>
        </w:rPr>
      </w:pPr>
    </w:p>
    <w:p>
      <w:pPr>
        <w:jc w:val="both"/>
        <w:ind w:right="20" w:firstLine="799"/>
        <w:spacing w:after="0" w:line="297" w:lineRule="auto"/>
        <w:rPr>
          <w:sz w:val="20"/>
          <w:szCs w:val="20"/>
          <w:color w:val="auto"/>
        </w:rPr>
      </w:pPr>
      <w:r>
        <w:rPr>
          <w:rFonts w:ascii="Arial" w:cs="Arial" w:eastAsia="Arial" w:hAnsi="Arial"/>
          <w:sz w:val="19"/>
          <w:szCs w:val="19"/>
          <w:i w:val="1"/>
          <w:iCs w:val="1"/>
          <w:color w:val="auto"/>
        </w:rPr>
        <w:t xml:space="preserve">Section 7.13. Preferential Collection of Claims Against the Company. </w:t>
      </w:r>
      <w:r>
        <w:rPr>
          <w:rFonts w:ascii="Arial" w:cs="Arial" w:eastAsia="Arial" w:hAnsi="Arial"/>
          <w:sz w:val="19"/>
          <w:szCs w:val="19"/>
          <w:color w:val="auto"/>
        </w:rPr>
        <w:t>The Trustee shall comply with Section 311(a) of the</w:t>
      </w:r>
      <w:r>
        <w:rPr>
          <w:rFonts w:ascii="Arial" w:cs="Arial" w:eastAsia="Arial" w:hAnsi="Arial"/>
          <w:sz w:val="19"/>
          <w:szCs w:val="19"/>
          <w:i w:val="1"/>
          <w:iCs w:val="1"/>
          <w:color w:val="auto"/>
        </w:rPr>
        <w:t xml:space="preserve"> </w:t>
      </w:r>
      <w:r>
        <w:rPr>
          <w:rFonts w:ascii="Arial" w:cs="Arial" w:eastAsia="Arial" w:hAnsi="Arial"/>
          <w:sz w:val="19"/>
          <w:szCs w:val="19"/>
          <w:color w:val="auto"/>
        </w:rPr>
        <w:t>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8</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ONCERNING THE</w:t>
      </w:r>
      <w:r>
        <w:rPr>
          <w:rFonts w:ascii="Arial" w:cs="Arial" w:eastAsia="Arial" w:hAnsi="Arial"/>
          <w:sz w:val="22"/>
          <w:szCs w:val="22"/>
          <w:color w:val="auto"/>
        </w:rPr>
        <w:t xml:space="preserve"> H</w:t>
      </w:r>
      <w:r>
        <w:rPr>
          <w:rFonts w:ascii="Arial" w:cs="Arial" w:eastAsia="Arial" w:hAnsi="Arial"/>
          <w:sz w:val="18"/>
          <w:szCs w:val="18"/>
          <w:color w:val="auto"/>
        </w:rPr>
        <w:t>OLDERS</w:t>
      </w:r>
    </w:p>
    <w:p>
      <w:pPr>
        <w:spacing w:after="0" w:line="188" w:lineRule="exact"/>
        <w:rPr>
          <w:sz w:val="20"/>
          <w:szCs w:val="20"/>
          <w:color w:val="auto"/>
        </w:rPr>
      </w:pPr>
    </w:p>
    <w:p>
      <w:pPr>
        <w:ind w:right="100" w:firstLine="799"/>
        <w:spacing w:after="0" w:line="235" w:lineRule="auto"/>
        <w:rPr>
          <w:sz w:val="20"/>
          <w:szCs w:val="20"/>
          <w:color w:val="auto"/>
        </w:rPr>
      </w:pPr>
      <w:r>
        <w:rPr>
          <w:rFonts w:ascii="Arial" w:cs="Arial" w:eastAsia="Arial" w:hAnsi="Arial"/>
          <w:sz w:val="22"/>
          <w:szCs w:val="22"/>
          <w:i w:val="1"/>
          <w:iCs w:val="1"/>
          <w:color w:val="auto"/>
        </w:rPr>
        <w:t xml:space="preserve">Section 8.01. Evidence of Action by Holders. </w:t>
      </w:r>
      <w:r>
        <w:rPr>
          <w:rFonts w:ascii="Arial" w:cs="Arial" w:eastAsia="Arial" w:hAnsi="Arial"/>
          <w:sz w:val="22"/>
          <w:szCs w:val="22"/>
          <w:color w:val="auto"/>
        </w:rPr>
        <w:t>Whenever in this Indenture it is provided that the Holders of a majority or</w:t>
      </w:r>
      <w:r>
        <w:rPr>
          <w:rFonts w:ascii="Arial" w:cs="Arial" w:eastAsia="Arial" w:hAnsi="Arial"/>
          <w:sz w:val="22"/>
          <w:szCs w:val="22"/>
          <w:i w:val="1"/>
          <w:iCs w:val="1"/>
          <w:color w:val="auto"/>
        </w:rPr>
        <w:t xml:space="preserve"> </w:t>
      </w:r>
      <w:r>
        <w:rPr>
          <w:rFonts w:ascii="Arial" w:cs="Arial" w:eastAsia="Arial" w:hAnsi="Arial"/>
          <w:sz w:val="22"/>
          <w:szCs w:val="22"/>
          <w:color w:val="auto"/>
        </w:rPr>
        <w:t>specified percentage in aggregate principal amount of the Notes may take any action (including the making of any demand or request, the giving of any notice, consent or waiver or the taking of any other action), the fact that at the time of taking any such action the holders of such majority or specified percentage of such Notes have joined therein may be evidenced by any instrument or any number of instruments of similar tenor executed by such Holders of such Notes in person or by agent or proxy appointed in writing.</w:t>
      </w:r>
    </w:p>
    <w:p>
      <w:pPr>
        <w:spacing w:after="0" w:line="188" w:lineRule="exact"/>
        <w:rPr>
          <w:sz w:val="20"/>
          <w:szCs w:val="20"/>
          <w:color w:val="auto"/>
        </w:rPr>
      </w:pPr>
    </w:p>
    <w:p>
      <w:pPr>
        <w:ind w:right="180" w:firstLine="799"/>
        <w:spacing w:after="0" w:line="249" w:lineRule="auto"/>
        <w:rPr>
          <w:sz w:val="20"/>
          <w:szCs w:val="20"/>
          <w:color w:val="auto"/>
        </w:rPr>
      </w:pPr>
      <w:r>
        <w:rPr>
          <w:rFonts w:ascii="Arial" w:cs="Arial" w:eastAsia="Arial" w:hAnsi="Arial"/>
          <w:sz w:val="21"/>
          <w:szCs w:val="21"/>
          <w:color w:val="auto"/>
        </w:rPr>
        <w:t>If the Company shall solicit from the Holders any request, demand, authorization, direction, notice, consent, waiver or other action, the Company may, at its option, as evidenced by an Officer’s Certificate, fix in advance a record date for such Notes for the determination of Holders entitled to give such request, demand, authorization, direction, notice, consent, waiver or other action, but the Company shall have no obligation to do so. If such a record date is fixed, such request, demand, authorization, direction, notice, consent, waiver or other action</w:t>
      </w:r>
    </w:p>
    <w:p>
      <w:pPr>
        <w:sectPr>
          <w:pgSz w:w="11900" w:h="16838" w:orient="portrait"/>
          <w:cols w:equalWidth="0" w:num="1">
            <w:col w:w="11380"/>
          </w:cols>
          <w:pgMar w:left="240" w:top="267" w:right="279" w:bottom="1440" w:gutter="0" w:footer="0" w:header="0"/>
        </w:sectPr>
      </w:pPr>
    </w:p>
    <w:bookmarkStart w:id="102" w:name="page103"/>
    <w:bookmarkEnd w:id="102"/>
    <w:p>
      <w:pPr>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be given before or after the record date, but only the Holders of record at the close of business on the record date shall be deemed to be Holders for the purposes of determining whether Holders of the requisite proportion of Outstanding Notes have authorized or agreed or consented to such request, demand, authorization, direction, notice, consent, waiver or other action, and for that purpose the Outstanding Notes shall be computed as of the record date; provided, however, that no such authorization, agreement or consent by such Holders on the record date shall be deemed effective unless it shall become effective pursuant to the provisions of this Indenture not later than six months after the record date.</w:t>
      </w:r>
    </w:p>
    <w:p>
      <w:pPr>
        <w:spacing w:after="0" w:line="177" w:lineRule="exact"/>
        <w:rPr>
          <w:sz w:val="20"/>
          <w:szCs w:val="20"/>
          <w:color w:val="auto"/>
        </w:rPr>
      </w:pPr>
    </w:p>
    <w:p>
      <w:pPr>
        <w:ind w:right="220" w:firstLine="799"/>
        <w:spacing w:after="0"/>
        <w:rPr>
          <w:sz w:val="20"/>
          <w:szCs w:val="20"/>
          <w:color w:val="auto"/>
        </w:rPr>
      </w:pPr>
      <w:r>
        <w:rPr>
          <w:rFonts w:ascii="Arial" w:cs="Arial" w:eastAsia="Arial" w:hAnsi="Arial"/>
          <w:sz w:val="22"/>
          <w:szCs w:val="22"/>
          <w:i w:val="1"/>
          <w:iCs w:val="1"/>
          <w:color w:val="auto"/>
        </w:rPr>
        <w:t xml:space="preserve">Section 8.02. Proof of Execution by Holders. </w:t>
      </w:r>
      <w:r>
        <w:rPr>
          <w:rFonts w:ascii="Arial" w:cs="Arial" w:eastAsia="Arial" w:hAnsi="Arial"/>
          <w:sz w:val="22"/>
          <w:szCs w:val="22"/>
          <w:color w:val="auto"/>
        </w:rPr>
        <w:t>Subject to the provisions of Section 7.01, proof of the execution of any</w:t>
      </w:r>
      <w:r>
        <w:rPr>
          <w:rFonts w:ascii="Arial" w:cs="Arial" w:eastAsia="Arial" w:hAnsi="Arial"/>
          <w:sz w:val="22"/>
          <w:szCs w:val="22"/>
          <w:i w:val="1"/>
          <w:iCs w:val="1"/>
          <w:color w:val="auto"/>
        </w:rPr>
        <w:t xml:space="preserve"> </w:t>
      </w:r>
      <w:r>
        <w:rPr>
          <w:rFonts w:ascii="Arial" w:cs="Arial" w:eastAsia="Arial" w:hAnsi="Arial"/>
          <w:sz w:val="22"/>
          <w:szCs w:val="22"/>
          <w:color w:val="auto"/>
        </w:rPr>
        <w:t>instrument by a Holder (such proof will not require notarization) or his agent or proxy and proof of the holding by any Person of any of the Notes shall be sufficient if made in the following manner:</w:t>
      </w:r>
    </w:p>
    <w:p>
      <w:pPr>
        <w:spacing w:after="0" w:line="186" w:lineRule="exact"/>
        <w:rPr>
          <w:sz w:val="20"/>
          <w:szCs w:val="20"/>
          <w:color w:val="auto"/>
        </w:rPr>
      </w:pPr>
    </w:p>
    <w:p>
      <w:pPr>
        <w:ind w:right="20" w:firstLine="807"/>
        <w:spacing w:after="0" w:line="251" w:lineRule="auto"/>
        <w:tabs>
          <w:tab w:leader="none" w:pos="1467"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fact and date of the execution by any such Person of any instrument may be proved in any reasonable manner acceptable to the Trustee.</w:t>
      </w:r>
    </w:p>
    <w:p>
      <w:pPr>
        <w:spacing w:after="0" w:line="173" w:lineRule="exact"/>
        <w:rPr>
          <w:rFonts w:ascii="Arial" w:cs="Arial" w:eastAsia="Arial" w:hAnsi="Arial"/>
          <w:sz w:val="22"/>
          <w:szCs w:val="22"/>
          <w:color w:val="auto"/>
        </w:rPr>
      </w:pPr>
    </w:p>
    <w:p>
      <w:pPr>
        <w:ind w:left="1480" w:hanging="673"/>
        <w:spacing w:after="0"/>
        <w:tabs>
          <w:tab w:leader="none" w:pos="14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ownership of Notes shall be proved by the Note Register or by a certificate of the Note Registrar thereof.</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Trustee may require such additional proof of any matter referred to in this Section 8.02 as it shall deem necessary.</w:t>
      </w:r>
    </w:p>
    <w:p>
      <w:pPr>
        <w:spacing w:after="0" w:line="241" w:lineRule="exact"/>
        <w:rPr>
          <w:sz w:val="20"/>
          <w:szCs w:val="20"/>
          <w:color w:val="auto"/>
        </w:rPr>
      </w:pPr>
    </w:p>
    <w:p>
      <w:pPr>
        <w:ind w:right="40" w:firstLine="799"/>
        <w:spacing w:after="0" w:line="247" w:lineRule="auto"/>
        <w:rPr>
          <w:sz w:val="20"/>
          <w:szCs w:val="20"/>
          <w:color w:val="auto"/>
        </w:rPr>
      </w:pPr>
      <w:r>
        <w:rPr>
          <w:rFonts w:ascii="Arial" w:cs="Arial" w:eastAsia="Arial" w:hAnsi="Arial"/>
          <w:sz w:val="21"/>
          <w:szCs w:val="21"/>
          <w:i w:val="1"/>
          <w:iCs w:val="1"/>
          <w:color w:val="auto"/>
        </w:rPr>
        <w:t xml:space="preserve">Section 8.03. Who May be Deemed Owners. </w:t>
      </w:r>
      <w:r>
        <w:rPr>
          <w:rFonts w:ascii="Arial" w:cs="Arial" w:eastAsia="Arial" w:hAnsi="Arial"/>
          <w:sz w:val="21"/>
          <w:szCs w:val="21"/>
          <w:color w:val="auto"/>
        </w:rPr>
        <w:t>Prior to the due presentment for registration of transfer of any Note,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the Trustee, any paying agent and any Note Registrar may deem and treat the Person in whose name such Note shall be registered upon the books of the Company as the absolute owner of such Note (whether or not such Note shall be overdue and notwithstanding any notice of ownership or writing thereon made by anyone other than the Note Registrar) for the purpose of receiving payment of or on account of the principal of, premium, if any, and (subject to Section 2.03) interest on such Note and for all other purposes; and neither the Company nor the Trustee nor any paying agent nor any Note Registrar shall be affected by any notice to the contrary.</w:t>
      </w:r>
    </w:p>
    <w:p>
      <w:pPr>
        <w:spacing w:after="0" w:line="178" w:lineRule="exact"/>
        <w:rPr>
          <w:sz w:val="20"/>
          <w:szCs w:val="20"/>
          <w:color w:val="auto"/>
        </w:rPr>
      </w:pPr>
    </w:p>
    <w:p>
      <w:pPr>
        <w:ind w:right="80" w:firstLine="799"/>
        <w:spacing w:after="0" w:line="279" w:lineRule="auto"/>
        <w:rPr>
          <w:sz w:val="20"/>
          <w:szCs w:val="20"/>
          <w:color w:val="auto"/>
        </w:rPr>
      </w:pPr>
      <w:r>
        <w:rPr>
          <w:rFonts w:ascii="Arial" w:cs="Arial" w:eastAsia="Arial" w:hAnsi="Arial"/>
          <w:sz w:val="19"/>
          <w:szCs w:val="19"/>
          <w:i w:val="1"/>
          <w:iCs w:val="1"/>
          <w:color w:val="auto"/>
        </w:rPr>
        <w:t xml:space="preserve">Section 8.04. Certain Notes Owned by Company Disregarded. </w:t>
      </w:r>
      <w:r>
        <w:rPr>
          <w:rFonts w:ascii="Arial" w:cs="Arial" w:eastAsia="Arial" w:hAnsi="Arial"/>
          <w:sz w:val="19"/>
          <w:szCs w:val="19"/>
          <w:color w:val="auto"/>
        </w:rPr>
        <w:t>In determining whether the Holders of the requisite</w:t>
      </w:r>
      <w:r>
        <w:rPr>
          <w:rFonts w:ascii="Arial" w:cs="Arial" w:eastAsia="Arial" w:hAnsi="Arial"/>
          <w:sz w:val="19"/>
          <w:szCs w:val="19"/>
          <w:i w:val="1"/>
          <w:iCs w:val="1"/>
          <w:color w:val="auto"/>
        </w:rPr>
        <w:t xml:space="preserve"> </w:t>
      </w:r>
      <w:r>
        <w:rPr>
          <w:rFonts w:ascii="Arial" w:cs="Arial" w:eastAsia="Arial" w:hAnsi="Arial"/>
          <w:sz w:val="19"/>
          <w:szCs w:val="19"/>
          <w:color w:val="auto"/>
        </w:rPr>
        <w:t>aggregate principal amount of Notes have concurred in any direction, consent or waiver under this Indenture, the Notes that are owned by the Company or any other obligor on the Notes or by any Affiliate of the Company or any other obligor on the Notes shall be disregarded and deemed not to be Outstanding for the purpose of any such determination, except that for the purpose of determining whether the Trustee shall be protected in relying on any such direction, consent or waiver, only Notes that the Trustee actually knows are so owned shall be so disregarded. The Notes so owned that</w:t>
      </w:r>
    </w:p>
    <w:p>
      <w:pPr>
        <w:sectPr>
          <w:pgSz w:w="11900" w:h="16838" w:orient="portrait"/>
          <w:cols w:equalWidth="0" w:num="1">
            <w:col w:w="11340"/>
          </w:cols>
          <w:pgMar w:left="240" w:top="267" w:right="319" w:bottom="1440" w:gutter="0" w:footer="0" w:header="0"/>
        </w:sectPr>
      </w:pPr>
    </w:p>
    <w:bookmarkStart w:id="103" w:name="page104"/>
    <w:bookmarkEnd w:id="103"/>
    <w:p>
      <w:pPr>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been pledged in good faith may be regarded as Outstanding for the purposes of this Section 8.04, if the pledgee shall establish to the satisfaction of the Trustee the pledgee’s right so to act with respect to such Notes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8" w:lineRule="exact"/>
        <w:rPr>
          <w:sz w:val="20"/>
          <w:szCs w:val="20"/>
          <w:color w:val="auto"/>
        </w:rPr>
      </w:pPr>
    </w:p>
    <w:p>
      <w:pPr>
        <w:ind w:right="80" w:firstLine="799"/>
        <w:spacing w:after="0" w:line="245" w:lineRule="auto"/>
        <w:rPr>
          <w:sz w:val="20"/>
          <w:szCs w:val="20"/>
          <w:color w:val="auto"/>
        </w:rPr>
      </w:pPr>
      <w:r>
        <w:rPr>
          <w:rFonts w:ascii="Arial" w:cs="Arial" w:eastAsia="Arial" w:hAnsi="Arial"/>
          <w:sz w:val="21"/>
          <w:szCs w:val="21"/>
          <w:i w:val="1"/>
          <w:iCs w:val="1"/>
          <w:color w:val="auto"/>
        </w:rPr>
        <w:t xml:space="preserve">Section 8.05. Actions Binding on Future Holders. </w:t>
      </w:r>
      <w:r>
        <w:rPr>
          <w:rFonts w:ascii="Arial" w:cs="Arial" w:eastAsia="Arial" w:hAnsi="Arial"/>
          <w:sz w:val="21"/>
          <w:szCs w:val="21"/>
          <w:color w:val="auto"/>
        </w:rPr>
        <w:t>At any time prior to (but not after) the evidencing to the Trustee, as</w:t>
      </w:r>
      <w:r>
        <w:rPr>
          <w:rFonts w:ascii="Arial" w:cs="Arial" w:eastAsia="Arial" w:hAnsi="Arial"/>
          <w:sz w:val="21"/>
          <w:szCs w:val="21"/>
          <w:i w:val="1"/>
          <w:iCs w:val="1"/>
          <w:color w:val="auto"/>
        </w:rPr>
        <w:t xml:space="preserve"> </w:t>
      </w:r>
      <w:r>
        <w:rPr>
          <w:rFonts w:ascii="Arial" w:cs="Arial" w:eastAsia="Arial" w:hAnsi="Arial"/>
          <w:sz w:val="21"/>
          <w:szCs w:val="21"/>
          <w:color w:val="auto"/>
        </w:rPr>
        <w:t>provided in Section 8.01, of the taking of any action by the Holders of the majority or percentage in aggregate principal amount of the Notes specified in this Indenture in connection with such action, any Holder of a Note that is shown by the evidence to be included in the Notes the Holders of which have consented to such action may, by filing written notice with the Trustee,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 issued in exchange therefor, on registration of transfer thereof or in place thereof, irrespective of whether or not any notation in regard thereto is made upon such Note. Any action taken by the Holders of the majority or percentage in aggregate principal amount of the Notes specified in this Indenture in connection with such action shall be conclusively binding upon the Company, the Trustee and the Holders.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9</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MENDMENTS</w:t>
      </w:r>
      <w:r>
        <w:rPr>
          <w:rFonts w:ascii="Arial" w:cs="Arial" w:eastAsia="Arial" w:hAnsi="Arial"/>
          <w:sz w:val="22"/>
          <w:szCs w:val="22"/>
          <w:color w:val="auto"/>
        </w:rPr>
        <w:t>; S</w:t>
      </w:r>
      <w:r>
        <w:rPr>
          <w:rFonts w:ascii="Arial" w:cs="Arial" w:eastAsia="Arial" w:hAnsi="Arial"/>
          <w:sz w:val="18"/>
          <w:szCs w:val="18"/>
          <w:color w:val="auto"/>
        </w:rPr>
        <w:t>UPPLEMENTS</w:t>
      </w:r>
      <w:r>
        <w:rPr>
          <w:rFonts w:ascii="Arial" w:cs="Arial" w:eastAsia="Arial" w:hAnsi="Arial"/>
          <w:sz w:val="22"/>
          <w:szCs w:val="22"/>
          <w:color w:val="auto"/>
        </w:rPr>
        <w:t xml:space="preserve"> A</w:t>
      </w:r>
      <w:r>
        <w:rPr>
          <w:rFonts w:ascii="Arial" w:cs="Arial" w:eastAsia="Arial" w:hAnsi="Arial"/>
          <w:sz w:val="18"/>
          <w:szCs w:val="18"/>
          <w:color w:val="auto"/>
        </w:rPr>
        <w:t>ND</w:t>
      </w:r>
      <w:r>
        <w:rPr>
          <w:rFonts w:ascii="Arial" w:cs="Arial" w:eastAsia="Arial" w:hAnsi="Arial"/>
          <w:sz w:val="22"/>
          <w:szCs w:val="22"/>
          <w:color w:val="auto"/>
        </w:rPr>
        <w:t xml:space="preserve"> W</w:t>
      </w:r>
      <w:r>
        <w:rPr>
          <w:rFonts w:ascii="Arial" w:cs="Arial" w:eastAsia="Arial" w:hAnsi="Arial"/>
          <w:sz w:val="18"/>
          <w:szCs w:val="18"/>
          <w:color w:val="auto"/>
        </w:rPr>
        <w:t>AIVERS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Section 9.01. Without Consent of Holders. </w:t>
      </w:r>
      <w:r>
        <w:rPr>
          <w:rFonts w:ascii="Arial" w:cs="Arial" w:eastAsia="Arial" w:hAnsi="Arial"/>
          <w:sz w:val="19"/>
          <w:szCs w:val="19"/>
          <w:color w:val="auto"/>
        </w:rPr>
        <w:t>The Company and the Trustee may amend or supplement this Indenture or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Notes without notice to or consent of any Holder of a Note for any of the following purposes:</w:t>
      </w:r>
    </w:p>
    <w:p>
      <w:pPr>
        <w:spacing w:after="0" w:line="188" w:lineRule="exact"/>
        <w:rPr>
          <w:sz w:val="20"/>
          <w:szCs w:val="20"/>
          <w:color w:val="auto"/>
        </w:rPr>
      </w:pPr>
    </w:p>
    <w:p>
      <w:pPr>
        <w:ind w:left="1480" w:hanging="673"/>
        <w:spacing w:after="0"/>
        <w:tabs>
          <w:tab w:leader="none" w:pos="14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add to the covenants of the Company for the benefit of the Holders of Notes;</w:t>
      </w:r>
    </w:p>
    <w:p>
      <w:pPr>
        <w:spacing w:after="0" w:line="206" w:lineRule="exact"/>
        <w:rPr>
          <w:rFonts w:ascii="Arial" w:cs="Arial" w:eastAsia="Arial" w:hAnsi="Arial"/>
          <w:sz w:val="22"/>
          <w:szCs w:val="22"/>
          <w:color w:val="auto"/>
        </w:rPr>
      </w:pPr>
    </w:p>
    <w:p>
      <w:pPr>
        <w:ind w:left="1500" w:hanging="693"/>
        <w:spacing w:after="0"/>
        <w:tabs>
          <w:tab w:leader="none" w:pos="15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surrender any right or power herein conferred upon the Company;</w:t>
      </w:r>
    </w:p>
    <w:p>
      <w:pPr>
        <w:spacing w:after="0" w:line="206" w:lineRule="exact"/>
        <w:rPr>
          <w:rFonts w:ascii="Arial" w:cs="Arial" w:eastAsia="Arial" w:hAnsi="Arial"/>
          <w:sz w:val="22"/>
          <w:szCs w:val="22"/>
          <w:color w:val="auto"/>
        </w:rPr>
      </w:pPr>
    </w:p>
    <w:p>
      <w:pPr>
        <w:ind w:left="1480" w:hanging="673"/>
        <w:spacing w:after="0"/>
        <w:tabs>
          <w:tab w:leader="none" w:pos="14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to make provision with respect to the conversion rights of Holders of Notes pursuant to Section 13.10 hereof;</w:t>
      </w:r>
    </w:p>
    <w:p>
      <w:pPr>
        <w:spacing w:after="0" w:line="240" w:lineRule="exact"/>
        <w:rPr>
          <w:rFonts w:ascii="Arial" w:cs="Arial" w:eastAsia="Arial" w:hAnsi="Arial"/>
          <w:sz w:val="19"/>
          <w:szCs w:val="19"/>
          <w:color w:val="auto"/>
        </w:rPr>
      </w:pPr>
    </w:p>
    <w:p>
      <w:pPr>
        <w:ind w:right="640" w:firstLine="807"/>
        <w:spacing w:after="0" w:line="251" w:lineRule="auto"/>
        <w:tabs>
          <w:tab w:leader="none" w:pos="1483"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provide for the assumption of the Company’s obligations to the Holders of Notes in the case of a merger, consolidation, conveyance, transfer or lease pursuant to Article 10 hereof;</w:t>
      </w:r>
    </w:p>
    <w:p>
      <w:pPr>
        <w:sectPr>
          <w:pgSz w:w="11900" w:h="16838" w:orient="portrait"/>
          <w:cols w:equalWidth="0" w:num="1">
            <w:col w:w="11400"/>
          </w:cols>
          <w:pgMar w:left="240" w:top="266" w:right="259" w:bottom="1440" w:gutter="0" w:footer="0" w:header="0"/>
        </w:sectPr>
      </w:pPr>
    </w:p>
    <w:bookmarkStart w:id="104" w:name="page105"/>
    <w:bookmarkEnd w:id="104"/>
    <w:p>
      <w:pPr>
        <w:ind w:right="60" w:firstLine="807"/>
        <w:spacing w:after="0" w:line="251" w:lineRule="auto"/>
        <w:tabs>
          <w:tab w:leader="none" w:pos="1471" w:val="left"/>
        </w:tabs>
        <w:numPr>
          <w:ilvl w:val="0"/>
          <w:numId w:val="61"/>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increase the Conversion Rate; </w:t>
      </w:r>
      <w:r>
        <w:rPr>
          <w:rFonts w:ascii="Arial" w:cs="Arial" w:eastAsia="Arial" w:hAnsi="Arial"/>
          <w:sz w:val="22"/>
          <w:szCs w:val="22"/>
          <w:i w:val="1"/>
          <w:iCs w:val="1"/>
          <w:color w:val="auto"/>
        </w:rPr>
        <w:t>provided, however</w:t>
      </w:r>
      <w:r>
        <w:rPr>
          <w:rFonts w:ascii="Arial" w:cs="Arial" w:eastAsia="Arial" w:hAnsi="Arial"/>
          <w:sz w:val="22"/>
          <w:szCs w:val="22"/>
          <w:color w:val="auto"/>
        </w:rPr>
        <w:t>, that such increase in the Conversion Rate shall not adversely affect the interests of the Holders of Notes in any material respect;</w:t>
      </w:r>
    </w:p>
    <w:p>
      <w:pPr>
        <w:spacing w:after="0" w:line="173" w:lineRule="exact"/>
        <w:rPr>
          <w:rFonts w:ascii="Arial" w:cs="Arial" w:eastAsia="Arial" w:hAnsi="Arial"/>
          <w:sz w:val="22"/>
          <w:szCs w:val="22"/>
          <w:color w:val="auto"/>
        </w:rPr>
      </w:pPr>
    </w:p>
    <w:p>
      <w:pPr>
        <w:ind w:right="800" w:firstLine="807"/>
        <w:spacing w:after="0" w:line="251" w:lineRule="auto"/>
        <w:tabs>
          <w:tab w:leader="none" w:pos="1447"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comply with the requirements of the Commission in order to effect or maintain the qualification of this Indenture under the Trust Indenture Act;</w:t>
      </w:r>
    </w:p>
    <w:p>
      <w:pPr>
        <w:spacing w:after="0" w:line="173" w:lineRule="exact"/>
        <w:rPr>
          <w:rFonts w:ascii="Arial" w:cs="Arial" w:eastAsia="Arial" w:hAnsi="Arial"/>
          <w:sz w:val="22"/>
          <w:szCs w:val="22"/>
          <w:color w:val="auto"/>
        </w:rPr>
      </w:pPr>
    </w:p>
    <w:p>
      <w:pPr>
        <w:ind w:right="40" w:firstLine="807"/>
        <w:spacing w:after="0"/>
        <w:tabs>
          <w:tab w:leader="none" w:pos="1483"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to cure any ambiguity, correct or supplement any provision herein which may be inconsistent with any other provision herein or which is otherwise defective; </w:t>
      </w:r>
      <w:r>
        <w:rPr>
          <w:rFonts w:ascii="Arial" w:cs="Arial" w:eastAsia="Arial" w:hAnsi="Arial"/>
          <w:sz w:val="22"/>
          <w:szCs w:val="22"/>
          <w:i w:val="1"/>
          <w:iCs w:val="1"/>
          <w:color w:val="auto"/>
        </w:rPr>
        <w:t>provided</w:t>
      </w:r>
      <w:r>
        <w:rPr>
          <w:rFonts w:ascii="Arial" w:cs="Arial" w:eastAsia="Arial" w:hAnsi="Arial"/>
          <w:sz w:val="22"/>
          <w:szCs w:val="22"/>
          <w:color w:val="auto"/>
        </w:rPr>
        <w:t>, that such action pursuant to this clause (g) does not adversely affect the interests of the Holders of Notes in any material respect;</w:t>
      </w:r>
    </w:p>
    <w:p>
      <w:pPr>
        <w:spacing w:after="0" w:line="186" w:lineRule="exact"/>
        <w:rPr>
          <w:rFonts w:ascii="Arial" w:cs="Arial" w:eastAsia="Arial" w:hAnsi="Arial"/>
          <w:sz w:val="22"/>
          <w:szCs w:val="22"/>
          <w:color w:val="auto"/>
        </w:rPr>
      </w:pPr>
    </w:p>
    <w:p>
      <w:pPr>
        <w:ind w:right="160" w:firstLine="807"/>
        <w:spacing w:after="0" w:line="251" w:lineRule="auto"/>
        <w:tabs>
          <w:tab w:leader="none" w:pos="1483"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add or modify any other provisions which the Company and the Trustee may deem necessary or desirable and which shall not adversely affect the interests of the Holders of Notes in any material respect; or</w:t>
      </w:r>
    </w:p>
    <w:p>
      <w:pPr>
        <w:spacing w:after="0" w:line="173" w:lineRule="exact"/>
        <w:rPr>
          <w:rFonts w:ascii="Arial" w:cs="Arial" w:eastAsia="Arial" w:hAnsi="Arial"/>
          <w:sz w:val="22"/>
          <w:szCs w:val="22"/>
          <w:color w:val="auto"/>
        </w:rPr>
      </w:pPr>
    </w:p>
    <w:p>
      <w:pPr>
        <w:ind w:left="1440" w:hanging="633"/>
        <w:spacing w:after="0"/>
        <w:tabs>
          <w:tab w:leader="none" w:pos="14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provide for the issuance of Additional Notes pursuant to Section 2.10.</w:t>
      </w:r>
    </w:p>
    <w:p>
      <w:pPr>
        <w:spacing w:after="0" w:line="206" w:lineRule="exact"/>
        <w:rPr>
          <w:sz w:val="20"/>
          <w:szCs w:val="20"/>
          <w:color w:val="auto"/>
        </w:rPr>
      </w:pPr>
    </w:p>
    <w:p>
      <w:pPr>
        <w:ind w:firstLine="799"/>
        <w:spacing w:after="0" w:line="238" w:lineRule="auto"/>
        <w:rPr>
          <w:sz w:val="20"/>
          <w:szCs w:val="20"/>
          <w:color w:val="auto"/>
        </w:rPr>
      </w:pPr>
      <w:r>
        <w:rPr>
          <w:rFonts w:ascii="Arial" w:cs="Arial" w:eastAsia="Arial" w:hAnsi="Arial"/>
          <w:sz w:val="22"/>
          <w:szCs w:val="22"/>
          <w:color w:val="auto"/>
        </w:rPr>
        <w:t>After an amendment, supplement or waiver under this Section 9.01 becomes effective, the Company, or, at the written request of the Company, the Trustee, shall mail to the Holders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185" w:lineRule="exact"/>
        <w:rPr>
          <w:sz w:val="20"/>
          <w:szCs w:val="20"/>
          <w:color w:val="auto"/>
        </w:rPr>
      </w:pPr>
    </w:p>
    <w:p>
      <w:pPr>
        <w:ind w:right="20" w:firstLine="799"/>
        <w:spacing w:after="0" w:line="235" w:lineRule="auto"/>
        <w:rPr>
          <w:sz w:val="20"/>
          <w:szCs w:val="20"/>
          <w:color w:val="auto"/>
        </w:rPr>
      </w:pPr>
      <w:r>
        <w:rPr>
          <w:rFonts w:ascii="Arial" w:cs="Arial" w:eastAsia="Arial" w:hAnsi="Arial"/>
          <w:sz w:val="22"/>
          <w:szCs w:val="22"/>
          <w:i w:val="1"/>
          <w:iCs w:val="1"/>
          <w:color w:val="auto"/>
        </w:rPr>
        <w:t xml:space="preserve">Section 9.02. With Consent of Holders. </w:t>
      </w:r>
      <w:r>
        <w:rPr>
          <w:rFonts w:ascii="Arial" w:cs="Arial" w:eastAsia="Arial" w:hAnsi="Arial"/>
          <w:sz w:val="22"/>
          <w:szCs w:val="22"/>
          <w:color w:val="auto"/>
        </w:rPr>
        <w:t>Except as provided below in this Section 9.02, this Indenture or the Notes may be</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or supplemented, and noncompliance by the Company in any particular instance with any provision of this Indenture or the Notes may be waived, in each case (i) with the written consent of the Holders of at least a majority in aggregate principal amount of the Notes then Outstanding or (ii) by the adoption of a resolution, at a meeting of Holders of the Notes then Outstanding at which a quorum is present, by the Holders of a majority in aggregate principal amount of the Outstanding Notes represented at such meeting.</w:t>
      </w:r>
    </w:p>
    <w:p>
      <w:pPr>
        <w:spacing w:after="0" w:line="188" w:lineRule="exact"/>
        <w:rPr>
          <w:sz w:val="20"/>
          <w:szCs w:val="20"/>
          <w:color w:val="auto"/>
        </w:rPr>
      </w:pPr>
    </w:p>
    <w:p>
      <w:pPr>
        <w:ind w:right="400" w:firstLine="799"/>
        <w:spacing w:after="0" w:line="251" w:lineRule="auto"/>
        <w:rPr>
          <w:sz w:val="20"/>
          <w:szCs w:val="20"/>
          <w:color w:val="auto"/>
        </w:rPr>
      </w:pPr>
      <w:r>
        <w:rPr>
          <w:rFonts w:ascii="Arial" w:cs="Arial" w:eastAsia="Arial" w:hAnsi="Arial"/>
          <w:sz w:val="22"/>
          <w:szCs w:val="22"/>
          <w:color w:val="auto"/>
        </w:rPr>
        <w:t>Without the written consent or the affirmative vote of each Holder of an affected Note, an amendment, supplement or waiver to this Indenture or the Notes may not:</w:t>
      </w:r>
    </w:p>
    <w:p>
      <w:pPr>
        <w:spacing w:after="0" w:line="173" w:lineRule="exact"/>
        <w:rPr>
          <w:sz w:val="20"/>
          <w:szCs w:val="20"/>
          <w:color w:val="auto"/>
        </w:rPr>
      </w:pPr>
    </w:p>
    <w:p>
      <w:pPr>
        <w:ind w:left="1480" w:hanging="673"/>
        <w:spacing w:after="0"/>
        <w:tabs>
          <w:tab w:leader="none" w:pos="14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the time of payment of any installment of interest on, any Note;</w:t>
      </w:r>
    </w:p>
    <w:p>
      <w:pPr>
        <w:spacing w:after="0" w:line="240" w:lineRule="exact"/>
        <w:rPr>
          <w:rFonts w:ascii="Arial" w:cs="Arial" w:eastAsia="Arial" w:hAnsi="Arial"/>
          <w:sz w:val="19"/>
          <w:szCs w:val="19"/>
          <w:color w:val="auto"/>
        </w:rPr>
      </w:pPr>
    </w:p>
    <w:p>
      <w:pPr>
        <w:ind w:left="1500" w:hanging="693"/>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reduce the principal amount of any Note;</w:t>
      </w:r>
    </w:p>
    <w:p>
      <w:pPr>
        <w:spacing w:after="0" w:line="206" w:lineRule="exact"/>
        <w:rPr>
          <w:rFonts w:ascii="Arial" w:cs="Arial" w:eastAsia="Arial" w:hAnsi="Arial"/>
          <w:sz w:val="22"/>
          <w:szCs w:val="22"/>
          <w:color w:val="auto"/>
        </w:rPr>
      </w:pPr>
    </w:p>
    <w:p>
      <w:pPr>
        <w:ind w:left="1480" w:hanging="673"/>
        <w:spacing w:after="0"/>
        <w:tabs>
          <w:tab w:leader="none" w:pos="14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reduce the interest rate or interest on any Note;</w:t>
      </w:r>
    </w:p>
    <w:p>
      <w:pPr>
        <w:sectPr>
          <w:pgSz w:w="11900" w:h="16838" w:orient="portrait"/>
          <w:cols w:equalWidth="0" w:num="1">
            <w:col w:w="11360"/>
          </w:cols>
          <w:pgMar w:left="240" w:top="267" w:right="299" w:bottom="1440" w:gutter="0" w:footer="0" w:header="0"/>
        </w:sectPr>
      </w:pPr>
    </w:p>
    <w:bookmarkStart w:id="105" w:name="page106"/>
    <w:bookmarkEnd w:id="105"/>
    <w:p>
      <w:pPr>
        <w:ind w:left="1500" w:hanging="693"/>
        <w:spacing w:after="0"/>
        <w:tabs>
          <w:tab w:leader="none" w:pos="1500" w:val="left"/>
        </w:tabs>
        <w:numPr>
          <w:ilvl w:val="0"/>
          <w:numId w:val="63"/>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the currency of payment of principal of, premium, if any, or interest on any Note;</w:t>
      </w:r>
    </w:p>
    <w:p>
      <w:pPr>
        <w:spacing w:after="0" w:line="206" w:lineRule="exact"/>
        <w:rPr>
          <w:rFonts w:ascii="Arial" w:cs="Arial" w:eastAsia="Arial" w:hAnsi="Arial"/>
          <w:sz w:val="22"/>
          <w:szCs w:val="22"/>
          <w:color w:val="auto"/>
        </w:rPr>
      </w:pPr>
    </w:p>
    <w:p>
      <w:pPr>
        <w:ind w:left="1480" w:hanging="673"/>
        <w:spacing w:after="0"/>
        <w:tabs>
          <w:tab w:leader="none" w:pos="14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impair the right to institute suit for the enforcement of any payment with respect to, or the conversion of, any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w:t>
      </w:r>
    </w:p>
    <w:p>
      <w:pPr>
        <w:spacing w:after="0" w:line="188" w:lineRule="exact"/>
        <w:rPr>
          <w:sz w:val="20"/>
          <w:szCs w:val="20"/>
          <w:color w:val="auto"/>
        </w:rPr>
      </w:pPr>
    </w:p>
    <w:p>
      <w:pPr>
        <w:ind w:right="140" w:firstLine="807"/>
        <w:spacing w:after="0" w:line="251" w:lineRule="auto"/>
        <w:tabs>
          <w:tab w:leader="none" w:pos="1447" w:val="left"/>
        </w:tabs>
        <w:numPr>
          <w:ilvl w:val="0"/>
          <w:numId w:val="64"/>
        </w:numPr>
        <w:rPr>
          <w:rFonts w:ascii="Arial" w:cs="Arial" w:eastAsia="Arial" w:hAnsi="Arial"/>
          <w:sz w:val="22"/>
          <w:szCs w:val="22"/>
          <w:color w:val="auto"/>
        </w:rPr>
      </w:pPr>
      <w:r>
        <w:rPr>
          <w:rFonts w:ascii="Arial" w:cs="Arial" w:eastAsia="Arial" w:hAnsi="Arial"/>
          <w:sz w:val="22"/>
          <w:szCs w:val="22"/>
          <w:color w:val="auto"/>
        </w:rPr>
        <w:t>except as otherwise permitted by Section 13.10 hereof, adversely affect the right to convert any Note as provided in Article 13 hereof;</w:t>
      </w:r>
    </w:p>
    <w:p>
      <w:pPr>
        <w:spacing w:after="0" w:line="173" w:lineRule="exact"/>
        <w:rPr>
          <w:rFonts w:ascii="Arial" w:cs="Arial" w:eastAsia="Arial" w:hAnsi="Arial"/>
          <w:sz w:val="22"/>
          <w:szCs w:val="22"/>
          <w:color w:val="auto"/>
        </w:rPr>
      </w:pPr>
    </w:p>
    <w:p>
      <w:pPr>
        <w:ind w:left="1500" w:hanging="693"/>
        <w:spacing w:after="0"/>
        <w:tabs>
          <w:tab w:leader="none" w:pos="15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adversely affect the right of Holders to require the Company to purchase the Notes in the event of a Fundamental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Change;</w:t>
      </w:r>
    </w:p>
    <w:p>
      <w:pPr>
        <w:spacing w:after="0" w:line="188" w:lineRule="exact"/>
        <w:rPr>
          <w:rFonts w:ascii="Arial" w:cs="Arial" w:eastAsia="Arial" w:hAnsi="Arial"/>
          <w:sz w:val="19"/>
          <w:szCs w:val="19"/>
          <w:color w:val="auto"/>
        </w:rPr>
      </w:pPr>
    </w:p>
    <w:p>
      <w:pPr>
        <w:ind w:right="60" w:firstLine="807"/>
        <w:spacing w:after="0"/>
        <w:tabs>
          <w:tab w:leader="none" w:pos="1483" w:val="left"/>
        </w:tabs>
        <w:numPr>
          <w:ilvl w:val="0"/>
          <w:numId w:val="64"/>
        </w:numPr>
        <w:rPr>
          <w:rFonts w:ascii="Arial" w:cs="Arial" w:eastAsia="Arial" w:hAnsi="Arial"/>
          <w:sz w:val="22"/>
          <w:szCs w:val="22"/>
          <w:color w:val="auto"/>
        </w:rPr>
      </w:pPr>
      <w:r>
        <w:rPr>
          <w:rFonts w:ascii="Arial" w:cs="Arial" w:eastAsia="Arial" w:hAnsi="Arial"/>
          <w:sz w:val="22"/>
          <w:szCs w:val="22"/>
          <w:color w:val="auto"/>
        </w:rPr>
        <w:t>modify any of the provisions of this Section 9.02, Section 6.04 or Section 6.12, except to increase any percentage contained herein or therein or to provide that certain other provisions of this Indenture cannot be modified or waived without the consent of the Holder of each Note affected thereby; or</w:t>
      </w:r>
    </w:p>
    <w:p>
      <w:pPr>
        <w:spacing w:after="0" w:line="186" w:lineRule="exact"/>
        <w:rPr>
          <w:rFonts w:ascii="Arial" w:cs="Arial" w:eastAsia="Arial" w:hAnsi="Arial"/>
          <w:sz w:val="22"/>
          <w:szCs w:val="22"/>
          <w:color w:val="auto"/>
        </w:rPr>
      </w:pPr>
    </w:p>
    <w:p>
      <w:pPr>
        <w:ind w:right="580" w:firstLine="807"/>
        <w:spacing w:after="0" w:line="274" w:lineRule="auto"/>
        <w:tabs>
          <w:tab w:leader="none" w:pos="1435" w:val="left"/>
        </w:tabs>
        <w:numPr>
          <w:ilvl w:val="0"/>
          <w:numId w:val="64"/>
        </w:numPr>
        <w:rPr>
          <w:rFonts w:ascii="Arial" w:cs="Arial" w:eastAsia="Arial" w:hAnsi="Arial"/>
          <w:sz w:val="21"/>
          <w:szCs w:val="21"/>
          <w:color w:val="auto"/>
        </w:rPr>
      </w:pPr>
      <w:r>
        <w:rPr>
          <w:rFonts w:ascii="Arial" w:cs="Arial" w:eastAsia="Arial" w:hAnsi="Arial"/>
          <w:sz w:val="21"/>
          <w:szCs w:val="21"/>
          <w:color w:val="auto"/>
        </w:rPr>
        <w:t>reduce the percentage in aggregate principal amount of the Outstanding Notes required for the adoption of a resolution or the quorum required at any meeting of Holders of Notes at which a resolution is adopted.</w:t>
      </w:r>
    </w:p>
    <w:p>
      <w:pPr>
        <w:spacing w:after="0" w:line="151" w:lineRule="exact"/>
        <w:rPr>
          <w:sz w:val="20"/>
          <w:szCs w:val="20"/>
          <w:color w:val="auto"/>
        </w:rPr>
      </w:pPr>
    </w:p>
    <w:p>
      <w:pPr>
        <w:ind w:right="80" w:firstLine="799"/>
        <w:spacing w:after="0" w:line="328" w:lineRule="auto"/>
        <w:rPr>
          <w:sz w:val="20"/>
          <w:szCs w:val="20"/>
          <w:color w:val="auto"/>
        </w:rPr>
      </w:pPr>
      <w:r>
        <w:rPr>
          <w:rFonts w:ascii="Arial" w:cs="Arial" w:eastAsia="Arial" w:hAnsi="Arial"/>
          <w:sz w:val="19"/>
          <w:szCs w:val="19"/>
          <w:color w:val="auto"/>
        </w:rPr>
        <w:t>It shall not be necessary for the consent of Holders of Notes under this Section 9.02 to approve the particular form of any proposed modification, amendment or waiver, but it shall be sufficient if such act shall approve the substance thereof.</w:t>
      </w:r>
    </w:p>
    <w:p>
      <w:pPr>
        <w:spacing w:after="0" w:line="105" w:lineRule="exact"/>
        <w:rPr>
          <w:sz w:val="20"/>
          <w:szCs w:val="20"/>
          <w:color w:val="auto"/>
        </w:rPr>
      </w:pPr>
    </w:p>
    <w:p>
      <w:pPr>
        <w:ind w:firstLine="799"/>
        <w:spacing w:after="0" w:line="238" w:lineRule="auto"/>
        <w:rPr>
          <w:sz w:val="20"/>
          <w:szCs w:val="20"/>
          <w:color w:val="auto"/>
        </w:rPr>
      </w:pPr>
      <w:r>
        <w:rPr>
          <w:rFonts w:ascii="Arial" w:cs="Arial" w:eastAsia="Arial" w:hAnsi="Arial"/>
          <w:sz w:val="22"/>
          <w:szCs w:val="22"/>
          <w:color w:val="auto"/>
        </w:rPr>
        <w:t>After an amendment, supplement or waiver under this Section 9.02 becomes effective, the Company, or, at the written request of the Company, the Trustee, shall mail to the Holders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185" w:lineRule="exact"/>
        <w:rPr>
          <w:sz w:val="20"/>
          <w:szCs w:val="20"/>
          <w:color w:val="auto"/>
        </w:rPr>
      </w:pPr>
    </w:p>
    <w:p>
      <w:pPr>
        <w:ind w:right="40" w:firstLine="799"/>
        <w:spacing w:after="0" w:line="279" w:lineRule="auto"/>
        <w:rPr>
          <w:sz w:val="20"/>
          <w:szCs w:val="20"/>
          <w:color w:val="auto"/>
        </w:rPr>
      </w:pPr>
      <w:r>
        <w:rPr>
          <w:rFonts w:ascii="Arial" w:cs="Arial" w:eastAsia="Arial" w:hAnsi="Arial"/>
          <w:sz w:val="19"/>
          <w:szCs w:val="19"/>
          <w:i w:val="1"/>
          <w:iCs w:val="1"/>
          <w:color w:val="auto"/>
        </w:rPr>
        <w:t>Section 9.03. Effect of Supplemental Indentures</w:t>
      </w:r>
      <w:r>
        <w:rPr>
          <w:rFonts w:ascii="Arial" w:cs="Arial" w:eastAsia="Arial" w:hAnsi="Arial"/>
          <w:sz w:val="19"/>
          <w:szCs w:val="19"/>
          <w:color w:val="auto"/>
        </w:rPr>
        <w:t>. Upon the execution of any supplemental indenture pursuant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provisions of this Article 9 or Section 10.01 this Indenture shall be and be deemed to be modified and amended in accordance therewith and the respective rights, limitations of rights, obligations, duties and immunities under this Indenture of the Trustee, the Company and the Holders of Notes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1" w:lineRule="exact"/>
        <w:rPr>
          <w:sz w:val="20"/>
          <w:szCs w:val="20"/>
          <w:color w:val="auto"/>
        </w:rPr>
      </w:pPr>
    </w:p>
    <w:p>
      <w:pPr>
        <w:ind w:right="180" w:firstLine="799"/>
        <w:spacing w:after="0" w:line="251" w:lineRule="auto"/>
        <w:rPr>
          <w:sz w:val="20"/>
          <w:szCs w:val="20"/>
          <w:color w:val="auto"/>
        </w:rPr>
      </w:pPr>
      <w:r>
        <w:rPr>
          <w:rFonts w:ascii="Arial" w:cs="Arial" w:eastAsia="Arial" w:hAnsi="Arial"/>
          <w:sz w:val="22"/>
          <w:szCs w:val="22"/>
          <w:i w:val="1"/>
          <w:iCs w:val="1"/>
          <w:color w:val="auto"/>
        </w:rPr>
        <w:t>Section 9.04. Notes Affected by Supplemental Indentures</w:t>
      </w:r>
      <w:r>
        <w:rPr>
          <w:rFonts w:ascii="Arial" w:cs="Arial" w:eastAsia="Arial" w:hAnsi="Arial"/>
          <w:sz w:val="22"/>
          <w:szCs w:val="22"/>
          <w:color w:val="auto"/>
        </w:rPr>
        <w:t>. Notes affected by a supplemental indenture, authenticated and</w:t>
      </w:r>
      <w:r>
        <w:rPr>
          <w:rFonts w:ascii="Arial" w:cs="Arial" w:eastAsia="Arial" w:hAnsi="Arial"/>
          <w:sz w:val="22"/>
          <w:szCs w:val="22"/>
          <w:i w:val="1"/>
          <w:iCs w:val="1"/>
          <w:color w:val="auto"/>
        </w:rPr>
        <w:t xml:space="preserve"> </w:t>
      </w:r>
      <w:r>
        <w:rPr>
          <w:rFonts w:ascii="Arial" w:cs="Arial" w:eastAsia="Arial" w:hAnsi="Arial"/>
          <w:sz w:val="22"/>
          <w:szCs w:val="22"/>
          <w:color w:val="auto"/>
        </w:rPr>
        <w:t>delivered after the execution of</w:t>
      </w:r>
    </w:p>
    <w:p>
      <w:pPr>
        <w:sectPr>
          <w:pgSz w:w="11900" w:h="16838" w:orient="portrait"/>
          <w:cols w:equalWidth="0" w:num="1">
            <w:col w:w="11360"/>
          </w:cols>
          <w:pgMar w:left="240" w:top="267" w:right="299" w:bottom="1440" w:gutter="0" w:footer="0" w:header="0"/>
        </w:sectPr>
      </w:pPr>
    </w:p>
    <w:bookmarkStart w:id="106" w:name="page107"/>
    <w:bookmarkEnd w:id="106"/>
    <w:p>
      <w:pPr>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supplemental indenture pursuant to the provisions of this Article 9 or Section 10.01, may bear a notation in form approved by the Company, provided such form meets the requirements of any securities exchange upon which such Notes may be listed, as to any matter provided for in such supplemental indenture. If the Company shall so determine, new securities so modified as to conform, in the opinion of the Board of Directors, to any modification of this Indenture contained in any such supplemental indenture may be prepared by the Company, authenticated by the Trustee and delivered in exchange for the Notes then Outstanding.</w:t>
      </w:r>
    </w:p>
    <w:p>
      <w:pPr>
        <w:spacing w:after="0" w:line="148" w:lineRule="exact"/>
        <w:rPr>
          <w:sz w:val="20"/>
          <w:szCs w:val="20"/>
          <w:color w:val="auto"/>
        </w:rPr>
      </w:pPr>
    </w:p>
    <w:p>
      <w:pPr>
        <w:ind w:right="60" w:firstLine="799"/>
        <w:spacing w:after="0" w:line="273" w:lineRule="auto"/>
        <w:rPr>
          <w:sz w:val="20"/>
          <w:szCs w:val="20"/>
          <w:color w:val="auto"/>
        </w:rPr>
      </w:pPr>
      <w:r>
        <w:rPr>
          <w:rFonts w:ascii="Arial" w:cs="Arial" w:eastAsia="Arial" w:hAnsi="Arial"/>
          <w:sz w:val="19"/>
          <w:szCs w:val="19"/>
          <w:i w:val="1"/>
          <w:iCs w:val="1"/>
          <w:color w:val="auto"/>
        </w:rPr>
        <w:t>Section 9.05. Execution of Supplemental Indentures</w:t>
      </w:r>
      <w:r>
        <w:rPr>
          <w:rFonts w:ascii="Arial" w:cs="Arial" w:eastAsia="Arial" w:hAnsi="Arial"/>
          <w:sz w:val="19"/>
          <w:szCs w:val="19"/>
          <w:color w:val="auto"/>
        </w:rPr>
        <w:t>. Upon the request of the Company, accompanied by its Board</w:t>
      </w:r>
      <w:r>
        <w:rPr>
          <w:rFonts w:ascii="Arial" w:cs="Arial" w:eastAsia="Arial" w:hAnsi="Arial"/>
          <w:sz w:val="19"/>
          <w:szCs w:val="19"/>
          <w:i w:val="1"/>
          <w:iCs w:val="1"/>
          <w:color w:val="auto"/>
        </w:rPr>
        <w:t xml:space="preserve"> </w:t>
      </w:r>
      <w:r>
        <w:rPr>
          <w:rFonts w:ascii="Arial" w:cs="Arial" w:eastAsia="Arial" w:hAnsi="Arial"/>
          <w:sz w:val="19"/>
          <w:szCs w:val="19"/>
          <w:color w:val="auto"/>
        </w:rPr>
        <w:t>Resolutions authorizing the execution of any such supplemental indenture, and upon the filing with the Trustee of evidence of the consent of Holders required to consent thereto as aforesaid (if such consent is required pursuant to this Article),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will be entitled to receive and will be fully protected in relying upon an Officer’s Certificate and an Opinion of Counsel stating that any supplemental indenture executed pursuant to this Article is authorized or permitted by, and conforms to, the terms of this Article 9, constitutes a valid, binding and legal obligation, enforceable against the Company (subject to customary qualifications) and that it is proper for the Trustee under the provisions of this Article 9 to join in the execution thereof.</w:t>
      </w:r>
    </w:p>
    <w:p>
      <w:pPr>
        <w:spacing w:after="0" w:line="162" w:lineRule="exact"/>
        <w:rPr>
          <w:sz w:val="20"/>
          <w:szCs w:val="20"/>
          <w:color w:val="auto"/>
        </w:rPr>
      </w:pPr>
    </w:p>
    <w:p>
      <w:pPr>
        <w:ind w:right="20" w:firstLine="799"/>
        <w:spacing w:after="0" w:line="236" w:lineRule="auto"/>
        <w:rPr>
          <w:sz w:val="20"/>
          <w:szCs w:val="20"/>
          <w:color w:val="auto"/>
        </w:rPr>
      </w:pPr>
      <w:r>
        <w:rPr>
          <w:rFonts w:ascii="Arial" w:cs="Arial" w:eastAsia="Arial" w:hAnsi="Arial"/>
          <w:sz w:val="22"/>
          <w:szCs w:val="22"/>
          <w:color w:val="auto"/>
        </w:rPr>
        <w:t>Promptly after the execution by the Company and the Trustee of any supplemental indenture pursuant to the provisions of this Section, the Company shall transmit by mail, first class postage prepaid, a notice, setting forth in general terms the substance of such supplemental indenture, to the Holders of all Notes affected thereby as their names and addresses appear upon the Note Register. Any failure of the Company to mail such notice, or any defect therein, shall not, however, in any way impair or affect the validity of any such supplemental indenture.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10</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ONSOLIDATION</w:t>
      </w:r>
      <w:r>
        <w:rPr>
          <w:rFonts w:ascii="Arial" w:cs="Arial" w:eastAsia="Arial" w:hAnsi="Arial"/>
          <w:sz w:val="22"/>
          <w:szCs w:val="22"/>
          <w:color w:val="auto"/>
        </w:rPr>
        <w:t>; M</w:t>
      </w:r>
      <w:r>
        <w:rPr>
          <w:rFonts w:ascii="Arial" w:cs="Arial" w:eastAsia="Arial" w:hAnsi="Arial"/>
          <w:sz w:val="18"/>
          <w:szCs w:val="18"/>
          <w:color w:val="auto"/>
        </w:rPr>
        <w:t>ERGER</w:t>
      </w:r>
      <w:r>
        <w:rPr>
          <w:rFonts w:ascii="Arial" w:cs="Arial" w:eastAsia="Arial" w:hAnsi="Arial"/>
          <w:sz w:val="22"/>
          <w:szCs w:val="22"/>
          <w:color w:val="auto"/>
        </w:rPr>
        <w:t>; C</w:t>
      </w:r>
      <w:r>
        <w:rPr>
          <w:rFonts w:ascii="Arial" w:cs="Arial" w:eastAsia="Arial" w:hAnsi="Arial"/>
          <w:sz w:val="18"/>
          <w:szCs w:val="18"/>
          <w:color w:val="auto"/>
        </w:rPr>
        <w:t>ONVEYANCE</w:t>
      </w:r>
      <w:r>
        <w:rPr>
          <w:rFonts w:ascii="Arial" w:cs="Arial" w:eastAsia="Arial" w:hAnsi="Arial"/>
          <w:sz w:val="22"/>
          <w:szCs w:val="22"/>
          <w:color w:val="auto"/>
        </w:rPr>
        <w:t>; T</w:t>
      </w:r>
      <w:r>
        <w:rPr>
          <w:rFonts w:ascii="Arial" w:cs="Arial" w:eastAsia="Arial" w:hAnsi="Arial"/>
          <w:sz w:val="18"/>
          <w:szCs w:val="18"/>
          <w:color w:val="auto"/>
        </w:rPr>
        <w:t>RANSFER</w:t>
      </w:r>
      <w:r>
        <w:rPr>
          <w:rFonts w:ascii="Arial" w:cs="Arial" w:eastAsia="Arial" w:hAnsi="Arial"/>
          <w:sz w:val="22"/>
          <w:szCs w:val="22"/>
          <w:color w:val="auto"/>
        </w:rPr>
        <w:t xml:space="preserve"> O</w:t>
      </w:r>
      <w:r>
        <w:rPr>
          <w:rFonts w:ascii="Arial" w:cs="Arial" w:eastAsia="Arial" w:hAnsi="Arial"/>
          <w:sz w:val="18"/>
          <w:szCs w:val="18"/>
          <w:color w:val="auto"/>
        </w:rPr>
        <w:t>R</w:t>
      </w:r>
      <w:r>
        <w:rPr>
          <w:rFonts w:ascii="Arial" w:cs="Arial" w:eastAsia="Arial" w:hAnsi="Arial"/>
          <w:sz w:val="22"/>
          <w:szCs w:val="22"/>
          <w:color w:val="auto"/>
        </w:rPr>
        <w:t xml:space="preserve"> L</w:t>
      </w:r>
      <w:r>
        <w:rPr>
          <w:rFonts w:ascii="Arial" w:cs="Arial" w:eastAsia="Arial" w:hAnsi="Arial"/>
          <w:sz w:val="18"/>
          <w:szCs w:val="18"/>
          <w:color w:val="auto"/>
        </w:rPr>
        <w:t>EASE</w:t>
      </w:r>
    </w:p>
    <w:p>
      <w:pPr>
        <w:spacing w:after="0" w:line="188" w:lineRule="exact"/>
        <w:rPr>
          <w:sz w:val="20"/>
          <w:szCs w:val="20"/>
          <w:color w:val="auto"/>
        </w:rPr>
      </w:pPr>
    </w:p>
    <w:p>
      <w:pPr>
        <w:ind w:right="300" w:firstLine="799"/>
        <w:spacing w:after="0"/>
        <w:rPr>
          <w:sz w:val="20"/>
          <w:szCs w:val="20"/>
          <w:color w:val="auto"/>
        </w:rPr>
      </w:pPr>
      <w:r>
        <w:rPr>
          <w:rFonts w:ascii="Arial" w:cs="Arial" w:eastAsia="Arial" w:hAnsi="Arial"/>
          <w:sz w:val="22"/>
          <w:szCs w:val="22"/>
          <w:i w:val="1"/>
          <w:iCs w:val="1"/>
          <w:color w:val="auto"/>
        </w:rPr>
        <w:t xml:space="preserve">Section 10.01. Company May Consolidate, Etc., Only on Certain Terms. </w:t>
      </w:r>
      <w:r>
        <w:rPr>
          <w:rFonts w:ascii="Arial" w:cs="Arial" w:eastAsia="Arial" w:hAnsi="Arial"/>
          <w:sz w:val="22"/>
          <w:szCs w:val="22"/>
          <w:color w:val="auto"/>
        </w:rPr>
        <w:t>The Company may not, without the consent of</w:t>
      </w:r>
      <w:r>
        <w:rPr>
          <w:rFonts w:ascii="Arial" w:cs="Arial" w:eastAsia="Arial" w:hAnsi="Arial"/>
          <w:sz w:val="22"/>
          <w:szCs w:val="22"/>
          <w:i w:val="1"/>
          <w:iCs w:val="1"/>
          <w:color w:val="auto"/>
        </w:rPr>
        <w:t xml:space="preserve"> </w:t>
      </w:r>
      <w:r>
        <w:rPr>
          <w:rFonts w:ascii="Arial" w:cs="Arial" w:eastAsia="Arial" w:hAnsi="Arial"/>
          <w:sz w:val="22"/>
          <w:szCs w:val="22"/>
          <w:color w:val="auto"/>
        </w:rPr>
        <w:t>the Holders, consolidate with, merge into or convey, transfer or lease all or substantially all of the property and assets of the Company and its Subsidiaries, taken as a whole, to another Person unless:</w:t>
      </w:r>
    </w:p>
    <w:p>
      <w:pPr>
        <w:sectPr>
          <w:pgSz w:w="11900" w:h="16838" w:orient="portrait"/>
          <w:cols w:equalWidth="0" w:num="1">
            <w:col w:w="11420"/>
          </w:cols>
          <w:pgMar w:left="240" w:top="267" w:right="239" w:bottom="1440" w:gutter="0" w:footer="0" w:header="0"/>
        </w:sectPr>
      </w:pPr>
    </w:p>
    <w:bookmarkStart w:id="107" w:name="page108"/>
    <w:bookmarkEnd w:id="107"/>
    <w:p>
      <w:pPr>
        <w:ind w:right="20" w:firstLine="807"/>
        <w:spacing w:after="0" w:line="235" w:lineRule="auto"/>
        <w:tabs>
          <w:tab w:leader="none" w:pos="1471" w:val="left"/>
        </w:tabs>
        <w:numPr>
          <w:ilvl w:val="0"/>
          <w:numId w:val="6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(1) the Company shall be the resulting or surviving corporation or (2) the Person (if other than the Company) formed by such consolidation or into which the Company is merged, or the Person which acquires by transfer or lease all or substantially all of the property and assets of the Company, shall (i) be a corporation incorporated and existing under the laws of the United States of America or any State thereof or the District of Columbia and (ii) expressly assume, by an indenture supplemental hereto, executed and delivered to the Trustee, in form reasonably satisfactory to the Trustee, the obligations of the Company under the Notes and this Indenture;</w:t>
      </w:r>
    </w:p>
    <w:p>
      <w:pPr>
        <w:spacing w:after="0" w:line="188" w:lineRule="exact"/>
        <w:rPr>
          <w:rFonts w:ascii="Arial" w:cs="Arial" w:eastAsia="Arial" w:hAnsi="Arial"/>
          <w:sz w:val="22"/>
          <w:szCs w:val="22"/>
          <w:color w:val="auto"/>
        </w:rPr>
      </w:pPr>
    </w:p>
    <w:p>
      <w:pPr>
        <w:ind w:right="340" w:firstLine="807"/>
        <w:spacing w:after="0" w:line="251" w:lineRule="auto"/>
        <w:tabs>
          <w:tab w:leader="none" w:pos="1483" w:val="left"/>
        </w:tabs>
        <w:numPr>
          <w:ilvl w:val="0"/>
          <w:numId w:val="65"/>
        </w:numPr>
        <w:rPr>
          <w:rFonts w:ascii="Arial" w:cs="Arial" w:eastAsia="Arial" w:hAnsi="Arial"/>
          <w:sz w:val="22"/>
          <w:szCs w:val="22"/>
          <w:color w:val="auto"/>
        </w:rPr>
      </w:pPr>
      <w:r>
        <w:rPr>
          <w:rFonts w:ascii="Arial" w:cs="Arial" w:eastAsia="Arial" w:hAnsi="Arial"/>
          <w:sz w:val="22"/>
          <w:szCs w:val="22"/>
          <w:color w:val="auto"/>
        </w:rPr>
        <w:t>after giving effect to such transaction, no Event of Default, and no event which, after notice or lapse of time or both, would become an Event of Default, shall have occurred and be continuing; and</w:t>
      </w:r>
    </w:p>
    <w:p>
      <w:pPr>
        <w:spacing w:after="0" w:line="173" w:lineRule="exact"/>
        <w:rPr>
          <w:rFonts w:ascii="Arial" w:cs="Arial" w:eastAsia="Arial" w:hAnsi="Arial"/>
          <w:sz w:val="22"/>
          <w:szCs w:val="22"/>
          <w:color w:val="auto"/>
        </w:rPr>
      </w:pPr>
    </w:p>
    <w:p>
      <w:pPr>
        <w:ind w:firstLine="807"/>
        <w:spacing w:after="0" w:line="282" w:lineRule="auto"/>
        <w:tabs>
          <w:tab w:leader="none" w:pos="1471" w:val="left"/>
        </w:tabs>
        <w:numPr>
          <w:ilvl w:val="0"/>
          <w:numId w:val="65"/>
        </w:numPr>
        <w:rPr>
          <w:rFonts w:ascii="Arial" w:cs="Arial" w:eastAsia="Arial" w:hAnsi="Arial"/>
          <w:sz w:val="19"/>
          <w:szCs w:val="19"/>
          <w:color w:val="auto"/>
        </w:rPr>
      </w:pPr>
      <w:r>
        <w:rPr>
          <w:rFonts w:ascii="Arial" w:cs="Arial" w:eastAsia="Arial" w:hAnsi="Arial"/>
          <w:sz w:val="19"/>
          <w:szCs w:val="19"/>
          <w:color w:val="auto"/>
        </w:rPr>
        <w:t>if the Company will not be the resulting or surviving corporation, the Company shall have, at or prior to the effective date of such consolidation, merger, conveyance, transfer or lease, delivered to the Trustee an Officer’s Certificate and an Opinion of Counsel, each stating that such consolidation, merger, conveyance, transfer or lease complies with this Article 10 and, if a supplemental indenture is required in connection with such transaction, such supplemental indenture complies with this Article 10, and that all conditions precedent herein provided for relating to such transaction have been complied with.</w:t>
      </w:r>
    </w:p>
    <w:p>
      <w:pPr>
        <w:spacing w:after="0" w:line="148" w:lineRule="exact"/>
        <w:rPr>
          <w:sz w:val="20"/>
          <w:szCs w:val="20"/>
          <w:color w:val="auto"/>
        </w:rPr>
      </w:pPr>
    </w:p>
    <w:p>
      <w:pPr>
        <w:ind w:right="80" w:firstLine="799"/>
        <w:spacing w:after="0" w:line="246" w:lineRule="auto"/>
        <w:rPr>
          <w:sz w:val="20"/>
          <w:szCs w:val="20"/>
          <w:color w:val="auto"/>
        </w:rPr>
      </w:pPr>
      <w:r>
        <w:rPr>
          <w:rFonts w:ascii="Arial" w:cs="Arial" w:eastAsia="Arial" w:hAnsi="Arial"/>
          <w:sz w:val="21"/>
          <w:szCs w:val="21"/>
          <w:i w:val="1"/>
          <w:iCs w:val="1"/>
          <w:color w:val="auto"/>
        </w:rPr>
        <w:t>Section 10.02. Successor Substituted</w:t>
      </w:r>
      <w:r>
        <w:rPr>
          <w:rFonts w:ascii="Arial" w:cs="Arial" w:eastAsia="Arial" w:hAnsi="Arial"/>
          <w:sz w:val="21"/>
          <w:szCs w:val="21"/>
          <w:color w:val="auto"/>
        </w:rPr>
        <w:t>. Upon any consolidation of the Company with, or merger of the Company into, any</w:t>
      </w:r>
      <w:r>
        <w:rPr>
          <w:rFonts w:ascii="Arial" w:cs="Arial" w:eastAsia="Arial" w:hAnsi="Arial"/>
          <w:sz w:val="21"/>
          <w:szCs w:val="21"/>
          <w:i w:val="1"/>
          <w:iCs w:val="1"/>
          <w:color w:val="auto"/>
        </w:rPr>
        <w:t xml:space="preserve"> </w:t>
      </w:r>
      <w:r>
        <w:rPr>
          <w:rFonts w:ascii="Arial" w:cs="Arial" w:eastAsia="Arial" w:hAnsi="Arial"/>
          <w:sz w:val="21"/>
          <w:szCs w:val="21"/>
          <w:color w:val="auto"/>
        </w:rPr>
        <w:t>other Person or any conveyance, transfer or lease of all or substantially all of the properties and assets of the Company and its Subsidiaries, taken as a whole, in accordance with Section 10.01,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and except for obligations the predecessor Person may have under a supplemental indenture, the predecessor Person shall be relieved of all obligations and covenants under the Indenture and the Notes.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11</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w:t>
      </w:r>
      <w:r>
        <w:rPr>
          <w:rFonts w:ascii="Arial" w:cs="Arial" w:eastAsia="Arial" w:hAnsi="Arial"/>
          <w:sz w:val="18"/>
          <w:szCs w:val="18"/>
          <w:color w:val="auto"/>
        </w:rPr>
        <w:t>MMUNITY OF</w:t>
      </w:r>
      <w:r>
        <w:rPr>
          <w:rFonts w:ascii="Arial" w:cs="Arial" w:eastAsia="Arial" w:hAnsi="Arial"/>
          <w:sz w:val="22"/>
          <w:szCs w:val="22"/>
          <w:color w:val="auto"/>
        </w:rPr>
        <w:t xml:space="preserve"> I</w:t>
      </w:r>
      <w:r>
        <w:rPr>
          <w:rFonts w:ascii="Arial" w:cs="Arial" w:eastAsia="Arial" w:hAnsi="Arial"/>
          <w:sz w:val="18"/>
          <w:szCs w:val="18"/>
          <w:color w:val="auto"/>
        </w:rPr>
        <w:t>NCORPORATORS</w:t>
      </w:r>
      <w:r>
        <w:rPr>
          <w:rFonts w:ascii="Arial" w:cs="Arial" w:eastAsia="Arial" w:hAnsi="Arial"/>
          <w:sz w:val="22"/>
          <w:szCs w:val="22"/>
          <w:color w:val="auto"/>
        </w:rPr>
        <w:t>, S</w:t>
      </w:r>
      <w:r>
        <w:rPr>
          <w:rFonts w:ascii="Arial" w:cs="Arial" w:eastAsia="Arial" w:hAnsi="Arial"/>
          <w:sz w:val="18"/>
          <w:szCs w:val="18"/>
          <w:color w:val="auto"/>
        </w:rPr>
        <w:t>TOCKHOLDERS</w:t>
      </w:r>
      <w:r>
        <w:rPr>
          <w:rFonts w:ascii="Arial" w:cs="Arial" w:eastAsia="Arial" w:hAnsi="Arial"/>
          <w:sz w:val="22"/>
          <w:szCs w:val="22"/>
          <w:color w:val="auto"/>
        </w:rPr>
        <w:t>, O</w:t>
      </w:r>
      <w:r>
        <w:rPr>
          <w:rFonts w:ascii="Arial" w:cs="Arial" w:eastAsia="Arial" w:hAnsi="Arial"/>
          <w:sz w:val="18"/>
          <w:szCs w:val="18"/>
          <w:color w:val="auto"/>
        </w:rPr>
        <w:t>FFICERS AND</w:t>
      </w:r>
      <w:r>
        <w:rPr>
          <w:rFonts w:ascii="Arial" w:cs="Arial" w:eastAsia="Arial" w:hAnsi="Arial"/>
          <w:sz w:val="22"/>
          <w:szCs w:val="22"/>
          <w:color w:val="auto"/>
        </w:rPr>
        <w:t xml:space="preserve"> D</w:t>
      </w:r>
      <w:r>
        <w:rPr>
          <w:rFonts w:ascii="Arial" w:cs="Arial" w:eastAsia="Arial" w:hAnsi="Arial"/>
          <w:sz w:val="18"/>
          <w:szCs w:val="18"/>
          <w:color w:val="auto"/>
        </w:rPr>
        <w:t>IRECTORS</w:t>
      </w:r>
    </w:p>
    <w:p>
      <w:pPr>
        <w:spacing w:after="0" w:line="188" w:lineRule="exact"/>
        <w:rPr>
          <w:sz w:val="20"/>
          <w:szCs w:val="20"/>
          <w:color w:val="auto"/>
        </w:rPr>
      </w:pPr>
    </w:p>
    <w:p>
      <w:pPr>
        <w:jc w:val="both"/>
        <w:ind w:right="80" w:firstLine="799"/>
        <w:spacing w:after="0"/>
        <w:rPr>
          <w:sz w:val="20"/>
          <w:szCs w:val="20"/>
          <w:color w:val="auto"/>
        </w:rPr>
      </w:pPr>
      <w:r>
        <w:rPr>
          <w:rFonts w:ascii="Arial" w:cs="Arial" w:eastAsia="Arial" w:hAnsi="Arial"/>
          <w:sz w:val="22"/>
          <w:szCs w:val="22"/>
          <w:i w:val="1"/>
          <w:iCs w:val="1"/>
          <w:color w:val="auto"/>
        </w:rPr>
        <w:t>Section 11.01. No Recourse</w:t>
      </w:r>
      <w:r>
        <w:rPr>
          <w:rFonts w:ascii="Arial" w:cs="Arial" w:eastAsia="Arial" w:hAnsi="Arial"/>
          <w:sz w:val="22"/>
          <w:szCs w:val="22"/>
          <w:color w:val="auto"/>
        </w:rPr>
        <w:t>. No recourse under or upon any obligation, covenant or agreement of this Indenture, or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Notes, or for any claim based thereon or otherwise in respect thereof, shall be had against any incorporator, stockholder, officer or director, past, present or future as such, of the Company or</w:t>
      </w:r>
    </w:p>
    <w:p>
      <w:pPr>
        <w:sectPr>
          <w:pgSz w:w="11900" w:h="16838" w:orient="portrait"/>
          <w:cols w:equalWidth="0" w:num="1">
            <w:col w:w="11380"/>
          </w:cols>
          <w:pgMar w:left="240" w:top="267" w:right="279" w:bottom="1440" w:gutter="0" w:footer="0" w:header="0"/>
        </w:sectPr>
      </w:pPr>
    </w:p>
    <w:bookmarkStart w:id="108" w:name="page109"/>
    <w:bookmarkEnd w:id="108"/>
    <w:p>
      <w:pPr>
        <w:ind w:right="80"/>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Notes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Notes or implied therefrom, are hereby expressly waived and released as a condition of, and as a consideration for, the execution of this Indenture and the issuance of the Notes.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12</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w:t>
      </w:r>
      <w:r>
        <w:rPr>
          <w:rFonts w:ascii="Arial" w:cs="Arial" w:eastAsia="Arial" w:hAnsi="Arial"/>
          <w:sz w:val="18"/>
          <w:szCs w:val="18"/>
          <w:color w:val="auto"/>
        </w:rPr>
        <w:t>DDITIONAL</w:t>
      </w:r>
      <w:r>
        <w:rPr>
          <w:rFonts w:ascii="Arial" w:cs="Arial" w:eastAsia="Arial" w:hAnsi="Arial"/>
          <w:sz w:val="22"/>
          <w:szCs w:val="22"/>
          <w:color w:val="auto"/>
        </w:rPr>
        <w:t xml:space="preserve"> I</w:t>
      </w:r>
      <w:r>
        <w:rPr>
          <w:rFonts w:ascii="Arial" w:cs="Arial" w:eastAsia="Arial" w:hAnsi="Arial"/>
          <w:sz w:val="18"/>
          <w:szCs w:val="18"/>
          <w:color w:val="auto"/>
        </w:rPr>
        <w:t>NTEREST</w:t>
      </w:r>
    </w:p>
    <w:p>
      <w:pPr>
        <w:spacing w:after="0" w:line="182" w:lineRule="exact"/>
        <w:rPr>
          <w:sz w:val="20"/>
          <w:szCs w:val="20"/>
          <w:color w:val="auto"/>
        </w:rPr>
      </w:pPr>
    </w:p>
    <w:p>
      <w:pPr>
        <w:ind w:right="140" w:firstLine="799"/>
        <w:spacing w:after="0" w:line="243" w:lineRule="auto"/>
        <w:rPr>
          <w:sz w:val="20"/>
          <w:szCs w:val="20"/>
          <w:color w:val="auto"/>
        </w:rPr>
      </w:pPr>
      <w:r>
        <w:rPr>
          <w:rFonts w:ascii="Arial" w:cs="Arial" w:eastAsia="Arial" w:hAnsi="Arial"/>
          <w:sz w:val="22"/>
          <w:szCs w:val="22"/>
          <w:i w:val="1"/>
          <w:iCs w:val="1"/>
          <w:color w:val="auto"/>
        </w:rPr>
        <w:t>Section 12.01. Additional Interest</w:t>
      </w:r>
      <w:r>
        <w:rPr>
          <w:rFonts w:ascii="Arial" w:cs="Arial" w:eastAsia="Arial" w:hAnsi="Arial"/>
          <w:sz w:val="22"/>
          <w:szCs w:val="22"/>
          <w:color w:val="auto"/>
        </w:rPr>
        <w:t>. (a) The Company will pay additional interest (“</w:t>
      </w:r>
      <w:r>
        <w:rPr>
          <w:rFonts w:ascii="Arial" w:cs="Arial" w:eastAsia="Arial" w:hAnsi="Arial"/>
          <w:sz w:val="22"/>
          <w:szCs w:val="22"/>
          <w:b w:val="1"/>
          <w:bCs w:val="1"/>
          <w:color w:val="auto"/>
        </w:rPr>
        <w:t>Additional Interest</w:t>
      </w:r>
      <w:r>
        <w:rPr>
          <w:rFonts w:ascii="Arial" w:cs="Arial" w:eastAsia="Arial" w:hAnsi="Arial"/>
          <w:sz w:val="22"/>
          <w:szCs w:val="22"/>
          <w:color w:val="auto"/>
        </w:rPr>
        <w:t>”) on the principal</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any Restricted Notes if required by, and on the terms set forth in, the supplemental indenture which was executed in connection with the issuance of such Restricted Notes.</w:t>
      </w:r>
    </w:p>
    <w:p>
      <w:pPr>
        <w:spacing w:after="0" w:line="183" w:lineRule="exact"/>
        <w:rPr>
          <w:sz w:val="20"/>
          <w:szCs w:val="20"/>
          <w:color w:val="auto"/>
        </w:rPr>
      </w:pPr>
    </w:p>
    <w:p>
      <w:pPr>
        <w:ind w:right="80" w:firstLine="807"/>
        <w:spacing w:after="0" w:line="271" w:lineRule="auto"/>
        <w:tabs>
          <w:tab w:leader="none" w:pos="1483" w:val="left"/>
        </w:tabs>
        <w:numPr>
          <w:ilvl w:val="1"/>
          <w:numId w:val="66"/>
        </w:numPr>
        <w:rPr>
          <w:rFonts w:ascii="Arial" w:cs="Arial" w:eastAsia="Arial" w:hAnsi="Arial"/>
          <w:sz w:val="19"/>
          <w:szCs w:val="19"/>
          <w:color w:val="auto"/>
        </w:rPr>
      </w:pPr>
      <w:r>
        <w:rPr>
          <w:rFonts w:ascii="Arial" w:cs="Arial" w:eastAsia="Arial" w:hAnsi="Arial"/>
          <w:sz w:val="19"/>
          <w:szCs w:val="19"/>
          <w:color w:val="auto"/>
        </w:rPr>
        <w:t>Notwithstanding the foregoing, the Company shall not be required to pay Additional Interest on any date if (i) the Company has filed a shelf registration statement for the resale of the Notes and any shares of Common Stock issued upon conversion of the Notes, (ii) such shelf registration statement is effective and usable by Holders of the Notes identified therein as selling security holders for the resale of the Notes and any shares of Common Stock issued upon conversion of the Notes, and</w:t>
      </w:r>
    </w:p>
    <w:p>
      <w:pPr>
        <w:spacing w:after="0" w:line="3" w:lineRule="exact"/>
        <w:rPr>
          <w:rFonts w:ascii="Arial" w:cs="Arial" w:eastAsia="Arial" w:hAnsi="Arial"/>
          <w:sz w:val="19"/>
          <w:szCs w:val="19"/>
          <w:color w:val="auto"/>
        </w:rPr>
      </w:pPr>
    </w:p>
    <w:p>
      <w:pPr>
        <w:ind w:right="200" w:firstLine="8"/>
        <w:spacing w:after="0" w:line="237" w:lineRule="auto"/>
        <w:tabs>
          <w:tab w:leader="none" w:pos="378"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Holders may register the resale of their Notes under such shelf registration statement on terms customary for the resale of convertible securities offered in reliance on Rule 144A.</w:t>
      </w:r>
    </w:p>
    <w:p>
      <w:pPr>
        <w:spacing w:after="0" w:line="184" w:lineRule="exact"/>
        <w:rPr>
          <w:rFonts w:ascii="Arial" w:cs="Arial" w:eastAsia="Arial" w:hAnsi="Arial"/>
          <w:sz w:val="22"/>
          <w:szCs w:val="22"/>
          <w:color w:val="auto"/>
        </w:rPr>
      </w:pPr>
    </w:p>
    <w:p>
      <w:pPr>
        <w:ind w:left="1480" w:hanging="673"/>
        <w:spacing w:after="0"/>
        <w:tabs>
          <w:tab w:leader="none" w:pos="1480" w:val="left"/>
        </w:tabs>
        <w:numPr>
          <w:ilvl w:val="1"/>
          <w:numId w:val="67"/>
        </w:numPr>
        <w:rPr>
          <w:rFonts w:ascii="Arial" w:cs="Arial" w:eastAsia="Arial" w:hAnsi="Arial"/>
          <w:sz w:val="19"/>
          <w:szCs w:val="19"/>
          <w:color w:val="auto"/>
        </w:rPr>
      </w:pPr>
      <w:r>
        <w:rPr>
          <w:rFonts w:ascii="Arial" w:cs="Arial" w:eastAsia="Arial" w:hAnsi="Arial"/>
          <w:sz w:val="19"/>
          <w:szCs w:val="19"/>
          <w:color w:val="auto"/>
        </w:rPr>
        <w:t>Under no circumstances will the combined rate of Additional Interest or Special Interest exceed 1.00% per annum.</w:t>
      </w:r>
    </w:p>
    <w:p>
      <w:pPr>
        <w:spacing w:after="0" w:line="240" w:lineRule="exact"/>
        <w:rPr>
          <w:rFonts w:ascii="Arial" w:cs="Arial" w:eastAsia="Arial" w:hAnsi="Arial"/>
          <w:sz w:val="19"/>
          <w:szCs w:val="19"/>
          <w:color w:val="auto"/>
        </w:rPr>
      </w:pPr>
    </w:p>
    <w:p>
      <w:pPr>
        <w:ind w:left="1480" w:hanging="673"/>
        <w:spacing w:after="0"/>
        <w:tabs>
          <w:tab w:leader="none" w:pos="1480"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Company shall provide written notice to the Trustee prior to paying any Additional Interest.</w:t>
      </w:r>
    </w:p>
    <w:p>
      <w:pPr>
        <w:sectPr>
          <w:pgSz w:w="11900" w:h="16838" w:orient="portrait"/>
          <w:cols w:equalWidth="0" w:num="1">
            <w:col w:w="11400"/>
          </w:cols>
          <w:pgMar w:left="240" w:top="267" w:right="2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w:t>
      </w:r>
      <w:r>
        <w:rPr>
          <w:rFonts w:ascii="Arial" w:cs="Arial" w:eastAsia="Arial" w:hAnsi="Arial"/>
          <w:sz w:val="18"/>
          <w:szCs w:val="18"/>
          <w:color w:val="auto"/>
        </w:rPr>
        <w:t>ONVERSION OF</w:t>
      </w:r>
      <w:r>
        <w:rPr>
          <w:rFonts w:ascii="Arial" w:cs="Arial" w:eastAsia="Arial" w:hAnsi="Arial"/>
          <w:sz w:val="22"/>
          <w:szCs w:val="22"/>
          <w:color w:val="auto"/>
        </w:rPr>
        <w:t xml:space="preserve"> N</w:t>
      </w:r>
      <w:r>
        <w:rPr>
          <w:rFonts w:ascii="Arial" w:cs="Arial" w:eastAsia="Arial" w:hAnsi="Arial"/>
          <w:sz w:val="18"/>
          <w:szCs w:val="18"/>
          <w:color w:val="auto"/>
        </w:rPr>
        <w:t>OTES</w:t>
      </w:r>
    </w:p>
    <w:p>
      <w:pPr>
        <w:spacing w:after="0" w:line="188" w:lineRule="exact"/>
        <w:rPr>
          <w:sz w:val="20"/>
          <w:szCs w:val="20"/>
          <w:color w:val="auto"/>
        </w:rPr>
      </w:pPr>
    </w:p>
    <w:p>
      <w:pPr>
        <w:ind w:firstLine="799"/>
        <w:spacing w:after="0" w:line="244" w:lineRule="auto"/>
        <w:rPr>
          <w:sz w:val="20"/>
          <w:szCs w:val="20"/>
          <w:color w:val="auto"/>
        </w:rPr>
      </w:pPr>
      <w:r>
        <w:rPr>
          <w:rFonts w:ascii="Arial" w:cs="Arial" w:eastAsia="Arial" w:hAnsi="Arial"/>
          <w:sz w:val="21"/>
          <w:szCs w:val="21"/>
          <w:i w:val="1"/>
          <w:iCs w:val="1"/>
          <w:color w:val="auto"/>
        </w:rPr>
        <w:t xml:space="preserve">Section 13.01. Conversion Privilege and Conversion Rate. </w:t>
      </w:r>
      <w:r>
        <w:rPr>
          <w:rFonts w:ascii="Arial" w:cs="Arial" w:eastAsia="Arial" w:hAnsi="Arial"/>
          <w:sz w:val="21"/>
          <w:szCs w:val="21"/>
          <w:color w:val="auto"/>
        </w:rPr>
        <w:t>(a) The conversion rights pursuant to this Article 13 shall</w:t>
      </w:r>
      <w:r>
        <w:rPr>
          <w:rFonts w:ascii="Arial" w:cs="Arial" w:eastAsia="Arial" w:hAnsi="Arial"/>
          <w:sz w:val="21"/>
          <w:szCs w:val="21"/>
          <w:i w:val="1"/>
          <w:iCs w:val="1"/>
          <w:color w:val="auto"/>
        </w:rPr>
        <w:t xml:space="preserve"> </w:t>
      </w:r>
      <w:r>
        <w:rPr>
          <w:rFonts w:ascii="Arial" w:cs="Arial" w:eastAsia="Arial" w:hAnsi="Arial"/>
          <w:sz w:val="21"/>
          <w:szCs w:val="21"/>
          <w:color w:val="auto"/>
        </w:rPr>
        <w:t>commence on the Issue Date of the Notes and expire at the close of business on the Business Day immediately preceding the Maturity Date unless previously redeemed or repurchased, subject to the provisions of this Indenture and, in the case of conversion of any Global Note, to any Applicable Procedures; provided, however, that if the Company has elected to redeem the Notes pursuant to Article 14 hereof, Holders may convert their Notes only until the close of business on the Business Day prior to the Redemption Date unless the Company fails to pay the Redemption Price in which case the conversion right shall terminate at the close of business on the Business Day prior to the date such failure is cured and such Note is redeemed. If a Note is submitted or presented for purchase pursuant to Article 15, subject to the last paragraph of Section 13.02(b), such conversion right shall terminate at the close of business on the Business Day prior to the Fundamental Change Purchase Date for such Note (unless the Company shall fail to make the Fundamental Change Purchase Price payment when due in accordance with Article 15, in which case the conversion right shall terminate at the close of business on the Business Day prior to the date such failure is cured and such Note is repurchased).</w:t>
      </w:r>
    </w:p>
    <w:p>
      <w:pPr>
        <w:spacing w:after="0" w:line="187" w:lineRule="exact"/>
        <w:rPr>
          <w:sz w:val="20"/>
          <w:szCs w:val="20"/>
          <w:color w:val="auto"/>
        </w:rPr>
      </w:pPr>
    </w:p>
    <w:p>
      <w:pPr>
        <w:ind w:left="1500" w:hanging="693"/>
        <w:spacing w:after="0"/>
        <w:tabs>
          <w:tab w:leader="none" w:pos="15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Provisions of this Indenture that apply to conversion of all of a Note also apply to conversion of a portion of 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w:t>
      </w:r>
    </w:p>
    <w:p>
      <w:pPr>
        <w:spacing w:after="0" w:line="188" w:lineRule="exact"/>
        <w:rPr>
          <w:sz w:val="20"/>
          <w:szCs w:val="20"/>
          <w:color w:val="auto"/>
        </w:rPr>
      </w:pPr>
    </w:p>
    <w:p>
      <w:pPr>
        <w:ind w:right="220" w:firstLine="807"/>
        <w:spacing w:after="0"/>
        <w:tabs>
          <w:tab w:leader="none" w:pos="1459" w:val="left"/>
        </w:tabs>
        <w:numPr>
          <w:ilvl w:val="0"/>
          <w:numId w:val="69"/>
        </w:numPr>
        <w:rPr>
          <w:rFonts w:ascii="Arial" w:cs="Arial" w:eastAsia="Arial" w:hAnsi="Arial"/>
          <w:sz w:val="22"/>
          <w:szCs w:val="22"/>
          <w:color w:val="auto"/>
        </w:rPr>
      </w:pPr>
      <w:r>
        <w:rPr>
          <w:rFonts w:ascii="Arial" w:cs="Arial" w:eastAsia="Arial" w:hAnsi="Arial"/>
          <w:sz w:val="22"/>
          <w:szCs w:val="22"/>
          <w:color w:val="auto"/>
        </w:rPr>
        <w:t>A Holder of Notes is not entitled to any rights of a holder of Common Stock until such Holder has converted its Notes into Common Stock, and only to the extent such Notes are deemed to have been converted into Common Stock pursuant to this Article 13.</w:t>
      </w:r>
    </w:p>
    <w:p>
      <w:pPr>
        <w:spacing w:after="0" w:line="186" w:lineRule="exact"/>
        <w:rPr>
          <w:rFonts w:ascii="Arial" w:cs="Arial" w:eastAsia="Arial" w:hAnsi="Arial"/>
          <w:sz w:val="22"/>
          <w:szCs w:val="22"/>
          <w:color w:val="auto"/>
        </w:rPr>
      </w:pPr>
    </w:p>
    <w:p>
      <w:pPr>
        <w:ind w:left="1480" w:hanging="673"/>
        <w:spacing w:after="0"/>
        <w:tabs>
          <w:tab w:leader="none" w:pos="14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Conversion Rate shall be adjusted in certain instances as provided in Section 13.01(e) and Section 13.06.</w:t>
      </w:r>
    </w:p>
    <w:p>
      <w:pPr>
        <w:spacing w:after="0" w:line="234" w:lineRule="exact"/>
        <w:rPr>
          <w:rFonts w:ascii="Arial" w:cs="Arial" w:eastAsia="Arial" w:hAnsi="Arial"/>
          <w:sz w:val="19"/>
          <w:szCs w:val="19"/>
          <w:color w:val="auto"/>
        </w:rPr>
      </w:pPr>
    </w:p>
    <w:p>
      <w:pPr>
        <w:ind w:firstLine="807"/>
        <w:spacing w:after="0" w:line="276" w:lineRule="auto"/>
        <w:tabs>
          <w:tab w:leader="none" w:pos="1471"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 Make-Whole Fundamental Change shall have occurred, the Company shall calculate and pay a “</w:t>
      </w:r>
      <w:r>
        <w:rPr>
          <w:rFonts w:ascii="Arial" w:cs="Arial" w:eastAsia="Arial" w:hAnsi="Arial"/>
          <w:sz w:val="19"/>
          <w:szCs w:val="19"/>
          <w:b w:val="1"/>
          <w:bCs w:val="1"/>
          <w:color w:val="auto"/>
        </w:rPr>
        <w:t>Fundamental</w:t>
      </w:r>
      <w:r>
        <w:rPr>
          <w:rFonts w:ascii="Arial" w:cs="Arial" w:eastAsia="Arial" w:hAnsi="Arial"/>
          <w:sz w:val="19"/>
          <w:szCs w:val="19"/>
          <w:color w:val="auto"/>
        </w:rPr>
        <w:t xml:space="preserve"> </w:t>
      </w:r>
      <w:r>
        <w:rPr>
          <w:rFonts w:ascii="Arial" w:cs="Arial" w:eastAsia="Arial" w:hAnsi="Arial"/>
          <w:sz w:val="19"/>
          <w:szCs w:val="19"/>
          <w:b w:val="1"/>
          <w:bCs w:val="1"/>
          <w:color w:val="auto"/>
        </w:rPr>
        <w:t>Change Make-Whole Premium</w:t>
      </w:r>
      <w:r>
        <w:rPr>
          <w:rFonts w:ascii="Arial" w:cs="Arial" w:eastAsia="Arial" w:hAnsi="Arial"/>
          <w:sz w:val="19"/>
          <w:szCs w:val="19"/>
          <w:color w:val="auto"/>
        </w:rPr>
        <w:t>” to the Holders of the Notes who convert their Notes during the period beginning the date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Make-Whole Fundamental Change Notice until the close of business on the tenth Business Day immediately following the Make-Whole Fundamental Change Effective Date by increasing the Conversion Rate for such Notes. The Fundamental Make-Whole Change Premium will be in addition to, and not in substitution for, any cash, securities or other assets otherwise due to Holders of Notes upon conversion. The number of additional shares of Common Stock per $1,000 principal amount of Notes constituting the Fundamental Change Make-Whole Premium shall be determined by reference to the table set forth on Schedule A hereto, based on the Make-Whole Fundamental Change Effective</w:t>
      </w:r>
    </w:p>
    <w:p>
      <w:pPr>
        <w:sectPr>
          <w:pgSz w:w="11900" w:h="16838" w:orient="portrait"/>
          <w:cols w:equalWidth="0" w:num="1">
            <w:col w:w="11420"/>
          </w:cols>
          <w:pgMar w:left="240" w:top="267" w:right="23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and the Stock Price; provided that if the Stock Price or Make-Whole Fundamental Change Effective Date are not set forth 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table: (i) if the actual Stock Price on the Make-Whole Fundamental Change Effective Date is between two Stock Prices 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table or the actual Fundamental Change Effective Date is between two Make-Whole Fundamental Change Effective Dates 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table, the Fundamental Change Make-Whole Premium will be determined by a straight-line interpolation between the Fundamental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Change Make-Whole Premiums set forth for the two Stock Prices and the two Make-Whole Fundamental Change Effective Dates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on the table based on a 365-day year, as applicable, (ii) if the Stock Price on the Fundamental Change Effective Date exceeds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$12.00 per share, subject to adjustment as set forth herein, no Fundamental Change Make-Whole Premium will be paid, and (iii) if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Stock Price on the Make-Whole Fundamental Change Effective Date is less than $4.82 per share, subject to adjustment as set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forth herein, no Fundamental Change Make-Whole Premium will be paid. If holders of Common Stock receive only cash 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Make-Whole Fundamental Change, the Stock Price shall be the cash amount paid per share of Common Stock in connection with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such Make-Whole Fundamental Change. Otherwise, the Stock Price shall be equal to the average Last Reported Sale Price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Common Stock over the 10 Trading Day period ending on the Trading Day immediately preceding, and excluding, the applicable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Fundamental Change Effective Date. The Company, or, at the request of the Company, the Trustee, shall mail written notice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anticipated effective date of any Make-Whole Fundamental Change to the Holders (with a copy to the Trustee if applicable)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practicable following the date the Company publicly announces such Make-Whole Fundamental Change, but in no event less than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 days prior to the anticipated Make-Whole Fundamental Change Effective Date (the “</w:t>
      </w:r>
      <w:r>
        <w:rPr>
          <w:rFonts w:ascii="Arial" w:cs="Arial" w:eastAsia="Arial" w:hAnsi="Arial"/>
          <w:sz w:val="19"/>
          <w:szCs w:val="19"/>
          <w:b w:val="1"/>
          <w:bCs w:val="1"/>
          <w:color w:val="auto"/>
        </w:rPr>
        <w:t>Make-Whole Fundamental Change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At the Company’s request, the Trustee shall give such Make-Whole Fundamental Change Notice in the Company’s name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at the Company’s request; provided that, unless otherwise agreed by the Trustee, the Company makes such request at least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three (3) Business Days prior to the date of such notice.</w:t>
      </w:r>
    </w:p>
    <w:p>
      <w:pPr>
        <w:spacing w:after="0" w:line="188" w:lineRule="exact"/>
        <w:rPr>
          <w:sz w:val="20"/>
          <w:szCs w:val="20"/>
          <w:color w:val="auto"/>
        </w:rPr>
      </w:pPr>
    </w:p>
    <w:p>
      <w:pPr>
        <w:ind w:firstLine="799"/>
        <w:spacing w:after="0" w:line="277" w:lineRule="auto"/>
        <w:rPr>
          <w:sz w:val="20"/>
          <w:szCs w:val="20"/>
          <w:color w:val="auto"/>
        </w:rPr>
      </w:pPr>
      <w:r>
        <w:rPr>
          <w:rFonts w:ascii="Arial" w:cs="Arial" w:eastAsia="Arial" w:hAnsi="Arial"/>
          <w:sz w:val="19"/>
          <w:szCs w:val="19"/>
          <w:color w:val="auto"/>
        </w:rPr>
        <w:t>The Stock Prices set forth in the first column of the table on Schedule A will be adjusted as of any date on which the Conversion Rate of the Notes is adjusted other than an adjustment pursuant to the Fundamental Change Make-Whole Premium described above. The adjusted Stock Prices will equal the Stock Prices applicable immediately prior to such adjustment multiplied by a fraction, the numerator of which is the Conversion Rate immediately prior to the adjustment giving rise to the Stock Price adjustment and the denominator of which is the Conversion Rate as so adjusted. The number of additional shares set forth in the table above will be adjusted in the same manner as the Conversion Rate as set forth in Section 13.06 hereof, other than as a result of an adjustment to the Conversion Rate by adding the Fundamental Change Make-Whole Premium as described above.</w:t>
      </w:r>
    </w:p>
    <w:p>
      <w:pPr>
        <w:sectPr>
          <w:pgSz w:w="11900" w:h="16838" w:orient="portrait"/>
          <w:cols w:equalWidth="0" w:num="1">
            <w:col w:w="11420"/>
          </w:cols>
          <w:pgMar w:left="240" w:top="266" w:right="239" w:bottom="1440" w:gutter="0" w:footer="0" w:header="0"/>
        </w:sectPr>
      </w:pPr>
    </w:p>
    <w:bookmarkStart w:id="111" w:name="page112"/>
    <w:bookmarkEnd w:id="111"/>
    <w:p>
      <w:pPr>
        <w:ind w:right="280" w:firstLine="79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in no event will the Conversion Rate exceed 207.4688 per $1,000 principal amount as a result of this Section 13.01, subject to proportional adjustment in the same manner as the Conversion Rate as set forth in Section 13.06 hereof.</w:t>
      </w:r>
    </w:p>
    <w:p>
      <w:pPr>
        <w:spacing w:after="0" w:line="186" w:lineRule="exact"/>
        <w:rPr>
          <w:sz w:val="20"/>
          <w:szCs w:val="20"/>
          <w:color w:val="auto"/>
        </w:rPr>
      </w:pPr>
    </w:p>
    <w:p>
      <w:pPr>
        <w:ind w:right="980" w:firstLine="799"/>
        <w:spacing w:after="0" w:line="251" w:lineRule="auto"/>
        <w:rPr>
          <w:sz w:val="20"/>
          <w:szCs w:val="20"/>
          <w:color w:val="auto"/>
        </w:rPr>
      </w:pPr>
      <w:r>
        <w:rPr>
          <w:rFonts w:ascii="Arial" w:cs="Arial" w:eastAsia="Arial" w:hAnsi="Arial"/>
          <w:sz w:val="22"/>
          <w:szCs w:val="22"/>
          <w:color w:val="auto"/>
        </w:rPr>
        <w:t>The Fundamental Change Make-Whole Premium shall be delivered upon the later of the settlement date for the conversion and promptly following the Fundamental Change Effective Date.</w:t>
      </w:r>
    </w:p>
    <w:p>
      <w:pPr>
        <w:spacing w:after="0" w:line="173" w:lineRule="exact"/>
        <w:rPr>
          <w:sz w:val="20"/>
          <w:szCs w:val="20"/>
          <w:color w:val="auto"/>
        </w:rPr>
      </w:pPr>
    </w:p>
    <w:p>
      <w:pPr>
        <w:ind w:right="20" w:firstLine="799"/>
        <w:spacing w:after="0"/>
        <w:rPr>
          <w:sz w:val="20"/>
          <w:szCs w:val="20"/>
          <w:color w:val="auto"/>
        </w:rPr>
      </w:pPr>
      <w:r>
        <w:rPr>
          <w:rFonts w:ascii="Arial" w:cs="Arial" w:eastAsia="Arial" w:hAnsi="Arial"/>
          <w:sz w:val="22"/>
          <w:szCs w:val="22"/>
          <w:color w:val="auto"/>
        </w:rPr>
        <w:t>If a Holder converts its Notes prior to the Fundamental Change Effective Date, and the Make-Whole Fundamental Change does not occur, such Holder shall not be entitled to the Fundamental Change Make-Whole Premium in connection with such conversion.</w:t>
      </w:r>
    </w:p>
    <w:p>
      <w:pPr>
        <w:spacing w:after="0" w:line="186" w:lineRule="exact"/>
        <w:rPr>
          <w:sz w:val="20"/>
          <w:szCs w:val="20"/>
          <w:color w:val="auto"/>
        </w:rPr>
      </w:pPr>
    </w:p>
    <w:p>
      <w:pPr>
        <w:ind w:right="180" w:firstLine="807"/>
        <w:spacing w:after="0" w:line="252" w:lineRule="auto"/>
        <w:tabs>
          <w:tab w:leader="none" w:pos="1447" w:val="left"/>
        </w:tabs>
        <w:numPr>
          <w:ilvl w:val="0"/>
          <w:numId w:val="70"/>
        </w:numPr>
        <w:rPr>
          <w:rFonts w:ascii="Arial" w:cs="Arial" w:eastAsia="Arial" w:hAnsi="Arial"/>
          <w:sz w:val="21"/>
          <w:szCs w:val="21"/>
          <w:color w:val="auto"/>
        </w:rPr>
      </w:pPr>
      <w:r>
        <w:rPr>
          <w:rFonts w:ascii="Arial" w:cs="Arial" w:eastAsia="Arial" w:hAnsi="Arial"/>
          <w:sz w:val="21"/>
          <w:szCs w:val="21"/>
          <w:color w:val="auto"/>
        </w:rPr>
        <w:t>By delivering the number of shares of Common Stock issuable on conversion to the Trustee, plus a cash payment for any fractional share, the Company will be deemed to have satisfied its obligation to pay the principal amount of the Notes so converted and its obligation to pay accrued and unpaid interest attributable to the period from the most recent Interest Payment Date through the Conversion Date (which amount will be deemed satisfied and extinguished).</w:t>
      </w:r>
    </w:p>
    <w:p>
      <w:pPr>
        <w:spacing w:after="0" w:line="174" w:lineRule="exact"/>
        <w:rPr>
          <w:sz w:val="20"/>
          <w:szCs w:val="20"/>
          <w:color w:val="auto"/>
        </w:rPr>
      </w:pPr>
    </w:p>
    <w:p>
      <w:pPr>
        <w:ind w:firstLine="799"/>
        <w:spacing w:after="0" w:line="245" w:lineRule="auto"/>
        <w:rPr>
          <w:sz w:val="20"/>
          <w:szCs w:val="20"/>
          <w:color w:val="auto"/>
        </w:rPr>
      </w:pPr>
      <w:r>
        <w:rPr>
          <w:rFonts w:ascii="Arial" w:cs="Arial" w:eastAsia="Arial" w:hAnsi="Arial"/>
          <w:sz w:val="21"/>
          <w:szCs w:val="21"/>
          <w:i w:val="1"/>
          <w:iCs w:val="1"/>
          <w:color w:val="auto"/>
        </w:rPr>
        <w:t xml:space="preserve">Section 13.02. Conversion Procedure. </w:t>
      </w:r>
      <w:r>
        <w:rPr>
          <w:rFonts w:ascii="Arial" w:cs="Arial" w:eastAsia="Arial" w:hAnsi="Arial"/>
          <w:sz w:val="21"/>
          <w:szCs w:val="21"/>
          <w:color w:val="auto"/>
        </w:rPr>
        <w:t>(a) To convert a Note in certificated form, a Holder must (1) complete and manually</w:t>
      </w:r>
      <w:r>
        <w:rPr>
          <w:rFonts w:ascii="Arial" w:cs="Arial" w:eastAsia="Arial" w:hAnsi="Arial"/>
          <w:sz w:val="21"/>
          <w:szCs w:val="21"/>
          <w:i w:val="1"/>
          <w:iCs w:val="1"/>
          <w:color w:val="auto"/>
        </w:rPr>
        <w:t xml:space="preserve"> </w:t>
      </w:r>
      <w:r>
        <w:rPr>
          <w:rFonts w:ascii="Arial" w:cs="Arial" w:eastAsia="Arial" w:hAnsi="Arial"/>
          <w:sz w:val="21"/>
          <w:szCs w:val="21"/>
          <w:color w:val="auto"/>
        </w:rPr>
        <w:t>sign the Notice of Conversion on the back of the Note, or facsimile of such Notice of Conversion, and deliver such Notice of Conversion to the Conversion Agent, which shall become irrevocable upon receipt by the Conversion Agent, (2) surrender the Note to the Conversion Agent, (3) furnish appropriate endorsements and transfer documents if required by the Note Registrar or the Conversion Agent, (4) pay an amount equal to the interest payable on the next Interest Payment Date to which the Holder is not entitled as required by Section 13.02(c) and (5) pay all transfer or similar taxes, if required pursuant to Section 13.04. Anything herein to the contrary notwithstanding, in the case of Global Notes, Notices of Conversion may be delivered and such Notes may be surrendered for conversion in accordance with clauses (3), (4) and (5) of this Section 13.02(a) and the Applicable Procedures as in effect from time to time. The date on which the Holder satisfies all the requirements set forth in this Section 13.02(a) is the “</w:t>
      </w:r>
      <w:r>
        <w:rPr>
          <w:rFonts w:ascii="Arial" w:cs="Arial" w:eastAsia="Arial" w:hAnsi="Arial"/>
          <w:sz w:val="21"/>
          <w:szCs w:val="21"/>
          <w:b w:val="1"/>
          <w:bCs w:val="1"/>
          <w:color w:val="auto"/>
        </w:rPr>
        <w:t>Conversion Date</w:t>
      </w:r>
      <w:r>
        <w:rPr>
          <w:rFonts w:ascii="Arial" w:cs="Arial" w:eastAsia="Arial" w:hAnsi="Arial"/>
          <w:sz w:val="21"/>
          <w:szCs w:val="21"/>
          <w:color w:val="auto"/>
        </w:rPr>
        <w:t>.”</w:t>
      </w:r>
    </w:p>
    <w:p>
      <w:pPr>
        <w:spacing w:after="0" w:line="182" w:lineRule="exact"/>
        <w:rPr>
          <w:sz w:val="20"/>
          <w:szCs w:val="20"/>
          <w:color w:val="auto"/>
        </w:rPr>
      </w:pPr>
    </w:p>
    <w:p>
      <w:pPr>
        <w:ind w:right="60" w:firstLine="807"/>
        <w:spacing w:after="0" w:line="236" w:lineRule="auto"/>
        <w:tabs>
          <w:tab w:leader="none" w:pos="1483"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Each conversion shall be deemed to have been effected as to any Notes surrendered for conversion on the Conversion Date and the person in whose name the shares of Common Stock shall be issuable upon conversion shall be deemed to be the holder of record of such Common Stock as of the close of business on such Conversion Date, and the Company shall deliver the consideration due in respect of any conversion on the third Business Day immediately following the relevant Conversion Date; </w:t>
      </w:r>
      <w:r>
        <w:rPr>
          <w:rFonts w:ascii="Arial" w:cs="Arial" w:eastAsia="Arial" w:hAnsi="Arial"/>
          <w:sz w:val="22"/>
          <w:szCs w:val="22"/>
          <w:i w:val="1"/>
          <w:iCs w:val="1"/>
          <w:color w:val="auto"/>
        </w:rPr>
        <w:t>provided</w:t>
      </w:r>
      <w:r>
        <w:rPr>
          <w:rFonts w:ascii="Arial" w:cs="Arial" w:eastAsia="Arial" w:hAnsi="Arial"/>
          <w:sz w:val="22"/>
          <w:szCs w:val="22"/>
          <w:color w:val="auto"/>
        </w:rPr>
        <w:t>, however, that no</w:t>
      </w:r>
    </w:p>
    <w:p>
      <w:pPr>
        <w:sectPr>
          <w:pgSz w:w="11900" w:h="16838" w:orient="portrait"/>
          <w:cols w:equalWidth="0" w:num="1">
            <w:col w:w="11420"/>
          </w:cols>
          <w:pgMar w:left="240" w:top="267" w:right="239" w:bottom="1440" w:gutter="0" w:footer="0" w:header="0"/>
        </w:sectPr>
      </w:pPr>
    </w:p>
    <w:bookmarkStart w:id="112" w:name="page113"/>
    <w:bookmarkEnd w:id="112"/>
    <w:p>
      <w:pPr>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surrender of a Note on any Conversion Date when the stock transfer books of the Company shall be closed shall be effective to constitute the person or persons entitled to receive the shares of Common Stock upon conversion as the record holder or holders of such shares of Common Stock on such date, but such surrender shall be effective to constitute the person or persons entitled to receive such shares of Common Stock as the record holder or holders thereof for all purposes at the close of business on the next succeeding day on which such stock transfer books are open. Upon conversion of a Note, such person shall no longer be the Holder of such Note. Except as set forth in this Indenture, no payment or adjustment will be made for dividends or distributions declared or made on shares of Common Stock issued upon conversion of a Note prior to the issuance of such shares.</w:t>
      </w:r>
    </w:p>
    <w:p>
      <w:pPr>
        <w:spacing w:after="0" w:line="153" w:lineRule="exact"/>
        <w:rPr>
          <w:sz w:val="20"/>
          <w:szCs w:val="20"/>
          <w:color w:val="auto"/>
        </w:rPr>
      </w:pPr>
    </w:p>
    <w:p>
      <w:pPr>
        <w:ind w:right="80" w:firstLine="799"/>
        <w:spacing w:after="0"/>
        <w:rPr>
          <w:sz w:val="20"/>
          <w:szCs w:val="20"/>
          <w:color w:val="auto"/>
        </w:rPr>
      </w:pPr>
      <w:r>
        <w:rPr>
          <w:rFonts w:ascii="Arial" w:cs="Arial" w:eastAsia="Arial" w:hAnsi="Arial"/>
          <w:sz w:val="22"/>
          <w:szCs w:val="22"/>
          <w:color w:val="auto"/>
        </w:rPr>
        <w:t>A Holder that has delivered a Fundamental Change Purchase Notice pursuant to Section 15.01 with respect to a Note may not surrender such Note for conversion until such Holder has withdrawn the Fundamental Change Purchase Notice in accordance with Section 15.01(c).</w:t>
      </w:r>
    </w:p>
    <w:p>
      <w:pPr>
        <w:spacing w:after="0" w:line="186" w:lineRule="exact"/>
        <w:rPr>
          <w:sz w:val="20"/>
          <w:szCs w:val="20"/>
          <w:color w:val="auto"/>
        </w:rPr>
      </w:pPr>
    </w:p>
    <w:p>
      <w:pPr>
        <w:ind w:right="20" w:firstLine="807"/>
        <w:spacing w:after="0" w:line="272" w:lineRule="auto"/>
        <w:tabs>
          <w:tab w:leader="none" w:pos="1471"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Holders of Notes surrendered for conversion (in whole or in part) during the period from the close of business on any Regular Record Date to the open of business on the next succeeding Interest Payment Date will receive the semiannual interest payable on the principal amount of such Notes being surrendered for conversion on the corresponding Interest Payment Date notwithstanding the conversion. Upon surrender of any such Notes for conversion, such Notes shall also be accompanied by payment in funds to the Conversion Agent acceptable to the Company of an amount equal to the interest payable on such corresponding Interest Payment Date (but excluding any overdue interest on the principal amount of such Note so converted if any overdue interest exists at the time such Holder surrenders such Note for conversion);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payment need be made (i) if the Company has specified a Redemption Date that is after such Regular Record Date and on or prior to the next succeeding Interest Payment Date, (ii) if the Company has specified a Fundamental Change Purchase Date that is after such Regular Record Date and on or prior to the next succeeding Interest Payment Date, or (iii) if conversion occurs after the last Regular Record Date prior to the Maturity Date. Except as otherwise provided in this Section 13.02(c), no payment or adjustment will be made for accrued interest on a converted Note and any such accrued interest shall be deemed satisfied and extinguished.</w:t>
      </w:r>
    </w:p>
    <w:p>
      <w:pPr>
        <w:spacing w:after="0" w:line="161" w:lineRule="exact"/>
        <w:rPr>
          <w:rFonts w:ascii="Arial" w:cs="Arial" w:eastAsia="Arial" w:hAnsi="Arial"/>
          <w:sz w:val="19"/>
          <w:szCs w:val="19"/>
          <w:color w:val="auto"/>
        </w:rPr>
      </w:pPr>
    </w:p>
    <w:p>
      <w:pPr>
        <w:jc w:val="both"/>
        <w:ind w:right="100" w:firstLine="807"/>
        <w:spacing w:after="0" w:line="287" w:lineRule="auto"/>
        <w:tabs>
          <w:tab w:leader="none" w:pos="1483" w:val="left"/>
        </w:tabs>
        <w:numPr>
          <w:ilvl w:val="0"/>
          <w:numId w:val="72"/>
        </w:numPr>
        <w:rPr>
          <w:rFonts w:ascii="Arial" w:cs="Arial" w:eastAsia="Arial" w:hAnsi="Arial"/>
          <w:sz w:val="19"/>
          <w:szCs w:val="19"/>
          <w:color w:val="auto"/>
        </w:rPr>
      </w:pPr>
      <w:r>
        <w:rPr>
          <w:rFonts w:ascii="Arial" w:cs="Arial" w:eastAsia="Arial" w:hAnsi="Arial"/>
          <w:sz w:val="19"/>
          <w:szCs w:val="19"/>
          <w:color w:val="auto"/>
        </w:rPr>
        <w:t>Subject to Section 13.02(c), nothing in this Section 13.02 shall affect the right of a Holder in whose name any Note is registered at the close of business on a Regular Record Date to receive the interest payable on such Note on the related Interest Payment Date in accordance with the terms of this Indenture and the Notes. If a Holder converts more than one Note at the same time, the number of shares of Common Stock issuable upon the conversion (and the amount of any</w:t>
      </w:r>
    </w:p>
    <w:p>
      <w:pPr>
        <w:sectPr>
          <w:pgSz w:w="11900" w:h="16838" w:orient="portrait"/>
          <w:cols w:equalWidth="0" w:num="1">
            <w:col w:w="11420"/>
          </w:cols>
          <w:pgMar w:left="240" w:top="267" w:right="239" w:bottom="1440" w:gutter="0" w:footer="0" w:header="0"/>
        </w:sectPr>
      </w:pPr>
    </w:p>
    <w:bookmarkStart w:id="113" w:name="page114"/>
    <w:bookmarkEnd w:id="113"/>
    <w:p>
      <w:pPr>
        <w:ind w:right="78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in lieu of fractional shares pursuant to Section 13.03) shall be based on the aggregate principal amount of all Notes so converted.</w:t>
      </w:r>
    </w:p>
    <w:p>
      <w:pPr>
        <w:spacing w:after="0" w:line="173" w:lineRule="exact"/>
        <w:rPr>
          <w:sz w:val="20"/>
          <w:szCs w:val="20"/>
          <w:color w:val="auto"/>
        </w:rPr>
      </w:pPr>
    </w:p>
    <w:p>
      <w:pPr>
        <w:ind w:right="100" w:firstLine="807"/>
        <w:spacing w:after="0" w:line="235" w:lineRule="auto"/>
        <w:tabs>
          <w:tab w:leader="none" w:pos="1471"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case of any Note which is converted in part only, upon such conversion the Company shall execute and the Trustee shall authenticate and deliver to the Holder thereof, without service charge, a new Note or Notes of authorized denominations in an aggregate principal amount equal to, and in exchange for, the unconverted portion of the principal amount of such Note. A Note may be converted in part, but only if the principal amount of such part is an integral multiple of $1,000 and the principal amount of such Note to remain Outstanding after such conversion is equal to $1,000 or any integral multiple of $1,000 in excess thereof.</w:t>
      </w:r>
    </w:p>
    <w:p>
      <w:pPr>
        <w:spacing w:after="0" w:line="188" w:lineRule="exact"/>
        <w:rPr>
          <w:sz w:val="20"/>
          <w:szCs w:val="20"/>
          <w:color w:val="auto"/>
        </w:rPr>
      </w:pPr>
    </w:p>
    <w:p>
      <w:pPr>
        <w:ind w:right="60" w:firstLine="799"/>
        <w:spacing w:after="0" w:line="277" w:lineRule="auto"/>
        <w:rPr>
          <w:sz w:val="20"/>
          <w:szCs w:val="20"/>
          <w:color w:val="auto"/>
        </w:rPr>
      </w:pPr>
      <w:r>
        <w:rPr>
          <w:rFonts w:ascii="Arial" w:cs="Arial" w:eastAsia="Arial" w:hAnsi="Arial"/>
          <w:sz w:val="19"/>
          <w:szCs w:val="19"/>
          <w:i w:val="1"/>
          <w:iCs w:val="1"/>
          <w:color w:val="auto"/>
        </w:rPr>
        <w:t xml:space="preserve">Section 13.03. Fractional Shares. </w:t>
      </w:r>
      <w:r>
        <w:rPr>
          <w:rFonts w:ascii="Arial" w:cs="Arial" w:eastAsia="Arial" w:hAnsi="Arial"/>
          <w:sz w:val="19"/>
          <w:szCs w:val="19"/>
          <w:color w:val="auto"/>
        </w:rPr>
        <w:t>No fractional shares of Common Stock shall be issued upon conversion of any Note or</w:t>
      </w:r>
      <w:r>
        <w:rPr>
          <w:rFonts w:ascii="Arial" w:cs="Arial" w:eastAsia="Arial" w:hAnsi="Arial"/>
          <w:sz w:val="19"/>
          <w:szCs w:val="19"/>
          <w:i w:val="1"/>
          <w:iCs w:val="1"/>
          <w:color w:val="auto"/>
        </w:rPr>
        <w:t xml:space="preserve"> </w:t>
      </w:r>
      <w:r>
        <w:rPr>
          <w:rFonts w:ascii="Arial" w:cs="Arial" w:eastAsia="Arial" w:hAnsi="Arial"/>
          <w:sz w:val="19"/>
          <w:szCs w:val="19"/>
          <w:color w:val="auto"/>
        </w:rPr>
        <w:t>Notes. If more than one Note shall be surrendered for conversion at one time by the same Holder, the number of full shares which shall be issued upon conversion thereof shall be computed on the basis of the aggregate principal amount of the Notes (or specified portions thereof) so surrendered. Instead of any fractional share of Common Stock which would otherwise be issued upon conversion of any Note or Notes (or specified portions thereof), the Company shall pay a cash adjustment in respect of such fraction (calculated to the nearest one-100th of a share) in an amount equal to the same fraction of the Last Reported Sale Price of the Common Stock as of the Trading Day preceding the Conversion Date.</w:t>
      </w:r>
    </w:p>
    <w:p>
      <w:pPr>
        <w:spacing w:after="0" w:line="153" w:lineRule="exact"/>
        <w:rPr>
          <w:sz w:val="20"/>
          <w:szCs w:val="20"/>
          <w:color w:val="auto"/>
        </w:rPr>
      </w:pPr>
    </w:p>
    <w:p>
      <w:pPr>
        <w:ind w:firstLine="799"/>
        <w:spacing w:after="0" w:line="234" w:lineRule="auto"/>
        <w:rPr>
          <w:sz w:val="20"/>
          <w:szCs w:val="20"/>
          <w:color w:val="auto"/>
        </w:rPr>
      </w:pPr>
      <w:r>
        <w:rPr>
          <w:rFonts w:ascii="Arial" w:cs="Arial" w:eastAsia="Arial" w:hAnsi="Arial"/>
          <w:sz w:val="22"/>
          <w:szCs w:val="22"/>
          <w:i w:val="1"/>
          <w:iCs w:val="1"/>
          <w:color w:val="auto"/>
        </w:rPr>
        <w:t xml:space="preserve">Section 13.04. Taxes on Conversion. </w:t>
      </w:r>
      <w:r>
        <w:rPr>
          <w:rFonts w:ascii="Arial" w:cs="Arial" w:eastAsia="Arial" w:hAnsi="Arial"/>
          <w:sz w:val="22"/>
          <w:szCs w:val="22"/>
          <w:color w:val="auto"/>
        </w:rPr>
        <w:t>Except as provided in the next sentence, the Company will pay any and all</w:t>
      </w:r>
      <w:r>
        <w:rPr>
          <w:rFonts w:ascii="Arial" w:cs="Arial" w:eastAsia="Arial" w:hAnsi="Arial"/>
          <w:sz w:val="22"/>
          <w:szCs w:val="22"/>
          <w:i w:val="1"/>
          <w:iCs w:val="1"/>
          <w:color w:val="auto"/>
        </w:rPr>
        <w:t xml:space="preserve"> </w:t>
      </w:r>
      <w:r>
        <w:rPr>
          <w:rFonts w:ascii="Arial" w:cs="Arial" w:eastAsia="Arial" w:hAnsi="Arial"/>
          <w:sz w:val="22"/>
          <w:szCs w:val="22"/>
          <w:color w:val="auto"/>
        </w:rPr>
        <w:t>documentary, stamp or similar issue or transfer tax due and duties on the issuance of shares of Common Stock upon conversion of Notes pursuant hereto. A Holder delivering a Note for conversion shall be liable for and will be required to pay any tax or duty which may be payable in respect of any transfer involved in the issue and delivery of shares of Common Stock in a name other than that of the Holder of the Note or Notes to be converted, and no such issue or delivery shall be made unless the Person requesting such issue has paid to the Company the amount of any such tax or duty, or has established to the satisfaction of the Company that such tax or duty has been paid.</w:t>
      </w:r>
    </w:p>
    <w:p>
      <w:pPr>
        <w:spacing w:after="0" w:line="191" w:lineRule="exact"/>
        <w:rPr>
          <w:sz w:val="20"/>
          <w:szCs w:val="20"/>
          <w:color w:val="auto"/>
        </w:rPr>
      </w:pPr>
    </w:p>
    <w:p>
      <w:pPr>
        <w:jc w:val="both"/>
        <w:ind w:right="60" w:firstLine="799"/>
        <w:spacing w:after="0" w:line="297" w:lineRule="auto"/>
        <w:rPr>
          <w:sz w:val="20"/>
          <w:szCs w:val="20"/>
          <w:color w:val="auto"/>
        </w:rPr>
      </w:pPr>
      <w:r>
        <w:rPr>
          <w:rFonts w:ascii="Arial" w:cs="Arial" w:eastAsia="Arial" w:hAnsi="Arial"/>
          <w:sz w:val="19"/>
          <w:szCs w:val="19"/>
          <w:i w:val="1"/>
          <w:iCs w:val="1"/>
          <w:color w:val="auto"/>
        </w:rPr>
        <w:t xml:space="preserve">Section 13.05. Company to Provide Common Stock. </w:t>
      </w:r>
      <w:r>
        <w:rPr>
          <w:rFonts w:ascii="Arial" w:cs="Arial" w:eastAsia="Arial" w:hAnsi="Arial"/>
          <w:sz w:val="19"/>
          <w:szCs w:val="19"/>
          <w:color w:val="auto"/>
        </w:rPr>
        <w:t>(a) The Company shall, prior to issuance of any Notes hereunder, and</w:t>
      </w:r>
      <w:r>
        <w:rPr>
          <w:rFonts w:ascii="Arial" w:cs="Arial" w:eastAsia="Arial" w:hAnsi="Arial"/>
          <w:sz w:val="19"/>
          <w:szCs w:val="19"/>
          <w:i w:val="1"/>
          <w:iCs w:val="1"/>
          <w:color w:val="auto"/>
        </w:rPr>
        <w:t xml:space="preserve"> </w:t>
      </w:r>
      <w:r>
        <w:rPr>
          <w:rFonts w:ascii="Arial" w:cs="Arial" w:eastAsia="Arial" w:hAnsi="Arial"/>
          <w:sz w:val="19"/>
          <w:szCs w:val="19"/>
          <w:color w:val="auto"/>
        </w:rPr>
        <w:t>from time to time as may be necessary, reserve, out of its authorized but unissued Common Stock, a sufficient number of shares of Common Stock to permit the conversion of all Outstanding Notes into shares of Common Stock.</w:t>
      </w:r>
    </w:p>
    <w:p>
      <w:pPr>
        <w:spacing w:after="0" w:line="134" w:lineRule="exact"/>
        <w:rPr>
          <w:sz w:val="20"/>
          <w:szCs w:val="20"/>
          <w:color w:val="auto"/>
        </w:rPr>
      </w:pPr>
    </w:p>
    <w:p>
      <w:pPr>
        <w:ind w:right="260" w:firstLine="807"/>
        <w:spacing w:after="0" w:line="251" w:lineRule="auto"/>
        <w:tabs>
          <w:tab w:leader="none" w:pos="1471"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shares of Common Stock delivered upon conversion of the Notes shall be newly issued shares, shall be duly authorized, validly issued, fully</w:t>
      </w:r>
    </w:p>
    <w:p>
      <w:pPr>
        <w:sectPr>
          <w:pgSz w:w="11900" w:h="16838" w:orient="portrait"/>
          <w:cols w:equalWidth="0" w:num="1">
            <w:col w:w="11400"/>
          </w:cols>
          <w:pgMar w:left="240" w:top="267" w:right="259" w:bottom="1440" w:gutter="0" w:footer="0" w:header="0"/>
        </w:sectPr>
      </w:pPr>
    </w:p>
    <w:bookmarkStart w:id="114" w:name="page115"/>
    <w:bookmarkEnd w:id="114"/>
    <w:p>
      <w:pPr>
        <w:ind w:right="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paid and nonassessable and shall be free from preemptive or similar rights and free of any lien or adverse claim as the result of any action by the Company.</w:t>
      </w:r>
    </w:p>
    <w:p>
      <w:pPr>
        <w:spacing w:after="0" w:line="173" w:lineRule="exact"/>
        <w:rPr>
          <w:sz w:val="20"/>
          <w:szCs w:val="20"/>
          <w:color w:val="auto"/>
        </w:rPr>
      </w:pPr>
    </w:p>
    <w:p>
      <w:pPr>
        <w:ind w:right="80" w:firstLine="799"/>
        <w:spacing w:after="0" w:line="251" w:lineRule="auto"/>
        <w:rPr>
          <w:sz w:val="20"/>
          <w:szCs w:val="20"/>
          <w:color w:val="auto"/>
        </w:rPr>
      </w:pPr>
      <w:r>
        <w:rPr>
          <w:rFonts w:ascii="Arial" w:cs="Arial" w:eastAsia="Arial" w:hAnsi="Arial"/>
          <w:sz w:val="22"/>
          <w:szCs w:val="22"/>
          <w:i w:val="1"/>
          <w:iCs w:val="1"/>
          <w:color w:val="auto"/>
        </w:rPr>
        <w:t xml:space="preserve">Section 13.06. Adjustment of Conversion Rate. </w:t>
      </w:r>
      <w:r>
        <w:rPr>
          <w:rFonts w:ascii="Arial" w:cs="Arial" w:eastAsia="Arial" w:hAnsi="Arial"/>
          <w:sz w:val="22"/>
          <w:szCs w:val="22"/>
          <w:color w:val="auto"/>
        </w:rPr>
        <w:t>The Conversion Rate shall be adjusted from time to time by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as follows:</w:t>
      </w:r>
    </w:p>
    <w:p>
      <w:pPr>
        <w:spacing w:after="0" w:line="173" w:lineRule="exact"/>
        <w:rPr>
          <w:sz w:val="20"/>
          <w:szCs w:val="20"/>
          <w:color w:val="auto"/>
        </w:rPr>
      </w:pPr>
    </w:p>
    <w:p>
      <w:pPr>
        <w:ind w:right="460" w:firstLine="807"/>
        <w:spacing w:after="0" w:line="328" w:lineRule="auto"/>
        <w:tabs>
          <w:tab w:leader="none" w:pos="1471"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the Company issues shares of Common Stock as a dividend or distribution on shares of Common Stock, or effects a share split or share combination, the Conversion Rate will be adjusted based on the following formula: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740" w:type="dxa"/>
            <w:vAlign w:val="bottom"/>
            <w:vMerge w:val="restart"/>
          </w:tcPr>
          <w:p>
            <w:pPr>
              <w:ind w:left="3620"/>
              <w:spacing w:after="0"/>
              <w:rPr>
                <w:sz w:val="20"/>
                <w:szCs w:val="20"/>
                <w:color w:val="auto"/>
              </w:rPr>
            </w:pPr>
            <w:r>
              <w:rPr>
                <w:rFonts w:ascii="Arial" w:cs="Arial" w:eastAsia="Arial" w:hAnsi="Arial"/>
                <w:sz w:val="22"/>
                <w:szCs w:val="22"/>
                <w:color w:val="auto"/>
                <w:w w:val="94"/>
              </w:rPr>
              <w:t>CR = CR</w:t>
            </w:r>
            <w:r>
              <w:rPr>
                <w:rFonts w:ascii="Arial" w:cs="Arial" w:eastAsia="Arial" w:hAnsi="Arial"/>
                <w:sz w:val="18"/>
                <w:szCs w:val="18"/>
                <w:color w:val="auto"/>
                <w:w w:val="94"/>
              </w:rPr>
              <w:t>0</w:t>
            </w:r>
            <w:r>
              <w:rPr>
                <w:rFonts w:ascii="Arial" w:cs="Arial" w:eastAsia="Arial" w:hAnsi="Arial"/>
                <w:sz w:val="22"/>
                <w:szCs w:val="22"/>
                <w:color w:val="auto"/>
                <w:w w:val="94"/>
              </w:rPr>
              <w:t xml:space="preserve"> x</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1"/>
              </w:rPr>
              <w:t>OS</w:t>
            </w:r>
          </w:p>
        </w:tc>
        <w:tc>
          <w:tcPr>
            <w:tcW w:w="4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740" w:type="dxa"/>
            <w:vAlign w:val="bottom"/>
            <w:vMerge w:val="continue"/>
          </w:tcPr>
          <w:p>
            <w:pPr>
              <w:spacing w:after="0"/>
              <w:rPr>
                <w:sz w:val="9"/>
                <w:szCs w:val="9"/>
                <w:color w:val="auto"/>
              </w:rPr>
            </w:pPr>
          </w:p>
        </w:tc>
        <w:tc>
          <w:tcPr>
            <w:tcW w:w="5180" w:type="dxa"/>
            <w:vAlign w:val="bottom"/>
            <w:gridSpan w:val="2"/>
            <w:vMerge w:val="restart"/>
          </w:tcPr>
          <w:p>
            <w:pPr>
              <w:jc w:val="center"/>
              <w:ind w:right="4360"/>
              <w:spacing w:after="0"/>
              <w:rPr>
                <w:sz w:val="20"/>
                <w:szCs w:val="20"/>
                <w:color w:val="auto"/>
              </w:rPr>
            </w:pPr>
            <w:r>
              <w:rPr>
                <w:rFonts w:ascii="Arial" w:cs="Arial" w:eastAsia="Arial" w:hAnsi="Arial"/>
                <w:sz w:val="22"/>
                <w:szCs w:val="22"/>
                <w:color w:val="auto"/>
                <w:w w:val="90"/>
              </w:rPr>
              <w:t>OS</w:t>
            </w: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5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22"/>
                <w:szCs w:val="22"/>
                <w:color w:val="auto"/>
              </w:rPr>
              <w:t>where,</w:t>
            </w: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820" w:type="dxa"/>
            <w:vAlign w:val="bottom"/>
          </w:tcPr>
          <w:p>
            <w:pPr>
              <w:spacing w:after="0"/>
              <w:rPr>
                <w:sz w:val="20"/>
                <w:szCs w:val="20"/>
                <w:color w:val="auto"/>
              </w:rPr>
            </w:pPr>
            <w:r>
              <w:rPr>
                <w:rFonts w:ascii="Arial" w:cs="Arial" w:eastAsia="Arial" w:hAnsi="Arial"/>
                <w:sz w:val="22"/>
                <w:szCs w:val="22"/>
                <w:color w:val="auto"/>
              </w:rPr>
              <w:t>CR</w:t>
            </w:r>
            <w:r>
              <w:rPr>
                <w:rFonts w:ascii="Arial" w:cs="Arial" w:eastAsia="Arial" w:hAnsi="Arial"/>
                <w:sz w:val="18"/>
                <w:szCs w:val="18"/>
                <w:color w:val="auto"/>
              </w:rPr>
              <w:t>0</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20" w:type="dxa"/>
            <w:vAlign w:val="bottom"/>
            <w:gridSpan w:val="3"/>
          </w:tcPr>
          <w:p>
            <w:pPr>
              <w:ind w:left="240"/>
              <w:spacing w:after="0"/>
              <w:rPr>
                <w:sz w:val="20"/>
                <w:szCs w:val="20"/>
                <w:color w:val="auto"/>
              </w:rPr>
            </w:pPr>
            <w:r>
              <w:rPr>
                <w:rFonts w:ascii="Arial" w:cs="Arial" w:eastAsia="Arial" w:hAnsi="Arial"/>
                <w:sz w:val="22"/>
                <w:szCs w:val="22"/>
                <w:color w:val="auto"/>
                <w:w w:val="90"/>
              </w:rPr>
              <w:t>the applicable Conversion Rate in effect immediately prior to the open of business on the Ex-Dividend Date for</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920" w:type="dxa"/>
            <w:vAlign w:val="bottom"/>
            <w:gridSpan w:val="3"/>
          </w:tcPr>
          <w:p>
            <w:pPr>
              <w:ind w:left="240"/>
              <w:spacing w:after="0" w:line="243" w:lineRule="exact"/>
              <w:rPr>
                <w:sz w:val="20"/>
                <w:szCs w:val="20"/>
                <w:color w:val="auto"/>
              </w:rPr>
            </w:pPr>
            <w:r>
              <w:rPr>
                <w:rFonts w:ascii="Arial" w:cs="Arial" w:eastAsia="Arial" w:hAnsi="Arial"/>
                <w:sz w:val="22"/>
                <w:szCs w:val="22"/>
                <w:color w:val="auto"/>
                <w:w w:val="91"/>
              </w:rPr>
              <w:t>such dividend or distribution, or immediately prior to the open of business on the effective date of such share</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740" w:type="dxa"/>
            <w:vAlign w:val="bottom"/>
          </w:tcPr>
          <w:p>
            <w:pPr>
              <w:ind w:left="240"/>
              <w:spacing w:after="0"/>
              <w:rPr>
                <w:sz w:val="20"/>
                <w:szCs w:val="20"/>
                <w:color w:val="auto"/>
              </w:rPr>
            </w:pPr>
            <w:r>
              <w:rPr>
                <w:rFonts w:ascii="Arial" w:cs="Arial" w:eastAsia="Arial" w:hAnsi="Arial"/>
                <w:sz w:val="22"/>
                <w:szCs w:val="22"/>
                <w:color w:val="auto"/>
                <w:w w:val="97"/>
              </w:rPr>
              <w:t>split or share combination, as the case may be;</w:t>
            </w:r>
          </w:p>
        </w:tc>
        <w:tc>
          <w:tcPr>
            <w:tcW w:w="74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CR</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20" w:type="dxa"/>
            <w:vAlign w:val="bottom"/>
            <w:gridSpan w:val="3"/>
          </w:tcPr>
          <w:p>
            <w:pPr>
              <w:ind w:left="240"/>
              <w:spacing w:after="0"/>
              <w:rPr>
                <w:sz w:val="20"/>
                <w:szCs w:val="20"/>
                <w:color w:val="auto"/>
              </w:rPr>
            </w:pPr>
            <w:r>
              <w:rPr>
                <w:rFonts w:ascii="Arial" w:cs="Arial" w:eastAsia="Arial" w:hAnsi="Arial"/>
                <w:sz w:val="22"/>
                <w:szCs w:val="22"/>
                <w:color w:val="auto"/>
                <w:w w:val="92"/>
              </w:rPr>
              <w:t>the applicable Conversion Rate in effect immediately after the open of business on the Ex-Dividend Date for</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920" w:type="dxa"/>
            <w:vAlign w:val="bottom"/>
            <w:gridSpan w:val="3"/>
          </w:tcPr>
          <w:p>
            <w:pPr>
              <w:ind w:left="240"/>
              <w:spacing w:after="0" w:line="243" w:lineRule="exact"/>
              <w:rPr>
                <w:sz w:val="20"/>
                <w:szCs w:val="20"/>
                <w:color w:val="auto"/>
              </w:rPr>
            </w:pPr>
            <w:r>
              <w:rPr>
                <w:rFonts w:ascii="Arial" w:cs="Arial" w:eastAsia="Arial" w:hAnsi="Arial"/>
                <w:sz w:val="22"/>
                <w:szCs w:val="22"/>
                <w:color w:val="auto"/>
                <w:w w:val="89"/>
              </w:rPr>
              <w:t>such dividend or distribution, or immediately after the open of business on the effective date of such share split</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740" w:type="dxa"/>
            <w:vAlign w:val="bottom"/>
          </w:tcPr>
          <w:p>
            <w:pPr>
              <w:ind w:left="240"/>
              <w:spacing w:after="0"/>
              <w:rPr>
                <w:sz w:val="20"/>
                <w:szCs w:val="20"/>
                <w:color w:val="auto"/>
              </w:rPr>
            </w:pPr>
            <w:r>
              <w:rPr>
                <w:rFonts w:ascii="Arial" w:cs="Arial" w:eastAsia="Arial" w:hAnsi="Arial"/>
                <w:sz w:val="22"/>
                <w:szCs w:val="22"/>
                <w:color w:val="auto"/>
              </w:rPr>
              <w:t>or share combination, as the case may be;</w:t>
            </w:r>
          </w:p>
        </w:tc>
        <w:tc>
          <w:tcPr>
            <w:tcW w:w="74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OS</w:t>
            </w:r>
            <w:r>
              <w:rPr>
                <w:rFonts w:ascii="Arial" w:cs="Arial" w:eastAsia="Arial" w:hAnsi="Arial"/>
                <w:sz w:val="18"/>
                <w:szCs w:val="18"/>
                <w:color w:val="auto"/>
              </w:rPr>
              <w:t>0</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20" w:type="dxa"/>
            <w:vAlign w:val="bottom"/>
            <w:gridSpan w:val="3"/>
          </w:tcPr>
          <w:p>
            <w:pPr>
              <w:ind w:left="240"/>
              <w:spacing w:after="0"/>
              <w:rPr>
                <w:sz w:val="20"/>
                <w:szCs w:val="20"/>
                <w:color w:val="auto"/>
              </w:rPr>
            </w:pPr>
            <w:r>
              <w:rPr>
                <w:rFonts w:ascii="Arial" w:cs="Arial" w:eastAsia="Arial" w:hAnsi="Arial"/>
                <w:sz w:val="22"/>
                <w:szCs w:val="22"/>
                <w:color w:val="auto"/>
                <w:w w:val="89"/>
              </w:rPr>
              <w:t>the number of shares of Common Stock outstanding immediately prior to such dividend, distribution, share split</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740" w:type="dxa"/>
            <w:vAlign w:val="bottom"/>
          </w:tcPr>
          <w:p>
            <w:pPr>
              <w:ind w:left="240"/>
              <w:spacing w:after="0"/>
              <w:rPr>
                <w:sz w:val="20"/>
                <w:szCs w:val="20"/>
                <w:color w:val="auto"/>
              </w:rPr>
            </w:pPr>
            <w:r>
              <w:rPr>
                <w:rFonts w:ascii="Arial" w:cs="Arial" w:eastAsia="Arial" w:hAnsi="Arial"/>
                <w:sz w:val="22"/>
                <w:szCs w:val="22"/>
                <w:color w:val="auto"/>
                <w:w w:val="97"/>
              </w:rPr>
              <w:t>or share combination, as the case may be; and</w:t>
            </w:r>
          </w:p>
        </w:tc>
        <w:tc>
          <w:tcPr>
            <w:tcW w:w="74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OS</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20" w:type="dxa"/>
            <w:vAlign w:val="bottom"/>
            <w:gridSpan w:val="3"/>
          </w:tcPr>
          <w:p>
            <w:pPr>
              <w:ind w:left="240"/>
              <w:spacing w:after="0"/>
              <w:rPr>
                <w:sz w:val="20"/>
                <w:szCs w:val="20"/>
                <w:color w:val="auto"/>
              </w:rPr>
            </w:pPr>
            <w:r>
              <w:rPr>
                <w:rFonts w:ascii="Arial" w:cs="Arial" w:eastAsia="Arial" w:hAnsi="Arial"/>
                <w:sz w:val="22"/>
                <w:szCs w:val="22"/>
                <w:color w:val="auto"/>
                <w:w w:val="98"/>
              </w:rPr>
              <w:t>the number of shares of Common Stock outstanding immediately after giving effect to such dividend,</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920" w:type="dxa"/>
            <w:vAlign w:val="bottom"/>
            <w:gridSpan w:val="3"/>
          </w:tcPr>
          <w:p>
            <w:pPr>
              <w:ind w:left="240"/>
              <w:spacing w:after="0"/>
              <w:rPr>
                <w:sz w:val="20"/>
                <w:szCs w:val="20"/>
                <w:color w:val="auto"/>
              </w:rPr>
            </w:pPr>
            <w:r>
              <w:rPr>
                <w:rFonts w:ascii="Arial" w:cs="Arial" w:eastAsia="Arial" w:hAnsi="Arial"/>
                <w:sz w:val="22"/>
                <w:szCs w:val="22"/>
                <w:color w:val="auto"/>
              </w:rPr>
              <w:t>distribution, share split or share combination, as the case may be.</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799"/>
        <w:spacing w:after="0" w:line="236" w:lineRule="auto"/>
        <w:rPr>
          <w:sz w:val="20"/>
          <w:szCs w:val="20"/>
          <w:color w:val="auto"/>
        </w:rPr>
      </w:pPr>
      <w:r>
        <w:rPr>
          <w:rFonts w:ascii="Arial" w:cs="Arial" w:eastAsia="Arial" w:hAnsi="Arial"/>
          <w:sz w:val="22"/>
          <w:szCs w:val="22"/>
          <w:color w:val="auto"/>
        </w:rPr>
        <w:t>Any adjustments made pursuant to this Section 13.06(a) shall become effective immediately on or after (x) the open of business on the Ex-Dividend Date for such dividend or distribution or (y) the effective date of such split or combination, as applicable. If any dividend or distribution described in this Section 13.06(a) is declared but not so paid or made, the new Conversion Rate shall again be adjusted to the Conversion Rate that would then be in effect if such dividend or distribution had not been declared.</w:t>
      </w:r>
    </w:p>
    <w:p>
      <w:pPr>
        <w:sectPr>
          <w:pgSz w:w="11900" w:h="16838" w:orient="portrait"/>
          <w:cols w:equalWidth="0" w:num="1">
            <w:col w:w="11360"/>
          </w:cols>
          <w:pgMar w:left="240" w:top="267" w:right="299" w:bottom="1440" w:gutter="0" w:footer="0" w:header="0"/>
        </w:sectPr>
      </w:pPr>
    </w:p>
    <w:bookmarkStart w:id="115" w:name="page116"/>
    <w:bookmarkEnd w:id="115"/>
    <w:p>
      <w:pPr>
        <w:ind w:firstLine="807"/>
        <w:spacing w:after="0" w:line="236" w:lineRule="auto"/>
        <w:tabs>
          <w:tab w:leader="none" w:pos="1483" w:val="left"/>
        </w:tabs>
        <w:numPr>
          <w:ilvl w:val="0"/>
          <w:numId w:val="76"/>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distributes to all holders of Common Stock any rights or warrants entitling them to purchase, for a period of not more than 45 days after the Ex-Dividend Date for the distribution, shares of Common Stock at a price per share less than the average of the Last Reported Sale Prices of the Common Stock for the 10 consecutive Trading-Day period ending on the Trading Day immediately preceding the declaration date for such distribution, the Conversion Rate will be adjusted based on the following formula: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320" w:type="dxa"/>
            <w:vAlign w:val="bottom"/>
            <w:vMerge w:val="restart"/>
          </w:tcPr>
          <w:p>
            <w:pPr>
              <w:ind w:left="3080"/>
              <w:spacing w:after="0"/>
              <w:rPr>
                <w:sz w:val="20"/>
                <w:szCs w:val="20"/>
                <w:color w:val="auto"/>
              </w:rPr>
            </w:pPr>
            <w:r>
              <w:rPr>
                <w:rFonts w:ascii="Arial" w:cs="Arial" w:eastAsia="Arial" w:hAnsi="Arial"/>
                <w:sz w:val="22"/>
                <w:szCs w:val="22"/>
                <w:color w:val="auto"/>
              </w:rPr>
              <w:t>CR = CR</w:t>
            </w:r>
            <w:r>
              <w:rPr>
                <w:rFonts w:ascii="Arial" w:cs="Arial" w:eastAsia="Arial" w:hAnsi="Arial"/>
                <w:sz w:val="18"/>
                <w:szCs w:val="18"/>
                <w:color w:val="auto"/>
              </w:rPr>
              <w:t>0</w:t>
            </w:r>
            <w:r>
              <w:rPr>
                <w:rFonts w:ascii="Arial" w:cs="Arial" w:eastAsia="Arial" w:hAnsi="Arial"/>
                <w:sz w:val="22"/>
                <w:szCs w:val="22"/>
                <w:color w:val="auto"/>
              </w:rPr>
              <w:t xml:space="preserve"> x</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OS</w:t>
            </w:r>
            <w:r>
              <w:rPr>
                <w:rFonts w:ascii="Arial" w:cs="Arial" w:eastAsia="Arial" w:hAnsi="Arial"/>
                <w:sz w:val="18"/>
                <w:szCs w:val="18"/>
                <w:color w:val="auto"/>
              </w:rPr>
              <w:t>0</w:t>
            </w:r>
            <w:r>
              <w:rPr>
                <w:rFonts w:ascii="Arial" w:cs="Arial" w:eastAsia="Arial" w:hAnsi="Arial"/>
                <w:sz w:val="22"/>
                <w:szCs w:val="22"/>
                <w:color w:val="auto"/>
              </w:rPr>
              <w:t xml:space="preserve"> + X</w:t>
            </w: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320" w:type="dxa"/>
            <w:vAlign w:val="bottom"/>
            <w:vMerge w:val="continue"/>
          </w:tcPr>
          <w:p>
            <w:pPr>
              <w:spacing w:after="0"/>
              <w:rPr>
                <w:sz w:val="9"/>
                <w:szCs w:val="9"/>
                <w:color w:val="auto"/>
              </w:rPr>
            </w:pPr>
          </w:p>
        </w:tc>
        <w:tc>
          <w:tcPr>
            <w:tcW w:w="5120" w:type="dxa"/>
            <w:vAlign w:val="bottom"/>
            <w:gridSpan w:val="2"/>
            <w:vMerge w:val="restart"/>
          </w:tcPr>
          <w:p>
            <w:pPr>
              <w:jc w:val="right"/>
              <w:ind w:right="4200"/>
              <w:spacing w:after="0"/>
              <w:rPr>
                <w:sz w:val="20"/>
                <w:szCs w:val="20"/>
                <w:color w:val="auto"/>
              </w:rPr>
            </w:pPr>
            <w:r>
              <w:rPr>
                <w:rFonts w:ascii="Arial" w:cs="Arial" w:eastAsia="Arial" w:hAnsi="Arial"/>
                <w:sz w:val="22"/>
                <w:szCs w:val="22"/>
                <w:color w:val="auto"/>
              </w:rPr>
              <w:t>OS</w:t>
            </w:r>
            <w:r>
              <w:rPr>
                <w:rFonts w:ascii="Arial" w:cs="Arial" w:eastAsia="Arial" w:hAnsi="Arial"/>
                <w:sz w:val="18"/>
                <w:szCs w:val="18"/>
                <w:color w:val="auto"/>
              </w:rPr>
              <w:t>0</w:t>
            </w:r>
            <w:r>
              <w:rPr>
                <w:rFonts w:ascii="Arial" w:cs="Arial" w:eastAsia="Arial" w:hAnsi="Arial"/>
                <w:sz w:val="22"/>
                <w:szCs w:val="22"/>
                <w:color w:val="auto"/>
              </w:rPr>
              <w:t xml:space="preserve"> + Y</w:t>
            </w:r>
          </w:p>
        </w:tc>
        <w:tc>
          <w:tcPr>
            <w:tcW w:w="0" w:type="dxa"/>
            <w:vAlign w:val="bottom"/>
          </w:tcPr>
          <w:p>
            <w:pPr>
              <w:spacing w:after="0"/>
              <w:rPr>
                <w:sz w:val="1"/>
                <w:szCs w:val="1"/>
                <w:color w:val="auto"/>
              </w:rPr>
            </w:pPr>
          </w:p>
        </w:tc>
      </w:tr>
      <w:tr>
        <w:trPr>
          <w:trHeight w:val="157"/>
        </w:trPr>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5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8"/>
        </w:trPr>
        <w:tc>
          <w:tcPr>
            <w:tcW w:w="6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87"/>
              </w:rPr>
              <w:t>where,</w:t>
            </w:r>
          </w:p>
        </w:tc>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00" w:type="dxa"/>
            <w:vAlign w:val="bottom"/>
          </w:tcPr>
          <w:p>
            <w:pPr>
              <w:spacing w:after="0"/>
              <w:rPr>
                <w:sz w:val="20"/>
                <w:szCs w:val="20"/>
                <w:color w:val="auto"/>
              </w:rPr>
            </w:pPr>
            <w:r>
              <w:rPr>
                <w:rFonts w:ascii="Arial" w:cs="Arial" w:eastAsia="Arial" w:hAnsi="Arial"/>
                <w:sz w:val="22"/>
                <w:szCs w:val="22"/>
                <w:color w:val="auto"/>
              </w:rPr>
              <w:t>CR</w:t>
            </w:r>
            <w:r>
              <w:rPr>
                <w:rFonts w:ascii="Arial" w:cs="Arial" w:eastAsia="Arial" w:hAnsi="Arial"/>
                <w:sz w:val="18"/>
                <w:szCs w:val="18"/>
                <w:color w:val="auto"/>
              </w:rPr>
              <w:t>0</w:t>
            </w:r>
          </w:p>
        </w:tc>
        <w:tc>
          <w:tcPr>
            <w:tcW w:w="900" w:type="dxa"/>
            <w:vAlign w:val="bottom"/>
          </w:tcPr>
          <w:p>
            <w:pPr>
              <w:jc w:val="center"/>
              <w:spacing w:after="0"/>
              <w:rPr>
                <w:sz w:val="20"/>
                <w:szCs w:val="20"/>
                <w:color w:val="auto"/>
              </w:rPr>
            </w:pPr>
            <w:r>
              <w:rPr>
                <w:rFonts w:ascii="Arial" w:cs="Arial" w:eastAsia="Arial" w:hAnsi="Arial"/>
                <w:sz w:val="22"/>
                <w:szCs w:val="22"/>
                <w:color w:val="auto"/>
                <w:w w:val="93"/>
              </w:rPr>
              <w:t>=</w:t>
            </w:r>
          </w:p>
        </w:tc>
        <w:tc>
          <w:tcPr>
            <w:tcW w:w="9440" w:type="dxa"/>
            <w:vAlign w:val="bottom"/>
            <w:gridSpan w:val="3"/>
          </w:tcPr>
          <w:p>
            <w:pPr>
              <w:ind w:left="120"/>
              <w:spacing w:after="0"/>
              <w:rPr>
                <w:sz w:val="20"/>
                <w:szCs w:val="20"/>
                <w:color w:val="auto"/>
              </w:rPr>
            </w:pPr>
            <w:r>
              <w:rPr>
                <w:rFonts w:ascii="Arial" w:cs="Arial" w:eastAsia="Arial" w:hAnsi="Arial"/>
                <w:sz w:val="22"/>
                <w:szCs w:val="22"/>
                <w:color w:val="auto"/>
                <w:w w:val="91"/>
              </w:rPr>
              <w:t>the Conversion Rate in effect immediately prior to the open of business on the Ex-Dividend Date for such</w:t>
            </w:r>
          </w:p>
        </w:tc>
        <w:tc>
          <w:tcPr>
            <w:tcW w:w="0" w:type="dxa"/>
            <w:vAlign w:val="bottom"/>
          </w:tcPr>
          <w:p>
            <w:pPr>
              <w:spacing w:after="0"/>
              <w:rPr>
                <w:sz w:val="1"/>
                <w:szCs w:val="1"/>
                <w:color w:val="auto"/>
              </w:rPr>
            </w:pPr>
          </w:p>
        </w:tc>
      </w:tr>
      <w:tr>
        <w:trPr>
          <w:trHeight w:val="275"/>
        </w:trPr>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320" w:type="dxa"/>
            <w:vAlign w:val="bottom"/>
          </w:tcPr>
          <w:p>
            <w:pPr>
              <w:ind w:left="120"/>
              <w:spacing w:after="0"/>
              <w:rPr>
                <w:sz w:val="20"/>
                <w:szCs w:val="20"/>
                <w:color w:val="auto"/>
              </w:rPr>
            </w:pPr>
            <w:r>
              <w:rPr>
                <w:rFonts w:ascii="Arial" w:cs="Arial" w:eastAsia="Arial" w:hAnsi="Arial"/>
                <w:sz w:val="22"/>
                <w:szCs w:val="22"/>
                <w:color w:val="auto"/>
              </w:rPr>
              <w:t>distribution;</w:t>
            </w:r>
          </w:p>
        </w:tc>
        <w:tc>
          <w:tcPr>
            <w:tcW w:w="10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600" w:type="dxa"/>
            <w:vAlign w:val="bottom"/>
          </w:tcPr>
          <w:p>
            <w:pPr>
              <w:spacing w:after="0"/>
              <w:rPr>
                <w:sz w:val="20"/>
                <w:szCs w:val="20"/>
                <w:color w:val="auto"/>
              </w:rPr>
            </w:pPr>
            <w:r>
              <w:rPr>
                <w:rFonts w:ascii="Arial" w:cs="Arial" w:eastAsia="Arial" w:hAnsi="Arial"/>
                <w:sz w:val="22"/>
                <w:szCs w:val="22"/>
                <w:color w:val="auto"/>
              </w:rPr>
              <w:t>CR</w:t>
            </w:r>
          </w:p>
        </w:tc>
        <w:tc>
          <w:tcPr>
            <w:tcW w:w="900" w:type="dxa"/>
            <w:vAlign w:val="bottom"/>
          </w:tcPr>
          <w:p>
            <w:pPr>
              <w:jc w:val="center"/>
              <w:spacing w:after="0"/>
              <w:rPr>
                <w:sz w:val="20"/>
                <w:szCs w:val="20"/>
                <w:color w:val="auto"/>
              </w:rPr>
            </w:pPr>
            <w:r>
              <w:rPr>
                <w:rFonts w:ascii="Arial" w:cs="Arial" w:eastAsia="Arial" w:hAnsi="Arial"/>
                <w:sz w:val="22"/>
                <w:szCs w:val="22"/>
                <w:color w:val="auto"/>
                <w:w w:val="93"/>
              </w:rPr>
              <w:t>=</w:t>
            </w:r>
          </w:p>
        </w:tc>
        <w:tc>
          <w:tcPr>
            <w:tcW w:w="9440" w:type="dxa"/>
            <w:vAlign w:val="bottom"/>
            <w:gridSpan w:val="3"/>
          </w:tcPr>
          <w:p>
            <w:pPr>
              <w:ind w:left="120"/>
              <w:spacing w:after="0"/>
              <w:rPr>
                <w:sz w:val="20"/>
                <w:szCs w:val="20"/>
                <w:color w:val="auto"/>
              </w:rPr>
            </w:pPr>
            <w:r>
              <w:rPr>
                <w:rFonts w:ascii="Arial" w:cs="Arial" w:eastAsia="Arial" w:hAnsi="Arial"/>
                <w:sz w:val="22"/>
                <w:szCs w:val="22"/>
                <w:color w:val="auto"/>
                <w:w w:val="89"/>
              </w:rPr>
              <w:t>the new Conversion Rate in effect immediately after the open of business on the Ex-Dividend Date for such</w:t>
            </w:r>
          </w:p>
        </w:tc>
        <w:tc>
          <w:tcPr>
            <w:tcW w:w="0" w:type="dxa"/>
            <w:vAlign w:val="bottom"/>
          </w:tcPr>
          <w:p>
            <w:pPr>
              <w:spacing w:after="0"/>
              <w:rPr>
                <w:sz w:val="1"/>
                <w:szCs w:val="1"/>
                <w:color w:val="auto"/>
              </w:rPr>
            </w:pPr>
          </w:p>
        </w:tc>
      </w:tr>
      <w:tr>
        <w:trPr>
          <w:trHeight w:val="275"/>
        </w:trPr>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320" w:type="dxa"/>
            <w:vAlign w:val="bottom"/>
          </w:tcPr>
          <w:p>
            <w:pPr>
              <w:ind w:left="120"/>
              <w:spacing w:after="0"/>
              <w:rPr>
                <w:sz w:val="20"/>
                <w:szCs w:val="20"/>
                <w:color w:val="auto"/>
              </w:rPr>
            </w:pPr>
            <w:r>
              <w:rPr>
                <w:rFonts w:ascii="Arial" w:cs="Arial" w:eastAsia="Arial" w:hAnsi="Arial"/>
                <w:sz w:val="22"/>
                <w:szCs w:val="22"/>
                <w:color w:val="auto"/>
              </w:rPr>
              <w:t>distribution;</w:t>
            </w:r>
          </w:p>
        </w:tc>
        <w:tc>
          <w:tcPr>
            <w:tcW w:w="10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600" w:type="dxa"/>
            <w:vAlign w:val="bottom"/>
          </w:tcPr>
          <w:p>
            <w:pPr>
              <w:spacing w:after="0"/>
              <w:rPr>
                <w:sz w:val="20"/>
                <w:szCs w:val="20"/>
                <w:color w:val="auto"/>
              </w:rPr>
            </w:pPr>
            <w:r>
              <w:rPr>
                <w:rFonts w:ascii="Arial" w:cs="Arial" w:eastAsia="Arial" w:hAnsi="Arial"/>
                <w:sz w:val="22"/>
                <w:szCs w:val="22"/>
                <w:color w:val="auto"/>
              </w:rPr>
              <w:t>OS</w:t>
            </w:r>
            <w:r>
              <w:rPr>
                <w:rFonts w:ascii="Arial" w:cs="Arial" w:eastAsia="Arial" w:hAnsi="Arial"/>
                <w:sz w:val="18"/>
                <w:szCs w:val="18"/>
                <w:color w:val="auto"/>
              </w:rPr>
              <w:t>0</w:t>
            </w:r>
          </w:p>
        </w:tc>
        <w:tc>
          <w:tcPr>
            <w:tcW w:w="900" w:type="dxa"/>
            <w:vAlign w:val="bottom"/>
          </w:tcPr>
          <w:p>
            <w:pPr>
              <w:jc w:val="center"/>
              <w:spacing w:after="0"/>
              <w:rPr>
                <w:sz w:val="20"/>
                <w:szCs w:val="20"/>
                <w:color w:val="auto"/>
              </w:rPr>
            </w:pPr>
            <w:r>
              <w:rPr>
                <w:rFonts w:ascii="Arial" w:cs="Arial" w:eastAsia="Arial" w:hAnsi="Arial"/>
                <w:sz w:val="22"/>
                <w:szCs w:val="22"/>
                <w:color w:val="auto"/>
                <w:w w:val="93"/>
              </w:rPr>
              <w:t>=</w:t>
            </w:r>
          </w:p>
        </w:tc>
        <w:tc>
          <w:tcPr>
            <w:tcW w:w="9440" w:type="dxa"/>
            <w:vAlign w:val="bottom"/>
            <w:gridSpan w:val="3"/>
          </w:tcPr>
          <w:p>
            <w:pPr>
              <w:ind w:left="120"/>
              <w:spacing w:after="0"/>
              <w:rPr>
                <w:sz w:val="20"/>
                <w:szCs w:val="20"/>
                <w:color w:val="auto"/>
              </w:rPr>
            </w:pPr>
            <w:r>
              <w:rPr>
                <w:rFonts w:ascii="Arial" w:cs="Arial" w:eastAsia="Arial" w:hAnsi="Arial"/>
                <w:sz w:val="22"/>
                <w:szCs w:val="22"/>
                <w:color w:val="auto"/>
                <w:w w:val="90"/>
              </w:rPr>
              <w:t>the number of shares of Common Stock outstanding immediately prior to the open of business on the Ex-</w:t>
            </w:r>
          </w:p>
        </w:tc>
        <w:tc>
          <w:tcPr>
            <w:tcW w:w="0" w:type="dxa"/>
            <w:vAlign w:val="bottom"/>
          </w:tcPr>
          <w:p>
            <w:pPr>
              <w:spacing w:after="0"/>
              <w:rPr>
                <w:sz w:val="1"/>
                <w:szCs w:val="1"/>
                <w:color w:val="auto"/>
              </w:rPr>
            </w:pPr>
          </w:p>
        </w:tc>
      </w:tr>
      <w:tr>
        <w:trPr>
          <w:trHeight w:val="275"/>
        </w:trPr>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320" w:type="dxa"/>
            <w:vAlign w:val="bottom"/>
          </w:tcPr>
          <w:p>
            <w:pPr>
              <w:ind w:left="120"/>
              <w:spacing w:after="0"/>
              <w:rPr>
                <w:sz w:val="20"/>
                <w:szCs w:val="20"/>
                <w:color w:val="auto"/>
              </w:rPr>
            </w:pPr>
            <w:r>
              <w:rPr>
                <w:rFonts w:ascii="Arial" w:cs="Arial" w:eastAsia="Arial" w:hAnsi="Arial"/>
                <w:sz w:val="22"/>
                <w:szCs w:val="22"/>
                <w:color w:val="auto"/>
              </w:rPr>
              <w:t>Dividend Date for such distribution;</w:t>
            </w:r>
          </w:p>
        </w:tc>
        <w:tc>
          <w:tcPr>
            <w:tcW w:w="104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040" w:hanging="1032"/>
        <w:spacing w:after="0"/>
        <w:tabs>
          <w:tab w:leader="none" w:pos="10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the total number of shares of Common Stock issuable pursuant to such rights or warrants; and</w:t>
      </w:r>
    </w:p>
    <w:p>
      <w:pPr>
        <w:spacing w:after="0" w:line="206" w:lineRule="exact"/>
        <w:rPr>
          <w:sz w:val="20"/>
          <w:szCs w:val="20"/>
          <w:color w:val="auto"/>
        </w:rPr>
      </w:pPr>
    </w:p>
    <w:p>
      <w:pPr>
        <w:ind w:left="1620" w:right="120" w:hanging="1612"/>
        <w:spacing w:after="0" w:line="297" w:lineRule="auto"/>
        <w:tabs>
          <w:tab w:leader="none" w:pos="1039" w:val="left"/>
        </w:tabs>
        <w:numPr>
          <w:ilvl w:val="0"/>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the number of shares of Common Stock equal to the aggregate price payable to exercise such rights or warrants divided by the average of the Last Reported Sale Prices of the Common Stock over the 10 consecutive Trading-Day period ending on the Trading Day immediately preceding the declaration date for such distribution.</w:t>
      </w:r>
    </w:p>
    <w:p>
      <w:pPr>
        <w:spacing w:after="0" w:line="134" w:lineRule="exact"/>
        <w:rPr>
          <w:sz w:val="20"/>
          <w:szCs w:val="20"/>
          <w:color w:val="auto"/>
        </w:rPr>
      </w:pPr>
    </w:p>
    <w:p>
      <w:pPr>
        <w:ind w:firstLine="799"/>
        <w:spacing w:after="0" w:line="277" w:lineRule="auto"/>
        <w:rPr>
          <w:sz w:val="20"/>
          <w:szCs w:val="20"/>
          <w:color w:val="auto"/>
        </w:rPr>
      </w:pPr>
      <w:r>
        <w:rPr>
          <w:rFonts w:ascii="Arial" w:cs="Arial" w:eastAsia="Arial" w:hAnsi="Arial"/>
          <w:sz w:val="19"/>
          <w:szCs w:val="19"/>
          <w:color w:val="auto"/>
        </w:rPr>
        <w:t>For purposes of this Section 13.06(b), in determining whether any rights or warrants entitle the Holders to subscribe for or purchase shares of Common Stock at less than the average of the Last Reported Sale Prices of the Common Stock for the applicable 10 consecutive Trading-Day period, there shall be taken into account any consideration received by the Company for such rights or warrants and any amount payable on exercise thereof, with the value of such consideration if other than cash, to be determined by the Board of Directors. If any right or warrant described in this Section 13.06(b) is not exercised prior to the expiration of the exercisability thereof, the new Conversion Rate shall be readjusted to the Conversion Rate that would then be in effect if such right or warrant had not been so issued. Any adjustment made pursuant to this Section</w:t>
      </w:r>
    </w:p>
    <w:p>
      <w:pPr>
        <w:sectPr>
          <w:pgSz w:w="11900" w:h="16838" w:orient="portrait"/>
          <w:cols w:equalWidth="0" w:num="1">
            <w:col w:w="11380"/>
          </w:cols>
          <w:pgMar w:left="240" w:top="267" w:right="27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13.06(b) shall become effective immediately after the Ex-Dividend Date for the applicable distribution.</w:t>
      </w:r>
    </w:p>
    <w:p>
      <w:pPr>
        <w:spacing w:after="0" w:line="206" w:lineRule="exact"/>
        <w:rPr>
          <w:sz w:val="20"/>
          <w:szCs w:val="20"/>
          <w:color w:val="auto"/>
        </w:rPr>
      </w:pPr>
    </w:p>
    <w:p>
      <w:pPr>
        <w:ind w:right="120" w:firstLine="807"/>
        <w:spacing w:after="0" w:line="251" w:lineRule="auto"/>
        <w:tabs>
          <w:tab w:leader="none" w:pos="1471" w:val="left"/>
        </w:tabs>
        <w:numPr>
          <w:ilvl w:val="0"/>
          <w:numId w:val="79"/>
        </w:numPr>
        <w:rPr>
          <w:rFonts w:ascii="Arial" w:cs="Arial" w:eastAsia="Arial" w:hAnsi="Arial"/>
          <w:sz w:val="22"/>
          <w:szCs w:val="22"/>
          <w:color w:val="auto"/>
        </w:rPr>
      </w:pPr>
      <w:r>
        <w:rPr>
          <w:rFonts w:ascii="Arial" w:cs="Arial" w:eastAsia="Arial" w:hAnsi="Arial"/>
          <w:sz w:val="22"/>
          <w:szCs w:val="22"/>
          <w:color w:val="auto"/>
        </w:rPr>
        <w:t>If the Company distributes shares of its Capital Stock, evidences of its indebtedness or other assets or property of the Company to all holders of the Common Stock, excluding</w:t>
      </w:r>
    </w:p>
    <w:p>
      <w:pPr>
        <w:spacing w:after="0" w:line="173" w:lineRule="exact"/>
        <w:rPr>
          <w:rFonts w:ascii="Arial" w:cs="Arial" w:eastAsia="Arial" w:hAnsi="Arial"/>
          <w:sz w:val="22"/>
          <w:szCs w:val="22"/>
          <w:color w:val="auto"/>
        </w:rPr>
      </w:pPr>
    </w:p>
    <w:p>
      <w:pPr>
        <w:ind w:left="800" w:firstLine="750"/>
        <w:spacing w:after="0" w:line="251" w:lineRule="auto"/>
        <w:tabs>
          <w:tab w:leader="none" w:pos="2179" w:val="left"/>
        </w:tabs>
        <w:numPr>
          <w:ilvl w:val="1"/>
          <w:numId w:val="79"/>
        </w:numPr>
        <w:rPr>
          <w:rFonts w:ascii="Arial" w:cs="Arial" w:eastAsia="Arial" w:hAnsi="Arial"/>
          <w:sz w:val="22"/>
          <w:szCs w:val="22"/>
          <w:color w:val="auto"/>
        </w:rPr>
      </w:pPr>
      <w:r>
        <w:rPr>
          <w:rFonts w:ascii="Arial" w:cs="Arial" w:eastAsia="Arial" w:hAnsi="Arial"/>
          <w:sz w:val="22"/>
          <w:szCs w:val="22"/>
          <w:color w:val="auto"/>
        </w:rPr>
        <w:t>dividends or distributions (including share splits) as to which an adjustment is effected in Section 13.06(a) or Section 13.06(b);</w:t>
      </w:r>
    </w:p>
    <w:p>
      <w:pPr>
        <w:spacing w:after="0" w:line="173" w:lineRule="exact"/>
        <w:rPr>
          <w:rFonts w:ascii="Arial" w:cs="Arial" w:eastAsia="Arial" w:hAnsi="Arial"/>
          <w:sz w:val="22"/>
          <w:szCs w:val="22"/>
          <w:color w:val="auto"/>
        </w:rPr>
      </w:pPr>
    </w:p>
    <w:p>
      <w:pPr>
        <w:ind w:left="2240" w:hanging="690"/>
        <w:spacing w:after="0"/>
        <w:tabs>
          <w:tab w:leader="none" w:pos="2240" w:val="left"/>
        </w:tabs>
        <w:numPr>
          <w:ilvl w:val="1"/>
          <w:numId w:val="79"/>
        </w:numPr>
        <w:rPr>
          <w:rFonts w:ascii="Arial" w:cs="Arial" w:eastAsia="Arial" w:hAnsi="Arial"/>
          <w:sz w:val="22"/>
          <w:szCs w:val="22"/>
          <w:color w:val="auto"/>
        </w:rPr>
      </w:pPr>
      <w:r>
        <w:rPr>
          <w:rFonts w:ascii="Arial" w:cs="Arial" w:eastAsia="Arial" w:hAnsi="Arial"/>
          <w:sz w:val="22"/>
          <w:szCs w:val="22"/>
          <w:color w:val="auto"/>
        </w:rPr>
        <w:t>dividends or distributions covered by Section 13.06(d);</w:t>
      </w:r>
    </w:p>
    <w:p>
      <w:pPr>
        <w:spacing w:after="0" w:line="206" w:lineRule="exact"/>
        <w:rPr>
          <w:rFonts w:ascii="Arial" w:cs="Arial" w:eastAsia="Arial" w:hAnsi="Arial"/>
          <w:sz w:val="22"/>
          <w:szCs w:val="22"/>
          <w:color w:val="auto"/>
        </w:rPr>
      </w:pPr>
    </w:p>
    <w:p>
      <w:pPr>
        <w:ind w:left="2300" w:hanging="750"/>
        <w:spacing w:after="0"/>
        <w:tabs>
          <w:tab w:leader="none" w:pos="2300" w:val="left"/>
        </w:tabs>
        <w:numPr>
          <w:ilvl w:val="1"/>
          <w:numId w:val="79"/>
        </w:numPr>
        <w:rPr>
          <w:rFonts w:ascii="Arial" w:cs="Arial" w:eastAsia="Arial" w:hAnsi="Arial"/>
          <w:sz w:val="22"/>
          <w:szCs w:val="22"/>
          <w:color w:val="auto"/>
        </w:rPr>
      </w:pPr>
      <w:r>
        <w:rPr>
          <w:rFonts w:ascii="Arial" w:cs="Arial" w:eastAsia="Arial" w:hAnsi="Arial"/>
          <w:sz w:val="22"/>
          <w:szCs w:val="22"/>
          <w:color w:val="auto"/>
        </w:rPr>
        <w:t>dividends or distributions that constitute Reference Property following an event pursuant to</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Section 13.10; and</w:t>
      </w:r>
    </w:p>
    <w:p>
      <w:pPr>
        <w:spacing w:after="0" w:line="188" w:lineRule="exact"/>
        <w:rPr>
          <w:sz w:val="20"/>
          <w:szCs w:val="20"/>
          <w:color w:val="auto"/>
        </w:rPr>
      </w:pPr>
    </w:p>
    <w:p>
      <w:pPr>
        <w:ind w:right="1700" w:firstLine="1550"/>
        <w:spacing w:after="0" w:line="448" w:lineRule="auto"/>
        <w:tabs>
          <w:tab w:leader="none" w:pos="2286" w:val="left"/>
        </w:tabs>
        <w:numPr>
          <w:ilvl w:val="0"/>
          <w:numId w:val="80"/>
        </w:numPr>
        <w:rPr>
          <w:rFonts w:ascii="Arial" w:cs="Arial" w:eastAsia="Arial" w:hAnsi="Arial"/>
          <w:sz w:val="22"/>
          <w:szCs w:val="22"/>
          <w:color w:val="auto"/>
        </w:rPr>
      </w:pPr>
      <w:r>
        <w:rPr>
          <w:rFonts w:ascii="Arial" w:cs="Arial" w:eastAsia="Arial" w:hAnsi="Arial"/>
          <w:sz w:val="22"/>
          <w:szCs w:val="22"/>
          <w:color w:val="auto"/>
        </w:rPr>
        <w:t>Spin-Offs to which the provisions set forth below in this Section 13.06(c) shall apply, then the applicable Conversion Rate will be adjusted based on the following formula: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20" w:type="dxa"/>
            <w:vAlign w:val="bottom"/>
            <w:vMerge w:val="restart"/>
          </w:tcPr>
          <w:p>
            <w:pPr>
              <w:ind w:left="3180"/>
              <w:spacing w:after="0"/>
              <w:rPr>
                <w:sz w:val="20"/>
                <w:szCs w:val="20"/>
                <w:color w:val="auto"/>
              </w:rPr>
            </w:pPr>
            <w:r>
              <w:rPr>
                <w:rFonts w:ascii="Arial" w:cs="Arial" w:eastAsia="Arial" w:hAnsi="Arial"/>
                <w:sz w:val="22"/>
                <w:szCs w:val="22"/>
                <w:color w:val="auto"/>
              </w:rPr>
              <w:t>CR = CR</w:t>
            </w:r>
            <w:r>
              <w:rPr>
                <w:rFonts w:ascii="Arial" w:cs="Arial" w:eastAsia="Arial" w:hAnsi="Arial"/>
                <w:sz w:val="18"/>
                <w:szCs w:val="18"/>
                <w:color w:val="auto"/>
              </w:rPr>
              <w:t>0</w:t>
            </w:r>
            <w:r>
              <w:rPr>
                <w:rFonts w:ascii="Arial" w:cs="Arial" w:eastAsia="Arial" w:hAnsi="Arial"/>
                <w:sz w:val="22"/>
                <w:szCs w:val="22"/>
                <w:color w:val="auto"/>
              </w:rPr>
              <w:t xml:space="preserve"> x</w:t>
            </w:r>
          </w:p>
        </w:tc>
        <w:tc>
          <w:tcPr>
            <w:tcW w:w="5460" w:type="dxa"/>
            <w:vAlign w:val="bottom"/>
            <w:gridSpan w:val="2"/>
          </w:tcPr>
          <w:p>
            <w:pPr>
              <w:jc w:val="center"/>
              <w:ind w:right="4320"/>
              <w:spacing w:after="0"/>
              <w:rPr>
                <w:sz w:val="20"/>
                <w:szCs w:val="20"/>
                <w:color w:val="auto"/>
              </w:rPr>
            </w:pPr>
            <w:r>
              <w:rPr>
                <w:rFonts w:ascii="Arial" w:cs="Arial" w:eastAsia="Arial" w:hAnsi="Arial"/>
                <w:sz w:val="22"/>
                <w:szCs w:val="22"/>
                <w:color w:val="auto"/>
                <w:w w:val="86"/>
              </w:rPr>
              <w:t>SP</w:t>
            </w:r>
            <w:r>
              <w:rPr>
                <w:rFonts w:ascii="Arial" w:cs="Arial" w:eastAsia="Arial" w:hAnsi="Arial"/>
                <w:sz w:val="18"/>
                <w:szCs w:val="18"/>
                <w:color w:val="auto"/>
                <w:w w:val="86"/>
              </w:rPr>
              <w:t>0</w:t>
            </w:r>
          </w:p>
        </w:tc>
        <w:tc>
          <w:tcPr>
            <w:tcW w:w="0" w:type="dxa"/>
            <w:vAlign w:val="bottom"/>
          </w:tcPr>
          <w:p>
            <w:pPr>
              <w:spacing w:after="0"/>
              <w:rPr>
                <w:sz w:val="1"/>
                <w:szCs w:val="1"/>
                <w:color w:val="auto"/>
              </w:rPr>
            </w:pPr>
          </w:p>
        </w:tc>
      </w:tr>
      <w:tr>
        <w:trPr>
          <w:trHeight w:val="268"/>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20" w:type="dxa"/>
            <w:vAlign w:val="bottom"/>
            <w:vMerge w:val="continue"/>
          </w:tcPr>
          <w:p>
            <w:pPr>
              <w:spacing w:after="0"/>
              <w:rPr>
                <w:sz w:val="23"/>
                <w:szCs w:val="23"/>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2"/>
              </w:rPr>
              <w:t>SP</w:t>
            </w:r>
            <w:r>
              <w:rPr>
                <w:rFonts w:ascii="Arial" w:cs="Arial" w:eastAsia="Arial" w:hAnsi="Arial"/>
                <w:sz w:val="18"/>
                <w:szCs w:val="18"/>
                <w:color w:val="auto"/>
                <w:w w:val="92"/>
              </w:rPr>
              <w:t>0</w:t>
            </w:r>
            <w:r>
              <w:rPr>
                <w:rFonts w:ascii="Arial" w:cs="Arial" w:eastAsia="Arial" w:hAnsi="Arial"/>
                <w:sz w:val="22"/>
                <w:szCs w:val="22"/>
                <w:color w:val="auto"/>
                <w:w w:val="92"/>
              </w:rPr>
              <w:t xml:space="preserve"> – FMV</w:t>
            </w:r>
          </w:p>
        </w:tc>
        <w:tc>
          <w:tcPr>
            <w:tcW w:w="4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22"/>
                <w:szCs w:val="22"/>
                <w:color w:val="auto"/>
              </w:rPr>
              <w:t>where,</w:t>
            </w: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820" w:type="dxa"/>
            <w:vAlign w:val="bottom"/>
          </w:tcPr>
          <w:p>
            <w:pPr>
              <w:spacing w:after="0"/>
              <w:rPr>
                <w:sz w:val="20"/>
                <w:szCs w:val="20"/>
                <w:color w:val="auto"/>
              </w:rPr>
            </w:pPr>
            <w:r>
              <w:rPr>
                <w:rFonts w:ascii="Arial" w:cs="Arial" w:eastAsia="Arial" w:hAnsi="Arial"/>
                <w:sz w:val="22"/>
                <w:szCs w:val="22"/>
                <w:color w:val="auto"/>
              </w:rPr>
              <w:t>CR</w:t>
            </w:r>
            <w:r>
              <w:rPr>
                <w:rFonts w:ascii="Arial" w:cs="Arial" w:eastAsia="Arial" w:hAnsi="Arial"/>
                <w:sz w:val="18"/>
                <w:szCs w:val="18"/>
                <w:color w:val="auto"/>
              </w:rPr>
              <w:t>0</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880" w:type="dxa"/>
            <w:vAlign w:val="bottom"/>
            <w:gridSpan w:val="3"/>
          </w:tcPr>
          <w:p>
            <w:pPr>
              <w:ind w:left="240"/>
              <w:spacing w:after="0"/>
              <w:rPr>
                <w:sz w:val="20"/>
                <w:szCs w:val="20"/>
                <w:color w:val="auto"/>
              </w:rPr>
            </w:pPr>
            <w:r>
              <w:rPr>
                <w:rFonts w:ascii="Arial" w:cs="Arial" w:eastAsia="Arial" w:hAnsi="Arial"/>
                <w:sz w:val="22"/>
                <w:szCs w:val="22"/>
                <w:color w:val="auto"/>
                <w:w w:val="89"/>
              </w:rPr>
              <w:t>the applicable Conversion Rate in effect immediately prior to the open of business on the Ex-Dividend Date for</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80" w:type="dxa"/>
            <w:vAlign w:val="bottom"/>
            <w:gridSpan w:val="3"/>
          </w:tcPr>
          <w:p>
            <w:pPr>
              <w:ind w:left="240"/>
              <w:spacing w:after="0"/>
              <w:rPr>
                <w:sz w:val="20"/>
                <w:szCs w:val="20"/>
                <w:color w:val="auto"/>
              </w:rPr>
            </w:pPr>
            <w:r>
              <w:rPr>
                <w:rFonts w:ascii="Arial" w:cs="Arial" w:eastAsia="Arial" w:hAnsi="Arial"/>
                <w:sz w:val="22"/>
                <w:szCs w:val="22"/>
                <w:color w:val="auto"/>
              </w:rPr>
              <w:t>such distribution;</w:t>
            </w: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CR</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880" w:type="dxa"/>
            <w:vAlign w:val="bottom"/>
            <w:gridSpan w:val="3"/>
          </w:tcPr>
          <w:p>
            <w:pPr>
              <w:ind w:left="240"/>
              <w:spacing w:after="0"/>
              <w:rPr>
                <w:sz w:val="20"/>
                <w:szCs w:val="20"/>
                <w:color w:val="auto"/>
              </w:rPr>
            </w:pPr>
            <w:r>
              <w:rPr>
                <w:rFonts w:ascii="Arial" w:cs="Arial" w:eastAsia="Arial" w:hAnsi="Arial"/>
                <w:sz w:val="22"/>
                <w:szCs w:val="22"/>
                <w:color w:val="auto"/>
                <w:w w:val="91"/>
              </w:rPr>
              <w:t>the applicable Conversion Rate in effect immediately after the open of business on the Ex-Dividend Date for</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80" w:type="dxa"/>
            <w:vAlign w:val="bottom"/>
            <w:gridSpan w:val="3"/>
          </w:tcPr>
          <w:p>
            <w:pPr>
              <w:ind w:left="240"/>
              <w:spacing w:after="0"/>
              <w:rPr>
                <w:sz w:val="20"/>
                <w:szCs w:val="20"/>
                <w:color w:val="auto"/>
              </w:rPr>
            </w:pPr>
            <w:r>
              <w:rPr>
                <w:rFonts w:ascii="Arial" w:cs="Arial" w:eastAsia="Arial" w:hAnsi="Arial"/>
                <w:sz w:val="22"/>
                <w:szCs w:val="22"/>
                <w:color w:val="auto"/>
              </w:rPr>
              <w:t>such distribution;</w:t>
            </w: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SP</w:t>
            </w:r>
            <w:r>
              <w:rPr>
                <w:rFonts w:ascii="Arial" w:cs="Arial" w:eastAsia="Arial" w:hAnsi="Arial"/>
                <w:sz w:val="18"/>
                <w:szCs w:val="18"/>
                <w:color w:val="auto"/>
              </w:rPr>
              <w:t>0</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880" w:type="dxa"/>
            <w:vAlign w:val="bottom"/>
            <w:gridSpan w:val="3"/>
          </w:tcPr>
          <w:p>
            <w:pPr>
              <w:ind w:left="240"/>
              <w:spacing w:after="0"/>
              <w:rPr>
                <w:sz w:val="20"/>
                <w:szCs w:val="20"/>
                <w:color w:val="auto"/>
              </w:rPr>
            </w:pPr>
            <w:r>
              <w:rPr>
                <w:rFonts w:ascii="Arial" w:cs="Arial" w:eastAsia="Arial" w:hAnsi="Arial"/>
                <w:sz w:val="22"/>
                <w:szCs w:val="22"/>
                <w:color w:val="auto"/>
                <w:w w:val="88"/>
              </w:rPr>
              <w:t>the average of the Last Reported Sale Prices of the Common Stock over the 10 consecutive Trading-Day period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80" w:type="dxa"/>
            <w:vAlign w:val="bottom"/>
            <w:gridSpan w:val="3"/>
          </w:tcPr>
          <w:p>
            <w:pPr>
              <w:ind w:left="240"/>
              <w:spacing w:after="0" w:line="243" w:lineRule="exact"/>
              <w:rPr>
                <w:sz w:val="20"/>
                <w:szCs w:val="20"/>
                <w:color w:val="auto"/>
              </w:rPr>
            </w:pPr>
            <w:r>
              <w:rPr>
                <w:rFonts w:ascii="Arial" w:cs="Arial" w:eastAsia="Arial" w:hAnsi="Arial"/>
                <w:sz w:val="22"/>
                <w:szCs w:val="22"/>
                <w:color w:val="auto"/>
                <w:w w:val="91"/>
              </w:rPr>
              <w:t>ending on, and including, the Trading Day immediately preceding the Ex-Dividend Date for such distribution;</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80" w:type="dxa"/>
            <w:vAlign w:val="bottom"/>
            <w:gridSpan w:val="3"/>
          </w:tcPr>
          <w:p>
            <w:pPr>
              <w:ind w:left="240"/>
              <w:spacing w:after="0"/>
              <w:rPr>
                <w:sz w:val="20"/>
                <w:szCs w:val="20"/>
                <w:color w:val="auto"/>
              </w:rPr>
            </w:pPr>
            <w:r>
              <w:rPr>
                <w:rFonts w:ascii="Arial" w:cs="Arial" w:eastAsia="Arial" w:hAnsi="Arial"/>
                <w:sz w:val="22"/>
                <w:szCs w:val="22"/>
                <w:color w:val="auto"/>
              </w:rPr>
              <w:t>and</w:t>
            </w: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FMV</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880" w:type="dxa"/>
            <w:vAlign w:val="bottom"/>
            <w:gridSpan w:val="3"/>
          </w:tcPr>
          <w:p>
            <w:pPr>
              <w:ind w:left="240"/>
              <w:spacing w:after="0"/>
              <w:rPr>
                <w:sz w:val="20"/>
                <w:szCs w:val="20"/>
                <w:color w:val="auto"/>
              </w:rPr>
            </w:pPr>
            <w:r>
              <w:rPr>
                <w:rFonts w:ascii="Arial" w:cs="Arial" w:eastAsia="Arial" w:hAnsi="Arial"/>
                <w:sz w:val="22"/>
                <w:szCs w:val="22"/>
                <w:color w:val="auto"/>
                <w:w w:val="92"/>
              </w:rPr>
              <w:t>the fair market value (as determined in good faith by the Board of Directors) of the shares of Capital Stock,</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80" w:type="dxa"/>
            <w:vAlign w:val="bottom"/>
            <w:gridSpan w:val="3"/>
          </w:tcPr>
          <w:p>
            <w:pPr>
              <w:ind w:left="240"/>
              <w:spacing w:after="0" w:line="243" w:lineRule="exact"/>
              <w:rPr>
                <w:sz w:val="20"/>
                <w:szCs w:val="20"/>
                <w:color w:val="auto"/>
              </w:rPr>
            </w:pPr>
            <w:r>
              <w:rPr>
                <w:rFonts w:ascii="Arial" w:cs="Arial" w:eastAsia="Arial" w:hAnsi="Arial"/>
                <w:sz w:val="22"/>
                <w:szCs w:val="22"/>
                <w:color w:val="auto"/>
                <w:w w:val="90"/>
              </w:rPr>
              <w:t>evidences of indebtedness, assets or property distributed with respect to each outstanding share of Common</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80" w:type="dxa"/>
            <w:vAlign w:val="bottom"/>
            <w:gridSpan w:val="3"/>
          </w:tcPr>
          <w:p>
            <w:pPr>
              <w:ind w:left="240"/>
              <w:spacing w:after="0"/>
              <w:rPr>
                <w:sz w:val="20"/>
                <w:szCs w:val="20"/>
                <w:color w:val="auto"/>
              </w:rPr>
            </w:pPr>
            <w:r>
              <w:rPr>
                <w:rFonts w:ascii="Arial" w:cs="Arial" w:eastAsia="Arial" w:hAnsi="Arial"/>
                <w:sz w:val="22"/>
                <w:szCs w:val="22"/>
                <w:color w:val="auto"/>
              </w:rPr>
              <w:t>Stock as of the open of business on the Ex-Dividend Date for such distribution.</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40" w:firstLine="799"/>
        <w:spacing w:after="0" w:line="328" w:lineRule="auto"/>
        <w:rPr>
          <w:sz w:val="20"/>
          <w:szCs w:val="20"/>
          <w:color w:val="auto"/>
        </w:rPr>
      </w:pPr>
      <w:r>
        <w:rPr>
          <w:rFonts w:ascii="Arial" w:cs="Arial" w:eastAsia="Arial" w:hAnsi="Arial"/>
          <w:sz w:val="19"/>
          <w:szCs w:val="19"/>
          <w:color w:val="auto"/>
        </w:rPr>
        <w:t>If the then fair market value of the portion of the shares of Capital Stock, evidences of indebtedness or other assets or property so distributed applicable to one share of Common Stock is equal to or greater than the average of the Last</w:t>
      </w:r>
    </w:p>
    <w:p>
      <w:pPr>
        <w:sectPr>
          <w:pgSz w:w="11900" w:h="16838" w:orient="portrait"/>
          <w:cols w:equalWidth="0" w:num="1">
            <w:col w:w="11380"/>
          </w:cols>
          <w:pgMar w:left="240" w:top="267" w:right="279" w:bottom="1440" w:gutter="0" w:footer="0" w:header="0"/>
        </w:sectPr>
      </w:pPr>
    </w:p>
    <w:bookmarkStart w:id="117" w:name="page118"/>
    <w:bookmarkEnd w:id="117"/>
    <w:p>
      <w:pPr>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Reported Sales Prices of the Common Stock over the 10 consecutive Trading-Day period ending on the Trading Day immediately preceding the Ex-Dividend Date for such distribution, in lieu of the foregoing adjustment, adequate provisions shall be made so that each Holder of a Note shall have the right to receive on conversion in respect of each Note held by such Holder, in addition to any amounts to which such Holder is entitled to receive, the amount and kind of securities and assets such Holder would have received had such Holder already owned a number of shares of Common Stock equal to the applicable Conversion Rate immediately prior to the open of business on the Ex-Dividend Date for the distribution of the securities or assets.</w:t>
      </w:r>
    </w:p>
    <w:p>
      <w:pPr>
        <w:spacing w:after="0" w:line="151" w:lineRule="exact"/>
        <w:rPr>
          <w:sz w:val="20"/>
          <w:szCs w:val="20"/>
          <w:color w:val="auto"/>
        </w:rPr>
      </w:pPr>
    </w:p>
    <w:p>
      <w:pPr>
        <w:ind w:right="80" w:firstLine="799"/>
        <w:spacing w:after="0" w:line="287" w:lineRule="auto"/>
        <w:rPr>
          <w:sz w:val="20"/>
          <w:szCs w:val="20"/>
          <w:color w:val="auto"/>
        </w:rPr>
      </w:pPr>
      <w:r>
        <w:rPr>
          <w:rFonts w:ascii="Arial" w:cs="Arial" w:eastAsia="Arial" w:hAnsi="Arial"/>
          <w:sz w:val="19"/>
          <w:szCs w:val="19"/>
          <w:color w:val="auto"/>
        </w:rPr>
        <w:t>With respect to an adjustment pursuant to this Section 13.06(c) where there has been a payment of a dividend or other distribution on the Common Stock of shares of the Capital Stock of any class or series, or similar equity interest, of or relating to a Subsidiary or other business unit that are, or, when issued, will be, traded or quoted on any national or regional securities exchange or other market (a “</w:t>
      </w:r>
      <w:r>
        <w:rPr>
          <w:rFonts w:ascii="Arial" w:cs="Arial" w:eastAsia="Arial" w:hAnsi="Arial"/>
          <w:sz w:val="19"/>
          <w:szCs w:val="19"/>
          <w:b w:val="1"/>
          <w:bCs w:val="1"/>
          <w:color w:val="auto"/>
        </w:rPr>
        <w:t>Spin-Off</w:t>
      </w:r>
      <w:r>
        <w:rPr>
          <w:rFonts w:ascii="Arial" w:cs="Arial" w:eastAsia="Arial" w:hAnsi="Arial"/>
          <w:sz w:val="19"/>
          <w:szCs w:val="19"/>
          <w:color w:val="auto"/>
        </w:rPr>
        <w:t>”), the applicable Conversion Rate will instead be adjusted based on the following formula: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380" w:type="dxa"/>
            <w:vAlign w:val="bottom"/>
            <w:vMerge w:val="restart"/>
          </w:tcPr>
          <w:p>
            <w:pPr>
              <w:ind w:left="3140"/>
              <w:spacing w:after="0"/>
              <w:rPr>
                <w:sz w:val="20"/>
                <w:szCs w:val="20"/>
                <w:color w:val="auto"/>
              </w:rPr>
            </w:pPr>
            <w:r>
              <w:rPr>
                <w:rFonts w:ascii="Arial" w:cs="Arial" w:eastAsia="Arial" w:hAnsi="Arial"/>
                <w:sz w:val="22"/>
                <w:szCs w:val="22"/>
                <w:color w:val="auto"/>
              </w:rPr>
              <w:t>CR = CR</w:t>
            </w:r>
            <w:r>
              <w:rPr>
                <w:rFonts w:ascii="Arial" w:cs="Arial" w:eastAsia="Arial" w:hAnsi="Arial"/>
                <w:sz w:val="18"/>
                <w:szCs w:val="18"/>
                <w:color w:val="auto"/>
              </w:rPr>
              <w:t>0</w:t>
            </w:r>
            <w:r>
              <w:rPr>
                <w:rFonts w:ascii="Arial" w:cs="Arial" w:eastAsia="Arial" w:hAnsi="Arial"/>
                <w:sz w:val="22"/>
                <w:szCs w:val="22"/>
                <w:color w:val="auto"/>
              </w:rPr>
              <w:t xml:space="preserve"> x</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5"/>
              </w:rPr>
              <w:t>FMV + MP</w:t>
            </w:r>
            <w:r>
              <w:rPr>
                <w:rFonts w:ascii="Arial" w:cs="Arial" w:eastAsia="Arial" w:hAnsi="Arial"/>
                <w:sz w:val="18"/>
                <w:szCs w:val="18"/>
                <w:color w:val="auto"/>
                <w:w w:val="95"/>
              </w:rPr>
              <w:t>0</w:t>
            </w:r>
          </w:p>
        </w:tc>
        <w:tc>
          <w:tcPr>
            <w:tcW w:w="4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380" w:type="dxa"/>
            <w:vAlign w:val="bottom"/>
            <w:vMerge w:val="continue"/>
          </w:tcPr>
          <w:p>
            <w:pPr>
              <w:spacing w:after="0"/>
              <w:rPr>
                <w:sz w:val="9"/>
                <w:szCs w:val="9"/>
                <w:color w:val="auto"/>
              </w:rPr>
            </w:pPr>
          </w:p>
        </w:tc>
        <w:tc>
          <w:tcPr>
            <w:tcW w:w="5520" w:type="dxa"/>
            <w:vAlign w:val="bottom"/>
            <w:gridSpan w:val="2"/>
            <w:vMerge w:val="restart"/>
          </w:tcPr>
          <w:p>
            <w:pPr>
              <w:jc w:val="center"/>
              <w:ind w:right="4300"/>
              <w:spacing w:after="0"/>
              <w:rPr>
                <w:sz w:val="20"/>
                <w:szCs w:val="20"/>
                <w:color w:val="auto"/>
              </w:rPr>
            </w:pPr>
            <w:r>
              <w:rPr>
                <w:rFonts w:ascii="Arial" w:cs="Arial" w:eastAsia="Arial" w:hAnsi="Arial"/>
                <w:sz w:val="22"/>
                <w:szCs w:val="22"/>
                <w:color w:val="auto"/>
                <w:w w:val="97"/>
              </w:rPr>
              <w:t>MP</w:t>
            </w:r>
            <w:r>
              <w:rPr>
                <w:rFonts w:ascii="Arial" w:cs="Arial" w:eastAsia="Arial" w:hAnsi="Arial"/>
                <w:sz w:val="18"/>
                <w:szCs w:val="18"/>
                <w:color w:val="auto"/>
                <w:w w:val="97"/>
              </w:rPr>
              <w:t>0</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5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22"/>
                <w:szCs w:val="22"/>
                <w:color w:val="auto"/>
              </w:rPr>
              <w:t>where,</w:t>
            </w:r>
          </w:p>
        </w:tc>
        <w:tc>
          <w:tcPr>
            <w:tcW w:w="5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820" w:type="dxa"/>
            <w:vAlign w:val="bottom"/>
          </w:tcPr>
          <w:p>
            <w:pPr>
              <w:spacing w:after="0"/>
              <w:rPr>
                <w:sz w:val="20"/>
                <w:szCs w:val="20"/>
                <w:color w:val="auto"/>
              </w:rPr>
            </w:pPr>
            <w:r>
              <w:rPr>
                <w:rFonts w:ascii="Arial" w:cs="Arial" w:eastAsia="Arial" w:hAnsi="Arial"/>
                <w:sz w:val="22"/>
                <w:szCs w:val="22"/>
                <w:color w:val="auto"/>
              </w:rPr>
              <w:t>CR</w:t>
            </w:r>
            <w:r>
              <w:rPr>
                <w:rFonts w:ascii="Arial" w:cs="Arial" w:eastAsia="Arial" w:hAnsi="Arial"/>
                <w:sz w:val="18"/>
                <w:szCs w:val="18"/>
                <w:color w:val="auto"/>
              </w:rPr>
              <w:t>0</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91"/>
              </w:rPr>
              <w:t>the applicable Conversion Rate in effect immediately prior to the tenth Trading Day immediately following the</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rPr>
              <w:t>effective date for such Spin-Off;</w:t>
            </w: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CR</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94"/>
              </w:rPr>
              <w:t>the applicable Conversion Rate in effect immediately after the open of business on the tenth Trading Day</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rPr>
              <w:t>immediately following the effective date for such Spin-Off;</w:t>
            </w: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FMV</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88"/>
              </w:rPr>
              <w:t>the average of the Last Reported Sale Prices of the Capital Stock or similar equity interest distributed to holders</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00" w:type="dxa"/>
            <w:vAlign w:val="bottom"/>
            <w:gridSpan w:val="3"/>
          </w:tcPr>
          <w:p>
            <w:pPr>
              <w:ind w:left="240"/>
              <w:spacing w:after="0" w:line="237" w:lineRule="exact"/>
              <w:rPr>
                <w:sz w:val="20"/>
                <w:szCs w:val="20"/>
                <w:color w:val="auto"/>
              </w:rPr>
            </w:pPr>
            <w:r>
              <w:rPr>
                <w:rFonts w:ascii="Arial" w:cs="Arial" w:eastAsia="Arial" w:hAnsi="Arial"/>
                <w:sz w:val="22"/>
                <w:szCs w:val="22"/>
                <w:color w:val="auto"/>
                <w:w w:val="90"/>
              </w:rPr>
              <w:t>of Common Stock applicable to one share of Common Stock over the first 10 consecutive Trading-Day period</w:t>
            </w:r>
          </w:p>
        </w:tc>
        <w:tc>
          <w:tcPr>
            <w:tcW w:w="0" w:type="dxa"/>
            <w:vAlign w:val="bottom"/>
          </w:tcPr>
          <w:p>
            <w:pPr>
              <w:spacing w:after="0"/>
              <w:rPr>
                <w:sz w:val="1"/>
                <w:szCs w:val="1"/>
                <w:color w:val="auto"/>
              </w:rPr>
            </w:pPr>
          </w:p>
        </w:tc>
      </w:tr>
      <w:tr>
        <w:trPr>
          <w:trHeight w:val="281"/>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98"/>
              </w:rPr>
              <w:t>immediately following the effective date for such Spin-Off (such period, the “</w:t>
            </w:r>
            <w:r>
              <w:rPr>
                <w:rFonts w:ascii="Arial" w:cs="Arial" w:eastAsia="Arial" w:hAnsi="Arial"/>
                <w:sz w:val="22"/>
                <w:szCs w:val="22"/>
                <w:b w:val="1"/>
                <w:bCs w:val="1"/>
                <w:color w:val="auto"/>
                <w:w w:val="98"/>
              </w:rPr>
              <w:t>Valuation Period</w:t>
            </w:r>
            <w:r>
              <w:rPr>
                <w:rFonts w:ascii="Arial" w:cs="Arial" w:eastAsia="Arial" w:hAnsi="Arial"/>
                <w:sz w:val="22"/>
                <w:szCs w:val="22"/>
                <w:color w:val="auto"/>
                <w:w w:val="98"/>
              </w:rPr>
              <w:t>”); and</w:t>
            </w:r>
          </w:p>
        </w:tc>
        <w:tc>
          <w:tcPr>
            <w:tcW w:w="0" w:type="dxa"/>
            <w:vAlign w:val="bottom"/>
          </w:tcPr>
          <w:p>
            <w:pPr>
              <w:spacing w:after="0"/>
              <w:rPr>
                <w:sz w:val="1"/>
                <w:szCs w:val="1"/>
                <w:color w:val="auto"/>
              </w:rPr>
            </w:pPr>
          </w:p>
        </w:tc>
      </w:tr>
      <w:tr>
        <w:trPr>
          <w:trHeight w:val="459"/>
        </w:trPr>
        <w:tc>
          <w:tcPr>
            <w:tcW w:w="820" w:type="dxa"/>
            <w:vAlign w:val="bottom"/>
          </w:tcPr>
          <w:p>
            <w:pPr>
              <w:spacing w:after="0"/>
              <w:rPr>
                <w:sz w:val="20"/>
                <w:szCs w:val="20"/>
                <w:color w:val="auto"/>
              </w:rPr>
            </w:pPr>
            <w:r>
              <w:rPr>
                <w:rFonts w:ascii="Arial" w:cs="Arial" w:eastAsia="Arial" w:hAnsi="Arial"/>
                <w:sz w:val="22"/>
                <w:szCs w:val="22"/>
                <w:color w:val="auto"/>
              </w:rPr>
              <w:t>MP</w:t>
            </w:r>
            <w:r>
              <w:rPr>
                <w:rFonts w:ascii="Arial" w:cs="Arial" w:eastAsia="Arial" w:hAnsi="Arial"/>
                <w:sz w:val="18"/>
                <w:szCs w:val="18"/>
                <w:color w:val="auto"/>
              </w:rPr>
              <w:t>0</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rPr>
              <w:t>the average of the Last Reported Sale Prices of Common Stock over the Valuation Period.</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right="160" w:firstLine="799"/>
        <w:spacing w:after="0" w:line="251" w:lineRule="auto"/>
        <w:rPr>
          <w:sz w:val="20"/>
          <w:szCs w:val="20"/>
          <w:color w:val="auto"/>
        </w:rPr>
      </w:pPr>
      <w:r>
        <w:rPr>
          <w:rFonts w:ascii="Arial" w:cs="Arial" w:eastAsia="Arial" w:hAnsi="Arial"/>
          <w:sz w:val="22"/>
          <w:szCs w:val="22"/>
          <w:color w:val="auto"/>
        </w:rPr>
        <w:t xml:space="preserve">Such adjustment shall occur immediately after the tenth Trading Day immediately following, and including, the effective date of such Spin-Off;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for purposes of determining the Conversion Rate in respect of any</w:t>
      </w:r>
    </w:p>
    <w:p>
      <w:pPr>
        <w:sectPr>
          <w:pgSz w:w="11900" w:h="16838" w:orient="portrait"/>
          <w:cols w:equalWidth="0" w:num="1">
            <w:col w:w="11420"/>
          </w:cols>
          <w:pgMar w:left="240" w:top="267" w:right="239" w:bottom="1440" w:gutter="0" w:footer="0" w:header="0"/>
        </w:sectPr>
      </w:pPr>
    </w:p>
    <w:bookmarkStart w:id="118" w:name="page119"/>
    <w:bookmarkEnd w:id="118"/>
    <w:p>
      <w:pPr>
        <w:jc w:val="both"/>
        <w:ind w:right="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conversion during the 10 Trading Days following the effective date of any Spin-Off, references within this Section 13.06(c) related to “Spin-Offs” to 10 Trading Days shall be deemed replaced with such lesser number of Trading Days as have elapsed between the effective date of such Spin-Off and the relevant Conversion Date.</w:t>
      </w:r>
    </w:p>
    <w:p>
      <w:pPr>
        <w:spacing w:after="0" w:line="186" w:lineRule="exact"/>
        <w:rPr>
          <w:sz w:val="20"/>
          <w:szCs w:val="20"/>
          <w:color w:val="auto"/>
        </w:rPr>
      </w:pPr>
    </w:p>
    <w:p>
      <w:pPr>
        <w:ind w:right="160" w:firstLine="799"/>
        <w:spacing w:after="0"/>
        <w:rPr>
          <w:sz w:val="20"/>
          <w:szCs w:val="20"/>
          <w:color w:val="auto"/>
        </w:rPr>
      </w:pPr>
      <w:r>
        <w:rPr>
          <w:rFonts w:ascii="Arial" w:cs="Arial" w:eastAsia="Arial" w:hAnsi="Arial"/>
          <w:sz w:val="22"/>
          <w:szCs w:val="22"/>
          <w:color w:val="auto"/>
        </w:rPr>
        <w:t>If any such dividend or distribution described in this Section 13.06(c) is declared but not paid or made, the new Conversion Rate shall be readjusted to be the Conversion Rate that would then be in effect if such dividend or distribution had not been declared.</w:t>
      </w:r>
    </w:p>
    <w:p>
      <w:pPr>
        <w:spacing w:after="0" w:line="186" w:lineRule="exact"/>
        <w:rPr>
          <w:sz w:val="20"/>
          <w:szCs w:val="20"/>
          <w:color w:val="auto"/>
        </w:rPr>
      </w:pPr>
    </w:p>
    <w:p>
      <w:pPr>
        <w:ind w:right="40" w:firstLine="807"/>
        <w:spacing w:after="0" w:line="251" w:lineRule="auto"/>
        <w:tabs>
          <w:tab w:leader="none" w:pos="1483" w:val="left"/>
        </w:tabs>
        <w:numPr>
          <w:ilvl w:val="0"/>
          <w:numId w:val="81"/>
        </w:numPr>
        <w:rPr>
          <w:rFonts w:ascii="Arial" w:cs="Arial" w:eastAsia="Arial" w:hAnsi="Arial"/>
          <w:sz w:val="22"/>
          <w:szCs w:val="22"/>
          <w:color w:val="auto"/>
        </w:rPr>
      </w:pPr>
      <w:r>
        <w:rPr>
          <w:rFonts w:ascii="Arial" w:cs="Arial" w:eastAsia="Arial" w:hAnsi="Arial"/>
          <w:sz w:val="22"/>
          <w:szCs w:val="22"/>
          <w:color w:val="auto"/>
        </w:rPr>
        <w:t>If any cash dividend or distribution is made to all holders of Common Stock, the Conversion Rate will be adjusted based on the following formula: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40" w:type="dxa"/>
            <w:vAlign w:val="bottom"/>
            <w:vMerge w:val="restart"/>
          </w:tcPr>
          <w:p>
            <w:pPr>
              <w:ind w:left="3120"/>
              <w:spacing w:after="0"/>
              <w:rPr>
                <w:sz w:val="20"/>
                <w:szCs w:val="20"/>
                <w:color w:val="auto"/>
              </w:rPr>
            </w:pPr>
            <w:r>
              <w:rPr>
                <w:rFonts w:ascii="Arial" w:cs="Arial" w:eastAsia="Arial" w:hAnsi="Arial"/>
                <w:sz w:val="22"/>
                <w:szCs w:val="22"/>
                <w:color w:val="auto"/>
              </w:rPr>
              <w:t>CR = CR</w:t>
            </w:r>
            <w:r>
              <w:rPr>
                <w:rFonts w:ascii="Arial" w:cs="Arial" w:eastAsia="Arial" w:hAnsi="Arial"/>
                <w:sz w:val="18"/>
                <w:szCs w:val="18"/>
                <w:color w:val="auto"/>
              </w:rPr>
              <w:t>0</w:t>
            </w:r>
            <w:r>
              <w:rPr>
                <w:rFonts w:ascii="Arial" w:cs="Arial" w:eastAsia="Arial" w:hAnsi="Arial"/>
                <w:sz w:val="22"/>
                <w:szCs w:val="22"/>
                <w:color w:val="auto"/>
              </w:rPr>
              <w:t xml:space="preserve">  x</w:t>
            </w:r>
          </w:p>
        </w:tc>
        <w:tc>
          <w:tcPr>
            <w:tcW w:w="5460" w:type="dxa"/>
            <w:vAlign w:val="bottom"/>
            <w:gridSpan w:val="2"/>
          </w:tcPr>
          <w:p>
            <w:pPr>
              <w:jc w:val="center"/>
              <w:ind w:right="4460"/>
              <w:spacing w:after="0"/>
              <w:rPr>
                <w:sz w:val="20"/>
                <w:szCs w:val="20"/>
                <w:color w:val="auto"/>
              </w:rPr>
            </w:pPr>
            <w:r>
              <w:rPr>
                <w:rFonts w:ascii="Arial" w:cs="Arial" w:eastAsia="Arial" w:hAnsi="Arial"/>
                <w:sz w:val="22"/>
                <w:szCs w:val="22"/>
                <w:color w:val="auto"/>
                <w:w w:val="81"/>
              </w:rPr>
              <w:t>SP</w:t>
            </w:r>
            <w:r>
              <w:rPr>
                <w:rFonts w:ascii="Arial" w:cs="Arial" w:eastAsia="Arial" w:hAnsi="Arial"/>
                <w:sz w:val="18"/>
                <w:szCs w:val="18"/>
                <w:color w:val="auto"/>
                <w:w w:val="81"/>
              </w:rPr>
              <w:t>0</w:t>
            </w:r>
          </w:p>
        </w:tc>
        <w:tc>
          <w:tcPr>
            <w:tcW w:w="0" w:type="dxa"/>
            <w:vAlign w:val="bottom"/>
          </w:tcPr>
          <w:p>
            <w:pPr>
              <w:spacing w:after="0"/>
              <w:rPr>
                <w:sz w:val="1"/>
                <w:szCs w:val="1"/>
                <w:color w:val="auto"/>
              </w:rPr>
            </w:pPr>
          </w:p>
        </w:tc>
      </w:tr>
      <w:tr>
        <w:trPr>
          <w:trHeight w:val="268"/>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40" w:type="dxa"/>
            <w:vAlign w:val="bottom"/>
            <w:vMerge w:val="continue"/>
          </w:tcPr>
          <w:p>
            <w:pPr>
              <w:spacing w:after="0"/>
              <w:rPr>
                <w:sz w:val="23"/>
                <w:szCs w:val="23"/>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5"/>
              </w:rPr>
              <w:t>SP</w:t>
            </w:r>
            <w:r>
              <w:rPr>
                <w:rFonts w:ascii="Arial" w:cs="Arial" w:eastAsia="Arial" w:hAnsi="Arial"/>
                <w:sz w:val="18"/>
                <w:szCs w:val="18"/>
                <w:color w:val="auto"/>
                <w:w w:val="85"/>
              </w:rPr>
              <w:t>0</w:t>
            </w:r>
            <w:r>
              <w:rPr>
                <w:rFonts w:ascii="Arial" w:cs="Arial" w:eastAsia="Arial" w:hAnsi="Arial"/>
                <w:sz w:val="22"/>
                <w:szCs w:val="22"/>
                <w:color w:val="auto"/>
                <w:w w:val="85"/>
              </w:rPr>
              <w:t xml:space="preserve"> – C</w:t>
            </w:r>
          </w:p>
        </w:tc>
        <w:tc>
          <w:tcPr>
            <w:tcW w:w="4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22"/>
                <w:szCs w:val="22"/>
                <w:color w:val="auto"/>
              </w:rPr>
              <w:t>where,</w:t>
            </w:r>
          </w:p>
        </w:tc>
        <w:tc>
          <w:tcPr>
            <w:tcW w:w="6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CR</w:t>
            </w:r>
            <w:r>
              <w:rPr>
                <w:rFonts w:ascii="Arial" w:cs="Arial" w:eastAsia="Arial" w:hAnsi="Arial"/>
                <w:sz w:val="18"/>
                <w:szCs w:val="18"/>
                <w:color w:val="auto"/>
              </w:rPr>
              <w:t>0</w:t>
            </w:r>
          </w:p>
        </w:tc>
        <w:tc>
          <w:tcPr>
            <w:tcW w:w="6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89"/>
              </w:rPr>
              <w:t>the applicable Conversion Rate in effect immediately prior to the open of business on the Ex-Dividend Date for</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40" w:type="dxa"/>
            <w:vAlign w:val="bottom"/>
          </w:tcPr>
          <w:p>
            <w:pPr>
              <w:ind w:left="240"/>
              <w:spacing w:after="0"/>
              <w:rPr>
                <w:sz w:val="20"/>
                <w:szCs w:val="20"/>
                <w:color w:val="auto"/>
              </w:rPr>
            </w:pPr>
            <w:r>
              <w:rPr>
                <w:rFonts w:ascii="Arial" w:cs="Arial" w:eastAsia="Arial" w:hAnsi="Arial"/>
                <w:sz w:val="22"/>
                <w:szCs w:val="22"/>
                <w:color w:val="auto"/>
              </w:rPr>
              <w:t>such distribution;</w:t>
            </w:r>
          </w:p>
        </w:tc>
        <w:tc>
          <w:tcPr>
            <w:tcW w:w="94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40" w:type="dxa"/>
            <w:vAlign w:val="bottom"/>
          </w:tcPr>
          <w:p>
            <w:pPr>
              <w:spacing w:after="0"/>
              <w:rPr>
                <w:sz w:val="20"/>
                <w:szCs w:val="20"/>
                <w:color w:val="auto"/>
              </w:rPr>
            </w:pPr>
            <w:r>
              <w:rPr>
                <w:rFonts w:ascii="Arial" w:cs="Arial" w:eastAsia="Arial" w:hAnsi="Arial"/>
                <w:sz w:val="22"/>
                <w:szCs w:val="22"/>
                <w:color w:val="auto"/>
              </w:rPr>
              <w:t>CR</w:t>
            </w:r>
          </w:p>
        </w:tc>
        <w:tc>
          <w:tcPr>
            <w:tcW w:w="6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91"/>
              </w:rPr>
              <w:t>the applicable Conversion Rate in effect immediately after the open of business on the Ex-Dividend Date for</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40" w:type="dxa"/>
            <w:vAlign w:val="bottom"/>
          </w:tcPr>
          <w:p>
            <w:pPr>
              <w:ind w:left="240"/>
              <w:spacing w:after="0"/>
              <w:rPr>
                <w:sz w:val="20"/>
                <w:szCs w:val="20"/>
                <w:color w:val="auto"/>
              </w:rPr>
            </w:pPr>
            <w:r>
              <w:rPr>
                <w:rFonts w:ascii="Arial" w:cs="Arial" w:eastAsia="Arial" w:hAnsi="Arial"/>
                <w:sz w:val="22"/>
                <w:szCs w:val="22"/>
                <w:color w:val="auto"/>
              </w:rPr>
              <w:t>such distribution;</w:t>
            </w:r>
          </w:p>
        </w:tc>
        <w:tc>
          <w:tcPr>
            <w:tcW w:w="94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40" w:type="dxa"/>
            <w:vAlign w:val="bottom"/>
          </w:tcPr>
          <w:p>
            <w:pPr>
              <w:spacing w:after="0"/>
              <w:rPr>
                <w:sz w:val="20"/>
                <w:szCs w:val="20"/>
                <w:color w:val="auto"/>
              </w:rPr>
            </w:pPr>
            <w:r>
              <w:rPr>
                <w:rFonts w:ascii="Arial" w:cs="Arial" w:eastAsia="Arial" w:hAnsi="Arial"/>
                <w:sz w:val="22"/>
                <w:szCs w:val="22"/>
                <w:color w:val="auto"/>
              </w:rPr>
              <w:t>SP</w:t>
            </w:r>
            <w:r>
              <w:rPr>
                <w:rFonts w:ascii="Arial" w:cs="Arial" w:eastAsia="Arial" w:hAnsi="Arial"/>
                <w:sz w:val="18"/>
                <w:szCs w:val="18"/>
                <w:color w:val="auto"/>
              </w:rPr>
              <w:t>0</w:t>
            </w:r>
          </w:p>
        </w:tc>
        <w:tc>
          <w:tcPr>
            <w:tcW w:w="6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88"/>
              </w:rPr>
              <w:t>the average of the Last Reported Sale Prices of the Common Stock over the 10 consecutive Trading-Day period</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900" w:type="dxa"/>
            <w:vAlign w:val="bottom"/>
            <w:gridSpan w:val="3"/>
          </w:tcPr>
          <w:p>
            <w:pPr>
              <w:ind w:left="240"/>
              <w:spacing w:after="0" w:line="243" w:lineRule="exact"/>
              <w:rPr>
                <w:sz w:val="20"/>
                <w:szCs w:val="20"/>
                <w:color w:val="auto"/>
              </w:rPr>
            </w:pPr>
            <w:r>
              <w:rPr>
                <w:rFonts w:ascii="Arial" w:cs="Arial" w:eastAsia="Arial" w:hAnsi="Arial"/>
                <w:sz w:val="22"/>
                <w:szCs w:val="22"/>
                <w:color w:val="auto"/>
                <w:w w:val="91"/>
              </w:rPr>
              <w:t>ending on, and including, the Trading Day immediately preceding the Ex-Dividend Date for such distribution;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40" w:type="dxa"/>
            <w:vAlign w:val="bottom"/>
          </w:tcPr>
          <w:p>
            <w:pPr>
              <w:ind w:left="240"/>
              <w:spacing w:after="0"/>
              <w:rPr>
                <w:sz w:val="20"/>
                <w:szCs w:val="20"/>
                <w:color w:val="auto"/>
              </w:rPr>
            </w:pPr>
            <w:r>
              <w:rPr>
                <w:rFonts w:ascii="Arial" w:cs="Arial" w:eastAsia="Arial" w:hAnsi="Arial"/>
                <w:sz w:val="22"/>
                <w:szCs w:val="22"/>
                <w:color w:val="auto"/>
              </w:rPr>
              <w:t>and</w:t>
            </w:r>
          </w:p>
        </w:tc>
        <w:tc>
          <w:tcPr>
            <w:tcW w:w="94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100" w:hanging="1092"/>
        <w:spacing w:after="0"/>
        <w:tabs>
          <w:tab w:leader="none" w:pos="11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the amount in cash per share of Common Stock the Company distributes to holders of Common Stock.</w:t>
      </w:r>
    </w:p>
    <w:p>
      <w:pPr>
        <w:spacing w:after="0" w:line="206" w:lineRule="exact"/>
        <w:rPr>
          <w:sz w:val="20"/>
          <w:szCs w:val="20"/>
          <w:color w:val="auto"/>
        </w:rPr>
      </w:pPr>
    </w:p>
    <w:p>
      <w:pPr>
        <w:ind w:firstLine="799"/>
        <w:spacing w:after="0" w:line="252" w:lineRule="auto"/>
        <w:rPr>
          <w:sz w:val="20"/>
          <w:szCs w:val="20"/>
          <w:color w:val="auto"/>
        </w:rPr>
      </w:pPr>
      <w:r>
        <w:rPr>
          <w:rFonts w:ascii="Arial" w:cs="Arial" w:eastAsia="Arial" w:hAnsi="Arial"/>
          <w:sz w:val="21"/>
          <w:szCs w:val="21"/>
          <w:color w:val="auto"/>
        </w:rPr>
        <w:t>An adjustment to the Conversion Rate made pursuant to this Section 13.06(d) shall become effective immediately after the open of business on the Ex-Dividend Date for the applicable dividend or distribution. If any dividend or distribution described in this Section 13.06(d) is declared but not so paid or made, the new Conversion Rate shall be readjusted to the Conversion Rate that would then be in effect if such dividend or distribution had not been declared.</w:t>
      </w:r>
    </w:p>
    <w:p>
      <w:pPr>
        <w:spacing w:after="0" w:line="174" w:lineRule="exact"/>
        <w:rPr>
          <w:sz w:val="20"/>
          <w:szCs w:val="20"/>
          <w:color w:val="auto"/>
        </w:rPr>
      </w:pPr>
    </w:p>
    <w:p>
      <w:pPr>
        <w:jc w:val="both"/>
        <w:ind w:right="140" w:firstLine="799"/>
        <w:spacing w:after="0"/>
        <w:rPr>
          <w:sz w:val="20"/>
          <w:szCs w:val="20"/>
          <w:color w:val="auto"/>
        </w:rPr>
      </w:pPr>
      <w:r>
        <w:rPr>
          <w:rFonts w:ascii="Arial" w:cs="Arial" w:eastAsia="Arial" w:hAnsi="Arial"/>
          <w:sz w:val="22"/>
          <w:szCs w:val="22"/>
          <w:color w:val="auto"/>
        </w:rPr>
        <w:t>If the amount in cash per share of Common Stock so paid or distributed is equal to or greater than the average of the Last Reported Sales Prices of the Common Stock over the 10 consecutive Trading-Day period ending on the Trading Day immediately preceding the Ex-Dividend Date for such cash dividend</w:t>
      </w:r>
    </w:p>
    <w:p>
      <w:pPr>
        <w:sectPr>
          <w:pgSz w:w="11900" w:h="16838" w:orient="portrait"/>
          <w:cols w:equalWidth="0" w:num="1">
            <w:col w:w="11420"/>
          </w:cols>
          <w:pgMar w:left="240" w:top="267" w:right="239" w:bottom="1440" w:gutter="0" w:footer="0" w:header="0"/>
        </w:sectPr>
      </w:pPr>
    </w:p>
    <w:bookmarkStart w:id="119" w:name="page120"/>
    <w:bookmarkEnd w:id="119"/>
    <w:p>
      <w:pPr>
        <w:spacing w:after="0" w:line="28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distribution, in lieu of the foregoing adjustment, adequate provisions shall be made so that each Holder of a Note shall have the right to receive on conversion in respect of each Note held by such Holder, in addition to any amounts to which such Holder is entitled to receive, the amount in cash such Holder would have received had such Holder already owned a number of shares of Common Stock equal to the applicable Conversion Rate immediately prior to the record date for such cash dividend or distribution.</w:t>
      </w:r>
    </w:p>
    <w:p>
      <w:pPr>
        <w:spacing w:after="0" w:line="143" w:lineRule="exact"/>
        <w:rPr>
          <w:sz w:val="20"/>
          <w:szCs w:val="20"/>
          <w:color w:val="auto"/>
        </w:rPr>
      </w:pPr>
    </w:p>
    <w:p>
      <w:pPr>
        <w:ind w:right="40" w:firstLine="807"/>
        <w:spacing w:after="0" w:line="235" w:lineRule="auto"/>
        <w:tabs>
          <w:tab w:leader="none" w:pos="1471"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the Company or any of its Subsidiaries makes a payment in respect of a tender or exchange offer for Common Stock (other than tender offers or exchange offers not subject to Rule 13e-4 of the Exchange Act or odd lot tender offers), to the extent that the cash and value of any other consideration included in the payment per share of Common Stock exceeds the Last Reported Sale Price of the Common Stock on the Trading Day next succeeding the last date on which tenders or exchanges may be made pursuant to such tender or exchange offer (the “</w:t>
      </w:r>
      <w:r>
        <w:rPr>
          <w:rFonts w:ascii="Arial" w:cs="Arial" w:eastAsia="Arial" w:hAnsi="Arial"/>
          <w:sz w:val="22"/>
          <w:szCs w:val="22"/>
          <w:b w:val="1"/>
          <w:bCs w:val="1"/>
          <w:color w:val="auto"/>
        </w:rPr>
        <w:t>Expiration Date</w:t>
      </w:r>
      <w:r>
        <w:rPr>
          <w:rFonts w:ascii="Arial" w:cs="Arial" w:eastAsia="Arial" w:hAnsi="Arial"/>
          <w:sz w:val="22"/>
          <w:szCs w:val="22"/>
          <w:color w:val="auto"/>
        </w:rPr>
        <w:t>”), the Conversion Rate shall be increased based on the following formula: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40" w:type="dxa"/>
            <w:vAlign w:val="bottom"/>
            <w:vMerge w:val="restart"/>
          </w:tcPr>
          <w:p>
            <w:pPr>
              <w:ind w:left="2920"/>
              <w:spacing w:after="0"/>
              <w:rPr>
                <w:sz w:val="20"/>
                <w:szCs w:val="20"/>
                <w:color w:val="auto"/>
              </w:rPr>
            </w:pPr>
            <w:r>
              <w:rPr>
                <w:rFonts w:ascii="Arial" w:cs="Arial" w:eastAsia="Arial" w:hAnsi="Arial"/>
                <w:sz w:val="22"/>
                <w:szCs w:val="22"/>
                <w:color w:val="auto"/>
              </w:rPr>
              <w:t>CR = CR</w:t>
            </w:r>
            <w:r>
              <w:rPr>
                <w:rFonts w:ascii="Arial" w:cs="Arial" w:eastAsia="Arial" w:hAnsi="Arial"/>
                <w:sz w:val="18"/>
                <w:szCs w:val="18"/>
                <w:color w:val="auto"/>
              </w:rPr>
              <w:t>0</w:t>
            </w:r>
            <w:r>
              <w:rPr>
                <w:rFonts w:ascii="Arial" w:cs="Arial" w:eastAsia="Arial" w:hAnsi="Arial"/>
                <w:sz w:val="22"/>
                <w:szCs w:val="22"/>
                <w:color w:val="auto"/>
              </w:rPr>
              <w:t xml:space="preserve">  x</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AC + (SP x OS)</w:t>
            </w:r>
          </w:p>
        </w:tc>
        <w:tc>
          <w:tcPr>
            <w:tcW w:w="4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5660" w:type="dxa"/>
            <w:vAlign w:val="bottom"/>
            <w:gridSpan w:val="2"/>
            <w:vMerge w:val="restart"/>
          </w:tcPr>
          <w:p>
            <w:pPr>
              <w:jc w:val="center"/>
              <w:ind w:right="4040"/>
              <w:spacing w:after="0"/>
              <w:rPr>
                <w:sz w:val="20"/>
                <w:szCs w:val="20"/>
                <w:color w:val="auto"/>
              </w:rPr>
            </w:pPr>
            <w:r>
              <w:rPr>
                <w:rFonts w:ascii="Arial" w:cs="Arial" w:eastAsia="Arial" w:hAnsi="Arial"/>
                <w:sz w:val="22"/>
                <w:szCs w:val="22"/>
                <w:color w:val="auto"/>
                <w:w w:val="86"/>
              </w:rPr>
              <w:t>OS</w:t>
            </w:r>
            <w:r>
              <w:rPr>
                <w:rFonts w:ascii="Arial" w:cs="Arial" w:eastAsia="Arial" w:hAnsi="Arial"/>
                <w:sz w:val="18"/>
                <w:szCs w:val="18"/>
                <w:color w:val="auto"/>
                <w:w w:val="86"/>
              </w:rPr>
              <w:t>0</w:t>
            </w:r>
            <w:r>
              <w:rPr>
                <w:rFonts w:ascii="Arial" w:cs="Arial" w:eastAsia="Arial" w:hAnsi="Arial"/>
                <w:sz w:val="22"/>
                <w:szCs w:val="22"/>
                <w:color w:val="auto"/>
                <w:w w:val="86"/>
              </w:rPr>
              <w:t xml:space="preserve"> x SP</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5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22"/>
                <w:szCs w:val="22"/>
                <w:color w:val="auto"/>
              </w:rPr>
              <w:t>where,</w:t>
            </w:r>
          </w:p>
        </w:tc>
        <w:tc>
          <w:tcPr>
            <w:tcW w:w="5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820" w:type="dxa"/>
            <w:vAlign w:val="bottom"/>
          </w:tcPr>
          <w:p>
            <w:pPr>
              <w:spacing w:after="0"/>
              <w:rPr>
                <w:sz w:val="20"/>
                <w:szCs w:val="20"/>
                <w:color w:val="auto"/>
              </w:rPr>
            </w:pPr>
            <w:r>
              <w:rPr>
                <w:rFonts w:ascii="Arial" w:cs="Arial" w:eastAsia="Arial" w:hAnsi="Arial"/>
                <w:sz w:val="22"/>
                <w:szCs w:val="22"/>
                <w:color w:val="auto"/>
              </w:rPr>
              <w:t>CR</w:t>
            </w:r>
            <w:r>
              <w:rPr>
                <w:rFonts w:ascii="Arial" w:cs="Arial" w:eastAsia="Arial" w:hAnsi="Arial"/>
                <w:sz w:val="18"/>
                <w:szCs w:val="18"/>
                <w:color w:val="auto"/>
              </w:rPr>
              <w:t>0</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92"/>
              </w:rPr>
              <w:t>the applicable Conversion Rate in effect immediately prior to the open of business on the Trading Day next</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40" w:type="dxa"/>
            <w:vAlign w:val="bottom"/>
          </w:tcPr>
          <w:p>
            <w:pPr>
              <w:ind w:left="240"/>
              <w:spacing w:after="0"/>
              <w:rPr>
                <w:sz w:val="20"/>
                <w:szCs w:val="20"/>
                <w:color w:val="auto"/>
              </w:rPr>
            </w:pPr>
            <w:r>
              <w:rPr>
                <w:rFonts w:ascii="Arial" w:cs="Arial" w:eastAsia="Arial" w:hAnsi="Arial"/>
                <w:sz w:val="22"/>
                <w:szCs w:val="22"/>
                <w:color w:val="auto"/>
              </w:rPr>
              <w:t>succeeding the Expiration Date;</w:t>
            </w:r>
          </w:p>
        </w:tc>
        <w:tc>
          <w:tcPr>
            <w:tcW w:w="15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CR</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95"/>
              </w:rPr>
              <w:t>the applicable Conversion Rate in effect immediately after the open of business on the Trading Day next</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40" w:type="dxa"/>
            <w:vAlign w:val="bottom"/>
          </w:tcPr>
          <w:p>
            <w:pPr>
              <w:ind w:left="240"/>
              <w:spacing w:after="0"/>
              <w:rPr>
                <w:sz w:val="20"/>
                <w:szCs w:val="20"/>
                <w:color w:val="auto"/>
              </w:rPr>
            </w:pPr>
            <w:r>
              <w:rPr>
                <w:rFonts w:ascii="Arial" w:cs="Arial" w:eastAsia="Arial" w:hAnsi="Arial"/>
                <w:sz w:val="22"/>
                <w:szCs w:val="22"/>
                <w:color w:val="auto"/>
              </w:rPr>
              <w:t>succeeding the Expiration Date;</w:t>
            </w:r>
          </w:p>
        </w:tc>
        <w:tc>
          <w:tcPr>
            <w:tcW w:w="15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AC</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90"/>
              </w:rPr>
              <w:t>the aggregate value of all cash and any other consideration (as determined by the Board of Directors) paid or</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rPr>
              <w:t>payable for shares purchased in such tender offer or exchange offer;</w:t>
            </w: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OS</w:t>
            </w:r>
            <w:r>
              <w:rPr>
                <w:rFonts w:ascii="Arial" w:cs="Arial" w:eastAsia="Arial" w:hAnsi="Arial"/>
                <w:sz w:val="18"/>
                <w:szCs w:val="18"/>
                <w:color w:val="auto"/>
              </w:rPr>
              <w:t>0</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92"/>
              </w:rPr>
              <w:t>the number of shares of Common Stock outstanding immediately prior to time (the “</w:t>
            </w:r>
            <w:r>
              <w:rPr>
                <w:rFonts w:ascii="Arial" w:cs="Arial" w:eastAsia="Arial" w:hAnsi="Arial"/>
                <w:sz w:val="22"/>
                <w:szCs w:val="22"/>
                <w:b w:val="1"/>
                <w:bCs w:val="1"/>
                <w:color w:val="auto"/>
                <w:w w:val="92"/>
              </w:rPr>
              <w:t>Expiration Time</w:t>
            </w:r>
            <w:r>
              <w:rPr>
                <w:rFonts w:ascii="Arial" w:cs="Arial" w:eastAsia="Arial" w:hAnsi="Arial"/>
                <w:sz w:val="22"/>
                <w:szCs w:val="22"/>
                <w:color w:val="auto"/>
                <w:w w:val="92"/>
              </w:rPr>
              <w:t>”) such</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rPr>
              <w:t>tender or exchange offer expires (prior to giving effect to such tender offer or exchange offer);</w:t>
            </w:r>
          </w:p>
        </w:tc>
        <w:tc>
          <w:tcPr>
            <w:tcW w:w="0" w:type="dxa"/>
            <w:vAlign w:val="bottom"/>
          </w:tcPr>
          <w:p>
            <w:pPr>
              <w:spacing w:after="0"/>
              <w:rPr>
                <w:sz w:val="1"/>
                <w:szCs w:val="1"/>
                <w:color w:val="auto"/>
              </w:rPr>
            </w:pPr>
          </w:p>
        </w:tc>
      </w:tr>
      <w:tr>
        <w:trPr>
          <w:trHeight w:val="428"/>
        </w:trPr>
        <w:tc>
          <w:tcPr>
            <w:tcW w:w="820" w:type="dxa"/>
            <w:vAlign w:val="bottom"/>
          </w:tcPr>
          <w:p>
            <w:pPr>
              <w:spacing w:after="0"/>
              <w:rPr>
                <w:sz w:val="20"/>
                <w:szCs w:val="20"/>
                <w:color w:val="auto"/>
              </w:rPr>
            </w:pPr>
            <w:r>
              <w:rPr>
                <w:rFonts w:ascii="Arial" w:cs="Arial" w:eastAsia="Arial" w:hAnsi="Arial"/>
                <w:sz w:val="22"/>
                <w:szCs w:val="22"/>
                <w:color w:val="auto"/>
              </w:rPr>
              <w:t>OS</w:t>
            </w:r>
          </w:p>
        </w:tc>
        <w:tc>
          <w:tcPr>
            <w:tcW w:w="56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00" w:type="dxa"/>
            <w:vAlign w:val="bottom"/>
            <w:gridSpan w:val="3"/>
          </w:tcPr>
          <w:p>
            <w:pPr>
              <w:ind w:left="240"/>
              <w:spacing w:after="0"/>
              <w:rPr>
                <w:sz w:val="20"/>
                <w:szCs w:val="20"/>
                <w:color w:val="auto"/>
              </w:rPr>
            </w:pPr>
            <w:r>
              <w:rPr>
                <w:rFonts w:ascii="Arial" w:cs="Arial" w:eastAsia="Arial" w:hAnsi="Arial"/>
                <w:sz w:val="22"/>
                <w:szCs w:val="22"/>
                <w:color w:val="auto"/>
                <w:w w:val="89"/>
              </w:rPr>
              <w:t>the number of shares of Common Stock outstanding immediately after the expiration time (after giving effect to</w:t>
            </w:r>
          </w:p>
        </w:tc>
        <w:tc>
          <w:tcPr>
            <w:tcW w:w="0" w:type="dxa"/>
            <w:vAlign w:val="bottom"/>
          </w:tcPr>
          <w:p>
            <w:pPr>
              <w:spacing w:after="0"/>
              <w:rPr>
                <w:sz w:val="1"/>
                <w:szCs w:val="1"/>
                <w:color w:val="auto"/>
              </w:rPr>
            </w:pPr>
          </w:p>
        </w:tc>
      </w:tr>
      <w:tr>
        <w:trPr>
          <w:trHeight w:val="275"/>
        </w:trPr>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40" w:type="dxa"/>
            <w:vAlign w:val="bottom"/>
          </w:tcPr>
          <w:p>
            <w:pPr>
              <w:ind w:left="240"/>
              <w:spacing w:after="0"/>
              <w:rPr>
                <w:sz w:val="20"/>
                <w:szCs w:val="20"/>
                <w:color w:val="auto"/>
              </w:rPr>
            </w:pPr>
            <w:r>
              <w:rPr>
                <w:rFonts w:ascii="Arial" w:cs="Arial" w:eastAsia="Arial" w:hAnsi="Arial"/>
                <w:sz w:val="22"/>
                <w:szCs w:val="22"/>
                <w:color w:val="auto"/>
                <w:w w:val="99"/>
              </w:rPr>
              <w:t>such tender offer or exchange offer); and</w:t>
            </w:r>
          </w:p>
        </w:tc>
        <w:tc>
          <w:tcPr>
            <w:tcW w:w="15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67" w:right="27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color w:val="auto"/>
        </w:rPr>
        <w:t>SP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340"/>
        <w:spacing w:after="0" w:line="274" w:lineRule="auto"/>
        <w:rPr>
          <w:sz w:val="20"/>
          <w:szCs w:val="20"/>
          <w:color w:val="auto"/>
        </w:rPr>
      </w:pPr>
      <w:r>
        <w:rPr>
          <w:rFonts w:ascii="Arial" w:cs="Arial" w:eastAsia="Arial" w:hAnsi="Arial"/>
          <w:sz w:val="21"/>
          <w:szCs w:val="21"/>
          <w:color w:val="auto"/>
        </w:rPr>
        <w:t>the average of the Last Reported Sale Prices of Common Stock over the 10 consecutive Trading-Day period commencing on, and including, the Trading Day next succeeding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-429895</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3">
            <w:col w:w="340" w:space="720"/>
            <w:col w:w="120" w:space="560"/>
            <w:col w:w="9660"/>
          </w:cols>
          <w:pgMar w:left="240" w:top="267" w:right="259" w:bottom="1440" w:gutter="0" w:footer="0" w:header="0"/>
        </w:sectPr>
      </w:pPr>
    </w:p>
    <w:p>
      <w:pPr>
        <w:ind w:firstLine="799"/>
        <w:spacing w:after="0" w:line="275" w:lineRule="auto"/>
        <w:rPr>
          <w:sz w:val="20"/>
          <w:szCs w:val="20"/>
          <w:color w:val="auto"/>
        </w:rPr>
      </w:pPr>
      <w:r>
        <w:rPr>
          <w:rFonts w:ascii="Arial" w:cs="Arial" w:eastAsia="Arial" w:hAnsi="Arial"/>
          <w:sz w:val="19"/>
          <w:szCs w:val="19"/>
          <w:color w:val="auto"/>
        </w:rPr>
        <w:t xml:space="preserve">The adjustment to the Conversion Rate under this Section 13.06(e) shall become effective immediately following the tenth Trading Day next succeeding the date such tender offer or exchange offer expires;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determining the Conversion Rate, in respect of any conversion during the 10 Trading Days following the date that any tender or exchange offer expires, references within this Section 13.06(e) to 10 Trading Days shall be deemed replaced with such lesser number of Trading Days as have elapsed between the date such tender or exchange offer expires and the relevant Conversion Date. If the Company or one of its Subsidiaries is obligated to purchase Common Stock pursuant to any such tender or exchange offer but are permanently prevented by applicable law from effecting any such purchase or all such purchases are rescinded, the new Conversion Rate shall be readjusted to be the Conversion Rate that would be in effect if such tender or exchange offer had not been made.</w:t>
      </w:r>
    </w:p>
    <w:p>
      <w:pPr>
        <w:spacing w:after="0" w:line="158" w:lineRule="exact"/>
        <w:rPr>
          <w:sz w:val="20"/>
          <w:szCs w:val="20"/>
          <w:color w:val="auto"/>
        </w:rPr>
      </w:pPr>
    </w:p>
    <w:p>
      <w:pPr>
        <w:ind w:right="40" w:firstLine="807"/>
        <w:spacing w:after="0" w:line="271" w:lineRule="auto"/>
        <w:tabs>
          <w:tab w:leader="none" w:pos="1447"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Notwithstanding the foregoing, if a Conversion Rate adjustment becomes effective on any Ex-Dividend Date pursuant to Section 13.06(a) through Section 13.06(e), and a Holder that has converted its Notes on or after such Ex-Dividend Date and on or prior to the related record date would be treated as the record holder of the Common Stock as of the related Conversion Date based on an adjusted Conversion Rate for such Ex-Dividend Date, then, notwithstanding Section 13.06(a) through</w:t>
      </w:r>
    </w:p>
    <w:p>
      <w:pPr>
        <w:spacing w:after="0" w:line="3" w:lineRule="exact"/>
        <w:rPr>
          <w:rFonts w:ascii="Arial" w:cs="Arial" w:eastAsia="Arial" w:hAnsi="Arial"/>
          <w:sz w:val="19"/>
          <w:szCs w:val="19"/>
          <w:color w:val="auto"/>
        </w:rPr>
      </w:pPr>
    </w:p>
    <w:p>
      <w:pPr>
        <w:ind w:right="140"/>
        <w:spacing w:after="0" w:line="249" w:lineRule="auto"/>
        <w:rPr>
          <w:rFonts w:ascii="Arial" w:cs="Arial" w:eastAsia="Arial" w:hAnsi="Arial"/>
          <w:sz w:val="19"/>
          <w:szCs w:val="19"/>
          <w:color w:val="auto"/>
        </w:rPr>
      </w:pPr>
      <w:r>
        <w:rPr>
          <w:rFonts w:ascii="Arial" w:cs="Arial" w:eastAsia="Arial" w:hAnsi="Arial"/>
          <w:sz w:val="21"/>
          <w:szCs w:val="21"/>
          <w:color w:val="auto"/>
        </w:rPr>
        <w:t>Section 13.06(e), the Conversion Rate adjustment relating to such Ex-Dividend Date will not be made for such converting Holder. Instead, such Holder shall be treated as if such Holder were the record owner of the Common Stock on an unadjusted basis and participate in the related dividend, distribution or other event giving rise to such adjustment.</w:t>
      </w:r>
    </w:p>
    <w:p>
      <w:pPr>
        <w:spacing w:after="0" w:line="176" w:lineRule="exact"/>
        <w:rPr>
          <w:sz w:val="20"/>
          <w:szCs w:val="20"/>
          <w:color w:val="auto"/>
        </w:rPr>
      </w:pPr>
    </w:p>
    <w:p>
      <w:pPr>
        <w:ind w:right="180" w:firstLine="799"/>
        <w:spacing w:after="0" w:line="282" w:lineRule="auto"/>
        <w:rPr>
          <w:sz w:val="20"/>
          <w:szCs w:val="20"/>
          <w:color w:val="auto"/>
        </w:rPr>
      </w:pPr>
      <w:r>
        <w:rPr>
          <w:rFonts w:ascii="Arial" w:cs="Arial" w:eastAsia="Arial" w:hAnsi="Arial"/>
          <w:sz w:val="19"/>
          <w:szCs w:val="19"/>
          <w:i w:val="1"/>
          <w:iCs w:val="1"/>
          <w:color w:val="auto"/>
        </w:rPr>
        <w:t xml:space="preserve">Section 13.07. When No Adjustment is Required. </w:t>
      </w:r>
      <w:r>
        <w:rPr>
          <w:rFonts w:ascii="Arial" w:cs="Arial" w:eastAsia="Arial" w:hAnsi="Arial"/>
          <w:sz w:val="19"/>
          <w:szCs w:val="19"/>
          <w:color w:val="auto"/>
        </w:rPr>
        <w:t>(a) No adjustment in the Conversion Rate shall be required unless such</w:t>
      </w:r>
      <w:r>
        <w:rPr>
          <w:rFonts w:ascii="Arial" w:cs="Arial" w:eastAsia="Arial" w:hAnsi="Arial"/>
          <w:sz w:val="19"/>
          <w:szCs w:val="19"/>
          <w:i w:val="1"/>
          <w:iCs w:val="1"/>
          <w:color w:val="auto"/>
        </w:rPr>
        <w:t xml:space="preserve"> </w:t>
      </w:r>
      <w:r>
        <w:rPr>
          <w:rFonts w:ascii="Arial" w:cs="Arial" w:eastAsia="Arial" w:hAnsi="Arial"/>
          <w:sz w:val="19"/>
          <w:szCs w:val="19"/>
          <w:color w:val="auto"/>
        </w:rPr>
        <w:t>adjustment would require an increase or decrease of at least 1% in the Conversion Rate as last adjusted; provided, however, that any adjustments which would be required to be made but for this Section 13.07(a) shall be carried forward and taken into account in any subsequent adjustment and any carry forward amount shall be paid to the Holder upon conversion regardless of the 1% threshold. All calculations under this Article 13 shall be made to the nearest cent or to the nearest one-hundredth of a share.</w:t>
      </w:r>
    </w:p>
    <w:p>
      <w:pPr>
        <w:spacing w:after="0" w:line="148" w:lineRule="exact"/>
        <w:rPr>
          <w:sz w:val="20"/>
          <w:szCs w:val="20"/>
          <w:color w:val="auto"/>
        </w:rPr>
      </w:pPr>
    </w:p>
    <w:p>
      <w:pPr>
        <w:ind w:right="260" w:firstLine="807"/>
        <w:spacing w:after="0" w:line="238" w:lineRule="auto"/>
        <w:tabs>
          <w:tab w:leader="none" w:pos="1479" w:val="left"/>
        </w:tabs>
        <w:numPr>
          <w:ilvl w:val="0"/>
          <w:numId w:val="85"/>
        </w:numPr>
        <w:rPr>
          <w:rFonts w:ascii="Arial" w:cs="Arial" w:eastAsia="Arial" w:hAnsi="Arial"/>
          <w:sz w:val="22"/>
          <w:szCs w:val="22"/>
          <w:color w:val="auto"/>
        </w:rPr>
      </w:pPr>
      <w:r>
        <w:rPr>
          <w:rFonts w:ascii="Arial" w:cs="Arial" w:eastAsia="Arial" w:hAnsi="Arial"/>
          <w:sz w:val="22"/>
          <w:szCs w:val="22"/>
          <w:color w:val="auto"/>
        </w:rPr>
        <w:t>Without limiting the foregoing provisions of Section 13.06, no adjustment will be made thereunder, nor shall an adjustment be made to the ability of a Holder to convert, for any distribution described therein if the Holder will otherwise participate in the distribution without conversion of such Holder’s Notes as if such Holder held a number of shares of Common Stock equal to the</w:t>
      </w:r>
    </w:p>
    <w:p>
      <w:pPr>
        <w:sectPr>
          <w:pgSz w:w="11900" w:h="16838" w:orient="portrait"/>
          <w:cols w:equalWidth="0" w:num="1">
            <w:col w:w="11400"/>
          </w:cols>
          <w:pgMar w:left="240" w:top="267" w:right="259" w:bottom="1440" w:gutter="0" w:footer="0" w:header="0"/>
          <w:type w:val="continuous"/>
        </w:sectPr>
      </w:pPr>
    </w:p>
    <w:bookmarkStart w:id="121" w:name="page122"/>
    <w:bookmarkEnd w:id="121"/>
    <w:p>
      <w:pPr>
        <w:ind w:right="100"/>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Conversion Rate, multiplied by the principal amount (expressed in thousands) of Notes held by such Holder, without having to convert its Notes. Further, if the application of the foregoing formulas in Section 13.06 would result in a decrease in the Conversion Rate, no adjustment to the Conversion Rate will be made (except on account of share combinations).</w:t>
      </w:r>
    </w:p>
    <w:p>
      <w:pPr>
        <w:spacing w:after="0" w:line="134" w:lineRule="exact"/>
        <w:rPr>
          <w:sz w:val="20"/>
          <w:szCs w:val="20"/>
          <w:color w:val="auto"/>
        </w:rPr>
      </w:pPr>
    </w:p>
    <w:p>
      <w:pPr>
        <w:ind w:right="880" w:firstLine="807"/>
        <w:spacing w:after="0" w:line="328" w:lineRule="auto"/>
        <w:tabs>
          <w:tab w:leader="none" w:pos="1471"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 adjustment to the Conversion Rate will be made unless as specifically set forth in Section 13.06 and Section 13.01(e). Without limiting the foregoing, no adjustment to the Conversion Rate need be made:</w:t>
      </w:r>
    </w:p>
    <w:p>
      <w:pPr>
        <w:spacing w:after="0" w:line="105" w:lineRule="exact"/>
        <w:rPr>
          <w:rFonts w:ascii="Arial" w:cs="Arial" w:eastAsia="Arial" w:hAnsi="Arial"/>
          <w:sz w:val="19"/>
          <w:szCs w:val="19"/>
          <w:color w:val="auto"/>
        </w:rPr>
      </w:pPr>
    </w:p>
    <w:p>
      <w:pPr>
        <w:ind w:left="800" w:right="60" w:firstLine="750"/>
        <w:spacing w:after="0"/>
        <w:tabs>
          <w:tab w:leader="none" w:pos="2071" w:val="left"/>
        </w:tabs>
        <w:numPr>
          <w:ilvl w:val="1"/>
          <w:numId w:val="86"/>
        </w:numPr>
        <w:rPr>
          <w:rFonts w:ascii="Arial" w:cs="Arial" w:eastAsia="Arial" w:hAnsi="Arial"/>
          <w:sz w:val="22"/>
          <w:szCs w:val="22"/>
          <w:color w:val="auto"/>
        </w:rPr>
      </w:pPr>
      <w:r>
        <w:rPr>
          <w:rFonts w:ascii="Arial" w:cs="Arial" w:eastAsia="Arial" w:hAnsi="Arial"/>
          <w:sz w:val="22"/>
          <w:szCs w:val="22"/>
          <w:color w:val="auto"/>
        </w:rPr>
        <w:t>upon the issuance of any shares of Common Stock pursuant to any present or future plan providing for the reinvestment of dividends or interest payable on securities of the Company and the investment of additional optional amounts in shares of Common Stock under any plan;</w:t>
      </w:r>
    </w:p>
    <w:p>
      <w:pPr>
        <w:spacing w:after="0" w:line="186" w:lineRule="exact"/>
        <w:rPr>
          <w:rFonts w:ascii="Arial" w:cs="Arial" w:eastAsia="Arial" w:hAnsi="Arial"/>
          <w:sz w:val="22"/>
          <w:szCs w:val="22"/>
          <w:color w:val="auto"/>
        </w:rPr>
      </w:pPr>
    </w:p>
    <w:p>
      <w:pPr>
        <w:ind w:left="800" w:right="440" w:firstLine="750"/>
        <w:spacing w:after="0"/>
        <w:tabs>
          <w:tab w:leader="none" w:pos="2077" w:val="left"/>
        </w:tabs>
        <w:numPr>
          <w:ilvl w:val="1"/>
          <w:numId w:val="86"/>
        </w:numPr>
        <w:rPr>
          <w:rFonts w:ascii="Arial" w:cs="Arial" w:eastAsia="Arial" w:hAnsi="Arial"/>
          <w:sz w:val="22"/>
          <w:szCs w:val="22"/>
          <w:color w:val="auto"/>
        </w:rPr>
      </w:pPr>
      <w:r>
        <w:rPr>
          <w:rFonts w:ascii="Arial" w:cs="Arial" w:eastAsia="Arial" w:hAnsi="Arial"/>
          <w:sz w:val="22"/>
          <w:szCs w:val="22"/>
          <w:color w:val="auto"/>
        </w:rPr>
        <w:t>upon the issuance of any shares of Common Stock or options or rights to purchase shares of Common Stock pursuant to any present or future employee, director or consultant benefit plan or program or employee stock purchase plan of, or assumed by, the Company or any of its Subsidiaries;</w:t>
      </w:r>
    </w:p>
    <w:p>
      <w:pPr>
        <w:spacing w:after="0" w:line="186" w:lineRule="exact"/>
        <w:rPr>
          <w:rFonts w:ascii="Arial" w:cs="Arial" w:eastAsia="Arial" w:hAnsi="Arial"/>
          <w:sz w:val="22"/>
          <w:szCs w:val="22"/>
          <w:color w:val="auto"/>
        </w:rPr>
      </w:pPr>
    </w:p>
    <w:p>
      <w:pPr>
        <w:ind w:left="800" w:right="220" w:firstLine="750"/>
        <w:spacing w:after="0" w:line="328" w:lineRule="auto"/>
        <w:tabs>
          <w:tab w:leader="none" w:pos="2083" w:val="left"/>
        </w:tabs>
        <w:numPr>
          <w:ilvl w:val="1"/>
          <w:numId w:val="86"/>
        </w:numPr>
        <w:rPr>
          <w:rFonts w:ascii="Arial" w:cs="Arial" w:eastAsia="Arial" w:hAnsi="Arial"/>
          <w:sz w:val="19"/>
          <w:szCs w:val="19"/>
          <w:color w:val="auto"/>
        </w:rPr>
      </w:pPr>
      <w:r>
        <w:rPr>
          <w:rFonts w:ascii="Arial" w:cs="Arial" w:eastAsia="Arial" w:hAnsi="Arial"/>
          <w:sz w:val="19"/>
          <w:szCs w:val="19"/>
          <w:color w:val="auto"/>
        </w:rPr>
        <w:t>upon the issuance of any shares of Common Stock pursuant to any option, warrant, right, or exercisable, exchangeable or convertible security not described in clause (ii) above and outstanding as of the Issue Date;</w:t>
      </w:r>
    </w:p>
    <w:p>
      <w:pPr>
        <w:spacing w:after="0" w:line="105" w:lineRule="exact"/>
        <w:rPr>
          <w:rFonts w:ascii="Arial" w:cs="Arial" w:eastAsia="Arial" w:hAnsi="Arial"/>
          <w:sz w:val="19"/>
          <w:szCs w:val="19"/>
          <w:color w:val="auto"/>
        </w:rPr>
      </w:pPr>
    </w:p>
    <w:p>
      <w:pPr>
        <w:ind w:left="2080" w:hanging="530"/>
        <w:spacing w:after="0"/>
        <w:tabs>
          <w:tab w:leader="none" w:pos="2080" w:val="left"/>
        </w:tabs>
        <w:numPr>
          <w:ilvl w:val="1"/>
          <w:numId w:val="86"/>
        </w:numPr>
        <w:rPr>
          <w:rFonts w:ascii="Arial" w:cs="Arial" w:eastAsia="Arial" w:hAnsi="Arial"/>
          <w:sz w:val="22"/>
          <w:szCs w:val="22"/>
          <w:color w:val="auto"/>
        </w:rPr>
      </w:pPr>
      <w:r>
        <w:rPr>
          <w:rFonts w:ascii="Arial" w:cs="Arial" w:eastAsia="Arial" w:hAnsi="Arial"/>
          <w:sz w:val="22"/>
          <w:szCs w:val="22"/>
          <w:color w:val="auto"/>
        </w:rPr>
        <w:t>for a change in the par value of the Common Stock; or</w:t>
      </w:r>
    </w:p>
    <w:p>
      <w:pPr>
        <w:spacing w:after="0" w:line="206" w:lineRule="exact"/>
        <w:rPr>
          <w:rFonts w:ascii="Arial" w:cs="Arial" w:eastAsia="Arial" w:hAnsi="Arial"/>
          <w:sz w:val="22"/>
          <w:szCs w:val="22"/>
          <w:color w:val="auto"/>
        </w:rPr>
      </w:pPr>
    </w:p>
    <w:p>
      <w:pPr>
        <w:ind w:left="2080" w:hanging="530"/>
        <w:spacing w:after="0"/>
        <w:tabs>
          <w:tab w:leader="none" w:pos="2080" w:val="left"/>
        </w:tabs>
        <w:numPr>
          <w:ilvl w:val="1"/>
          <w:numId w:val="86"/>
        </w:numPr>
        <w:rPr>
          <w:rFonts w:ascii="Arial" w:cs="Arial" w:eastAsia="Arial" w:hAnsi="Arial"/>
          <w:sz w:val="19"/>
          <w:szCs w:val="19"/>
          <w:color w:val="auto"/>
        </w:rPr>
      </w:pPr>
      <w:r>
        <w:rPr>
          <w:rFonts w:ascii="Arial" w:cs="Arial" w:eastAsia="Arial" w:hAnsi="Arial"/>
          <w:sz w:val="19"/>
          <w:szCs w:val="19"/>
          <w:color w:val="auto"/>
        </w:rPr>
        <w:t>for accrued and unpaid interest (including any Special Interest and Additional Interest, if applicable).</w:t>
      </w:r>
    </w:p>
    <w:p>
      <w:pPr>
        <w:spacing w:after="0" w:line="241" w:lineRule="exact"/>
        <w:rPr>
          <w:sz w:val="20"/>
          <w:szCs w:val="20"/>
          <w:color w:val="auto"/>
        </w:rPr>
      </w:pPr>
    </w:p>
    <w:p>
      <w:pPr>
        <w:ind w:firstLine="799"/>
        <w:spacing w:after="0" w:line="279" w:lineRule="auto"/>
        <w:rPr>
          <w:sz w:val="20"/>
          <w:szCs w:val="20"/>
          <w:color w:val="auto"/>
        </w:rPr>
      </w:pPr>
      <w:r>
        <w:rPr>
          <w:rFonts w:ascii="Arial" w:cs="Arial" w:eastAsia="Arial" w:hAnsi="Arial"/>
          <w:sz w:val="19"/>
          <w:szCs w:val="19"/>
          <w:i w:val="1"/>
          <w:iCs w:val="1"/>
          <w:color w:val="auto"/>
        </w:rPr>
        <w:t xml:space="preserve">Section 13.08. Notice of Adjustment. </w:t>
      </w:r>
      <w:r>
        <w:rPr>
          <w:rFonts w:ascii="Arial" w:cs="Arial" w:eastAsia="Arial" w:hAnsi="Arial"/>
          <w:sz w:val="19"/>
          <w:szCs w:val="19"/>
          <w:color w:val="auto"/>
        </w:rPr>
        <w:t>Whenever the Conversion Rate or conversion privilege is required to be adjusted</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this Indenture, the Company shall promptly mail to Holders a notice of the adjustment and file with the Trustee an Officer’s Certificate briefly stating the facts requiring the adjustment, the adjusted Conversion Rate and the manner of computing it. Failure to mail such notice or any defect therein shall not affect the validity of any such adjustment. Unless and until the Trustee shall receive an Officer’s Certificate setting forth an adjustment of the Conversion Rate, the Trustee may assume without inquiry that the Conversion Rate has not been adjusted and that the last Conversion Rate of which it has knowledge remains in effect.</w:t>
      </w:r>
    </w:p>
    <w:p>
      <w:pPr>
        <w:spacing w:after="0" w:line="151" w:lineRule="exact"/>
        <w:rPr>
          <w:sz w:val="20"/>
          <w:szCs w:val="20"/>
          <w:color w:val="auto"/>
        </w:rPr>
      </w:pPr>
    </w:p>
    <w:p>
      <w:pPr>
        <w:ind w:right="20" w:firstLine="799"/>
        <w:spacing w:after="0"/>
        <w:rPr>
          <w:sz w:val="20"/>
          <w:szCs w:val="20"/>
          <w:color w:val="auto"/>
        </w:rPr>
      </w:pPr>
      <w:r>
        <w:rPr>
          <w:rFonts w:ascii="Arial" w:cs="Arial" w:eastAsia="Arial" w:hAnsi="Arial"/>
          <w:sz w:val="22"/>
          <w:szCs w:val="22"/>
          <w:i w:val="1"/>
          <w:iCs w:val="1"/>
          <w:color w:val="auto"/>
        </w:rPr>
        <w:t xml:space="preserve">Section 13.09. Notice of Certain Transactions. </w:t>
      </w:r>
      <w:r>
        <w:rPr>
          <w:rFonts w:ascii="Arial" w:cs="Arial" w:eastAsia="Arial" w:hAnsi="Arial"/>
          <w:sz w:val="22"/>
          <w:szCs w:val="22"/>
          <w:color w:val="auto"/>
        </w:rPr>
        <w:t>In the event that there is a dissolution or liquidation of the Company,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shall mail to Holders and file with the Trustee a notice stating the proposed effective date. The Company shall mail such notice at least 20 days before such proposed effective date. Failure</w:t>
      </w:r>
    </w:p>
    <w:p>
      <w:pPr>
        <w:sectPr>
          <w:pgSz w:w="11900" w:h="16838" w:orient="portrait"/>
          <w:cols w:equalWidth="0" w:num="1">
            <w:col w:w="11320"/>
          </w:cols>
          <w:pgMar w:left="240" w:top="267" w:right="339" w:bottom="1440" w:gutter="0" w:footer="0" w:header="0"/>
        </w:sectPr>
      </w:pPr>
    </w:p>
    <w:bookmarkStart w:id="122" w:name="page123"/>
    <w:bookmarkEnd w:id="122"/>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mail such notice or any defect therein shall not affect the validity of any transaction referred to in this Section 13.09.</w:t>
      </w:r>
    </w:p>
    <w:p>
      <w:pPr>
        <w:spacing w:after="0" w:line="218" w:lineRule="exact"/>
        <w:rPr>
          <w:sz w:val="20"/>
          <w:szCs w:val="20"/>
          <w:color w:val="auto"/>
        </w:rPr>
      </w:pPr>
    </w:p>
    <w:p>
      <w:pPr>
        <w:ind w:right="60" w:firstLine="799"/>
        <w:spacing w:after="0" w:line="251" w:lineRule="auto"/>
        <w:rPr>
          <w:sz w:val="20"/>
          <w:szCs w:val="20"/>
          <w:color w:val="auto"/>
        </w:rPr>
      </w:pPr>
      <w:r>
        <w:rPr>
          <w:rFonts w:ascii="Arial" w:cs="Arial" w:eastAsia="Arial" w:hAnsi="Arial"/>
          <w:sz w:val="22"/>
          <w:szCs w:val="22"/>
          <w:i w:val="1"/>
          <w:iCs w:val="1"/>
          <w:color w:val="auto"/>
        </w:rPr>
        <w:t xml:space="preserve">Section 13.10. Effect of Reclassification, Consolidation, Merger or Sale On Conversion Privilege. </w:t>
      </w:r>
      <w:r>
        <w:rPr>
          <w:rFonts w:ascii="Arial" w:cs="Arial" w:eastAsia="Arial" w:hAnsi="Arial"/>
          <w:sz w:val="22"/>
          <w:szCs w:val="22"/>
          <w:color w:val="auto"/>
        </w:rPr>
        <w:t>If any of the following</w:t>
      </w:r>
      <w:r>
        <w:rPr>
          <w:rFonts w:ascii="Arial" w:cs="Arial" w:eastAsia="Arial" w:hAnsi="Arial"/>
          <w:sz w:val="22"/>
          <w:szCs w:val="22"/>
          <w:i w:val="1"/>
          <w:iCs w:val="1"/>
          <w:color w:val="auto"/>
        </w:rPr>
        <w:t xml:space="preserve"> </w:t>
      </w:r>
      <w:r>
        <w:rPr>
          <w:rFonts w:ascii="Arial" w:cs="Arial" w:eastAsia="Arial" w:hAnsi="Arial"/>
          <w:sz w:val="22"/>
          <w:szCs w:val="22"/>
          <w:color w:val="auto"/>
        </w:rPr>
        <w:t>events occur:</w:t>
      </w:r>
    </w:p>
    <w:p>
      <w:pPr>
        <w:spacing w:after="0" w:line="173" w:lineRule="exact"/>
        <w:rPr>
          <w:sz w:val="20"/>
          <w:szCs w:val="20"/>
          <w:color w:val="auto"/>
        </w:rPr>
      </w:pPr>
    </w:p>
    <w:p>
      <w:pPr>
        <w:ind w:right="100" w:firstLine="807"/>
        <w:spacing w:after="0" w:line="251" w:lineRule="auto"/>
        <w:tabs>
          <w:tab w:leader="none" w:pos="1471"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recapitalization, reclassification or change of the outstanding shares of Common Stock (other than a changes resulting from a subdivision or combination),</w:t>
      </w:r>
    </w:p>
    <w:p>
      <w:pPr>
        <w:spacing w:after="0" w:line="173" w:lineRule="exact"/>
        <w:rPr>
          <w:rFonts w:ascii="Arial" w:cs="Arial" w:eastAsia="Arial" w:hAnsi="Arial"/>
          <w:sz w:val="22"/>
          <w:szCs w:val="22"/>
          <w:color w:val="auto"/>
        </w:rPr>
      </w:pPr>
    </w:p>
    <w:p>
      <w:pPr>
        <w:ind w:left="1500" w:hanging="693"/>
        <w:spacing w:after="0"/>
        <w:tabs>
          <w:tab w:leader="none" w:pos="15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consolidation, merger, or combination involving the Company with another corporation, or</w:t>
      </w:r>
    </w:p>
    <w:p>
      <w:pPr>
        <w:spacing w:after="0" w:line="206" w:lineRule="exact"/>
        <w:rPr>
          <w:rFonts w:ascii="Arial" w:cs="Arial" w:eastAsia="Arial" w:hAnsi="Arial"/>
          <w:sz w:val="22"/>
          <w:szCs w:val="22"/>
          <w:color w:val="auto"/>
        </w:rPr>
      </w:pPr>
    </w:p>
    <w:p>
      <w:pPr>
        <w:ind w:left="1480" w:hanging="673"/>
        <w:spacing w:after="0"/>
        <w:tabs>
          <w:tab w:leader="none" w:pos="14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sale, conveyance or lease to any other corporation of all or substantially all of the property and assets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188" w:lineRule="exact"/>
        <w:rPr>
          <w:rFonts w:ascii="Arial" w:cs="Arial" w:eastAsia="Arial" w:hAnsi="Arial"/>
          <w:sz w:val="19"/>
          <w:szCs w:val="19"/>
          <w:color w:val="auto"/>
        </w:rPr>
      </w:pPr>
    </w:p>
    <w:p>
      <w:pPr>
        <w:ind w:left="1500" w:hanging="693"/>
        <w:spacing w:after="0"/>
        <w:tabs>
          <w:tab w:leader="none" w:pos="15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statutory share exchange,</w:t>
      </w:r>
    </w:p>
    <w:p>
      <w:pPr>
        <w:spacing w:after="0" w:line="206"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in each case as a result of which holders of Common Stock shall be entitled to receive stock, other securities or other property or assets (including cash or any combination thereof) (the “</w:t>
      </w:r>
      <w:r>
        <w:rPr>
          <w:rFonts w:ascii="Arial" w:cs="Arial" w:eastAsia="Arial" w:hAnsi="Arial"/>
          <w:sz w:val="19"/>
          <w:szCs w:val="19"/>
          <w:b w:val="1"/>
          <w:bCs w:val="1"/>
          <w:color w:val="auto"/>
        </w:rPr>
        <w:t>Reference Property</w:t>
      </w:r>
      <w:r>
        <w:rPr>
          <w:rFonts w:ascii="Arial" w:cs="Arial" w:eastAsia="Arial" w:hAnsi="Arial"/>
          <w:sz w:val="19"/>
          <w:szCs w:val="19"/>
          <w:color w:val="auto"/>
        </w:rPr>
        <w:t>”) with respect to or in exchange for such Common Stock, the Holders of the Notes then Outstanding will be entitled thereafter to convert those Notes into the kind and amount of shares of stock, other securities or other property or assets (including cash or any combination thereof) which they would have owned or been entitled to receive upon such transaction had such notes been converted into Common Stock immediately prior to such transaction. In the event holders of Common Stock have the opportunity to elect the form of consideration to be received in such transaction, the reference property will be deemed to be the weighted average of the types and amounts of consideration received by the holders of Common Stock that affirmatively make such election. The Company shall notify the Holders of the weighted average as soon as practicable after such determination is made. The Company may not become a party to any such transaction unless its terms are consistent with the preceding. None of the foregoing provisions shall affect the right of a Holder of Notes to convert its Notes into shares of Common Stock prior to the effective date of such transaction.</w:t>
      </w:r>
    </w:p>
    <w:p>
      <w:pPr>
        <w:spacing w:after="0" w:line="156"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The above provisions of this Section 13.10 shall similarly apply to successive recapitalizations, reclassifications, mergers, consolidations, statutory share exchanges, combinations, sales and conveyances.</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If this Section 13.10 applies to any event or occurrence, Section 13.06 hereof shall not apply.</w:t>
      </w:r>
    </w:p>
    <w:p>
      <w:pPr>
        <w:spacing w:after="0" w:line="206" w:lineRule="exact"/>
        <w:rPr>
          <w:sz w:val="20"/>
          <w:szCs w:val="20"/>
          <w:color w:val="auto"/>
        </w:rPr>
      </w:pPr>
    </w:p>
    <w:p>
      <w:pPr>
        <w:ind w:right="20" w:firstLine="799"/>
        <w:spacing w:after="0" w:line="251" w:lineRule="auto"/>
        <w:rPr>
          <w:sz w:val="20"/>
          <w:szCs w:val="20"/>
          <w:color w:val="auto"/>
        </w:rPr>
      </w:pPr>
      <w:r>
        <w:rPr>
          <w:rFonts w:ascii="Arial" w:cs="Arial" w:eastAsia="Arial" w:hAnsi="Arial"/>
          <w:sz w:val="22"/>
          <w:szCs w:val="22"/>
          <w:color w:val="auto"/>
        </w:rPr>
        <w:t>The Company shall not become a party to any such transaction unless its terms are consistent with the foregoing. None of the foregoing provisions shall</w:t>
      </w:r>
    </w:p>
    <w:p>
      <w:pPr>
        <w:sectPr>
          <w:pgSz w:w="11900" w:h="16838" w:orient="portrait"/>
          <w:cols w:equalWidth="0" w:num="1">
            <w:col w:w="11340"/>
          </w:cols>
          <w:pgMar w:left="240" w:top="267" w:right="319" w:bottom="1440" w:gutter="0" w:footer="0" w:header="0"/>
        </w:sectPr>
      </w:pPr>
    </w:p>
    <w:bookmarkStart w:id="123" w:name="page124"/>
    <w:bookmarkEnd w:id="123"/>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affect the right of a Holder to convert the Notes as set forth in Section 13.01 prior to the effective time of such transaction.</w:t>
      </w:r>
    </w:p>
    <w:p>
      <w:pPr>
        <w:spacing w:after="0" w:line="218" w:lineRule="exact"/>
        <w:rPr>
          <w:sz w:val="20"/>
          <w:szCs w:val="20"/>
          <w:color w:val="auto"/>
        </w:rPr>
      </w:pPr>
    </w:p>
    <w:p>
      <w:pPr>
        <w:ind w:right="20" w:firstLine="799"/>
        <w:spacing w:after="0" w:line="245" w:lineRule="auto"/>
        <w:rPr>
          <w:sz w:val="20"/>
          <w:szCs w:val="20"/>
          <w:color w:val="auto"/>
        </w:rPr>
      </w:pPr>
      <w:r>
        <w:rPr>
          <w:rFonts w:ascii="Arial" w:cs="Arial" w:eastAsia="Arial" w:hAnsi="Arial"/>
          <w:sz w:val="21"/>
          <w:szCs w:val="21"/>
          <w:i w:val="1"/>
          <w:iCs w:val="1"/>
          <w:color w:val="auto"/>
        </w:rPr>
        <w:t xml:space="preserve">Section 13.11. Trustee’s Disclaimer. </w:t>
      </w:r>
      <w:r>
        <w:rPr>
          <w:rFonts w:ascii="Arial" w:cs="Arial" w:eastAsia="Arial" w:hAnsi="Arial"/>
          <w:sz w:val="21"/>
          <w:szCs w:val="21"/>
          <w:color w:val="auto"/>
        </w:rPr>
        <w:t>(a) The Trustee shall have no duty to determine, or liability in connection therewith,</w:t>
      </w:r>
      <w:r>
        <w:rPr>
          <w:rFonts w:ascii="Arial" w:cs="Arial" w:eastAsia="Arial" w:hAnsi="Arial"/>
          <w:sz w:val="21"/>
          <w:szCs w:val="21"/>
          <w:i w:val="1"/>
          <w:iCs w:val="1"/>
          <w:color w:val="auto"/>
        </w:rPr>
        <w:t xml:space="preserve"> </w:t>
      </w:r>
      <w:r>
        <w:rPr>
          <w:rFonts w:ascii="Arial" w:cs="Arial" w:eastAsia="Arial" w:hAnsi="Arial"/>
          <w:sz w:val="21"/>
          <w:szCs w:val="21"/>
          <w:color w:val="auto"/>
        </w:rPr>
        <w:t>when an adjustment under this Article 13 should be made, how it should be made or what such adjustment should be, but may accept as conclusive evidence of that fact or the correctness of any such adjustment, and shall be protected in relying upon, an Officer’s Certificate, including the Officer’s Certificate with respect thereto which the Company is obligated to file with the Trustee pursuant to Section 13.08. Unless and until the Trustee receives such Officer’s Certificate delivered pursuant to Section 13.08, the Trustee may assume without inquiry that no such adjustment has been made and the last Conversion Rate of which the Trustee has knowledge remains in effect. The Trustee makes no representation as to the validity or value of any securities or assets issued upon conversion of Notes, and the Trustee shall not be responsible for the Company’s failure to comply with any provisions of this Article 13.</w:t>
      </w:r>
    </w:p>
    <w:p>
      <w:pPr>
        <w:spacing w:after="0" w:line="185" w:lineRule="exact"/>
        <w:rPr>
          <w:sz w:val="20"/>
          <w:szCs w:val="20"/>
          <w:color w:val="auto"/>
        </w:rPr>
      </w:pPr>
    </w:p>
    <w:p>
      <w:pPr>
        <w:jc w:val="both"/>
        <w:ind w:right="160" w:firstLine="807"/>
        <w:spacing w:after="0" w:line="287" w:lineRule="auto"/>
        <w:tabs>
          <w:tab w:leader="none" w:pos="1479"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Trustee shall not be under any responsibility to determine the correctness of any provisions contained in any supplemental indenture executed pursuant to Section 13.10, but may accept as conclusive evidence of the correctness thereof, and shall be fully protected in relying upon, the Officer’s Certificate and Opinion of Counsel, with respect thereto which the Company are obligated to file with the Trustee pursuant to Section 13.10 and Section 10.01, respectively.</w:t>
      </w:r>
    </w:p>
    <w:p>
      <w:pPr>
        <w:spacing w:after="0" w:line="143" w:lineRule="exact"/>
        <w:rPr>
          <w:sz w:val="20"/>
          <w:szCs w:val="20"/>
          <w:color w:val="auto"/>
        </w:rPr>
      </w:pPr>
    </w:p>
    <w:p>
      <w:pPr>
        <w:ind w:firstLine="799"/>
        <w:spacing w:after="0" w:line="245" w:lineRule="auto"/>
        <w:rPr>
          <w:sz w:val="20"/>
          <w:szCs w:val="20"/>
          <w:color w:val="auto"/>
        </w:rPr>
      </w:pPr>
      <w:r>
        <w:rPr>
          <w:rFonts w:ascii="Arial" w:cs="Arial" w:eastAsia="Arial" w:hAnsi="Arial"/>
          <w:sz w:val="21"/>
          <w:szCs w:val="21"/>
          <w:i w:val="1"/>
          <w:iCs w:val="1"/>
          <w:color w:val="auto"/>
        </w:rPr>
        <w:t xml:space="preserve">Section 13.12. Voluntary Increase; Nasdaq Compliance. </w:t>
      </w:r>
      <w:r>
        <w:rPr>
          <w:rFonts w:ascii="Arial" w:cs="Arial" w:eastAsia="Arial" w:hAnsi="Arial"/>
          <w:sz w:val="21"/>
          <w:szCs w:val="21"/>
          <w:color w:val="auto"/>
        </w:rPr>
        <w:t>Subject to Section 9.01(e), the Company from time to time may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increase the Conversion Rate, to the extent permitted by law and subject to any applicable stockholder approval requirements pursuant to the listing standards of the Nasdaq Stock Market or such other United States securities exchange on which the Common Stock is traded, by any amount for any period of at least 20 days. The Company may make such increase in the Conversion Rate (in addition to others provided in this Indenture) as the Board of Directors deems advisable to avoid or diminish any income tax to holders of Common Stock resulting from a dividend or distribution of stock, or rights to acquire stock, or similar event, and the Company provides 15 days’ prior written notice of any increase in the Conversion Rate to the Trustee and the 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no event may the Company increase the Conversion Rate such that it causes the Conversion Price to be less than</w:t>
      </w:r>
      <w:r>
        <w:rPr>
          <w:rFonts w:ascii="Arial" w:cs="Arial" w:eastAsia="Arial" w:hAnsi="Arial"/>
          <w:sz w:val="21"/>
          <w:szCs w:val="21"/>
          <w:i w:val="1"/>
          <w:iCs w:val="1"/>
          <w:color w:val="auto"/>
        </w:rPr>
        <w:t xml:space="preserve"> </w:t>
      </w:r>
      <w:r>
        <w:rPr>
          <w:rFonts w:ascii="Arial" w:cs="Arial" w:eastAsia="Arial" w:hAnsi="Arial"/>
          <w:sz w:val="21"/>
          <w:szCs w:val="21"/>
          <w:color w:val="auto"/>
        </w:rPr>
        <w:t>the par value of a share of Common Stock.</w:t>
      </w:r>
    </w:p>
    <w:p>
      <w:pPr>
        <w:spacing w:after="0" w:line="185" w:lineRule="exact"/>
        <w:rPr>
          <w:sz w:val="20"/>
          <w:szCs w:val="20"/>
          <w:color w:val="auto"/>
        </w:rPr>
      </w:pPr>
    </w:p>
    <w:p>
      <w:pPr>
        <w:ind w:right="240" w:firstLine="799"/>
        <w:spacing w:after="0"/>
        <w:rPr>
          <w:sz w:val="20"/>
          <w:szCs w:val="20"/>
          <w:color w:val="auto"/>
        </w:rPr>
      </w:pPr>
      <w:r>
        <w:rPr>
          <w:rFonts w:ascii="Arial" w:cs="Arial" w:eastAsia="Arial" w:hAnsi="Arial"/>
          <w:sz w:val="22"/>
          <w:szCs w:val="22"/>
          <w:color w:val="auto"/>
        </w:rPr>
        <w:t>The Company may not take any voluntary actions that would result in an adjustment to the Conversion Rate pursuant to Section 13.06 without complying, if applicable, with the stockholder approval rules of the NASDAQ Global Market and any similar rule of any stock exchange on which the Common Stock is listed</w:t>
      </w:r>
    </w:p>
    <w:p>
      <w:pPr>
        <w:sectPr>
          <w:pgSz w:w="11900" w:h="16838" w:orient="portrait"/>
          <w:cols w:equalWidth="0" w:num="1">
            <w:col w:w="11420"/>
          </w:cols>
          <w:pgMar w:left="240" w:top="266" w:right="239" w:bottom="1440" w:gutter="0" w:footer="0" w:header="0"/>
        </w:sectPr>
      </w:pPr>
    </w:p>
    <w:bookmarkStart w:id="124" w:name="page125"/>
    <w:bookmarkEnd w:id="124"/>
    <w:p>
      <w:pPr>
        <w:ind w:right="100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relevant time. In accordance with such listing standards, this restriction shall apply at any time when the Notes are Outstanding, regardless of whether the Company then has a class of securities listed on the NASDAQ Global Market.</w:t>
      </w:r>
    </w:p>
    <w:p>
      <w:pPr>
        <w:spacing w:after="0" w:line="105" w:lineRule="exact"/>
        <w:rPr>
          <w:sz w:val="20"/>
          <w:szCs w:val="20"/>
          <w:color w:val="auto"/>
        </w:rPr>
      </w:pPr>
    </w:p>
    <w:p>
      <w:pPr>
        <w:ind w:firstLine="799"/>
        <w:spacing w:after="0" w:line="245" w:lineRule="auto"/>
        <w:rPr>
          <w:sz w:val="20"/>
          <w:szCs w:val="20"/>
          <w:color w:val="auto"/>
        </w:rPr>
      </w:pPr>
      <w:r>
        <w:rPr>
          <w:rFonts w:ascii="Arial" w:cs="Arial" w:eastAsia="Arial" w:hAnsi="Arial"/>
          <w:sz w:val="21"/>
          <w:szCs w:val="21"/>
          <w:i w:val="1"/>
          <w:iCs w:val="1"/>
          <w:color w:val="auto"/>
        </w:rPr>
        <w:t xml:space="preserve">Section 13.13. Rights Plan. </w:t>
      </w:r>
      <w:r>
        <w:rPr>
          <w:rFonts w:ascii="Arial" w:cs="Arial" w:eastAsia="Arial" w:hAnsi="Arial"/>
          <w:sz w:val="21"/>
          <w:szCs w:val="21"/>
          <w:color w:val="auto"/>
        </w:rPr>
        <w:t>To the extent that the Company has a Rights Plan in effect upon conversion of the Notes into</w:t>
      </w:r>
      <w:r>
        <w:rPr>
          <w:rFonts w:ascii="Arial" w:cs="Arial" w:eastAsia="Arial" w:hAnsi="Arial"/>
          <w:sz w:val="21"/>
          <w:szCs w:val="21"/>
          <w:i w:val="1"/>
          <w:iCs w:val="1"/>
          <w:color w:val="auto"/>
        </w:rPr>
        <w:t xml:space="preserve"> </w:t>
      </w:r>
      <w:r>
        <w:rPr>
          <w:rFonts w:ascii="Arial" w:cs="Arial" w:eastAsia="Arial" w:hAnsi="Arial"/>
          <w:sz w:val="21"/>
          <w:szCs w:val="21"/>
          <w:color w:val="auto"/>
        </w:rPr>
        <w:t>Common Stock, the Holder will receive upon conversion of the Notes in respect of which the Company has elected to deliver Common Stock, if applicable, the Rights under the Rights Plan, unless prior to any conversion, the Rights have separated from the Common Stock, in which case, and only in such case, the Conversion Rate will be adjusted at the time of separation as if the Company distributed to all holders of Common Stock shares of the Company’s Capital Stock, evidences of indebtedness or assets as described in Section 13.06(c) above, subject to readjustment in the event of the expiration, termination or redemption of such Rights. In lieu of any such adjustment, the Company may amend such applicable Rights Plan to provide that upon conversion of the Notes the Holders will receive, in addition to the Common Stock issuable upon such conversion, the Rights which would have attached to such Common Stock if the Rights had not become separated from the Common Stock under such applicable Rights Plan.</w:t>
      </w:r>
    </w:p>
    <w:p>
      <w:pPr>
        <w:spacing w:after="0" w:line="182" w:lineRule="exact"/>
        <w:rPr>
          <w:sz w:val="20"/>
          <w:szCs w:val="20"/>
          <w:color w:val="auto"/>
        </w:rPr>
      </w:pPr>
    </w:p>
    <w:p>
      <w:pPr>
        <w:ind w:right="160" w:firstLine="799"/>
        <w:spacing w:after="0" w:line="282" w:lineRule="auto"/>
        <w:rPr>
          <w:sz w:val="20"/>
          <w:szCs w:val="20"/>
          <w:color w:val="auto"/>
        </w:rPr>
      </w:pPr>
      <w:r>
        <w:rPr>
          <w:rFonts w:ascii="Arial" w:cs="Arial" w:eastAsia="Arial" w:hAnsi="Arial"/>
          <w:sz w:val="19"/>
          <w:szCs w:val="19"/>
          <w:i w:val="1"/>
          <w:iCs w:val="1"/>
          <w:color w:val="auto"/>
        </w:rPr>
        <w:t xml:space="preserve">Section 13.14. Exchange in Lieu of Conversion. </w:t>
      </w:r>
      <w:r>
        <w:rPr>
          <w:rFonts w:ascii="Arial" w:cs="Arial" w:eastAsia="Arial" w:hAnsi="Arial"/>
          <w:sz w:val="19"/>
          <w:szCs w:val="19"/>
          <w:color w:val="auto"/>
        </w:rPr>
        <w:t>(a) Notwithstanding anything in this Indenture to the contrary, when a</w:t>
      </w:r>
      <w:r>
        <w:rPr>
          <w:rFonts w:ascii="Arial" w:cs="Arial" w:eastAsia="Arial" w:hAnsi="Arial"/>
          <w:sz w:val="19"/>
          <w:szCs w:val="19"/>
          <w:i w:val="1"/>
          <w:iCs w:val="1"/>
          <w:color w:val="auto"/>
        </w:rPr>
        <w:t xml:space="preserve"> </w:t>
      </w:r>
      <w:r>
        <w:rPr>
          <w:rFonts w:ascii="Arial" w:cs="Arial" w:eastAsia="Arial" w:hAnsi="Arial"/>
          <w:sz w:val="19"/>
          <w:szCs w:val="19"/>
          <w:color w:val="auto"/>
        </w:rPr>
        <w:t>Holder surrenders Notes for conversion, the Company may, at its election, direct the Conversion Agent to surrender, on or prior to the second Business Day immediately following the Conversion Date (assuming for purposes of this Section 13.14 that the date such Holder surrenders such Notes for conversion is the Conversion Date for such Notes), such Notes to a financial institution designated by the Company (a “</w:t>
      </w:r>
      <w:r>
        <w:rPr>
          <w:rFonts w:ascii="Arial" w:cs="Arial" w:eastAsia="Arial" w:hAnsi="Arial"/>
          <w:sz w:val="19"/>
          <w:szCs w:val="19"/>
          <w:b w:val="1"/>
          <w:bCs w:val="1"/>
          <w:color w:val="auto"/>
        </w:rPr>
        <w:t>Financial Institution</w:t>
      </w:r>
      <w:r>
        <w:rPr>
          <w:rFonts w:ascii="Arial" w:cs="Arial" w:eastAsia="Arial" w:hAnsi="Arial"/>
          <w:sz w:val="19"/>
          <w:szCs w:val="19"/>
          <w:color w:val="auto"/>
        </w:rPr>
        <w:t>”) for exchange in lieu of conversion.</w:t>
      </w:r>
    </w:p>
    <w:p>
      <w:pPr>
        <w:spacing w:after="0" w:line="148" w:lineRule="exact"/>
        <w:rPr>
          <w:sz w:val="20"/>
          <w:szCs w:val="20"/>
          <w:color w:val="auto"/>
        </w:rPr>
      </w:pPr>
    </w:p>
    <w:p>
      <w:pPr>
        <w:ind w:right="320" w:firstLine="807"/>
        <w:spacing w:after="0" w:line="287" w:lineRule="auto"/>
        <w:tabs>
          <w:tab w:leader="none" w:pos="1483"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order to accept any such Notes surrendered for conversion, the Financial Institution must agree to deliver, in exchange for such Notes, shares of Common Stock (and cash in lieu of fractional shares) equal to the consideration due upon conversion under Section 13.01(a), together with any additional shares of Common Stock representing the Fundamental Change Make-Whole Premium pursuant to Section 13.01(e) (the “</w:t>
      </w:r>
      <w:r>
        <w:rPr>
          <w:rFonts w:ascii="Arial" w:cs="Arial" w:eastAsia="Arial" w:hAnsi="Arial"/>
          <w:sz w:val="19"/>
          <w:szCs w:val="19"/>
          <w:b w:val="1"/>
          <w:bCs w:val="1"/>
          <w:color w:val="auto"/>
        </w:rPr>
        <w:t>Exchange Settlement Property</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jc w:val="both"/>
        <w:ind w:right="200" w:firstLine="807"/>
        <w:spacing w:after="0" w:line="238" w:lineRule="auto"/>
        <w:tabs>
          <w:tab w:leader="none" w:pos="1471" w:val="left"/>
        </w:tabs>
        <w:numPr>
          <w:ilvl w:val="0"/>
          <w:numId w:val="89"/>
        </w:numPr>
        <w:rPr>
          <w:rFonts w:ascii="Arial" w:cs="Arial" w:eastAsia="Arial" w:hAnsi="Arial"/>
          <w:sz w:val="22"/>
          <w:szCs w:val="22"/>
          <w:color w:val="auto"/>
        </w:rPr>
      </w:pPr>
      <w:r>
        <w:rPr>
          <w:rFonts w:ascii="Arial" w:cs="Arial" w:eastAsia="Arial" w:hAnsi="Arial"/>
          <w:sz w:val="22"/>
          <w:szCs w:val="22"/>
          <w:color w:val="auto"/>
        </w:rPr>
        <w:t>By the close of business on the second Business Day immediately following the Conversion Date, the Company must notify the Holder surrendering Notes for conversion that it has directed the Financial Institution to make an exchange in lieu of conversion and the Financial Institution shall be required to notify the Conversion Agent whether it will deliver the Exchange Settlement Property upon exchange.</w:t>
      </w:r>
    </w:p>
    <w:p>
      <w:pPr>
        <w:spacing w:after="0" w:line="185" w:lineRule="exact"/>
        <w:rPr>
          <w:rFonts w:ascii="Arial" w:cs="Arial" w:eastAsia="Arial" w:hAnsi="Arial"/>
          <w:sz w:val="22"/>
          <w:szCs w:val="22"/>
          <w:color w:val="auto"/>
        </w:rPr>
      </w:pPr>
    </w:p>
    <w:p>
      <w:pPr>
        <w:ind w:right="720" w:firstLine="807"/>
        <w:spacing w:after="0" w:line="251" w:lineRule="auto"/>
        <w:tabs>
          <w:tab w:leader="none" w:pos="1483" w:val="left"/>
        </w:tabs>
        <w:numPr>
          <w:ilvl w:val="0"/>
          <w:numId w:val="89"/>
        </w:numPr>
        <w:rPr>
          <w:rFonts w:ascii="Arial" w:cs="Arial" w:eastAsia="Arial" w:hAnsi="Arial"/>
          <w:sz w:val="22"/>
          <w:szCs w:val="22"/>
          <w:color w:val="auto"/>
        </w:rPr>
      </w:pPr>
      <w:r>
        <w:rPr>
          <w:rFonts w:ascii="Arial" w:cs="Arial" w:eastAsia="Arial" w:hAnsi="Arial"/>
          <w:sz w:val="22"/>
          <w:szCs w:val="22"/>
          <w:color w:val="auto"/>
        </w:rPr>
        <w:t>If the Financial Institution accepts any such Notes, it shall deliver the Exchange Settlement Property to the Conversion Agent and the Conversion</w:t>
      </w:r>
    </w:p>
    <w:p>
      <w:pPr>
        <w:sectPr>
          <w:pgSz w:w="11900" w:h="16838" w:orient="portrait"/>
          <w:cols w:equalWidth="0" w:num="1">
            <w:col w:w="11420"/>
          </w:cols>
          <w:pgMar w:left="240" w:top="267" w:right="239" w:bottom="1440" w:gutter="0" w:footer="0" w:header="0"/>
        </w:sectPr>
      </w:pPr>
    </w:p>
    <w:bookmarkStart w:id="125" w:name="page126"/>
    <w:bookmarkEnd w:id="125"/>
    <w:p>
      <w:pPr>
        <w:ind w:right="10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shall deliver such Exchange Settlement Property to the applicable Holder no later than the third Business Day following the Conversion Date. Any Notes exchanged by the Financial Institution shall remain Outstanding, subject to Applicable Procedures.</w:t>
      </w:r>
    </w:p>
    <w:p>
      <w:pPr>
        <w:spacing w:after="0" w:line="105" w:lineRule="exact"/>
        <w:rPr>
          <w:sz w:val="20"/>
          <w:szCs w:val="20"/>
          <w:color w:val="auto"/>
        </w:rPr>
      </w:pPr>
    </w:p>
    <w:p>
      <w:pPr>
        <w:ind w:right="340" w:firstLine="807"/>
        <w:spacing w:after="0"/>
        <w:tabs>
          <w:tab w:leader="none" w:pos="1471" w:val="left"/>
        </w:tabs>
        <w:numPr>
          <w:ilvl w:val="0"/>
          <w:numId w:val="90"/>
        </w:numPr>
        <w:rPr>
          <w:rFonts w:ascii="Arial" w:cs="Arial" w:eastAsia="Arial" w:hAnsi="Arial"/>
          <w:sz w:val="22"/>
          <w:szCs w:val="22"/>
          <w:color w:val="auto"/>
        </w:rPr>
      </w:pPr>
      <w:r>
        <w:rPr>
          <w:rFonts w:ascii="Arial" w:cs="Arial" w:eastAsia="Arial" w:hAnsi="Arial"/>
          <w:sz w:val="22"/>
          <w:szCs w:val="22"/>
          <w:color w:val="auto"/>
        </w:rPr>
        <w:t>If the Financial Institution agrees to accept any Notes for exchange but does not timely deliver the related consideration, or if the Financial Institution does not accept the Notes for exchange, the Company shall deliver such conversion consideration as if the Company had not made an exchange election.</w:t>
      </w:r>
    </w:p>
    <w:p>
      <w:pPr>
        <w:spacing w:after="0" w:line="186" w:lineRule="exact"/>
        <w:rPr>
          <w:sz w:val="20"/>
          <w:szCs w:val="20"/>
          <w:color w:val="auto"/>
        </w:rPr>
      </w:pPr>
    </w:p>
    <w:p>
      <w:pPr>
        <w:ind w:right="160" w:firstLine="799"/>
        <w:spacing w:after="0" w:line="297" w:lineRule="auto"/>
        <w:rPr>
          <w:sz w:val="20"/>
          <w:szCs w:val="20"/>
          <w:color w:val="auto"/>
        </w:rPr>
      </w:pPr>
      <w:r>
        <w:rPr>
          <w:rFonts w:ascii="Arial" w:cs="Arial" w:eastAsia="Arial" w:hAnsi="Arial"/>
          <w:sz w:val="19"/>
          <w:szCs w:val="19"/>
          <w:color w:val="auto"/>
        </w:rPr>
        <w:t>The Company’s designation of the Financial Institution to which the Notes may be submitted for exchange does not require the Financial Institution to accept any Notes. The Company shall not pay any consideration to, or otherwise enter into any agreement with, the financial institution designated as the Financial Institution for or with respect to such designation.</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14</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EDEMPTION</w:t>
      </w:r>
      <w:r>
        <w:rPr>
          <w:rFonts w:ascii="Arial" w:cs="Arial" w:eastAsia="Arial" w:hAnsi="Arial"/>
          <w:sz w:val="22"/>
          <w:szCs w:val="22"/>
          <w:color w:val="auto"/>
        </w:rPr>
        <w:t xml:space="preserve"> O</w:t>
      </w:r>
      <w:r>
        <w:rPr>
          <w:rFonts w:ascii="Arial" w:cs="Arial" w:eastAsia="Arial" w:hAnsi="Arial"/>
          <w:sz w:val="18"/>
          <w:szCs w:val="18"/>
          <w:color w:val="auto"/>
        </w:rPr>
        <w:t>F</w:t>
      </w:r>
      <w:r>
        <w:rPr>
          <w:rFonts w:ascii="Arial" w:cs="Arial" w:eastAsia="Arial" w:hAnsi="Arial"/>
          <w:sz w:val="22"/>
          <w:szCs w:val="22"/>
          <w:color w:val="auto"/>
        </w:rPr>
        <w:t xml:space="preserve"> N</w:t>
      </w:r>
      <w:r>
        <w:rPr>
          <w:rFonts w:ascii="Arial" w:cs="Arial" w:eastAsia="Arial" w:hAnsi="Arial"/>
          <w:sz w:val="18"/>
          <w:szCs w:val="18"/>
          <w:color w:val="auto"/>
        </w:rPr>
        <w:t>OTES</w:t>
      </w:r>
    </w:p>
    <w:p>
      <w:pPr>
        <w:spacing w:after="0" w:line="188" w:lineRule="exact"/>
        <w:rPr>
          <w:sz w:val="20"/>
          <w:szCs w:val="20"/>
          <w:color w:val="auto"/>
        </w:rPr>
      </w:pPr>
    </w:p>
    <w:p>
      <w:pPr>
        <w:ind w:right="20" w:firstLine="799"/>
        <w:spacing w:after="0" w:line="236" w:lineRule="auto"/>
        <w:rPr>
          <w:sz w:val="20"/>
          <w:szCs w:val="20"/>
          <w:color w:val="auto"/>
        </w:rPr>
      </w:pPr>
      <w:r>
        <w:rPr>
          <w:rFonts w:ascii="Arial" w:cs="Arial" w:eastAsia="Arial" w:hAnsi="Arial"/>
          <w:sz w:val="22"/>
          <w:szCs w:val="22"/>
          <w:i w:val="1"/>
          <w:iCs w:val="1"/>
          <w:color w:val="auto"/>
        </w:rPr>
        <w:t xml:space="preserve">Section 14.01. Right to Redeem. </w:t>
      </w:r>
      <w:r>
        <w:rPr>
          <w:rFonts w:ascii="Arial" w:cs="Arial" w:eastAsia="Arial" w:hAnsi="Arial"/>
          <w:sz w:val="22"/>
          <w:szCs w:val="22"/>
          <w:color w:val="auto"/>
        </w:rPr>
        <w:t>(a) No sinking fund is provided for the Notes. On or after the date that is one year</w:t>
      </w:r>
      <w:r>
        <w:rPr>
          <w:rFonts w:ascii="Arial" w:cs="Arial" w:eastAsia="Arial" w:hAnsi="Arial"/>
          <w:sz w:val="22"/>
          <w:szCs w:val="22"/>
          <w:i w:val="1"/>
          <w:iCs w:val="1"/>
          <w:color w:val="auto"/>
        </w:rPr>
        <w:t xml:space="preserve"> </w:t>
      </w:r>
      <w:r>
        <w:rPr>
          <w:rFonts w:ascii="Arial" w:cs="Arial" w:eastAsia="Arial" w:hAnsi="Arial"/>
          <w:sz w:val="22"/>
          <w:szCs w:val="22"/>
          <w:color w:val="auto"/>
        </w:rPr>
        <w:t>following the original Issue Date of the Notes, the Notes may be redeemed for cash in whole or in part at the option of the Company if the Last Reported Sale Price of the Common Stock is greater than or equal to 130% of the Conversion Price on at least 20 Trading Days during any 30 consecutive Trading Day period ending on the date on which the Company mailed the Notice of Redemption.</w:t>
      </w:r>
    </w:p>
    <w:p>
      <w:pPr>
        <w:spacing w:after="0" w:line="182" w:lineRule="exact"/>
        <w:rPr>
          <w:sz w:val="20"/>
          <w:szCs w:val="20"/>
          <w:color w:val="auto"/>
        </w:rPr>
      </w:pPr>
    </w:p>
    <w:p>
      <w:pPr>
        <w:ind w:firstLine="807"/>
        <w:spacing w:after="0" w:line="278" w:lineRule="auto"/>
        <w:tabs>
          <w:tab w:leader="none" w:pos="1479"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price at which the Notes are redeemable (the “</w:t>
      </w:r>
      <w:r>
        <w:rPr>
          <w:rFonts w:ascii="Arial" w:cs="Arial" w:eastAsia="Arial" w:hAnsi="Arial"/>
          <w:sz w:val="19"/>
          <w:szCs w:val="19"/>
          <w:b w:val="1"/>
          <w:bCs w:val="1"/>
          <w:color w:val="auto"/>
        </w:rPr>
        <w:t>Redemption Price</w:t>
      </w:r>
      <w:r>
        <w:rPr>
          <w:rFonts w:ascii="Arial" w:cs="Arial" w:eastAsia="Arial" w:hAnsi="Arial"/>
          <w:sz w:val="19"/>
          <w:szCs w:val="19"/>
          <w:color w:val="auto"/>
        </w:rPr>
        <w:t xml:space="preserve">”) shall be equal to (i) 100% of the principal amount of Notes to be redeemed,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accrued and unpaid interest (including any Special Interest and Additional Interest), if any, to, but excluding, the date of redemption (the “</w:t>
      </w:r>
      <w:r>
        <w:rPr>
          <w:rFonts w:ascii="Arial" w:cs="Arial" w:eastAsia="Arial" w:hAnsi="Arial"/>
          <w:sz w:val="19"/>
          <w:szCs w:val="19"/>
          <w:b w:val="1"/>
          <w:bCs w:val="1"/>
          <w:color w:val="auto"/>
        </w:rPr>
        <w:t>Redemption Date</w:t>
      </w:r>
      <w:r>
        <w:rPr>
          <w:rFonts w:ascii="Arial" w:cs="Arial" w:eastAsia="Arial" w:hAnsi="Arial"/>
          <w:sz w:val="19"/>
          <w:szCs w:val="19"/>
          <w:color w:val="auto"/>
        </w:rPr>
        <w:t>”); provided that if the Redemption Date occurs after a Regular Record Date and on or prior to the corresponding Interest Payment Date, the Company will pay the full amount of accrued and unpaid interest due on such Interest Payment Date to the record Holder of the Notes on the Regular Record Date corresponding to such Interest Payment Date, subject to Applicable Procedures, and the Redemption Price payable to the Holder who presents a Note for redemption will be equal to 100% of the principal amount of such Notes.</w:t>
      </w:r>
    </w:p>
    <w:p>
      <w:pPr>
        <w:spacing w:after="0" w:line="152" w:lineRule="exact"/>
        <w:rPr>
          <w:rFonts w:ascii="Arial" w:cs="Arial" w:eastAsia="Arial" w:hAnsi="Arial"/>
          <w:sz w:val="19"/>
          <w:szCs w:val="19"/>
          <w:color w:val="auto"/>
        </w:rPr>
      </w:pPr>
    </w:p>
    <w:p>
      <w:pPr>
        <w:ind w:right="40" w:firstLine="807"/>
        <w:spacing w:after="0"/>
        <w:tabs>
          <w:tab w:leader="none" w:pos="1467"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Company may not redeem any Notes unless all accrued and unpaid interest (including Special Interest and Additional Interest, if applicable) thereon has been or is simultaneously paid for all interest periods ending prior to the Redemption Date.</w:t>
      </w:r>
    </w:p>
    <w:p>
      <w:pPr>
        <w:sectPr>
          <w:pgSz w:w="11900" w:h="16838" w:orient="portrait"/>
          <w:cols w:equalWidth="0" w:num="1">
            <w:col w:w="11380"/>
          </w:cols>
          <w:pgMar w:left="240" w:top="267" w:right="279" w:bottom="1440" w:gutter="0" w:footer="0" w:header="0"/>
        </w:sectPr>
      </w:pPr>
    </w:p>
    <w:bookmarkStart w:id="126" w:name="page127"/>
    <w:bookmarkEnd w:id="126"/>
    <w:p>
      <w:pPr>
        <w:ind w:right="20" w:firstLine="807"/>
        <w:spacing w:after="0" w:line="248" w:lineRule="auto"/>
        <w:tabs>
          <w:tab w:leader="none" w:pos="1483" w:val="left"/>
        </w:tabs>
        <w:numPr>
          <w:ilvl w:val="0"/>
          <w:numId w:val="92"/>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Holder surrenders a Note for conversion during the period from the Close of Business on a Regular Record Date to the Open of Business on the corresponding Interest Payment Date, such Holder must accompany such Note with an amount of cash equal to the amount of interest that will be payable on such Note on the corresponding Interest Payment Date; provided, however, that a Holder need not make such payment if the Company has specified a Redemption Date that is after a Regular Record Date and on or prior to the corresponding Interest Payment Date, as set forth under Section 13.02, regardless of whether such Holders are the Holders of record on such Regular Record Date.</w:t>
      </w:r>
    </w:p>
    <w:p>
      <w:pPr>
        <w:spacing w:after="0" w:line="177" w:lineRule="exact"/>
        <w:rPr>
          <w:sz w:val="20"/>
          <w:szCs w:val="20"/>
          <w:color w:val="auto"/>
        </w:rPr>
      </w:pPr>
    </w:p>
    <w:p>
      <w:pPr>
        <w:ind w:right="40" w:firstLine="799"/>
        <w:spacing w:after="0" w:line="252" w:lineRule="auto"/>
        <w:rPr>
          <w:sz w:val="20"/>
          <w:szCs w:val="20"/>
          <w:color w:val="auto"/>
        </w:rPr>
      </w:pPr>
      <w:r>
        <w:rPr>
          <w:rFonts w:ascii="Arial" w:cs="Arial" w:eastAsia="Arial" w:hAnsi="Arial"/>
          <w:sz w:val="21"/>
          <w:szCs w:val="21"/>
          <w:i w:val="1"/>
          <w:iCs w:val="1"/>
          <w:color w:val="auto"/>
        </w:rPr>
        <w:t xml:space="preserve">Section 14.02. Selection of Notes to be Redeemed. </w:t>
      </w:r>
      <w:r>
        <w:rPr>
          <w:rFonts w:ascii="Arial" w:cs="Arial" w:eastAsia="Arial" w:hAnsi="Arial"/>
          <w:sz w:val="21"/>
          <w:szCs w:val="21"/>
          <w:color w:val="auto"/>
        </w:rPr>
        <w:t>If less than all the Notes are to be redeemed, the Trustee shall select the</w:t>
      </w:r>
      <w:r>
        <w:rPr>
          <w:rFonts w:ascii="Arial" w:cs="Arial" w:eastAsia="Arial" w:hAnsi="Arial"/>
          <w:sz w:val="21"/>
          <w:szCs w:val="21"/>
          <w:i w:val="1"/>
          <w:iCs w:val="1"/>
          <w:color w:val="auto"/>
        </w:rPr>
        <w:t xml:space="preserve"> </w:t>
      </w:r>
      <w:r>
        <w:rPr>
          <w:rFonts w:ascii="Arial" w:cs="Arial" w:eastAsia="Arial" w:hAnsi="Arial"/>
          <w:sz w:val="21"/>
          <w:szCs w:val="21"/>
          <w:color w:val="auto"/>
        </w:rPr>
        <w:t>Notes to be redeemed by lot, or on a pro rata basis and in accordance with Applicable Procedures for Global Notes. The Trustee shall make the selection within seven Business Days from its receipt of the notice from the Company delivered pursuant to Section 14.03 from Outstanding Notes not previously called for redemption.</w:t>
      </w:r>
    </w:p>
    <w:p>
      <w:pPr>
        <w:spacing w:after="0" w:line="174" w:lineRule="exact"/>
        <w:rPr>
          <w:sz w:val="20"/>
          <w:szCs w:val="20"/>
          <w:color w:val="auto"/>
        </w:rPr>
      </w:pPr>
    </w:p>
    <w:p>
      <w:pPr>
        <w:ind w:right="180" w:firstLine="799"/>
        <w:spacing w:after="0" w:line="297" w:lineRule="auto"/>
        <w:rPr>
          <w:sz w:val="20"/>
          <w:szCs w:val="20"/>
          <w:color w:val="auto"/>
        </w:rPr>
      </w:pPr>
      <w:r>
        <w:rPr>
          <w:rFonts w:ascii="Arial" w:cs="Arial" w:eastAsia="Arial" w:hAnsi="Arial"/>
          <w:sz w:val="19"/>
          <w:szCs w:val="19"/>
          <w:color w:val="auto"/>
        </w:rPr>
        <w:t>Notes and portions of Notes the Trustee selects shall be in principal amounts of $1,000 or in integral multiples of $1,000 in excess thereof. Provisions of this Indenture that apply to Notes called for redemption in whole also apply to Notes called for redemption in part. The Trustee shall notify the Company promptly of the Notes or portions of Notes to be redeemed.</w:t>
      </w:r>
    </w:p>
    <w:p>
      <w:pPr>
        <w:spacing w:after="0" w:line="134" w:lineRule="exact"/>
        <w:rPr>
          <w:sz w:val="20"/>
          <w:szCs w:val="20"/>
          <w:color w:val="auto"/>
        </w:rPr>
      </w:pPr>
    </w:p>
    <w:p>
      <w:pPr>
        <w:ind w:right="140" w:firstLine="799"/>
        <w:spacing w:after="0" w:line="238" w:lineRule="auto"/>
        <w:rPr>
          <w:sz w:val="20"/>
          <w:szCs w:val="20"/>
          <w:color w:val="auto"/>
        </w:rPr>
      </w:pPr>
      <w:r>
        <w:rPr>
          <w:rFonts w:ascii="Arial" w:cs="Arial" w:eastAsia="Arial" w:hAnsi="Arial"/>
          <w:sz w:val="22"/>
          <w:szCs w:val="22"/>
          <w:color w:val="auto"/>
        </w:rPr>
        <w:t>If any portion of a Holder’s Notes are selected for partial redemption and such Holder converts a portion of its Notes, the converted portion of such Notes shall be deemed (so far as may be) to be from the portion selected for redemption. Notes which have been converted during a selection of Notes to be redeemed may be treated by the Trustee as Outstanding for the purpose of such selection.</w:t>
      </w:r>
    </w:p>
    <w:p>
      <w:pPr>
        <w:spacing w:after="0" w:line="185" w:lineRule="exact"/>
        <w:rPr>
          <w:sz w:val="20"/>
          <w:szCs w:val="20"/>
          <w:color w:val="auto"/>
        </w:rPr>
      </w:pPr>
    </w:p>
    <w:p>
      <w:pPr>
        <w:ind w:firstLine="799"/>
        <w:spacing w:after="0" w:line="236" w:lineRule="auto"/>
        <w:rPr>
          <w:sz w:val="20"/>
          <w:szCs w:val="20"/>
          <w:color w:val="auto"/>
        </w:rPr>
      </w:pPr>
      <w:r>
        <w:rPr>
          <w:rFonts w:ascii="Arial" w:cs="Arial" w:eastAsia="Arial" w:hAnsi="Arial"/>
          <w:sz w:val="22"/>
          <w:szCs w:val="22"/>
          <w:i w:val="1"/>
          <w:iCs w:val="1"/>
          <w:color w:val="auto"/>
        </w:rPr>
        <w:t xml:space="preserve">Section 14.03. Notice of Redemption. </w:t>
      </w:r>
      <w:r>
        <w:rPr>
          <w:rFonts w:ascii="Arial" w:cs="Arial" w:eastAsia="Arial" w:hAnsi="Arial"/>
          <w:sz w:val="22"/>
          <w:szCs w:val="22"/>
          <w:color w:val="auto"/>
        </w:rPr>
        <w:t>At least 30 days but not more than 60 days before a Redemption Date,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or at the Company’s request, the Trustee, shall mail a notice of redemption by first-class mail, postage prepaid (or in accordance with Applicable Procedures), to the Trustee, the Paying Agent and each Holder of Notes to be redeemed (the “</w:t>
      </w:r>
      <w:r>
        <w:rPr>
          <w:rFonts w:ascii="Arial" w:cs="Arial" w:eastAsia="Arial" w:hAnsi="Arial"/>
          <w:sz w:val="22"/>
          <w:szCs w:val="22"/>
          <w:b w:val="1"/>
          <w:bCs w:val="1"/>
          <w:color w:val="auto"/>
        </w:rPr>
        <w:t>Notice of</w:t>
      </w:r>
      <w:r>
        <w:rPr>
          <w:rFonts w:ascii="Arial" w:cs="Arial" w:eastAsia="Arial" w:hAnsi="Arial"/>
          <w:sz w:val="22"/>
          <w:szCs w:val="22"/>
          <w:color w:val="auto"/>
        </w:rPr>
        <w:t xml:space="preserve"> </w:t>
      </w:r>
      <w:r>
        <w:rPr>
          <w:rFonts w:ascii="Arial" w:cs="Arial" w:eastAsia="Arial" w:hAnsi="Arial"/>
          <w:sz w:val="22"/>
          <w:szCs w:val="22"/>
          <w:b w:val="1"/>
          <w:bCs w:val="1"/>
          <w:color w:val="auto"/>
        </w:rPr>
        <w:t>Redemption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Company may not deliver any such notice to any Holder of Notes at any time when</w:t>
      </w:r>
      <w:r>
        <w:rPr>
          <w:rFonts w:ascii="Arial" w:cs="Arial" w:eastAsia="Arial" w:hAnsi="Arial"/>
          <w:sz w:val="22"/>
          <w:szCs w:val="22"/>
          <w:b w:val="1"/>
          <w:bCs w:val="1"/>
          <w:color w:val="auto"/>
        </w:rPr>
        <w:t xml:space="preserve"> </w:t>
      </w:r>
      <w:r>
        <w:rPr>
          <w:rFonts w:ascii="Arial" w:cs="Arial" w:eastAsia="Arial" w:hAnsi="Arial"/>
          <w:sz w:val="22"/>
          <w:szCs w:val="22"/>
          <w:color w:val="auto"/>
        </w:rPr>
        <w:t>there exists any accrued and unpaid Defaulted Interest.</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1"/>
          <w:szCs w:val="21"/>
          <w:color w:val="auto"/>
        </w:rPr>
        <w:t>The Notice of Redemption shall specify the Notes (including CUSIP numbers) to be redeemed and shall state:</w:t>
      </w:r>
    </w:p>
    <w:p>
      <w:pPr>
        <w:spacing w:after="0" w:line="218" w:lineRule="exact"/>
        <w:rPr>
          <w:sz w:val="20"/>
          <w:szCs w:val="20"/>
          <w:color w:val="auto"/>
        </w:rPr>
      </w:pPr>
    </w:p>
    <w:p>
      <w:pPr>
        <w:ind w:left="2300" w:hanging="750"/>
        <w:spacing w:after="0"/>
        <w:tabs>
          <w:tab w:leader="none" w:pos="23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auto"/>
        </w:rPr>
      </w:pPr>
    </w:p>
    <w:p>
      <w:pPr>
        <w:ind w:left="2300" w:hanging="750"/>
        <w:spacing w:after="0"/>
        <w:tabs>
          <w:tab w:leader="none" w:pos="23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06" w:lineRule="exact"/>
        <w:rPr>
          <w:rFonts w:ascii="Arial" w:cs="Arial" w:eastAsia="Arial" w:hAnsi="Arial"/>
          <w:sz w:val="22"/>
          <w:szCs w:val="22"/>
          <w:color w:val="auto"/>
        </w:rPr>
      </w:pPr>
    </w:p>
    <w:p>
      <w:pPr>
        <w:ind w:left="2300" w:hanging="750"/>
        <w:spacing w:after="0"/>
        <w:tabs>
          <w:tab w:leader="none" w:pos="23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applicable Conversion Rate and any adjustments thereto;</w:t>
      </w:r>
    </w:p>
    <w:p>
      <w:pPr>
        <w:sectPr>
          <w:pgSz w:w="11900" w:h="16838" w:orient="portrait"/>
          <w:cols w:equalWidth="0" w:num="1">
            <w:col w:w="11400"/>
          </w:cols>
          <w:pgMar w:left="240" w:top="267" w:right="259" w:bottom="1440" w:gutter="0" w:footer="0" w:header="0"/>
        </w:sectPr>
      </w:pPr>
    </w:p>
    <w:bookmarkStart w:id="127" w:name="page128"/>
    <w:bookmarkEnd w:id="127"/>
    <w:p>
      <w:pPr>
        <w:ind w:left="2300" w:hanging="750"/>
        <w:spacing w:after="0"/>
        <w:tabs>
          <w:tab w:leader="none" w:pos="2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name and address of the Paying Agent and Conversion Agent; and</w:t>
      </w:r>
    </w:p>
    <w:p>
      <w:pPr>
        <w:spacing w:after="0" w:line="206" w:lineRule="exact"/>
        <w:rPr>
          <w:rFonts w:ascii="Arial" w:cs="Arial" w:eastAsia="Arial" w:hAnsi="Arial"/>
          <w:sz w:val="22"/>
          <w:szCs w:val="22"/>
          <w:color w:val="auto"/>
        </w:rPr>
      </w:pPr>
    </w:p>
    <w:p>
      <w:pPr>
        <w:ind w:left="2280" w:hanging="730"/>
        <w:spacing w:after="0"/>
        <w:tabs>
          <w:tab w:leader="none" w:pos="22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procedures a Holder must follow to exercise rights under Article 15.</w:t>
      </w:r>
    </w:p>
    <w:p>
      <w:pPr>
        <w:spacing w:after="0" w:line="206" w:lineRule="exact"/>
        <w:rPr>
          <w:sz w:val="20"/>
          <w:szCs w:val="20"/>
          <w:color w:val="auto"/>
        </w:rPr>
      </w:pPr>
    </w:p>
    <w:p>
      <w:pPr>
        <w:ind w:right="600" w:firstLine="799"/>
        <w:spacing w:after="0"/>
        <w:rPr>
          <w:sz w:val="20"/>
          <w:szCs w:val="20"/>
          <w:color w:val="auto"/>
        </w:rPr>
      </w:pPr>
      <w:r>
        <w:rPr>
          <w:rFonts w:ascii="Arial" w:cs="Arial" w:eastAsia="Arial" w:hAnsi="Arial"/>
          <w:sz w:val="22"/>
          <w:szCs w:val="22"/>
          <w:color w:val="auto"/>
        </w:rPr>
        <w:t>At the Company’s written request delivered at least 45 days prior to the Redemption Date (unless a shorter period is agreed to by the Trustee), the Trustee shall give the Notice of Redemption to each Holder of Notes to be redeemed in the Company’s name and at the Company’s expense.</w:t>
      </w:r>
    </w:p>
    <w:p>
      <w:pPr>
        <w:spacing w:after="0" w:line="186" w:lineRule="exact"/>
        <w:rPr>
          <w:sz w:val="20"/>
          <w:szCs w:val="20"/>
          <w:color w:val="auto"/>
        </w:rPr>
      </w:pPr>
    </w:p>
    <w:p>
      <w:pPr>
        <w:ind w:right="80" w:firstLine="799"/>
        <w:spacing w:after="0" w:line="238" w:lineRule="auto"/>
        <w:rPr>
          <w:sz w:val="20"/>
          <w:szCs w:val="20"/>
          <w:color w:val="auto"/>
        </w:rPr>
      </w:pPr>
      <w:r>
        <w:rPr>
          <w:rFonts w:ascii="Arial" w:cs="Arial" w:eastAsia="Arial" w:hAnsi="Arial"/>
          <w:sz w:val="22"/>
          <w:szCs w:val="22"/>
          <w:i w:val="1"/>
          <w:iCs w:val="1"/>
          <w:color w:val="auto"/>
        </w:rPr>
        <w:t xml:space="preserve">Section 14.04. Effect of Notice of Redemption. </w:t>
      </w:r>
      <w:r>
        <w:rPr>
          <w:rFonts w:ascii="Arial" w:cs="Arial" w:eastAsia="Arial" w:hAnsi="Arial"/>
          <w:sz w:val="22"/>
          <w:szCs w:val="22"/>
          <w:color w:val="auto"/>
        </w:rPr>
        <w:t>Once Notice of Redemption is given, Notes called for redemption become</w:t>
      </w:r>
      <w:r>
        <w:rPr>
          <w:rFonts w:ascii="Arial" w:cs="Arial" w:eastAsia="Arial" w:hAnsi="Arial"/>
          <w:sz w:val="22"/>
          <w:szCs w:val="22"/>
          <w:i w:val="1"/>
          <w:iCs w:val="1"/>
          <w:color w:val="auto"/>
        </w:rPr>
        <w:t xml:space="preserve"> </w:t>
      </w:r>
      <w:r>
        <w:rPr>
          <w:rFonts w:ascii="Arial" w:cs="Arial" w:eastAsia="Arial" w:hAnsi="Arial"/>
          <w:sz w:val="22"/>
          <w:szCs w:val="22"/>
          <w:color w:val="auto"/>
        </w:rPr>
        <w:t>due and payable on the Redemption Date and at the Redemption Price stated in the notice except for Notes that are converted in accordance with the terms of this Indenture. Upon surrender to the Paying Agent, such Notes shall be paid at the Redemption Price stated in the notice.</w:t>
      </w:r>
    </w:p>
    <w:p>
      <w:pPr>
        <w:spacing w:after="0" w:line="185" w:lineRule="exact"/>
        <w:rPr>
          <w:sz w:val="20"/>
          <w:szCs w:val="20"/>
          <w:color w:val="auto"/>
        </w:rPr>
      </w:pPr>
    </w:p>
    <w:p>
      <w:pPr>
        <w:ind w:firstLine="799"/>
        <w:spacing w:after="0" w:line="248" w:lineRule="auto"/>
        <w:rPr>
          <w:sz w:val="20"/>
          <w:szCs w:val="20"/>
          <w:color w:val="auto"/>
        </w:rPr>
      </w:pPr>
      <w:r>
        <w:rPr>
          <w:rFonts w:ascii="Arial" w:cs="Arial" w:eastAsia="Arial" w:hAnsi="Arial"/>
          <w:sz w:val="21"/>
          <w:szCs w:val="21"/>
          <w:i w:val="1"/>
          <w:iCs w:val="1"/>
          <w:color w:val="auto"/>
        </w:rPr>
        <w:t xml:space="preserve">Section 14.05. Deposit of Redemption Price. </w:t>
      </w:r>
      <w:r>
        <w:rPr>
          <w:rFonts w:ascii="Arial" w:cs="Arial" w:eastAsia="Arial" w:hAnsi="Arial"/>
          <w:sz w:val="21"/>
          <w:szCs w:val="21"/>
          <w:color w:val="auto"/>
        </w:rPr>
        <w:t>Prior to 10:00 a.m. (New York City time) on or prior to the Redemption Date,</w:t>
      </w:r>
      <w:r>
        <w:rPr>
          <w:rFonts w:ascii="Arial" w:cs="Arial" w:eastAsia="Arial" w:hAnsi="Arial"/>
          <w:sz w:val="21"/>
          <w:szCs w:val="21"/>
          <w:i w:val="1"/>
          <w:iCs w:val="1"/>
          <w:color w:val="auto"/>
        </w:rPr>
        <w:t xml:space="preserve"> </w:t>
      </w:r>
      <w:r>
        <w:rPr>
          <w:rFonts w:ascii="Arial" w:cs="Arial" w:eastAsia="Arial" w:hAnsi="Arial"/>
          <w:sz w:val="21"/>
          <w:szCs w:val="21"/>
          <w:color w:val="auto"/>
        </w:rPr>
        <w:t>the Company shall deposit with the Trustee or with the Paying Agent (or, if the Company or a Subsidiary of the Company or an Affiliate of either of them is acting as the Paying Agent, shall segregate and hold in trust as provided in Section 7.06) an amount of money (in immediately available funds if deposited on such Redemption Date) and shares of Common Stock, if any, sufficient (as determined by the Company) to pay the aggregate Redemption Price of all the Notes or portions thereof which are to be redeemed as of the Redemption Date.</w:t>
      </w:r>
    </w:p>
    <w:p>
      <w:pPr>
        <w:spacing w:after="0" w:line="177" w:lineRule="exact"/>
        <w:rPr>
          <w:sz w:val="20"/>
          <w:szCs w:val="20"/>
          <w:color w:val="auto"/>
        </w:rPr>
      </w:pPr>
    </w:p>
    <w:p>
      <w:pPr>
        <w:ind w:right="20" w:firstLine="799"/>
        <w:spacing w:after="0" w:line="236" w:lineRule="auto"/>
        <w:rPr>
          <w:sz w:val="20"/>
          <w:szCs w:val="20"/>
          <w:color w:val="auto"/>
        </w:rPr>
      </w:pPr>
      <w:r>
        <w:rPr>
          <w:rFonts w:ascii="Arial" w:cs="Arial" w:eastAsia="Arial" w:hAnsi="Arial"/>
          <w:sz w:val="22"/>
          <w:szCs w:val="22"/>
          <w:color w:val="auto"/>
        </w:rPr>
        <w:t>If the Paying Agent holds money and shares of Common Stock, if any,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188" w:lineRule="exact"/>
        <w:rPr>
          <w:sz w:val="20"/>
          <w:szCs w:val="20"/>
          <w:color w:val="auto"/>
        </w:rPr>
      </w:pPr>
    </w:p>
    <w:p>
      <w:pPr>
        <w:ind w:right="40" w:firstLine="799"/>
        <w:spacing w:after="0" w:line="282" w:lineRule="auto"/>
        <w:rPr>
          <w:sz w:val="20"/>
          <w:szCs w:val="20"/>
          <w:color w:val="auto"/>
        </w:rPr>
      </w:pPr>
      <w:r>
        <w:rPr>
          <w:rFonts w:ascii="Arial" w:cs="Arial" w:eastAsia="Arial" w:hAnsi="Arial"/>
          <w:sz w:val="19"/>
          <w:szCs w:val="19"/>
          <w:i w:val="1"/>
          <w:iCs w:val="1"/>
          <w:color w:val="auto"/>
        </w:rPr>
        <w:t xml:space="preserve">Section 14.06. Notes Redeemed in Part. </w:t>
      </w:r>
      <w:r>
        <w:rPr>
          <w:rFonts w:ascii="Arial" w:cs="Arial" w:eastAsia="Arial" w:hAnsi="Arial"/>
          <w:sz w:val="19"/>
          <w:szCs w:val="19"/>
          <w:color w:val="auto"/>
        </w:rPr>
        <w:t>(a) Any Note which is to be redeemed only in part shall be surrendered at the</w:t>
      </w:r>
      <w:r>
        <w:rPr>
          <w:rFonts w:ascii="Arial" w:cs="Arial" w:eastAsia="Arial" w:hAnsi="Arial"/>
          <w:sz w:val="19"/>
          <w:szCs w:val="19"/>
          <w:i w:val="1"/>
          <w:iCs w:val="1"/>
          <w:color w:val="auto"/>
        </w:rPr>
        <w:t xml:space="preserve"> </w:t>
      </w:r>
      <w:r>
        <w:rPr>
          <w:rFonts w:ascii="Arial" w:cs="Arial" w:eastAsia="Arial" w:hAnsi="Arial"/>
          <w:sz w:val="19"/>
          <w:szCs w:val="19"/>
          <w:color w:val="auto"/>
        </w:rPr>
        <w:t>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upon Company Order, the Trustee shall authenticate and deliver to the Holder of such Note, without service charge, a new Note or Notes, of any authorized denomination as requested by such Holder</w:t>
      </w:r>
    </w:p>
    <w:p>
      <w:pPr>
        <w:sectPr>
          <w:pgSz w:w="11900" w:h="16838" w:orient="portrait"/>
          <w:cols w:equalWidth="0" w:num="1">
            <w:col w:w="11420"/>
          </w:cols>
          <w:pgMar w:left="240" w:top="267" w:right="239" w:bottom="1440" w:gutter="0" w:footer="0" w:header="0"/>
        </w:sectPr>
      </w:pPr>
    </w:p>
    <w:bookmarkStart w:id="128" w:name="page129"/>
    <w:bookmarkEnd w:id="128"/>
    <w:p>
      <w:pPr>
        <w:ind w:right="20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aggregate principal amount equal to, and in exchange for, the portion of the principal amount of the Note so surrendered that is not redeemed.</w:t>
      </w:r>
    </w:p>
    <w:p>
      <w:pPr>
        <w:spacing w:after="0" w:line="173" w:lineRule="exact"/>
        <w:rPr>
          <w:sz w:val="20"/>
          <w:szCs w:val="20"/>
          <w:color w:val="auto"/>
        </w:rPr>
      </w:pPr>
    </w:p>
    <w:p>
      <w:pPr>
        <w:ind w:right="20" w:firstLine="807"/>
        <w:spacing w:after="0" w:line="236" w:lineRule="auto"/>
        <w:tabs>
          <w:tab w:leader="none" w:pos="1483"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 the event of any redemption of any Note in part, the Company shall not be required to (i) issue, register the transfer of or exchange, pursuant to Section 2.05 or Section 2.06, any Notes during a period beginning at the open of business 15 days before the mailing of a Notice of Redemption and ending at the close of business on the day of such mailing or (ii) register the transfer of or exchange, pursuant to Section 2.05, any Notes so selected for redemption, in whole or in part, except the portion of such Notes not being redeemed.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15</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EPURCHASE</w:t>
      </w:r>
      <w:r>
        <w:rPr>
          <w:rFonts w:ascii="Arial" w:cs="Arial" w:eastAsia="Arial" w:hAnsi="Arial"/>
          <w:sz w:val="22"/>
          <w:szCs w:val="22"/>
          <w:color w:val="auto"/>
        </w:rPr>
        <w:t xml:space="preserve"> O</w:t>
      </w:r>
      <w:r>
        <w:rPr>
          <w:rFonts w:ascii="Arial" w:cs="Arial" w:eastAsia="Arial" w:hAnsi="Arial"/>
          <w:sz w:val="18"/>
          <w:szCs w:val="18"/>
          <w:color w:val="auto"/>
        </w:rPr>
        <w:t>F</w:t>
      </w:r>
      <w:r>
        <w:rPr>
          <w:rFonts w:ascii="Arial" w:cs="Arial" w:eastAsia="Arial" w:hAnsi="Arial"/>
          <w:sz w:val="22"/>
          <w:szCs w:val="22"/>
          <w:color w:val="auto"/>
        </w:rPr>
        <w:t xml:space="preserve"> N</w:t>
      </w:r>
      <w:r>
        <w:rPr>
          <w:rFonts w:ascii="Arial" w:cs="Arial" w:eastAsia="Arial" w:hAnsi="Arial"/>
          <w:sz w:val="18"/>
          <w:szCs w:val="18"/>
          <w:color w:val="auto"/>
        </w:rPr>
        <w:t>OTES</w:t>
      </w:r>
    </w:p>
    <w:p>
      <w:pPr>
        <w:spacing w:after="0" w:line="188" w:lineRule="exact"/>
        <w:rPr>
          <w:sz w:val="20"/>
          <w:szCs w:val="20"/>
          <w:color w:val="auto"/>
        </w:rPr>
      </w:pPr>
    </w:p>
    <w:p>
      <w:pPr>
        <w:ind w:firstLine="799"/>
        <w:spacing w:after="0" w:line="275" w:lineRule="auto"/>
        <w:rPr>
          <w:sz w:val="20"/>
          <w:szCs w:val="20"/>
          <w:color w:val="auto"/>
        </w:rPr>
      </w:pPr>
      <w:r>
        <w:rPr>
          <w:rFonts w:ascii="Arial" w:cs="Arial" w:eastAsia="Arial" w:hAnsi="Arial"/>
          <w:sz w:val="19"/>
          <w:szCs w:val="19"/>
          <w:i w:val="1"/>
          <w:iCs w:val="1"/>
          <w:color w:val="auto"/>
        </w:rPr>
        <w:t xml:space="preserve">Section 15.01. Repurchase of Notes at Option of the Holder Upon a Fundamental Change. </w:t>
      </w:r>
      <w:r>
        <w:rPr>
          <w:rFonts w:ascii="Arial" w:cs="Arial" w:eastAsia="Arial" w:hAnsi="Arial"/>
          <w:sz w:val="19"/>
          <w:szCs w:val="19"/>
          <w:color w:val="auto"/>
        </w:rPr>
        <w:t>(a) If a Fundamental Change</w:t>
      </w:r>
      <w:r>
        <w:rPr>
          <w:rFonts w:ascii="Arial" w:cs="Arial" w:eastAsia="Arial" w:hAnsi="Arial"/>
          <w:sz w:val="19"/>
          <w:szCs w:val="19"/>
          <w:i w:val="1"/>
          <w:iCs w:val="1"/>
          <w:color w:val="auto"/>
        </w:rPr>
        <w:t xml:space="preserve"> </w:t>
      </w:r>
      <w:r>
        <w:rPr>
          <w:rFonts w:ascii="Arial" w:cs="Arial" w:eastAsia="Arial" w:hAnsi="Arial"/>
          <w:sz w:val="19"/>
          <w:szCs w:val="19"/>
          <w:color w:val="auto"/>
        </w:rPr>
        <w:t>occurs prior to the Maturity Date, each Holder of a Note shall have the right, at the option of the Holder, to require the Company to repurchase all or any portion of the Notes of such Holder equal to $1,000 principal amount (or an integral multiple thereof) at the Fundamental Change Purchase Price, on the date specified by the Company that is not less than 20 days and not more than 35 days after the date of the Fundamental Change Company Notice pursuant to Section 15.01(b) (the “</w:t>
      </w:r>
      <w:r>
        <w:rPr>
          <w:rFonts w:ascii="Arial" w:cs="Arial" w:eastAsia="Arial" w:hAnsi="Arial"/>
          <w:sz w:val="19"/>
          <w:szCs w:val="19"/>
          <w:b w:val="1"/>
          <w:bCs w:val="1"/>
          <w:color w:val="auto"/>
        </w:rPr>
        <w:t>Fundamental Change Purchase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If the Fundamental Change Purchase Date is after a Regular Record Date and on or prior to the corresponding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Date, the Company shall pay accrued and unpaid interest to the Holder of a Note of record at the close of business on such Regular Record Date, subject to Applicable Procedures.</w:t>
      </w:r>
    </w:p>
    <w:p>
      <w:pPr>
        <w:spacing w:after="0" w:line="158" w:lineRule="exact"/>
        <w:rPr>
          <w:sz w:val="20"/>
          <w:szCs w:val="20"/>
          <w:color w:val="auto"/>
        </w:rPr>
      </w:pPr>
    </w:p>
    <w:p>
      <w:pPr>
        <w:ind w:right="80" w:firstLine="807"/>
        <w:spacing w:after="0" w:line="275" w:lineRule="auto"/>
        <w:tabs>
          <w:tab w:leader="none" w:pos="1483" w:val="left"/>
        </w:tabs>
        <w:numPr>
          <w:ilvl w:val="0"/>
          <w:numId w:val="96"/>
        </w:numPr>
        <w:rPr>
          <w:rFonts w:ascii="Arial" w:cs="Arial" w:eastAsia="Arial" w:hAnsi="Arial"/>
          <w:sz w:val="19"/>
          <w:szCs w:val="19"/>
          <w:color w:val="auto"/>
        </w:rPr>
      </w:pPr>
      <w:r>
        <w:rPr>
          <w:rFonts w:ascii="Arial" w:cs="Arial" w:eastAsia="Arial" w:hAnsi="Arial"/>
          <w:sz w:val="19"/>
          <w:szCs w:val="19"/>
          <w:color w:val="auto"/>
        </w:rPr>
        <w:t>On or before the tenth day after the Fundamental Change Effective Date, the Company, or, at the request of the Company, the Trustee, shall mail a written notice of the occurrence of the Fundamental Change, and of the repurchase right arising therefrom, to the Trustee, Paying Agent and to each Holder (and to beneficial owners as required by applicable law) (the “</w:t>
      </w:r>
      <w:r>
        <w:rPr>
          <w:rFonts w:ascii="Arial" w:cs="Arial" w:eastAsia="Arial" w:hAnsi="Arial"/>
          <w:sz w:val="19"/>
          <w:szCs w:val="19"/>
          <w:b w:val="1"/>
          <w:bCs w:val="1"/>
          <w:color w:val="auto"/>
        </w:rPr>
        <w:t>Fundamental Change Company Notice</w:t>
      </w:r>
      <w:r>
        <w:rPr>
          <w:rFonts w:ascii="Arial" w:cs="Arial" w:eastAsia="Arial" w:hAnsi="Arial"/>
          <w:sz w:val="19"/>
          <w:szCs w:val="19"/>
          <w:color w:val="auto"/>
        </w:rPr>
        <w:t>”). Simultaneously with providing such Fundamental Change Company Notice, the Company shall publish a notice containing the information that is required in the Fundamental Change Company Notice in a newspaper of general circulation in The City of New York or publish information on a website of the Company or through such other public medium the Company may use at that time. The Fundamental Change Company Notice shall set forth the Holder’s right to require the Company to purchase the Notes and specify:</w:t>
      </w:r>
    </w:p>
    <w:p>
      <w:pPr>
        <w:spacing w:after="0" w:line="158" w:lineRule="exact"/>
        <w:rPr>
          <w:rFonts w:ascii="Arial" w:cs="Arial" w:eastAsia="Arial" w:hAnsi="Arial"/>
          <w:sz w:val="19"/>
          <w:szCs w:val="19"/>
          <w:color w:val="auto"/>
        </w:rPr>
      </w:pPr>
    </w:p>
    <w:p>
      <w:pPr>
        <w:ind w:left="2180" w:hanging="630"/>
        <w:spacing w:after="0"/>
        <w:tabs>
          <w:tab w:leader="none" w:pos="21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events causing such Fundamental Change;</w:t>
      </w:r>
    </w:p>
    <w:p>
      <w:pPr>
        <w:sectPr>
          <w:pgSz w:w="11900" w:h="16838" w:orient="portrait"/>
          <w:cols w:equalWidth="0" w:num="1">
            <w:col w:w="11400"/>
          </w:cols>
          <w:pgMar w:left="240" w:top="267" w:right="259" w:bottom="1440" w:gutter="0" w:footer="0" w:header="0"/>
        </w:sectPr>
      </w:pPr>
    </w:p>
    <w:bookmarkStart w:id="129" w:name="page130"/>
    <w:bookmarkEnd w:id="129"/>
    <w:p>
      <w:pPr>
        <w:ind w:left="2360" w:hanging="810"/>
        <w:spacing w:after="0"/>
        <w:tabs>
          <w:tab w:leader="none" w:pos="2360" w:val="left"/>
        </w:tabs>
        <w:numPr>
          <w:ilvl w:val="0"/>
          <w:numId w:val="97"/>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such Fundamental Change;</w:t>
      </w:r>
    </w:p>
    <w:p>
      <w:pPr>
        <w:spacing w:after="0" w:line="206" w:lineRule="exact"/>
        <w:rPr>
          <w:rFonts w:ascii="Arial" w:cs="Arial" w:eastAsia="Arial" w:hAnsi="Arial"/>
          <w:sz w:val="22"/>
          <w:szCs w:val="22"/>
          <w:color w:val="auto"/>
        </w:rPr>
      </w:pPr>
    </w:p>
    <w:p>
      <w:pPr>
        <w:ind w:left="800" w:right="380" w:firstLine="750"/>
        <w:spacing w:after="0" w:line="251" w:lineRule="auto"/>
        <w:tabs>
          <w:tab w:leader="none" w:pos="2353"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last date by which the Fundamental Repurchase Notice must be delivered to elect the repurchase option pursuant to this Section 15.01;</w:t>
      </w:r>
    </w:p>
    <w:p>
      <w:pPr>
        <w:spacing w:after="0" w:line="173" w:lineRule="exact"/>
        <w:rPr>
          <w:rFonts w:ascii="Arial" w:cs="Arial" w:eastAsia="Arial" w:hAnsi="Arial"/>
          <w:sz w:val="22"/>
          <w:szCs w:val="22"/>
          <w:color w:val="auto"/>
        </w:rPr>
      </w:pPr>
    </w:p>
    <w:p>
      <w:pPr>
        <w:ind w:left="2340" w:hanging="790"/>
        <w:spacing w:after="0"/>
        <w:tabs>
          <w:tab w:leader="none" w:pos="23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Fundamental Change Purchase Price;</w:t>
      </w:r>
    </w:p>
    <w:p>
      <w:pPr>
        <w:spacing w:after="0" w:line="206" w:lineRule="exact"/>
        <w:rPr>
          <w:rFonts w:ascii="Arial" w:cs="Arial" w:eastAsia="Arial" w:hAnsi="Arial"/>
          <w:sz w:val="22"/>
          <w:szCs w:val="22"/>
          <w:color w:val="auto"/>
        </w:rPr>
      </w:pPr>
    </w:p>
    <w:p>
      <w:pPr>
        <w:ind w:left="2340" w:hanging="790"/>
        <w:spacing w:after="0"/>
        <w:tabs>
          <w:tab w:leader="none" w:pos="23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Fundamental Change Purchase Date;</w:t>
      </w:r>
    </w:p>
    <w:p>
      <w:pPr>
        <w:spacing w:after="0" w:line="206" w:lineRule="exact"/>
        <w:rPr>
          <w:rFonts w:ascii="Arial" w:cs="Arial" w:eastAsia="Arial" w:hAnsi="Arial"/>
          <w:sz w:val="22"/>
          <w:szCs w:val="22"/>
          <w:color w:val="auto"/>
        </w:rPr>
      </w:pPr>
    </w:p>
    <w:p>
      <w:pPr>
        <w:ind w:left="2340" w:hanging="790"/>
        <w:spacing w:after="0"/>
        <w:tabs>
          <w:tab w:leader="none" w:pos="23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name and address of each Paying Agent and Conversion Agent, if applicable;</w:t>
      </w:r>
    </w:p>
    <w:p>
      <w:pPr>
        <w:spacing w:after="0" w:line="206" w:lineRule="exact"/>
        <w:rPr>
          <w:rFonts w:ascii="Arial" w:cs="Arial" w:eastAsia="Arial" w:hAnsi="Arial"/>
          <w:sz w:val="22"/>
          <w:szCs w:val="22"/>
          <w:color w:val="auto"/>
        </w:rPr>
      </w:pPr>
    </w:p>
    <w:p>
      <w:pPr>
        <w:jc w:val="both"/>
        <w:ind w:left="800" w:right="100" w:firstLine="750"/>
        <w:spacing w:after="0"/>
        <w:tabs>
          <w:tab w:leader="none" w:pos="2347"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that the Notes with respect to which a Fundamental Change Notice has been delivered by a Holder may be converted only if the Holder withdraws the Fundamental Change Purchase Notice in accordance with the terms of this Indenture; and</w:t>
      </w:r>
    </w:p>
    <w:p>
      <w:pPr>
        <w:spacing w:after="0" w:line="186" w:lineRule="exact"/>
        <w:rPr>
          <w:rFonts w:ascii="Arial" w:cs="Arial" w:eastAsia="Arial" w:hAnsi="Arial"/>
          <w:sz w:val="22"/>
          <w:szCs w:val="22"/>
          <w:color w:val="auto"/>
        </w:rPr>
      </w:pPr>
    </w:p>
    <w:p>
      <w:pPr>
        <w:ind w:left="2360" w:hanging="810"/>
        <w:spacing w:after="0"/>
        <w:tabs>
          <w:tab w:leader="none" w:pos="23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procedures that the Holder must follow to require the Company to repurchase its Notes under this</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Section 15.01.</w:t>
      </w:r>
    </w:p>
    <w:p>
      <w:pPr>
        <w:spacing w:after="0" w:line="188" w:lineRule="exact"/>
        <w:rPr>
          <w:sz w:val="20"/>
          <w:szCs w:val="20"/>
          <w:color w:val="auto"/>
        </w:rPr>
      </w:pPr>
    </w:p>
    <w:p>
      <w:pPr>
        <w:ind w:right="60" w:firstLine="799"/>
        <w:spacing w:after="0" w:line="276" w:lineRule="auto"/>
        <w:rPr>
          <w:sz w:val="20"/>
          <w:szCs w:val="20"/>
          <w:color w:val="auto"/>
        </w:rPr>
      </w:pPr>
      <w:r>
        <w:rPr>
          <w:rFonts w:ascii="Arial" w:cs="Arial" w:eastAsia="Arial" w:hAnsi="Arial"/>
          <w:sz w:val="19"/>
          <w:szCs w:val="19"/>
          <w:color w:val="auto"/>
        </w:rPr>
        <w:t xml:space="preserve">At the Company’s request, the Trustee shall give such Fundamental Change Company Notice in the Company’s name and at the Company’s expense;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otherwise agreed by the Trustee, the Company makes such request at least five</w:t>
      </w:r>
    </w:p>
    <w:p>
      <w:pPr>
        <w:spacing w:after="0" w:line="2" w:lineRule="exact"/>
        <w:rPr>
          <w:sz w:val="20"/>
          <w:szCs w:val="20"/>
          <w:color w:val="auto"/>
        </w:rPr>
      </w:pPr>
    </w:p>
    <w:p>
      <w:pPr>
        <w:ind w:firstLine="8"/>
        <w:spacing w:after="0" w:line="244" w:lineRule="auto"/>
        <w:tabs>
          <w:tab w:leader="none" w:pos="306"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Business Days prior to the date by which such Fundamental Change Company Notice must be given to the Holders in accordance with this Section 15.01; </w:t>
      </w:r>
      <w:r>
        <w:rPr>
          <w:rFonts w:ascii="Arial" w:cs="Arial" w:eastAsia="Arial" w:hAnsi="Arial"/>
          <w:sz w:val="21"/>
          <w:szCs w:val="21"/>
          <w:i w:val="1"/>
          <w:iCs w:val="1"/>
          <w:color w:val="auto"/>
        </w:rPr>
        <w:t>provided, further</w:t>
      </w:r>
      <w:r>
        <w:rPr>
          <w:rFonts w:ascii="Arial" w:cs="Arial" w:eastAsia="Arial" w:hAnsi="Arial"/>
          <w:sz w:val="21"/>
          <w:szCs w:val="21"/>
          <w:color w:val="auto"/>
        </w:rPr>
        <w:t>, that the text of such Fundamental Change Company Notice shall be prepared by the Company. If any of the Notes is in the form of a Global Note, then the Company shall modify such notice to the extent necessary to accord with the Applicable Procedures relating to the purchase of Global Notes. The Trustee shall not be obligated on behalf of the Company to publish a notice containing the information that is required in the Fundamental Change Company Notice in a newspaper of general circulation in The City of New York or publish information on a website of the Company or through such other public medium the Company may use at that time.</w:t>
      </w:r>
    </w:p>
    <w:p>
      <w:pPr>
        <w:spacing w:after="0" w:line="181"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No failure of the Company to give the foregoing notices or defect therein shall limit any Holder’s right to exercise its right to cause the Company to repurchase such Holder’s Notes pursuant to this Section 15.01.</w:t>
      </w:r>
    </w:p>
    <w:p>
      <w:pPr>
        <w:spacing w:after="0" w:line="173" w:lineRule="exact"/>
        <w:rPr>
          <w:sz w:val="20"/>
          <w:szCs w:val="20"/>
          <w:color w:val="auto"/>
        </w:rPr>
      </w:pPr>
    </w:p>
    <w:p>
      <w:pPr>
        <w:ind w:right="20" w:firstLine="807"/>
        <w:spacing w:after="0" w:line="287" w:lineRule="auto"/>
        <w:tabs>
          <w:tab w:leader="none" w:pos="1459" w:val="left"/>
        </w:tabs>
        <w:numPr>
          <w:ilvl w:val="0"/>
          <w:numId w:val="99"/>
        </w:numPr>
        <w:rPr>
          <w:rFonts w:ascii="Arial" w:cs="Arial" w:eastAsia="Arial" w:hAnsi="Arial"/>
          <w:sz w:val="19"/>
          <w:szCs w:val="19"/>
          <w:color w:val="auto"/>
        </w:rPr>
      </w:pPr>
      <w:r>
        <w:rPr>
          <w:rFonts w:ascii="Arial" w:cs="Arial" w:eastAsia="Arial" w:hAnsi="Arial"/>
          <w:sz w:val="19"/>
          <w:szCs w:val="19"/>
          <w:color w:val="auto"/>
        </w:rPr>
        <w:t>A Holder may exercise its rights specified in this Section 15.01 upon delivery of (1) the Note to be repurchased, duly endorsed for transfer, together with (2) a written purchase notice and the form entitled “Fundamental Change Purchase Notice” on the reverse of the Note duly completed and which may be delivered by letter, overnight courier, hand delivery, facsimile transmission or in any other written form onto the Paying Agent (in the case of Notes held in book-</w:t>
      </w:r>
    </w:p>
    <w:p>
      <w:pPr>
        <w:sectPr>
          <w:pgSz w:w="11900" w:h="16838" w:orient="portrait"/>
          <w:cols w:equalWidth="0" w:num="1">
            <w:col w:w="11400"/>
          </w:cols>
          <w:pgMar w:left="240" w:top="267" w:right="259" w:bottom="1440" w:gutter="0" w:footer="0" w:header="0"/>
        </w:sectPr>
      </w:pPr>
    </w:p>
    <w:bookmarkStart w:id="130" w:name="page131"/>
    <w:bookmarkEnd w:id="130"/>
    <w:p>
      <w:pPr>
        <w:jc w:val="both"/>
        <w:ind w:right="200"/>
        <w:spacing w:after="0" w:line="24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entry form, in accordance with DTC’s Applicable Procedures) of the exercise of such rights (a “</w:t>
      </w:r>
      <w:r>
        <w:rPr>
          <w:rFonts w:ascii="Arial" w:cs="Arial" w:eastAsia="Arial" w:hAnsi="Arial"/>
          <w:sz w:val="22"/>
          <w:szCs w:val="22"/>
          <w:b w:val="1"/>
          <w:bCs w:val="1"/>
          <w:color w:val="auto"/>
        </w:rPr>
        <w:t>Fundamental Change 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Notice</w:t>
      </w:r>
      <w:r>
        <w:rPr>
          <w:rFonts w:ascii="Arial" w:cs="Arial" w:eastAsia="Arial" w:hAnsi="Arial"/>
          <w:sz w:val="22"/>
          <w:szCs w:val="22"/>
          <w:color w:val="auto"/>
        </w:rPr>
        <w:t>”) to the Paying Agent at any time on or before the close of business on the Fundamental Change Purchase Date,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extension to comply with applicable law.</w:t>
      </w:r>
    </w:p>
    <w:p>
      <w:pPr>
        <w:spacing w:after="0" w:line="183" w:lineRule="exact"/>
        <w:rPr>
          <w:sz w:val="20"/>
          <w:szCs w:val="20"/>
          <w:color w:val="auto"/>
        </w:rPr>
      </w:pPr>
    </w:p>
    <w:p>
      <w:pPr>
        <w:ind w:left="800" w:right="20" w:firstLine="750"/>
        <w:spacing w:after="0" w:line="282" w:lineRule="auto"/>
        <w:tabs>
          <w:tab w:leader="none" w:pos="2283"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The Fundamental Change Purchase Notice shall state: (A) the certificate number (if such Note is held in certificated form) of the Note which the Holder will deliver to be repurchased (or, if the Note is held in global form, any other items required to comply with the Applicable Procedures), (B) the portion of the principal amount of the Note which the Holder will deliver to be repurchased and (C) that such Note shall be repurchased as of the Fundamental Change Purchase Date pursuant to the terms and conditions specified in the Notes and in this Indenture.</w:t>
      </w:r>
    </w:p>
    <w:p>
      <w:pPr>
        <w:spacing w:after="0" w:line="147" w:lineRule="exact"/>
        <w:rPr>
          <w:rFonts w:ascii="Arial" w:cs="Arial" w:eastAsia="Arial" w:hAnsi="Arial"/>
          <w:sz w:val="19"/>
          <w:szCs w:val="19"/>
          <w:color w:val="auto"/>
        </w:rPr>
      </w:pPr>
    </w:p>
    <w:p>
      <w:pPr>
        <w:ind w:left="800" w:right="220" w:firstLine="750"/>
        <w:spacing w:after="0" w:line="236" w:lineRule="auto"/>
        <w:tabs>
          <w:tab w:leader="none" w:pos="2343"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delivery of a Note for which a Fundamental Change Purchase Notice has been timely delivered to any Paying Agent, on or before the Business Day immediately preceding the Fundamental Change Purchase Date (together with all necessary endorsements) at the office of such Paying Agent shall be a condition to the receipt by the Holder of the Fundamental Change Purchase Price therefor (or, if the Note is held in global form, any items required to comply with the Applicable Procedures).</w:t>
      </w:r>
    </w:p>
    <w:p>
      <w:pPr>
        <w:spacing w:after="0" w:line="187" w:lineRule="exact"/>
        <w:rPr>
          <w:rFonts w:ascii="Arial" w:cs="Arial" w:eastAsia="Arial" w:hAnsi="Arial"/>
          <w:sz w:val="22"/>
          <w:szCs w:val="22"/>
          <w:color w:val="auto"/>
        </w:rPr>
      </w:pPr>
    </w:p>
    <w:p>
      <w:pPr>
        <w:ind w:left="800" w:firstLine="750"/>
        <w:spacing w:after="0"/>
        <w:tabs>
          <w:tab w:leader="none" w:pos="2349"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Company shall only be obliged to purchase, pursuant to this Section 15.01, a portion of a Note if the principal amount of such portion is $1,000 or an integral multiple of $1,000 (provisions of this Indenture that apply to the purchase of all of a Note also apply to the purchase of such portion of such Note).</w:t>
      </w:r>
    </w:p>
    <w:p>
      <w:pPr>
        <w:spacing w:after="0" w:line="186" w:lineRule="exact"/>
        <w:rPr>
          <w:rFonts w:ascii="Arial" w:cs="Arial" w:eastAsia="Arial" w:hAnsi="Arial"/>
          <w:sz w:val="22"/>
          <w:szCs w:val="22"/>
          <w:color w:val="auto"/>
        </w:rPr>
      </w:pPr>
    </w:p>
    <w:p>
      <w:pPr>
        <w:ind w:left="2340" w:hanging="790"/>
        <w:spacing w:after="0"/>
        <w:tabs>
          <w:tab w:leader="none" w:pos="234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 Paying Agent shall promptly notify the Company of the receipt by it of any Fundamental Change</w:t>
      </w:r>
    </w:p>
    <w:p>
      <w:pPr>
        <w:spacing w:after="0" w:line="42"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22"/>
          <w:szCs w:val="22"/>
          <w:color w:val="auto"/>
        </w:rPr>
        <w:t>Purchase Notice.</w:t>
      </w:r>
    </w:p>
    <w:p>
      <w:pPr>
        <w:spacing w:after="0" w:line="188" w:lineRule="exact"/>
        <w:rPr>
          <w:rFonts w:ascii="Arial" w:cs="Arial" w:eastAsia="Arial" w:hAnsi="Arial"/>
          <w:sz w:val="19"/>
          <w:szCs w:val="19"/>
          <w:color w:val="auto"/>
        </w:rPr>
      </w:pPr>
    </w:p>
    <w:p>
      <w:pPr>
        <w:ind w:left="800" w:right="140" w:firstLine="750"/>
        <w:spacing w:after="0"/>
        <w:tabs>
          <w:tab w:leader="none" w:pos="2323"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Anything herein to the contrary notwithstanding, in the case of Global Notes, any Fundamental Change Purchase Notice may be delivered and such Notes may be surrendered or delivered for purchase in accordance with the Applicable Procedures as in effect from time to time.</w:t>
      </w:r>
    </w:p>
    <w:p>
      <w:pPr>
        <w:spacing w:after="0" w:line="186" w:lineRule="exact"/>
        <w:rPr>
          <w:rFonts w:ascii="Arial" w:cs="Arial" w:eastAsia="Arial" w:hAnsi="Arial"/>
          <w:sz w:val="22"/>
          <w:szCs w:val="22"/>
          <w:color w:val="auto"/>
        </w:rPr>
      </w:pPr>
    </w:p>
    <w:p>
      <w:pPr>
        <w:ind w:left="800" w:right="80" w:firstLine="750"/>
        <w:spacing w:after="0" w:line="273" w:lineRule="auto"/>
        <w:tabs>
          <w:tab w:leader="none" w:pos="2329"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 Holder may withdraw any Fundamental Change Purchase Notice in whole or in part by written notice of withdrawal delivered to the Paying Agent or in accordance with DTC’s Applicable Procedures prior to the close of business on the Business Day prior to the Fundamental Change Purchase Date. Such notice of withdrawal shall state:</w:t>
      </w:r>
    </w:p>
    <w:p>
      <w:pPr>
        <w:spacing w:after="0" w:line="1" w:lineRule="exact"/>
        <w:rPr>
          <w:rFonts w:ascii="Arial" w:cs="Arial" w:eastAsia="Arial" w:hAnsi="Arial"/>
          <w:sz w:val="19"/>
          <w:szCs w:val="19"/>
          <w:color w:val="auto"/>
        </w:rPr>
      </w:pPr>
    </w:p>
    <w:p>
      <w:pPr>
        <w:ind w:left="800" w:right="240" w:firstLine="7"/>
        <w:spacing w:after="0" w:line="237" w:lineRule="auto"/>
        <w:tabs>
          <w:tab w:leader="none" w:pos="115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principal amount of the withdrawn Note , (B) the certificate number (if such Note is held in certificated form) of the withdrawn Note</w:t>
      </w:r>
    </w:p>
    <w:p>
      <w:pPr>
        <w:sectPr>
          <w:pgSz w:w="11900" w:h="16838" w:orient="portrait"/>
          <w:cols w:equalWidth="0" w:num="1">
            <w:col w:w="11420"/>
          </w:cols>
          <w:pgMar w:left="240" w:top="260" w:right="239" w:bottom="1440" w:gutter="0" w:footer="0" w:header="0"/>
        </w:sectPr>
      </w:pPr>
    </w:p>
    <w:bookmarkStart w:id="131" w:name="page132"/>
    <w:bookmarkEnd w:id="131"/>
    <w:p>
      <w:pPr>
        <w:ind w:left="800" w:right="3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if the Note is held in global form, any other items required to comply with the Applicable Procedures), and (C) the principal amount, if any, which remains subject to the Fundamental Change Purchase Notice.</w:t>
      </w:r>
    </w:p>
    <w:p>
      <w:pPr>
        <w:spacing w:after="0" w:line="173" w:lineRule="exact"/>
        <w:rPr>
          <w:sz w:val="20"/>
          <w:szCs w:val="20"/>
          <w:color w:val="auto"/>
        </w:rPr>
      </w:pPr>
    </w:p>
    <w:p>
      <w:pPr>
        <w:ind w:right="340" w:firstLine="807"/>
        <w:spacing w:after="0"/>
        <w:tabs>
          <w:tab w:leader="none" w:pos="147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Company shall deposit cash at the time and in the manner as provided in Section 15.03, sufficient (as determined by the Company) to pay the aggregate Fundamental Change Purchase Price of all Notes to be purchased pursuant to this Section 15.01.</w:t>
      </w:r>
    </w:p>
    <w:p>
      <w:pPr>
        <w:spacing w:after="0" w:line="186" w:lineRule="exact"/>
        <w:rPr>
          <w:sz w:val="20"/>
          <w:szCs w:val="20"/>
          <w:color w:val="auto"/>
        </w:rPr>
      </w:pPr>
    </w:p>
    <w:p>
      <w:pPr>
        <w:ind w:right="80" w:firstLine="799"/>
        <w:spacing w:after="0" w:line="234" w:lineRule="auto"/>
        <w:rPr>
          <w:sz w:val="20"/>
          <w:szCs w:val="20"/>
          <w:color w:val="auto"/>
        </w:rPr>
      </w:pPr>
      <w:r>
        <w:rPr>
          <w:rFonts w:ascii="Arial" w:cs="Arial" w:eastAsia="Arial" w:hAnsi="Arial"/>
          <w:sz w:val="22"/>
          <w:szCs w:val="22"/>
          <w:i w:val="1"/>
          <w:iCs w:val="1"/>
          <w:color w:val="auto"/>
        </w:rPr>
        <w:t xml:space="preserve">Section 15.02. Effect of Fundamental Change Purchase Notice. </w:t>
      </w:r>
      <w:r>
        <w:rPr>
          <w:rFonts w:ascii="Arial" w:cs="Arial" w:eastAsia="Arial" w:hAnsi="Arial"/>
          <w:sz w:val="22"/>
          <w:szCs w:val="22"/>
          <w:color w:val="auto"/>
        </w:rPr>
        <w:t>Upon receipt by any Paying Agent of a properly</w:t>
      </w:r>
      <w:r>
        <w:rPr>
          <w:rFonts w:ascii="Arial" w:cs="Arial" w:eastAsia="Arial" w:hAnsi="Arial"/>
          <w:sz w:val="22"/>
          <w:szCs w:val="22"/>
          <w:i w:val="1"/>
          <w:iCs w:val="1"/>
          <w:color w:val="auto"/>
        </w:rPr>
        <w:t xml:space="preserve"> </w:t>
      </w:r>
      <w:r>
        <w:rPr>
          <w:rFonts w:ascii="Arial" w:cs="Arial" w:eastAsia="Arial" w:hAnsi="Arial"/>
          <w:sz w:val="22"/>
          <w:szCs w:val="22"/>
          <w:color w:val="auto"/>
        </w:rPr>
        <w:t>completed Fundamental Change Purchase Notice from a Holder, the Holder of the Note in respect of which such Fundamental Change Purchase Notice was given shall thereafter be entitled to receive the Fundamental Change Purchase Price with respect to such Note. Such Fundamental Change Purchase Price shall be paid to such Holder promptly following the later of (1) the Fundamental Change Purchase Date (provided that the conditions in Section 15.01 have been satisfied) and (2) the time of book-entry transfer or delivery of such Note to a Paying Agent by the Holder thereof in the manner required by Section 15.01(c), subject to extension to comply with applicable law.</w:t>
      </w:r>
    </w:p>
    <w:p>
      <w:pPr>
        <w:spacing w:after="0" w:line="191" w:lineRule="exact"/>
        <w:rPr>
          <w:sz w:val="20"/>
          <w:szCs w:val="20"/>
          <w:color w:val="auto"/>
        </w:rPr>
      </w:pPr>
    </w:p>
    <w:p>
      <w:pPr>
        <w:ind w:firstLine="799"/>
        <w:spacing w:after="0" w:line="275" w:lineRule="auto"/>
        <w:rPr>
          <w:sz w:val="20"/>
          <w:szCs w:val="20"/>
          <w:color w:val="auto"/>
        </w:rPr>
      </w:pPr>
      <w:r>
        <w:rPr>
          <w:rFonts w:ascii="Arial" w:cs="Arial" w:eastAsia="Arial" w:hAnsi="Arial"/>
          <w:sz w:val="19"/>
          <w:szCs w:val="19"/>
          <w:i w:val="1"/>
          <w:iCs w:val="1"/>
          <w:color w:val="auto"/>
        </w:rPr>
        <w:t xml:space="preserve">Section 15.03. Deposit of Fundamental Change Purchase Price. </w:t>
      </w:r>
      <w:r>
        <w:rPr>
          <w:rFonts w:ascii="Arial" w:cs="Arial" w:eastAsia="Arial" w:hAnsi="Arial"/>
          <w:sz w:val="19"/>
          <w:szCs w:val="19"/>
          <w:color w:val="auto"/>
        </w:rPr>
        <w:t>(a) On or before the applicable Fundamental Change</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 Date, the Company shall deposit with the Paying Agent (or if the Company or an Affiliate of the Company is acting as the Paying Agent, shall segregate and hold in trust as provided in Section 7.06) an amount of money (in immediately available funds if deposited on or after such Fundamental Change Purchase Date), sufficient (as determined by the Company) to pay the aggregate Fundamental Change Purchase Price of all the Notes or portions thereof that are to be purchased as of the Fundamental Change Purchase Date. Payment by the Paying Agent of the Fundamental Change Purchase Price following receipt of the Fundamental Change Purchase Price from the Company shall be made promptly following the later of the Fundamental Change Purchase Date or the time of book-entry transfer or delivery of such Notes.</w:t>
      </w:r>
    </w:p>
    <w:p>
      <w:pPr>
        <w:spacing w:after="0" w:line="158" w:lineRule="exact"/>
        <w:rPr>
          <w:sz w:val="20"/>
          <w:szCs w:val="20"/>
          <w:color w:val="auto"/>
        </w:rPr>
      </w:pPr>
    </w:p>
    <w:p>
      <w:pPr>
        <w:ind w:right="40" w:firstLine="807"/>
        <w:spacing w:after="0" w:line="248" w:lineRule="auto"/>
        <w:tabs>
          <w:tab w:leader="none" w:pos="148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If the Paying Agent holds, on the Fundamental Change Purchase Date, in accordance with the terms hereof, money or securities sufficient to pay the Fundamental Change Purchase Price of any Note for which a Fundamental Change Purchase Notice has been tendered then, immediately following the applicable Fundamental Change Purchase Date, whether or not book-entry transfer of the Note is made or whether or not the Note is delivered to the Paying Agent, each such Note shall cease to be Outstanding, interest, including any additional interest, if any, shall cease to accrue, and all other rights of the Holder in respect of the Note shall terminate (other than the right to receive the</w:t>
      </w:r>
    </w:p>
    <w:p>
      <w:pPr>
        <w:sectPr>
          <w:pgSz w:w="11900" w:h="16838" w:orient="portrait"/>
          <w:cols w:equalWidth="0" w:num="1">
            <w:col w:w="11400"/>
          </w:cols>
          <w:pgMar w:left="240" w:top="267" w:right="25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Fundamental Change Purchase Price upon delivery or transfer of the Note as aforesaid).</w:t>
      </w:r>
    </w:p>
    <w:p>
      <w:pPr>
        <w:spacing w:after="0" w:line="206" w:lineRule="exact"/>
        <w:rPr>
          <w:sz w:val="20"/>
          <w:szCs w:val="20"/>
          <w:color w:val="auto"/>
        </w:rPr>
      </w:pPr>
    </w:p>
    <w:p>
      <w:pPr>
        <w:ind w:right="20" w:firstLine="807"/>
        <w:spacing w:after="0"/>
        <w:tabs>
          <w:tab w:leader="none" w:pos="147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a Fundamental Change Purchase Date falls after a Regular Record Date and on or before the related Interest Payment Date, then interest on the Notes payable on such Interest Payment Date will be payable to the Holders in whose names the Notes are registered at the close of business on such Regular Record Date.</w:t>
      </w:r>
    </w:p>
    <w:p>
      <w:pPr>
        <w:spacing w:after="0" w:line="186" w:lineRule="exact"/>
        <w:rPr>
          <w:sz w:val="20"/>
          <w:szCs w:val="20"/>
          <w:color w:val="auto"/>
        </w:rPr>
      </w:pPr>
    </w:p>
    <w:p>
      <w:pPr>
        <w:ind w:right="200" w:firstLine="799"/>
        <w:spacing w:after="0" w:line="238" w:lineRule="auto"/>
        <w:rPr>
          <w:sz w:val="20"/>
          <w:szCs w:val="20"/>
          <w:color w:val="auto"/>
        </w:rPr>
      </w:pPr>
      <w:r>
        <w:rPr>
          <w:rFonts w:ascii="Arial" w:cs="Arial" w:eastAsia="Arial" w:hAnsi="Arial"/>
          <w:sz w:val="22"/>
          <w:szCs w:val="22"/>
          <w:i w:val="1"/>
          <w:iCs w:val="1"/>
          <w:color w:val="auto"/>
        </w:rPr>
        <w:t xml:space="preserve">Section 15.04. Repayment to the Company. </w:t>
      </w:r>
      <w:r>
        <w:rPr>
          <w:rFonts w:ascii="Arial" w:cs="Arial" w:eastAsia="Arial" w:hAnsi="Arial"/>
          <w:sz w:val="22"/>
          <w:szCs w:val="22"/>
          <w:color w:val="auto"/>
        </w:rPr>
        <w:t>To the extent that the aggregate amount of cash deposited by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Section 15.03 exceeds the aggregate Fundamental Change Purchase Price of the Notes or portions thereof that the Company is obligated to purchase, then promptly after the Fundamental Change Purchase Date the Paying Agent shall return any such excess cash to the Company.</w:t>
      </w:r>
    </w:p>
    <w:p>
      <w:pPr>
        <w:spacing w:after="0" w:line="185" w:lineRule="exact"/>
        <w:rPr>
          <w:sz w:val="20"/>
          <w:szCs w:val="20"/>
          <w:color w:val="auto"/>
        </w:rPr>
      </w:pPr>
    </w:p>
    <w:p>
      <w:pPr>
        <w:ind w:right="60" w:firstLine="799"/>
        <w:spacing w:after="0" w:line="235" w:lineRule="auto"/>
        <w:rPr>
          <w:sz w:val="20"/>
          <w:szCs w:val="20"/>
          <w:color w:val="auto"/>
        </w:rPr>
      </w:pPr>
      <w:r>
        <w:rPr>
          <w:rFonts w:ascii="Arial" w:cs="Arial" w:eastAsia="Arial" w:hAnsi="Arial"/>
          <w:sz w:val="22"/>
          <w:szCs w:val="22"/>
          <w:i w:val="1"/>
          <w:iCs w:val="1"/>
          <w:color w:val="auto"/>
        </w:rPr>
        <w:t xml:space="preserve">Section 15.05. Notes Purchased In Part. </w:t>
      </w:r>
      <w:r>
        <w:rPr>
          <w:rFonts w:ascii="Arial" w:cs="Arial" w:eastAsia="Arial" w:hAnsi="Arial"/>
          <w:sz w:val="22"/>
          <w:szCs w:val="22"/>
          <w:color w:val="auto"/>
        </w:rPr>
        <w:t>Any Note that is to be purchased only in part shall be surrendered at the office of</w:t>
      </w:r>
      <w:r>
        <w:rPr>
          <w:rFonts w:ascii="Arial" w:cs="Arial" w:eastAsia="Arial" w:hAnsi="Arial"/>
          <w:sz w:val="22"/>
          <w:szCs w:val="22"/>
          <w:i w:val="1"/>
          <w:iCs w:val="1"/>
          <w:color w:val="auto"/>
        </w:rPr>
        <w:t xml:space="preserve"> </w:t>
      </w:r>
      <w:r>
        <w:rPr>
          <w:rFonts w:ascii="Arial" w:cs="Arial" w:eastAsia="Arial" w:hAnsi="Arial"/>
          <w:sz w:val="22"/>
          <w:szCs w:val="22"/>
          <w:color w:val="auto"/>
        </w:rPr>
        <w:t>a Paying Agent, and promptly after the Fundamental Change Purchase Date, the Company shall execute and the Trustee shall authenticate and deliver to the Holder of such Note, without service charge, a new Note or Notes, of such authorized denomination or denominations as may be requested by such Holder (which must be equal to $1,000 principal amount or any integral thereof), in aggregate principal amount equal to, and in exchange for, the portion of the principal amount of the Note so surrendered that is not purchased.</w:t>
      </w:r>
    </w:p>
    <w:p>
      <w:pPr>
        <w:spacing w:after="0" w:line="188" w:lineRule="exact"/>
        <w:rPr>
          <w:sz w:val="20"/>
          <w:szCs w:val="20"/>
          <w:color w:val="auto"/>
        </w:rPr>
      </w:pPr>
    </w:p>
    <w:p>
      <w:pPr>
        <w:ind w:firstLine="799"/>
        <w:spacing w:after="0" w:line="275" w:lineRule="auto"/>
        <w:rPr>
          <w:sz w:val="20"/>
          <w:szCs w:val="20"/>
          <w:color w:val="auto"/>
        </w:rPr>
      </w:pPr>
      <w:r>
        <w:rPr>
          <w:rFonts w:ascii="Arial" w:cs="Arial" w:eastAsia="Arial" w:hAnsi="Arial"/>
          <w:sz w:val="19"/>
          <w:szCs w:val="19"/>
          <w:i w:val="1"/>
          <w:iCs w:val="1"/>
          <w:color w:val="auto"/>
        </w:rPr>
        <w:t xml:space="preserve">Section 15.06. Compliance With Securities Laws Upon Purchase of Notes. </w:t>
      </w:r>
      <w:r>
        <w:rPr>
          <w:rFonts w:ascii="Arial" w:cs="Arial" w:eastAsia="Arial" w:hAnsi="Arial"/>
          <w:sz w:val="19"/>
          <w:szCs w:val="19"/>
          <w:color w:val="auto"/>
        </w:rPr>
        <w:t>In connection with any offer to purchase of</w:t>
      </w:r>
      <w:r>
        <w:rPr>
          <w:rFonts w:ascii="Arial" w:cs="Arial" w:eastAsia="Arial" w:hAnsi="Arial"/>
          <w:sz w:val="19"/>
          <w:szCs w:val="19"/>
          <w:i w:val="1"/>
          <w:iCs w:val="1"/>
          <w:color w:val="auto"/>
        </w:rPr>
        <w:t xml:space="preserve"> </w:t>
      </w:r>
      <w:r>
        <w:rPr>
          <w:rFonts w:ascii="Arial" w:cs="Arial" w:eastAsia="Arial" w:hAnsi="Arial"/>
          <w:sz w:val="19"/>
          <w:szCs w:val="19"/>
          <w:color w:val="auto"/>
        </w:rPr>
        <w:t>Notes under Section 15.01, the Company shall (a) comply with Rule 13e-4 and Rule 14e-1 (or any successor to either such Rule), and any other tender offer rules, if applicable, under the Exchange Act, (b) file the related Schedule TO (or any successor or similar schedule, form or report) if required under the Exchange Act, and (c) otherwise comply with all applicable federal and state securities laws in connection with such offer to purchase or purchase of Notes, all so as to permit the rights of the Holders and obligations of the Company under Section 15.01 through Section 15.05 to be exercised in the time and in the manner specified therein. To the extent that compliance with any such laws, rules and regulations would result in a conflict with any of the terms hereof, this Indenture is hereby modified to the extent required for the Company to comply with such laws, rules and regulations.</w:t>
      </w:r>
    </w:p>
    <w:p>
      <w:pPr>
        <w:sectPr>
          <w:pgSz w:w="11900" w:h="16838" w:orient="portrait"/>
          <w:cols w:equalWidth="0" w:num="1">
            <w:col w:w="11380"/>
          </w:cols>
          <w:pgMar w:left="240" w:top="267" w:right="27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16</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w:t>
      </w:r>
      <w:r>
        <w:rPr>
          <w:rFonts w:ascii="Arial" w:cs="Arial" w:eastAsia="Arial" w:hAnsi="Arial"/>
          <w:sz w:val="18"/>
          <w:szCs w:val="18"/>
          <w:color w:val="auto"/>
        </w:rPr>
        <w:t>EETING</w:t>
      </w:r>
      <w:r>
        <w:rPr>
          <w:rFonts w:ascii="Arial" w:cs="Arial" w:eastAsia="Arial" w:hAnsi="Arial"/>
          <w:sz w:val="22"/>
          <w:szCs w:val="22"/>
          <w:color w:val="auto"/>
        </w:rPr>
        <w:t xml:space="preserve"> O</w:t>
      </w:r>
      <w:r>
        <w:rPr>
          <w:rFonts w:ascii="Arial" w:cs="Arial" w:eastAsia="Arial" w:hAnsi="Arial"/>
          <w:sz w:val="18"/>
          <w:szCs w:val="18"/>
          <w:color w:val="auto"/>
        </w:rPr>
        <w:t>F</w:t>
      </w:r>
      <w:r>
        <w:rPr>
          <w:rFonts w:ascii="Arial" w:cs="Arial" w:eastAsia="Arial" w:hAnsi="Arial"/>
          <w:sz w:val="22"/>
          <w:szCs w:val="22"/>
          <w:color w:val="auto"/>
        </w:rPr>
        <w:t xml:space="preserve"> H</w:t>
      </w:r>
      <w:r>
        <w:rPr>
          <w:rFonts w:ascii="Arial" w:cs="Arial" w:eastAsia="Arial" w:hAnsi="Arial"/>
          <w:sz w:val="18"/>
          <w:szCs w:val="18"/>
          <w:color w:val="auto"/>
        </w:rPr>
        <w:t>OLDERS</w:t>
      </w:r>
      <w:r>
        <w:rPr>
          <w:rFonts w:ascii="Arial" w:cs="Arial" w:eastAsia="Arial" w:hAnsi="Arial"/>
          <w:sz w:val="22"/>
          <w:szCs w:val="22"/>
          <w:color w:val="auto"/>
        </w:rPr>
        <w:t xml:space="preserve"> O</w:t>
      </w:r>
      <w:r>
        <w:rPr>
          <w:rFonts w:ascii="Arial" w:cs="Arial" w:eastAsia="Arial" w:hAnsi="Arial"/>
          <w:sz w:val="18"/>
          <w:szCs w:val="18"/>
          <w:color w:val="auto"/>
        </w:rPr>
        <w:t>F</w:t>
      </w:r>
      <w:r>
        <w:rPr>
          <w:rFonts w:ascii="Arial" w:cs="Arial" w:eastAsia="Arial" w:hAnsi="Arial"/>
          <w:sz w:val="22"/>
          <w:szCs w:val="22"/>
          <w:color w:val="auto"/>
        </w:rPr>
        <w:t xml:space="preserve"> N</w:t>
      </w:r>
      <w:r>
        <w:rPr>
          <w:rFonts w:ascii="Arial" w:cs="Arial" w:eastAsia="Arial" w:hAnsi="Arial"/>
          <w:sz w:val="18"/>
          <w:szCs w:val="18"/>
          <w:color w:val="auto"/>
        </w:rPr>
        <w:t>OTES</w:t>
      </w:r>
    </w:p>
    <w:p>
      <w:pPr>
        <w:spacing w:after="0" w:line="188" w:lineRule="exact"/>
        <w:rPr>
          <w:sz w:val="20"/>
          <w:szCs w:val="20"/>
          <w:color w:val="auto"/>
        </w:rPr>
      </w:pPr>
    </w:p>
    <w:p>
      <w:pPr>
        <w:ind w:right="280" w:firstLine="799"/>
        <w:spacing w:after="0" w:line="297" w:lineRule="auto"/>
        <w:rPr>
          <w:sz w:val="20"/>
          <w:szCs w:val="20"/>
          <w:color w:val="auto"/>
        </w:rPr>
      </w:pPr>
      <w:r>
        <w:rPr>
          <w:rFonts w:ascii="Arial" w:cs="Arial" w:eastAsia="Arial" w:hAnsi="Arial"/>
          <w:sz w:val="19"/>
          <w:szCs w:val="19"/>
          <w:i w:val="1"/>
          <w:iCs w:val="1"/>
          <w:color w:val="auto"/>
        </w:rPr>
        <w:t xml:space="preserve">Section 16.01. Purposes For Which Meetings May Be Called. </w:t>
      </w:r>
      <w:r>
        <w:rPr>
          <w:rFonts w:ascii="Arial" w:cs="Arial" w:eastAsia="Arial" w:hAnsi="Arial"/>
          <w:sz w:val="19"/>
          <w:szCs w:val="19"/>
          <w:color w:val="auto"/>
        </w:rPr>
        <w:t>A meeting of Holders of Notes may be called at any time</w:t>
      </w:r>
      <w:r>
        <w:rPr>
          <w:rFonts w:ascii="Arial" w:cs="Arial" w:eastAsia="Arial" w:hAnsi="Arial"/>
          <w:sz w:val="19"/>
          <w:szCs w:val="19"/>
          <w:i w:val="1"/>
          <w:iCs w:val="1"/>
          <w:color w:val="auto"/>
        </w:rPr>
        <w:t xml:space="preserve"> </w:t>
      </w:r>
      <w:r>
        <w:rPr>
          <w:rFonts w:ascii="Arial" w:cs="Arial" w:eastAsia="Arial" w:hAnsi="Arial"/>
          <w:sz w:val="19"/>
          <w:szCs w:val="19"/>
          <w:color w:val="auto"/>
        </w:rPr>
        <w:t>and from time to time pursuant to this Article 16 to make, give or take any request, demand, authorization, direction, notice, consent, waiver or other action provided by this Indenture to be made, given or taken by Holders of Notes.</w:t>
      </w:r>
    </w:p>
    <w:p>
      <w:pPr>
        <w:spacing w:after="0" w:line="134" w:lineRule="exact"/>
        <w:rPr>
          <w:sz w:val="20"/>
          <w:szCs w:val="20"/>
          <w:color w:val="auto"/>
        </w:rPr>
      </w:pPr>
    </w:p>
    <w:p>
      <w:pPr>
        <w:ind w:right="220" w:firstLine="799"/>
        <w:spacing w:after="0" w:line="251" w:lineRule="auto"/>
        <w:rPr>
          <w:sz w:val="20"/>
          <w:szCs w:val="20"/>
          <w:color w:val="auto"/>
        </w:rPr>
      </w:pPr>
      <w:r>
        <w:rPr>
          <w:rFonts w:ascii="Arial" w:cs="Arial" w:eastAsia="Arial" w:hAnsi="Arial"/>
          <w:sz w:val="22"/>
          <w:szCs w:val="22"/>
          <w:color w:val="auto"/>
        </w:rPr>
        <w:t>Notwithstanding anything contained in this Article 16, the Trustee may, during the pendency of a Default or an Event of Default, call a meeting of Holders of Notes in accordance with its standard practices.</w:t>
      </w:r>
    </w:p>
    <w:p>
      <w:pPr>
        <w:spacing w:after="0" w:line="173" w:lineRule="exact"/>
        <w:rPr>
          <w:sz w:val="20"/>
          <w:szCs w:val="20"/>
          <w:color w:val="auto"/>
        </w:rPr>
      </w:pPr>
    </w:p>
    <w:p>
      <w:pPr>
        <w:jc w:val="both"/>
        <w:ind w:right="60" w:firstLine="799"/>
        <w:spacing w:after="0" w:line="235" w:lineRule="auto"/>
        <w:rPr>
          <w:sz w:val="20"/>
          <w:szCs w:val="20"/>
          <w:color w:val="auto"/>
        </w:rPr>
      </w:pPr>
      <w:r>
        <w:rPr>
          <w:rFonts w:ascii="Arial" w:cs="Arial" w:eastAsia="Arial" w:hAnsi="Arial"/>
          <w:sz w:val="22"/>
          <w:szCs w:val="22"/>
          <w:i w:val="1"/>
          <w:iCs w:val="1"/>
          <w:color w:val="auto"/>
        </w:rPr>
        <w:t xml:space="preserve">Section 16.02. Call Notice and Place of Meetings. </w:t>
      </w:r>
      <w:r>
        <w:rPr>
          <w:rFonts w:ascii="Arial" w:cs="Arial" w:eastAsia="Arial" w:hAnsi="Arial"/>
          <w:sz w:val="22"/>
          <w:szCs w:val="22"/>
          <w:color w:val="auto"/>
        </w:rPr>
        <w:t>(a) The Trustee may at any time call a meeting of Holders of Notes for</w:t>
      </w:r>
      <w:r>
        <w:rPr>
          <w:rFonts w:ascii="Arial" w:cs="Arial" w:eastAsia="Arial" w:hAnsi="Arial"/>
          <w:sz w:val="22"/>
          <w:szCs w:val="22"/>
          <w:i w:val="1"/>
          <w:iCs w:val="1"/>
          <w:color w:val="auto"/>
        </w:rPr>
        <w:t xml:space="preserve"> </w:t>
      </w:r>
      <w:r>
        <w:rPr>
          <w:rFonts w:ascii="Arial" w:cs="Arial" w:eastAsia="Arial" w:hAnsi="Arial"/>
          <w:sz w:val="22"/>
          <w:szCs w:val="22"/>
          <w:color w:val="auto"/>
        </w:rPr>
        <w:t>any purpose specified in Section 16.01 hereof, to be held at such time and at such place in The City of New York. Notice of every meeting of Holders of Notes, setting forth the time and the place of such meeting, in general terms the action proposed to be taken at such meeting and the percentage of the principal amount of the then-Outstanding Notes which shall constitute a quorum at such meeting, shall be given, in the manner provided in the Indenture, not less than 21 nor more than 180 days prior to the date fixed for the meeting.</w:t>
      </w:r>
    </w:p>
    <w:p>
      <w:pPr>
        <w:spacing w:after="0" w:line="188" w:lineRule="exact"/>
        <w:rPr>
          <w:sz w:val="20"/>
          <w:szCs w:val="20"/>
          <w:color w:val="auto"/>
        </w:rPr>
      </w:pPr>
    </w:p>
    <w:p>
      <w:pPr>
        <w:ind w:firstLine="807"/>
        <w:spacing w:after="0" w:line="277" w:lineRule="auto"/>
        <w:tabs>
          <w:tab w:leader="none" w:pos="148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 case at any time the Company, pursuant to a resolution of the Board of Directors, or the Holders of at least 10% in principal amount of the Notes then Outstanding shall have requested the Trustee to call a meeting of the Holders of Notes for any purpose specified in Section 16.01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Notes in the amount specified, as the case may be, may determine the time and the place in The City of New York for such meeting and may call such meeting for such purposes by giving notice thereof as provided in Section 16.02(a).</w:t>
      </w:r>
    </w:p>
    <w:p>
      <w:pPr>
        <w:spacing w:after="0" w:line="153" w:lineRule="exact"/>
        <w:rPr>
          <w:sz w:val="20"/>
          <w:szCs w:val="20"/>
          <w:color w:val="auto"/>
        </w:rPr>
      </w:pPr>
    </w:p>
    <w:p>
      <w:pPr>
        <w:ind w:right="60" w:firstLine="799"/>
        <w:spacing w:after="0" w:line="249" w:lineRule="auto"/>
        <w:rPr>
          <w:sz w:val="20"/>
          <w:szCs w:val="20"/>
          <w:color w:val="auto"/>
        </w:rPr>
      </w:pPr>
      <w:r>
        <w:rPr>
          <w:rFonts w:ascii="Arial" w:cs="Arial" w:eastAsia="Arial" w:hAnsi="Arial"/>
          <w:sz w:val="21"/>
          <w:szCs w:val="21"/>
          <w:i w:val="1"/>
          <w:iCs w:val="1"/>
          <w:color w:val="auto"/>
        </w:rPr>
        <w:t xml:space="preserve">Section 16.03. Persons Entitled to Vote at Meetings. </w:t>
      </w:r>
      <w:r>
        <w:rPr>
          <w:rFonts w:ascii="Arial" w:cs="Arial" w:eastAsia="Arial" w:hAnsi="Arial"/>
          <w:sz w:val="21"/>
          <w:szCs w:val="21"/>
          <w:color w:val="auto"/>
        </w:rPr>
        <w:t>To be entitled to vote at any meeting of Holders of Notes, a Person</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(a) a Holder of one or more Outstanding Notes or (b) a Person appointed by an instrument in writing as proxy for a Holder or Holders of one or more Outstanding Notes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ectPr>
          <w:pgSz w:w="11900" w:h="16838" w:orient="portrait"/>
          <w:cols w:equalWidth="0" w:num="1">
            <w:col w:w="11400"/>
          </w:cols>
          <w:pgMar w:left="240" w:top="267" w:right="259" w:bottom="1440" w:gutter="0" w:footer="0" w:header="0"/>
        </w:sectPr>
      </w:pPr>
    </w:p>
    <w:bookmarkStart w:id="134" w:name="page135"/>
    <w:bookmarkEnd w:id="134"/>
    <w:p>
      <w:pPr>
        <w:ind w:right="20" w:firstLine="799"/>
        <w:spacing w:after="0" w:line="275"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16.04. Quorum; Action. </w:t>
      </w:r>
      <w:r>
        <w:rPr>
          <w:rFonts w:ascii="Arial" w:cs="Arial" w:eastAsia="Arial" w:hAnsi="Arial"/>
          <w:sz w:val="19"/>
          <w:szCs w:val="19"/>
          <w:color w:val="auto"/>
        </w:rPr>
        <w:t>The Persons entitled to vote a majority in principal amount of the then-Outstanding Notes</w:t>
      </w:r>
      <w:r>
        <w:rPr>
          <w:rFonts w:ascii="Arial" w:cs="Arial" w:eastAsia="Arial" w:hAnsi="Arial"/>
          <w:sz w:val="19"/>
          <w:szCs w:val="19"/>
          <w:i w:val="1"/>
          <w:iCs w:val="1"/>
          <w:color w:val="auto"/>
        </w:rPr>
        <w:t xml:space="preserve"> </w:t>
      </w:r>
      <w:r>
        <w:rPr>
          <w:rFonts w:ascii="Arial" w:cs="Arial" w:eastAsia="Arial" w:hAnsi="Arial"/>
          <w:sz w:val="19"/>
          <w:szCs w:val="19"/>
          <w:color w:val="auto"/>
        </w:rPr>
        <w:t>shall constitute a quorum. In the absence of a quorum within 30 minutes of the time appointed for any such meeting, the meeting shall, if convened at the request of Holders of Notes,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16.02(a) hereof, except that such notice need be given only once and not less than five days prior to the date on which the meeting is scheduled to be reconvened.</w:t>
      </w:r>
    </w:p>
    <w:p>
      <w:pPr>
        <w:spacing w:after="0" w:line="158" w:lineRule="exact"/>
        <w:rPr>
          <w:sz w:val="20"/>
          <w:szCs w:val="20"/>
          <w:color w:val="auto"/>
        </w:rPr>
      </w:pPr>
    </w:p>
    <w:p>
      <w:pPr>
        <w:ind w:right="120" w:firstLine="799"/>
        <w:spacing w:after="0" w:line="238" w:lineRule="auto"/>
        <w:rPr>
          <w:sz w:val="20"/>
          <w:szCs w:val="20"/>
          <w:color w:val="auto"/>
        </w:rPr>
      </w:pPr>
      <w:r>
        <w:rPr>
          <w:rFonts w:ascii="Arial" w:cs="Arial" w:eastAsia="Arial" w:hAnsi="Arial"/>
          <w:sz w:val="22"/>
          <w:szCs w:val="22"/>
          <w:color w:val="auto"/>
        </w:rPr>
        <w:t>At a meeting or an adjourned meeting duly reconvened and at which a quorum is present as aforesaid, any resolution and all matters (except as limited by the third paragraph of Section 9.02 hereof) shall be effectively passed and decided if passed or decided by the Persons entitled to vote not less than a majority in principal amount of Notes then Outstanding represented and voting at such meeting.</w:t>
      </w:r>
    </w:p>
    <w:p>
      <w:pPr>
        <w:spacing w:after="0" w:line="185" w:lineRule="exact"/>
        <w:rPr>
          <w:sz w:val="20"/>
          <w:szCs w:val="20"/>
          <w:color w:val="auto"/>
        </w:rPr>
      </w:pPr>
    </w:p>
    <w:p>
      <w:pPr>
        <w:ind w:right="1040" w:firstLine="799"/>
        <w:spacing w:after="0" w:line="328" w:lineRule="auto"/>
        <w:rPr>
          <w:sz w:val="20"/>
          <w:szCs w:val="20"/>
          <w:color w:val="auto"/>
        </w:rPr>
      </w:pPr>
      <w:r>
        <w:rPr>
          <w:rFonts w:ascii="Arial" w:cs="Arial" w:eastAsia="Arial" w:hAnsi="Arial"/>
          <w:sz w:val="19"/>
          <w:szCs w:val="19"/>
          <w:color w:val="auto"/>
        </w:rPr>
        <w:t>Any resolution passed or decisions taken at any meeting of Holders of Notes duly held in accordance with this Section 16.04 shall be binding on all the Holders of Notes, whether or not present or represented at the meeting.</w:t>
      </w:r>
    </w:p>
    <w:p>
      <w:pPr>
        <w:spacing w:after="0" w:line="105" w:lineRule="exact"/>
        <w:rPr>
          <w:sz w:val="20"/>
          <w:szCs w:val="20"/>
          <w:color w:val="auto"/>
        </w:rPr>
      </w:pPr>
    </w:p>
    <w:p>
      <w:pPr>
        <w:ind w:right="60" w:firstLine="799"/>
        <w:spacing w:after="0" w:line="249" w:lineRule="auto"/>
        <w:rPr>
          <w:sz w:val="20"/>
          <w:szCs w:val="20"/>
          <w:color w:val="auto"/>
        </w:rPr>
      </w:pPr>
      <w:r>
        <w:rPr>
          <w:rFonts w:ascii="Arial" w:cs="Arial" w:eastAsia="Arial" w:hAnsi="Arial"/>
          <w:sz w:val="21"/>
          <w:szCs w:val="21"/>
          <w:i w:val="1"/>
          <w:iCs w:val="1"/>
          <w:color w:val="auto"/>
        </w:rPr>
        <w:t xml:space="preserve">Section 16.05. Determination of Voting Rights; Conduct and Adjournment of Meetings. </w:t>
      </w:r>
      <w:r>
        <w:rPr>
          <w:rFonts w:ascii="Arial" w:cs="Arial" w:eastAsia="Arial" w:hAnsi="Arial"/>
          <w:sz w:val="21"/>
          <w:szCs w:val="21"/>
          <w:color w:val="auto"/>
        </w:rPr>
        <w:t>(a) Notwithstanding any other</w:t>
      </w:r>
      <w:r>
        <w:rPr>
          <w:rFonts w:ascii="Arial" w:cs="Arial" w:eastAsia="Arial" w:hAnsi="Arial"/>
          <w:sz w:val="21"/>
          <w:szCs w:val="21"/>
          <w:i w:val="1"/>
          <w:iCs w:val="1"/>
          <w:color w:val="auto"/>
        </w:rPr>
        <w:t xml:space="preserve"> </w:t>
      </w:r>
      <w:r>
        <w:rPr>
          <w:rFonts w:ascii="Arial" w:cs="Arial" w:eastAsia="Arial" w:hAnsi="Arial"/>
          <w:sz w:val="21"/>
          <w:szCs w:val="21"/>
          <w:color w:val="auto"/>
        </w:rPr>
        <w:t>provisions of this Indenture, the Trustee may make such reasonable regulations as it may deem advisable for any meeting of Holders of Notes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79" w:lineRule="exact"/>
        <w:rPr>
          <w:sz w:val="20"/>
          <w:szCs w:val="20"/>
          <w:color w:val="auto"/>
        </w:rPr>
      </w:pPr>
    </w:p>
    <w:p>
      <w:pPr>
        <w:ind w:firstLine="807"/>
        <w:spacing w:after="0" w:line="249" w:lineRule="auto"/>
        <w:tabs>
          <w:tab w:leader="none" w:pos="1479"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Trustee shall, by an instrument in writing, appoint a temporary chairman (which may be the Trustee) of the meeting, unless the meeting shall have been called by the Company or by Holders of Notes as provided in Section 16.02 hereof, in which case the Company or the Holders of Notes calling the meeting, as the case may be, shall in like manner appoint a temporary chairman. A permanent chairman and a permanent secretary of the meeting shall be elected by vote of the Persons entitled to vote a majority in principal amount of the Outstanding Notes represented at the meeting.</w:t>
      </w:r>
    </w:p>
    <w:p>
      <w:pPr>
        <w:spacing w:after="0" w:line="178" w:lineRule="exact"/>
        <w:rPr>
          <w:rFonts w:ascii="Arial" w:cs="Arial" w:eastAsia="Arial" w:hAnsi="Arial"/>
          <w:sz w:val="21"/>
          <w:szCs w:val="21"/>
          <w:color w:val="auto"/>
        </w:rPr>
      </w:pPr>
    </w:p>
    <w:p>
      <w:pPr>
        <w:ind w:right="180" w:firstLine="807"/>
        <w:spacing w:after="0" w:line="251" w:lineRule="auto"/>
        <w:tabs>
          <w:tab w:leader="none" w:pos="145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At any meeting, each Holder of a Note or proxy shall be entitled to one vote for each $1,000 principal amount of Notes held or represented by him;</w:t>
      </w:r>
    </w:p>
    <w:p>
      <w:pPr>
        <w:sectPr>
          <w:pgSz w:w="11900" w:h="16838" w:orient="portrait"/>
          <w:cols w:equalWidth="0" w:num="1">
            <w:col w:w="11380"/>
          </w:cols>
          <w:pgMar w:left="240" w:top="267" w:right="279" w:bottom="1440" w:gutter="0" w:footer="0" w:header="0"/>
        </w:sectPr>
      </w:pPr>
    </w:p>
    <w:bookmarkStart w:id="135" w:name="page136"/>
    <w:bookmarkEnd w:id="135"/>
    <w:p>
      <w:pPr>
        <w:jc w:val="both"/>
        <w:ind w:right="260"/>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no vote shall be cast or counted at any meeting in respect of any Note challenged as not Outstanding and</w:t>
      </w:r>
      <w:r>
        <w:rPr>
          <w:rFonts w:ascii="Arial" w:cs="Arial" w:eastAsia="Arial" w:hAnsi="Arial"/>
          <w:sz w:val="22"/>
          <w:szCs w:val="22"/>
          <w:i w:val="1"/>
          <w:iCs w:val="1"/>
          <w:color w:val="auto"/>
        </w:rPr>
        <w:t xml:space="preserve"> </w:t>
      </w:r>
      <w:r>
        <w:rPr>
          <w:rFonts w:ascii="Arial" w:cs="Arial" w:eastAsia="Arial" w:hAnsi="Arial"/>
          <w:sz w:val="22"/>
          <w:szCs w:val="22"/>
          <w:color w:val="auto"/>
        </w:rPr>
        <w:t>ruled by the chairman of the meeting to be not Outstanding. The chairman of the meeting shall have no right to vote, except as a Holder of a Note or proxy.</w:t>
      </w:r>
    </w:p>
    <w:p>
      <w:pPr>
        <w:spacing w:after="0" w:line="186" w:lineRule="exact"/>
        <w:rPr>
          <w:sz w:val="20"/>
          <w:szCs w:val="20"/>
          <w:color w:val="auto"/>
        </w:rPr>
      </w:pPr>
    </w:p>
    <w:p>
      <w:pPr>
        <w:ind w:right="180" w:firstLine="807"/>
        <w:spacing w:after="0" w:line="258" w:lineRule="auto"/>
        <w:tabs>
          <w:tab w:leader="none" w:pos="1471"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Any meeting of Holders of Notes duly called pursuant to Section 16.02 hereof at which a quorum is present may be adjourned from time to time by Persons entitled to vote a majority in principal amount of the then-Outstanding Notes represented at the meeting, and the meeting may be held as so adjourned without further notice.</w:t>
      </w:r>
    </w:p>
    <w:p>
      <w:pPr>
        <w:spacing w:after="0" w:line="167" w:lineRule="exact"/>
        <w:rPr>
          <w:sz w:val="20"/>
          <w:szCs w:val="20"/>
          <w:color w:val="auto"/>
        </w:rPr>
      </w:pPr>
    </w:p>
    <w:p>
      <w:pPr>
        <w:ind w:firstLine="799"/>
        <w:spacing w:after="0" w:line="272" w:lineRule="auto"/>
        <w:rPr>
          <w:sz w:val="20"/>
          <w:szCs w:val="20"/>
          <w:color w:val="auto"/>
        </w:rPr>
      </w:pPr>
      <w:r>
        <w:rPr>
          <w:rFonts w:ascii="Arial" w:cs="Arial" w:eastAsia="Arial" w:hAnsi="Arial"/>
          <w:sz w:val="19"/>
          <w:szCs w:val="19"/>
          <w:i w:val="1"/>
          <w:iCs w:val="1"/>
          <w:color w:val="auto"/>
        </w:rPr>
        <w:t xml:space="preserve">Section 16.06. Counting Votes and Recording Action of Meetings. </w:t>
      </w:r>
      <w:r>
        <w:rPr>
          <w:rFonts w:ascii="Arial" w:cs="Arial" w:eastAsia="Arial" w:hAnsi="Arial"/>
          <w:sz w:val="19"/>
          <w:szCs w:val="19"/>
          <w:color w:val="auto"/>
        </w:rPr>
        <w:t>The vote upon any resolution submitted to any meeting</w:t>
      </w:r>
      <w:r>
        <w:rPr>
          <w:rFonts w:ascii="Arial" w:cs="Arial" w:eastAsia="Arial" w:hAnsi="Arial"/>
          <w:sz w:val="19"/>
          <w:szCs w:val="19"/>
          <w:i w:val="1"/>
          <w:iCs w:val="1"/>
          <w:color w:val="auto"/>
        </w:rPr>
        <w:t xml:space="preserve"> </w:t>
      </w:r>
      <w:r>
        <w:rPr>
          <w:rFonts w:ascii="Arial" w:cs="Arial" w:eastAsia="Arial" w:hAnsi="Arial"/>
          <w:sz w:val="19"/>
          <w:szCs w:val="19"/>
          <w:color w:val="auto"/>
        </w:rPr>
        <w:t>of Holders of Notes shall be by written ballots on which shall be subscribed the signatures of the Holders of Notes or of their representatives by proxy and the principal amounts and serial numbers of the Outstanding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Notes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16.02 hereof and, if applicable, Section 16.04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w:t>
      </w:r>
      <w:r>
        <w:rPr>
          <w:rFonts w:ascii="Arial" w:cs="Arial" w:eastAsia="Arial" w:hAnsi="Arial"/>
          <w:sz w:val="18"/>
          <w:szCs w:val="18"/>
          <w:color w:val="auto"/>
        </w:rPr>
        <w:t>ISCELLANEOUS</w:t>
      </w:r>
      <w:r>
        <w:rPr>
          <w:rFonts w:ascii="Arial" w:cs="Arial" w:eastAsia="Arial" w:hAnsi="Arial"/>
          <w:sz w:val="22"/>
          <w:szCs w:val="22"/>
          <w:color w:val="auto"/>
        </w:rPr>
        <w:t xml:space="preserve"> P</w:t>
      </w:r>
      <w:r>
        <w:rPr>
          <w:rFonts w:ascii="Arial" w:cs="Arial" w:eastAsia="Arial" w:hAnsi="Arial"/>
          <w:sz w:val="18"/>
          <w:szCs w:val="18"/>
          <w:color w:val="auto"/>
        </w:rPr>
        <w:t>ROVISIONS</w:t>
      </w:r>
    </w:p>
    <w:p>
      <w:pPr>
        <w:spacing w:after="0" w:line="188" w:lineRule="exact"/>
        <w:rPr>
          <w:sz w:val="20"/>
          <w:szCs w:val="20"/>
          <w:color w:val="auto"/>
        </w:rPr>
      </w:pPr>
    </w:p>
    <w:p>
      <w:pPr>
        <w:ind w:right="120" w:firstLine="799"/>
        <w:spacing w:after="0" w:line="328" w:lineRule="auto"/>
        <w:rPr>
          <w:sz w:val="20"/>
          <w:szCs w:val="20"/>
          <w:color w:val="auto"/>
        </w:rPr>
      </w:pPr>
      <w:r>
        <w:rPr>
          <w:rFonts w:ascii="Arial" w:cs="Arial" w:eastAsia="Arial" w:hAnsi="Arial"/>
          <w:sz w:val="19"/>
          <w:szCs w:val="19"/>
          <w:i w:val="1"/>
          <w:iCs w:val="1"/>
          <w:color w:val="auto"/>
        </w:rPr>
        <w:t xml:space="preserve">Section 17.01. Provisions Binding on Company’s Successors. </w:t>
      </w:r>
      <w:r>
        <w:rPr>
          <w:rFonts w:ascii="Arial" w:cs="Arial" w:eastAsia="Arial" w:hAnsi="Arial"/>
          <w:sz w:val="19"/>
          <w:szCs w:val="19"/>
          <w:color w:val="auto"/>
        </w:rPr>
        <w:t>All the covenants, stipulations, promises and agreements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contained in this Indenture shall bind its successors and assigns whether so expressed or not.</w:t>
      </w:r>
    </w:p>
    <w:p>
      <w:pPr>
        <w:spacing w:after="0" w:line="105" w:lineRule="exact"/>
        <w:rPr>
          <w:sz w:val="20"/>
          <w:szCs w:val="20"/>
          <w:color w:val="auto"/>
        </w:rPr>
      </w:pPr>
    </w:p>
    <w:p>
      <w:pPr>
        <w:jc w:val="both"/>
        <w:ind w:right="80" w:firstLine="799"/>
        <w:spacing w:after="0"/>
        <w:rPr>
          <w:sz w:val="20"/>
          <w:szCs w:val="20"/>
          <w:color w:val="auto"/>
        </w:rPr>
      </w:pPr>
      <w:r>
        <w:rPr>
          <w:rFonts w:ascii="Arial" w:cs="Arial" w:eastAsia="Arial" w:hAnsi="Arial"/>
          <w:sz w:val="22"/>
          <w:szCs w:val="22"/>
          <w:i w:val="1"/>
          <w:iCs w:val="1"/>
          <w:color w:val="auto"/>
        </w:rPr>
        <w:t xml:space="preserve">Section 17.02. Official Acts by Successor. </w:t>
      </w:r>
      <w:r>
        <w:rPr>
          <w:rFonts w:ascii="Arial" w:cs="Arial" w:eastAsia="Arial" w:hAnsi="Arial"/>
          <w:sz w:val="22"/>
          <w:szCs w:val="22"/>
          <w:color w:val="auto"/>
        </w:rPr>
        <w:t>Any act or proceeding by any provision of this Indenture authorized or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to be done or performed by any board, committee or officer of the Company shall and may be done and performed with like force and effect by the like board, committee or officer of any</w:t>
      </w:r>
    </w:p>
    <w:p>
      <w:pPr>
        <w:sectPr>
          <w:pgSz w:w="11900" w:h="16838" w:orient="portrait"/>
          <w:cols w:equalWidth="0" w:num="1">
            <w:col w:w="11400"/>
          </w:cols>
          <w:pgMar w:left="240" w:top="267" w:right="25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or other entity that shall at the time be the lawful sole successor of the Company.</w:t>
      </w:r>
    </w:p>
    <w:p>
      <w:pPr>
        <w:spacing w:after="0" w:line="206" w:lineRule="exact"/>
        <w:rPr>
          <w:sz w:val="20"/>
          <w:szCs w:val="20"/>
          <w:color w:val="auto"/>
        </w:rPr>
      </w:pPr>
    </w:p>
    <w:p>
      <w:pPr>
        <w:ind w:right="80" w:firstLine="799"/>
        <w:spacing w:after="0" w:line="273" w:lineRule="auto"/>
        <w:rPr>
          <w:sz w:val="20"/>
          <w:szCs w:val="20"/>
          <w:color w:val="auto"/>
        </w:rPr>
      </w:pPr>
      <w:r>
        <w:rPr>
          <w:rFonts w:ascii="Arial" w:cs="Arial" w:eastAsia="Arial" w:hAnsi="Arial"/>
          <w:sz w:val="19"/>
          <w:szCs w:val="19"/>
          <w:i w:val="1"/>
          <w:iCs w:val="1"/>
          <w:color w:val="auto"/>
        </w:rPr>
        <w:t xml:space="preserve">Section 17.03. Notices. </w:t>
      </w:r>
      <w:r>
        <w:rPr>
          <w:rFonts w:ascii="Arial" w:cs="Arial" w:eastAsia="Arial" w:hAnsi="Arial"/>
          <w:sz w:val="19"/>
          <w:szCs w:val="19"/>
          <w:color w:val="auto"/>
        </w:rPr>
        <w:t>Except as otherwise expressly provided herein, any notice, request or demand that by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provision of this Indenture is required or permitted to be given, made or served by the Trustee or by the Holders or by any other Person pursuant to this Indenture to or on the Company may be given or served by being deposited in first class mail, postage prepaid, addressed (until another address is filed in writing by the Company with the Trustee), as follows: 28903 North Avenue Paine, Valencia, CA 91355. Any notice, election, request or demand by the Company or any Holder or by any other Person pursuant to this Indenture to or upon the Trustee shall be deemed to have been sufficiently given or made, for all purposes, if given or made in writing at the Corporate Trust Office of the Trustee or sent electronically in PDF format. Except as otherwise expressly provided herein, any notice or communication to a Holder of a Note may be given or served by being deposited in first class mail, postage prepaid, addressed at the Holder’s address as it appears in the Note Register;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notices given to Holders of Global Notes may be given by electronic transmission to the facilities of the Depositary.</w:t>
      </w:r>
    </w:p>
    <w:p>
      <w:pPr>
        <w:spacing w:after="0" w:line="162" w:lineRule="exact"/>
        <w:rPr>
          <w:sz w:val="20"/>
          <w:szCs w:val="20"/>
          <w:color w:val="auto"/>
        </w:rPr>
      </w:pPr>
    </w:p>
    <w:p>
      <w:pPr>
        <w:ind w:right="160" w:firstLine="799"/>
        <w:spacing w:after="0" w:line="297" w:lineRule="auto"/>
        <w:rPr>
          <w:sz w:val="20"/>
          <w:szCs w:val="20"/>
          <w:color w:val="auto"/>
        </w:rPr>
      </w:pPr>
      <w:r>
        <w:rPr>
          <w:rFonts w:ascii="Arial" w:cs="Arial" w:eastAsia="Arial" w:hAnsi="Arial"/>
          <w:sz w:val="19"/>
          <w:szCs w:val="19"/>
          <w:i w:val="1"/>
          <w:iCs w:val="1"/>
          <w:color w:val="auto"/>
        </w:rPr>
        <w:t xml:space="preserve">Section 17.04. Governing Law. </w:t>
      </w:r>
      <w:r>
        <w:rPr>
          <w:rFonts w:ascii="Arial" w:cs="Arial" w:eastAsia="Arial" w:hAnsi="Arial"/>
          <w:sz w:val="19"/>
          <w:szCs w:val="19"/>
          <w:color w:val="auto"/>
        </w:rPr>
        <w:t>THIS INDENTURE AND EACH NOTE SHALL BE DEEMED TO BE A CONTRACT</w:t>
      </w:r>
      <w:r>
        <w:rPr>
          <w:rFonts w:ascii="Arial" w:cs="Arial" w:eastAsia="Arial" w:hAnsi="Arial"/>
          <w:sz w:val="19"/>
          <w:szCs w:val="19"/>
          <w:i w:val="1"/>
          <w:iCs w:val="1"/>
          <w:color w:val="auto"/>
        </w:rPr>
        <w:t xml:space="preserve"> </w:t>
      </w:r>
      <w:r>
        <w:rPr>
          <w:rFonts w:ascii="Arial" w:cs="Arial" w:eastAsia="Arial" w:hAnsi="Arial"/>
          <w:sz w:val="19"/>
          <w:szCs w:val="19"/>
          <w:color w:val="auto"/>
        </w:rPr>
        <w:t>MADE UNDER THE LAWS OF NEW YORK, AND FOR ALL PURPOSES SHALL BE CONSTRUED IN ACCORDANCE WITH THE LAWS OF NEW YORK, WITHOUT REGARD TO CONFLICTS OF LAWS PRINCIPLES THEREOF.</w:t>
      </w:r>
    </w:p>
    <w:p>
      <w:pPr>
        <w:spacing w:after="0" w:line="134" w:lineRule="exact"/>
        <w:rPr>
          <w:sz w:val="20"/>
          <w:szCs w:val="20"/>
          <w:color w:val="auto"/>
        </w:rPr>
      </w:pPr>
    </w:p>
    <w:p>
      <w:pPr>
        <w:ind w:firstLine="799"/>
        <w:spacing w:after="0" w:line="236" w:lineRule="auto"/>
        <w:rPr>
          <w:sz w:val="20"/>
          <w:szCs w:val="20"/>
          <w:color w:val="auto"/>
        </w:rPr>
      </w:pPr>
      <w:r>
        <w:rPr>
          <w:rFonts w:ascii="Arial" w:cs="Arial" w:eastAsia="Arial" w:hAnsi="Arial"/>
          <w:sz w:val="22"/>
          <w:szCs w:val="22"/>
          <w:i w:val="1"/>
          <w:iCs w:val="1"/>
          <w:color w:val="auto"/>
        </w:rPr>
        <w:t xml:space="preserve">Section 17.05. Evidence of Compliance with Conditions Precedent; Certificates and Opinions of Counsel to Trustee. </w:t>
      </w:r>
      <w:r>
        <w:rPr>
          <w:rFonts w:ascii="Arial" w:cs="Arial" w:eastAsia="Arial" w:hAnsi="Arial"/>
          <w:sz w:val="22"/>
          <w:szCs w:val="22"/>
          <w:color w:val="auto"/>
        </w:rPr>
        <w:t>Upon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 application or demand by the Company to the Trustee to take any action under any of the provisions of this Indenture, the Company shall furnish to the Trustee an Officer’s Certificate and an Opinion of Counsel stating that such action is permitted by the terms of this Indenture;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such Opinion of Counsel shall be required in connection with the issuance of Notes on the Issue Date.</w:t>
      </w:r>
    </w:p>
    <w:p>
      <w:pPr>
        <w:spacing w:after="0" w:line="188" w:lineRule="exact"/>
        <w:rPr>
          <w:sz w:val="20"/>
          <w:szCs w:val="20"/>
          <w:color w:val="auto"/>
        </w:rPr>
      </w:pPr>
    </w:p>
    <w:p>
      <w:pPr>
        <w:ind w:right="100" w:firstLine="799"/>
        <w:spacing w:after="0" w:line="234" w:lineRule="auto"/>
        <w:rPr>
          <w:sz w:val="20"/>
          <w:szCs w:val="20"/>
          <w:color w:val="auto"/>
        </w:rPr>
      </w:pPr>
      <w:r>
        <w:rPr>
          <w:rFonts w:ascii="Arial" w:cs="Arial" w:eastAsia="Arial" w:hAnsi="Arial"/>
          <w:sz w:val="22"/>
          <w:szCs w:val="22"/>
          <w:color w:val="auto"/>
        </w:rPr>
        <w:t>Each Officer’s Certificate and Opinion of Counsel provided for by or on behalf of the Company in this Indenture and delivered to the Trustee with respect to compliance with this Indenture (other than the Officer’s Certificates provided for in Section 4.04) shall include (a) a statement that the Person making such certification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w:t>
      </w:r>
    </w:p>
    <w:p>
      <w:pPr>
        <w:sectPr>
          <w:pgSz w:w="11900" w:h="16838" w:orient="portrait"/>
          <w:cols w:equalWidth="0" w:num="1">
            <w:col w:w="11400"/>
          </w:cols>
          <w:pgMar w:left="240" w:top="267" w:right="25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as to whether or not, in the judgment of such Person, such action is permitted by this Indenture.</w:t>
      </w:r>
    </w:p>
    <w:p>
      <w:pPr>
        <w:spacing w:after="0" w:line="206" w:lineRule="exact"/>
        <w:rPr>
          <w:sz w:val="20"/>
          <w:szCs w:val="20"/>
          <w:color w:val="auto"/>
        </w:rPr>
      </w:pPr>
    </w:p>
    <w:p>
      <w:pPr>
        <w:ind w:firstLine="799"/>
        <w:spacing w:after="0"/>
        <w:rPr>
          <w:sz w:val="20"/>
          <w:szCs w:val="20"/>
          <w:color w:val="auto"/>
        </w:rPr>
      </w:pPr>
      <w:r>
        <w:rPr>
          <w:rFonts w:ascii="Arial" w:cs="Arial" w:eastAsia="Arial" w:hAnsi="Arial"/>
          <w:sz w:val="22"/>
          <w:szCs w:val="22"/>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86" w:lineRule="exact"/>
        <w:rPr>
          <w:sz w:val="20"/>
          <w:szCs w:val="20"/>
          <w:color w:val="auto"/>
        </w:rPr>
      </w:pPr>
    </w:p>
    <w:p>
      <w:pPr>
        <w:ind w:right="20" w:firstLine="799"/>
        <w:spacing w:after="0" w:line="252" w:lineRule="auto"/>
        <w:rPr>
          <w:sz w:val="20"/>
          <w:szCs w:val="20"/>
          <w:color w:val="auto"/>
        </w:rPr>
      </w:pPr>
      <w:r>
        <w:rPr>
          <w:rFonts w:ascii="Arial" w:cs="Arial" w:eastAsia="Arial" w:hAnsi="Arial"/>
          <w:sz w:val="21"/>
          <w:szCs w:val="21"/>
          <w:i w:val="1"/>
          <w:iCs w:val="1"/>
          <w:color w:val="auto"/>
        </w:rPr>
        <w:t xml:space="preserve">Section 17.06. Legal Holidays. </w:t>
      </w:r>
      <w:r>
        <w:rPr>
          <w:rFonts w:ascii="Arial" w:cs="Arial" w:eastAsia="Arial" w:hAnsi="Arial"/>
          <w:sz w:val="21"/>
          <w:szCs w:val="21"/>
          <w:color w:val="auto"/>
        </w:rPr>
        <w:t>In any case where any Interest Payment Date, Redemption Date, Fundamental Change</w:t>
      </w:r>
      <w:r>
        <w:rPr>
          <w:rFonts w:ascii="Arial" w:cs="Arial" w:eastAsia="Arial" w:hAnsi="Arial"/>
          <w:sz w:val="21"/>
          <w:szCs w:val="21"/>
          <w:i w:val="1"/>
          <w:iCs w:val="1"/>
          <w:color w:val="auto"/>
        </w:rPr>
        <w:t xml:space="preserve"> </w:t>
      </w:r>
      <w:r>
        <w:rPr>
          <w:rFonts w:ascii="Arial" w:cs="Arial" w:eastAsia="Arial" w:hAnsi="Arial"/>
          <w:sz w:val="21"/>
          <w:szCs w:val="21"/>
          <w:color w:val="auto"/>
        </w:rPr>
        <w:t>Purchase Date, Conversion Date or Maturity Date is not a Business Day, then any action to be taken on such date need not be taken on such date, but may be taken on the next succeeding Business Day with the same force and effect as if taken on such date, and no interest shall accrue for the period from and after such date.</w:t>
      </w:r>
    </w:p>
    <w:p>
      <w:pPr>
        <w:spacing w:after="0" w:line="174" w:lineRule="exact"/>
        <w:rPr>
          <w:sz w:val="20"/>
          <w:szCs w:val="20"/>
          <w:color w:val="auto"/>
        </w:rPr>
      </w:pPr>
    </w:p>
    <w:p>
      <w:pPr>
        <w:ind w:right="220" w:firstLine="799"/>
        <w:spacing w:after="0"/>
        <w:rPr>
          <w:sz w:val="20"/>
          <w:szCs w:val="20"/>
          <w:color w:val="auto"/>
        </w:rPr>
      </w:pPr>
      <w:r>
        <w:rPr>
          <w:rFonts w:ascii="Arial" w:cs="Arial" w:eastAsia="Arial" w:hAnsi="Arial"/>
          <w:sz w:val="22"/>
          <w:szCs w:val="22"/>
          <w:i w:val="1"/>
          <w:iCs w:val="1"/>
          <w:color w:val="auto"/>
        </w:rPr>
        <w:t xml:space="preserve">Section 17.07. No Security Interest Created. </w:t>
      </w:r>
      <w:r>
        <w:rPr>
          <w:rFonts w:ascii="Arial" w:cs="Arial" w:eastAsia="Arial" w:hAnsi="Arial"/>
          <w:sz w:val="22"/>
          <w:szCs w:val="22"/>
          <w:color w:val="auto"/>
        </w:rPr>
        <w:t>Nothing in this Indenture or in the Notes, expressed or implied,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construed to constitute a security interest under the Uniform Commercial Code or similar legislation, as now or hereafter enacted and in effect, in any jurisdiction.</w:t>
      </w:r>
    </w:p>
    <w:p>
      <w:pPr>
        <w:spacing w:after="0" w:line="186" w:lineRule="exact"/>
        <w:rPr>
          <w:sz w:val="20"/>
          <w:szCs w:val="20"/>
          <w:color w:val="auto"/>
        </w:rPr>
      </w:pPr>
    </w:p>
    <w:p>
      <w:pPr>
        <w:ind w:right="220" w:firstLine="799"/>
        <w:spacing w:after="0" w:line="238" w:lineRule="auto"/>
        <w:rPr>
          <w:sz w:val="20"/>
          <w:szCs w:val="20"/>
          <w:color w:val="auto"/>
        </w:rPr>
      </w:pPr>
      <w:r>
        <w:rPr>
          <w:rFonts w:ascii="Arial" w:cs="Arial" w:eastAsia="Arial" w:hAnsi="Arial"/>
          <w:sz w:val="22"/>
          <w:szCs w:val="22"/>
          <w:i w:val="1"/>
          <w:iCs w:val="1"/>
          <w:color w:val="auto"/>
        </w:rPr>
        <w:t xml:space="preserve">Section 17.08. Benefits of Indenture. </w:t>
      </w:r>
      <w:r>
        <w:rPr>
          <w:rFonts w:ascii="Arial" w:cs="Arial" w:eastAsia="Arial" w:hAnsi="Arial"/>
          <w:sz w:val="22"/>
          <w:szCs w:val="22"/>
          <w:color w:val="auto"/>
        </w:rPr>
        <w:t>Nothing in this Indenture or in the Notes, expressed or implied, shall give to any</w:t>
      </w:r>
      <w:r>
        <w:rPr>
          <w:rFonts w:ascii="Arial" w:cs="Arial" w:eastAsia="Arial" w:hAnsi="Arial"/>
          <w:sz w:val="22"/>
          <w:szCs w:val="22"/>
          <w:i w:val="1"/>
          <w:iCs w:val="1"/>
          <w:color w:val="auto"/>
        </w:rPr>
        <w:t xml:space="preserve"> </w:t>
      </w:r>
      <w:r>
        <w:rPr>
          <w:rFonts w:ascii="Arial" w:cs="Arial" w:eastAsia="Arial" w:hAnsi="Arial"/>
          <w:sz w:val="22"/>
          <w:szCs w:val="22"/>
          <w:color w:val="auto"/>
        </w:rPr>
        <w:t>Person, other than the parties hereto, any Paying Agent, any Conversion Agent, any authenticating agent, any Note Registrar and their successors hereunder or the Holders of the Notes, any benefit or any legal or equitable right, remedy or claim under this Indenture.</w:t>
      </w:r>
    </w:p>
    <w:p>
      <w:pPr>
        <w:spacing w:after="0" w:line="185" w:lineRule="exact"/>
        <w:rPr>
          <w:sz w:val="20"/>
          <w:szCs w:val="20"/>
          <w:color w:val="auto"/>
        </w:rPr>
      </w:pPr>
    </w:p>
    <w:p>
      <w:pPr>
        <w:ind w:right="160" w:firstLine="799"/>
        <w:spacing w:after="0"/>
        <w:rPr>
          <w:sz w:val="20"/>
          <w:szCs w:val="20"/>
          <w:color w:val="auto"/>
        </w:rPr>
      </w:pPr>
      <w:r>
        <w:rPr>
          <w:rFonts w:ascii="Arial" w:cs="Arial" w:eastAsia="Arial" w:hAnsi="Arial"/>
          <w:sz w:val="22"/>
          <w:szCs w:val="22"/>
          <w:i w:val="1"/>
          <w:iCs w:val="1"/>
          <w:color w:val="auto"/>
        </w:rPr>
        <w:t xml:space="preserve">Section 17.09. Table of Contents, Headings, Etc. </w:t>
      </w:r>
      <w:r>
        <w:rPr>
          <w:rFonts w:ascii="Arial" w:cs="Arial" w:eastAsia="Arial" w:hAnsi="Arial"/>
          <w:sz w:val="22"/>
          <w:szCs w:val="22"/>
          <w:color w:val="auto"/>
        </w:rPr>
        <w:t>The table of contents and the titles and headings of the articles and</w:t>
      </w:r>
      <w:r>
        <w:rPr>
          <w:rFonts w:ascii="Arial" w:cs="Arial" w:eastAsia="Arial" w:hAnsi="Arial"/>
          <w:sz w:val="22"/>
          <w:szCs w:val="22"/>
          <w:i w:val="1"/>
          <w:iCs w:val="1"/>
          <w:color w:val="auto"/>
        </w:rPr>
        <w:t xml:space="preserve"> </w:t>
      </w:r>
      <w:r>
        <w:rPr>
          <w:rFonts w:ascii="Arial" w:cs="Arial" w:eastAsia="Arial" w:hAnsi="Arial"/>
          <w:sz w:val="22"/>
          <w:szCs w:val="22"/>
          <w:color w:val="auto"/>
        </w:rPr>
        <w:t>sections of this Indenture have been inserted for convenience of reference only, are not to be considered a part hereof, and shall in no way modify or restrict any of the terms or provisions hereof.</w:t>
      </w:r>
    </w:p>
    <w:p>
      <w:pPr>
        <w:spacing w:after="0" w:line="186" w:lineRule="exact"/>
        <w:rPr>
          <w:sz w:val="20"/>
          <w:szCs w:val="20"/>
          <w:color w:val="auto"/>
        </w:rPr>
      </w:pPr>
    </w:p>
    <w:p>
      <w:pPr>
        <w:ind w:right="140" w:firstLine="799"/>
        <w:spacing w:after="0" w:line="251" w:lineRule="auto"/>
        <w:rPr>
          <w:sz w:val="20"/>
          <w:szCs w:val="20"/>
          <w:color w:val="auto"/>
        </w:rPr>
      </w:pPr>
      <w:r>
        <w:rPr>
          <w:rFonts w:ascii="Arial" w:cs="Arial" w:eastAsia="Arial" w:hAnsi="Arial"/>
          <w:sz w:val="22"/>
          <w:szCs w:val="22"/>
          <w:i w:val="1"/>
          <w:iCs w:val="1"/>
          <w:color w:val="auto"/>
        </w:rPr>
        <w:t xml:space="preserve">Section 17.10. Execution in Counterparts. </w:t>
      </w:r>
      <w:r>
        <w:rPr>
          <w:rFonts w:ascii="Arial" w:cs="Arial" w:eastAsia="Arial" w:hAnsi="Arial"/>
          <w:sz w:val="22"/>
          <w:szCs w:val="22"/>
          <w:color w:val="auto"/>
        </w:rPr>
        <w:t>This Indenture may be executed in any number of counterparts, each of which</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an original, but such counterparts shall together constitute but one and the same instrument.</w:t>
      </w:r>
    </w:p>
    <w:p>
      <w:pPr>
        <w:spacing w:after="0" w:line="173" w:lineRule="exact"/>
        <w:rPr>
          <w:sz w:val="20"/>
          <w:szCs w:val="20"/>
          <w:color w:val="auto"/>
        </w:rPr>
      </w:pPr>
    </w:p>
    <w:p>
      <w:pPr>
        <w:ind w:right="160" w:firstLine="799"/>
        <w:spacing w:after="0"/>
        <w:rPr>
          <w:sz w:val="20"/>
          <w:szCs w:val="20"/>
          <w:color w:val="auto"/>
        </w:rPr>
      </w:pPr>
      <w:r>
        <w:rPr>
          <w:rFonts w:ascii="Arial" w:cs="Arial" w:eastAsia="Arial" w:hAnsi="Arial"/>
          <w:sz w:val="22"/>
          <w:szCs w:val="22"/>
          <w:i w:val="1"/>
          <w:iCs w:val="1"/>
          <w:color w:val="auto"/>
        </w:rPr>
        <w:t xml:space="preserve">Section 17.11. Severability. </w:t>
      </w:r>
      <w:r>
        <w:rPr>
          <w:rFonts w:ascii="Arial" w:cs="Arial" w:eastAsia="Arial" w:hAnsi="Arial"/>
          <w:sz w:val="22"/>
          <w:szCs w:val="22"/>
          <w:color w:val="auto"/>
        </w:rPr>
        <w:t>In the event any provision of this Indenture or in the Notes shall be invalid, illegal or</w:t>
      </w:r>
      <w:r>
        <w:rPr>
          <w:rFonts w:ascii="Arial" w:cs="Arial" w:eastAsia="Arial" w:hAnsi="Arial"/>
          <w:sz w:val="22"/>
          <w:szCs w:val="22"/>
          <w:i w:val="1"/>
          <w:iCs w:val="1"/>
          <w:color w:val="auto"/>
        </w:rPr>
        <w:t xml:space="preserve"> </w:t>
      </w:r>
      <w:r>
        <w:rPr>
          <w:rFonts w:ascii="Arial" w:cs="Arial" w:eastAsia="Arial" w:hAnsi="Arial"/>
          <w:sz w:val="22"/>
          <w:szCs w:val="22"/>
          <w:color w:val="auto"/>
        </w:rPr>
        <w:t>unenforceable, then (to the extent permitted by law) the validity, legality or enforceability of the remaining provisions shall not in any way be affected or impaired.</w:t>
      </w:r>
    </w:p>
    <w:p>
      <w:pPr>
        <w:spacing w:after="0" w:line="186" w:lineRule="exact"/>
        <w:rPr>
          <w:sz w:val="20"/>
          <w:szCs w:val="20"/>
          <w:color w:val="auto"/>
        </w:rPr>
      </w:pPr>
    </w:p>
    <w:p>
      <w:pPr>
        <w:ind w:right="80" w:firstLine="799"/>
        <w:spacing w:after="0"/>
        <w:rPr>
          <w:sz w:val="20"/>
          <w:szCs w:val="20"/>
          <w:color w:val="auto"/>
        </w:rPr>
      </w:pPr>
      <w:r>
        <w:rPr>
          <w:rFonts w:ascii="Arial" w:cs="Arial" w:eastAsia="Arial" w:hAnsi="Arial"/>
          <w:sz w:val="22"/>
          <w:szCs w:val="22"/>
          <w:i w:val="1"/>
          <w:iCs w:val="1"/>
          <w:color w:val="auto"/>
        </w:rPr>
        <w:t xml:space="preserve">Section 17.12. Waiver of Jury Trial. </w:t>
      </w:r>
      <w:r>
        <w:rPr>
          <w:rFonts w:ascii="Arial" w:cs="Arial" w:eastAsia="Arial" w:hAnsi="Arial"/>
          <w:sz w:val="22"/>
          <w:szCs w:val="22"/>
          <w:color w:val="auto"/>
        </w:rPr>
        <w:t>EACH OF THE COMPANY AND THE TRUSTEE HEREBY IRREVOCABLY</w:t>
      </w:r>
      <w:r>
        <w:rPr>
          <w:rFonts w:ascii="Arial" w:cs="Arial" w:eastAsia="Arial" w:hAnsi="Arial"/>
          <w:sz w:val="22"/>
          <w:szCs w:val="22"/>
          <w:i w:val="1"/>
          <w:iCs w:val="1"/>
          <w:color w:val="auto"/>
        </w:rPr>
        <w:t xml:space="preserve"> </w:t>
      </w:r>
      <w:r>
        <w:rPr>
          <w:rFonts w:ascii="Arial" w:cs="Arial" w:eastAsia="Arial" w:hAnsi="Arial"/>
          <w:sz w:val="22"/>
          <w:szCs w:val="22"/>
          <w:color w:val="auto"/>
        </w:rPr>
        <w:t>WAIVES, TO THE FULLEST EXTENT PERMITTED BY APPLICABLE LAW, ANY AND ALL RIGHT TO TRIAL BY JURY IN ANY LEGAL PROCEEDING ARISING OUT OF OR</w:t>
      </w:r>
    </w:p>
    <w:p>
      <w:pPr>
        <w:sectPr>
          <w:pgSz w:w="11900" w:h="16838" w:orient="portrait"/>
          <w:cols w:equalWidth="0" w:num="1">
            <w:col w:w="11380"/>
          </w:cols>
          <w:pgMar w:left="240" w:top="267" w:right="27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THIS INDENTURE, THE NOTES OR THE TRANSACTION CONTEMPLATED HEREBY.</w:t>
      </w:r>
    </w:p>
    <w:p>
      <w:pPr>
        <w:spacing w:after="0" w:line="206" w:lineRule="exact"/>
        <w:rPr>
          <w:sz w:val="20"/>
          <w:szCs w:val="20"/>
          <w:color w:val="auto"/>
        </w:rPr>
      </w:pPr>
    </w:p>
    <w:p>
      <w:pPr>
        <w:ind w:firstLine="799"/>
        <w:spacing w:after="0" w:line="274" w:lineRule="auto"/>
        <w:rPr>
          <w:sz w:val="20"/>
          <w:szCs w:val="20"/>
          <w:color w:val="auto"/>
        </w:rPr>
      </w:pPr>
      <w:r>
        <w:rPr>
          <w:rFonts w:ascii="Arial" w:cs="Arial" w:eastAsia="Arial" w:hAnsi="Arial"/>
          <w:sz w:val="19"/>
          <w:szCs w:val="19"/>
          <w:i w:val="1"/>
          <w:iCs w:val="1"/>
          <w:color w:val="auto"/>
        </w:rPr>
        <w:t>Section 17.13. Consent to Jurisdiction</w:t>
      </w:r>
      <w:r>
        <w:rPr>
          <w:rFonts w:ascii="Arial" w:cs="Arial" w:eastAsia="Arial" w:hAnsi="Arial"/>
          <w:sz w:val="19"/>
          <w:szCs w:val="19"/>
          <w:color w:val="auto"/>
        </w:rPr>
        <w:t>. (a) The Company hereby irrevocably and unconditionally submits, for itself and its</w:t>
      </w:r>
      <w:r>
        <w:rPr>
          <w:rFonts w:ascii="Arial" w:cs="Arial" w:eastAsia="Arial" w:hAnsi="Arial"/>
          <w:sz w:val="19"/>
          <w:szCs w:val="19"/>
          <w:i w:val="1"/>
          <w:iCs w:val="1"/>
          <w:color w:val="auto"/>
        </w:rPr>
        <w:t xml:space="preserve"> </w:t>
      </w:r>
      <w:r>
        <w:rPr>
          <w:rFonts w:ascii="Arial" w:cs="Arial" w:eastAsia="Arial" w:hAnsi="Arial"/>
          <w:sz w:val="19"/>
          <w:szCs w:val="19"/>
          <w:color w:val="auto"/>
        </w:rPr>
        <w:t>property, to the nonexclusive jurisdiction of any New York State court or federal court of the United States sitting in the State and City of New York, County and Borough of Manhattan, and any appellate court from any thereof, in any action or proceeding arising out of or relating to this Indenture or the Notes, or for recognition or enforcement of any judgment, and each of the parties hereto hereby irrevocably and unconditionally agrees that all claims in respect of any such action or proceeding may be heard and determined in such state court sitting in the State and City of New York, County and Borough of Manhattan or, to the extent permitted by law, in such federal court sitting in the State and City of New York, County and Borough of Manhattan. Each of the parties hereto agrees that a final judgment in any such action or proceeding shall be conclusive and may be enforced in other jurisdictions by suit on the judgment or in any other manner provided by law.</w:t>
      </w:r>
    </w:p>
    <w:p>
      <w:pPr>
        <w:spacing w:after="0" w:line="159" w:lineRule="exact"/>
        <w:rPr>
          <w:sz w:val="20"/>
          <w:szCs w:val="20"/>
          <w:color w:val="auto"/>
        </w:rPr>
      </w:pPr>
    </w:p>
    <w:p>
      <w:pPr>
        <w:ind w:right="20" w:firstLine="807"/>
        <w:spacing w:after="0" w:line="236" w:lineRule="auto"/>
        <w:tabs>
          <w:tab w:leader="none" w:pos="147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Company hereby irrevocably and unconditionally waives, to the fullest extent it may legally and effectively do so, any objection which it may now or hereafter have to the laying of venue of any suit, action or proceeding arising out of or relating to this Indenture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88" w:lineRule="exact"/>
        <w:rPr>
          <w:sz w:val="20"/>
          <w:szCs w:val="20"/>
          <w:color w:val="auto"/>
        </w:rPr>
      </w:pPr>
    </w:p>
    <w:p>
      <w:pPr>
        <w:ind w:right="280" w:firstLine="799"/>
        <w:spacing w:after="0" w:line="279" w:lineRule="auto"/>
        <w:rPr>
          <w:sz w:val="20"/>
          <w:szCs w:val="20"/>
          <w:color w:val="auto"/>
        </w:rPr>
      </w:pPr>
      <w:r>
        <w:rPr>
          <w:rFonts w:ascii="Arial" w:cs="Arial" w:eastAsia="Arial" w:hAnsi="Arial"/>
          <w:sz w:val="19"/>
          <w:szCs w:val="19"/>
          <w:i w:val="1"/>
          <w:iCs w:val="1"/>
          <w:color w:val="auto"/>
        </w:rPr>
        <w:t>Section 17.14. Force Majeure</w:t>
      </w:r>
      <w:r>
        <w:rPr>
          <w:rFonts w:ascii="Arial" w:cs="Arial" w:eastAsia="Arial" w:hAnsi="Arial"/>
          <w:sz w:val="19"/>
          <w:szCs w:val="19"/>
          <w:color w:val="auto"/>
        </w:rPr>
        <w:t>. In no event shall the Trustee be responsible or liable for any failure or delay in the</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51" w:lineRule="exact"/>
        <w:rPr>
          <w:sz w:val="20"/>
          <w:szCs w:val="20"/>
          <w:color w:val="auto"/>
        </w:rPr>
      </w:pPr>
    </w:p>
    <w:p>
      <w:pPr>
        <w:ind w:right="300" w:firstLine="799"/>
        <w:spacing w:after="0" w:line="249" w:lineRule="auto"/>
        <w:rPr>
          <w:sz w:val="20"/>
          <w:szCs w:val="20"/>
          <w:color w:val="auto"/>
        </w:rPr>
      </w:pPr>
      <w:r>
        <w:rPr>
          <w:rFonts w:ascii="Arial" w:cs="Arial" w:eastAsia="Arial" w:hAnsi="Arial"/>
          <w:sz w:val="21"/>
          <w:szCs w:val="21"/>
          <w:i w:val="1"/>
          <w:iCs w:val="1"/>
          <w:color w:val="auto"/>
        </w:rPr>
        <w:t>Section 17.15. Calculations</w:t>
      </w:r>
      <w:r>
        <w:rPr>
          <w:rFonts w:ascii="Arial" w:cs="Arial" w:eastAsia="Arial" w:hAnsi="Arial"/>
          <w:sz w:val="21"/>
          <w:szCs w:val="21"/>
          <w:color w:val="auto"/>
        </w:rPr>
        <w:t>. Except as explicitly stated herein, the Company shall be responsible for making all</w:t>
      </w:r>
      <w:r>
        <w:rPr>
          <w:rFonts w:ascii="Arial" w:cs="Arial" w:eastAsia="Arial" w:hAnsi="Arial"/>
          <w:sz w:val="21"/>
          <w:szCs w:val="21"/>
          <w:i w:val="1"/>
          <w:iCs w:val="1"/>
          <w:color w:val="auto"/>
        </w:rPr>
        <w:t xml:space="preserve"> </w:t>
      </w:r>
      <w:r>
        <w:rPr>
          <w:rFonts w:ascii="Arial" w:cs="Arial" w:eastAsia="Arial" w:hAnsi="Arial"/>
          <w:sz w:val="21"/>
          <w:szCs w:val="21"/>
          <w:color w:val="auto"/>
        </w:rPr>
        <w:t>calculations required pursuant to this Indenture and the Notes, including, without limitation, calculations with respect to determinations of the Conversion Price and Conversion Rate applicable to the Notes. The Company shall make all such calculations in good faith and, absent manifest error, the Company’s calculations shall be binding on the Holders. The Company shall provide a written schedule of such calculations to the Trustee, and</w:t>
      </w:r>
    </w:p>
    <w:p>
      <w:pPr>
        <w:sectPr>
          <w:pgSz w:w="11900" w:h="16838" w:orient="portrait"/>
          <w:cols w:equalWidth="0" w:num="1">
            <w:col w:w="11380"/>
          </w:cols>
          <w:pgMar w:left="240" w:top="266" w:right="279" w:bottom="1440" w:gutter="0" w:footer="0" w:header="0"/>
        </w:sectPr>
      </w:pPr>
    </w:p>
    <w:bookmarkStart w:id="139" w:name="page140"/>
    <w:bookmarkEnd w:id="139"/>
    <w:p>
      <w:pPr>
        <w:ind w:right="2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be entitled to conclusively rely upon the accuracy of the Company’s calculations without responsibility for independent verification thereof. The Trustee shall forward a copy of such calculations to any Holder upon such Holder’s written request.</w:t>
      </w:r>
    </w:p>
    <w:p>
      <w:pPr>
        <w:spacing w:after="0" w:line="186" w:lineRule="exact"/>
        <w:rPr>
          <w:sz w:val="20"/>
          <w:szCs w:val="20"/>
          <w:color w:val="auto"/>
        </w:rPr>
      </w:pPr>
    </w:p>
    <w:p>
      <w:pPr>
        <w:ind w:right="160" w:firstLine="799"/>
        <w:spacing w:after="0" w:line="249" w:lineRule="auto"/>
        <w:rPr>
          <w:sz w:val="20"/>
          <w:szCs w:val="20"/>
          <w:color w:val="auto"/>
        </w:rPr>
      </w:pPr>
      <w:r>
        <w:rPr>
          <w:rFonts w:ascii="Arial" w:cs="Arial" w:eastAsia="Arial" w:hAnsi="Arial"/>
          <w:sz w:val="21"/>
          <w:szCs w:val="21"/>
          <w:i w:val="1"/>
          <w:iCs w:val="1"/>
          <w:color w:val="auto"/>
        </w:rPr>
        <w:t>Section 17.16. U.S.A. Patriot Act</w:t>
      </w:r>
      <w:r>
        <w:rPr>
          <w:rFonts w:ascii="Arial" w:cs="Arial" w:eastAsia="Arial" w:hAnsi="Arial"/>
          <w:sz w:val="21"/>
          <w:szCs w:val="21"/>
          <w:color w:val="auto"/>
        </w:rPr>
        <w:t>. The parties hereto acknowledge that in accordance with Section 326 of the U.S.A.</w:t>
      </w:r>
      <w:r>
        <w:rPr>
          <w:rFonts w:ascii="Arial" w:cs="Arial" w:eastAsia="Arial" w:hAnsi="Arial"/>
          <w:sz w:val="21"/>
          <w:szCs w:val="21"/>
          <w:i w:val="1"/>
          <w:iCs w:val="1"/>
          <w:color w:val="auto"/>
        </w:rPr>
        <w:t xml:space="preserve"> </w:t>
      </w:r>
      <w:r>
        <w:rPr>
          <w:rFonts w:ascii="Arial" w:cs="Arial" w:eastAsia="Arial" w:hAnsi="Arial"/>
          <w:sz w:val="21"/>
          <w:szCs w:val="21"/>
          <w:color w:val="auto"/>
        </w:rPr>
        <w:t>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18</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UBORDINATION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22"/>
          <w:szCs w:val="22"/>
          <w:i w:val="1"/>
          <w:iCs w:val="1"/>
          <w:color w:val="auto"/>
        </w:rPr>
        <w:t>Section 18.01. Subordination.</w:t>
      </w:r>
    </w:p>
    <w:p>
      <w:pPr>
        <w:spacing w:after="0" w:line="206" w:lineRule="exact"/>
        <w:rPr>
          <w:sz w:val="20"/>
          <w:szCs w:val="20"/>
          <w:color w:val="auto"/>
        </w:rPr>
      </w:pPr>
    </w:p>
    <w:p>
      <w:pPr>
        <w:ind w:firstLine="807"/>
        <w:spacing w:after="0" w:line="282" w:lineRule="auto"/>
        <w:tabs>
          <w:tab w:leader="none" w:pos="1467"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Company covenants and agrees, and each Holder, by accepting a Note, likewise covenants and agrees, that all payments on the Notes, including the payment of principal, Fundamental Change Purchase Price or Redemption Price and interest (including Special Interest and Additional Interest) on the Notes, will be subordinated to the prior payment in full in cash (or other payment satisfactory to the holders of Designated Senior Debt) of all of the Designated Senior Debt and the subordination is for the benefit of and enforceable by the holders of the Designated Senior Debt.</w:t>
      </w:r>
    </w:p>
    <w:p>
      <w:pPr>
        <w:spacing w:after="0" w:line="147" w:lineRule="exact"/>
        <w:rPr>
          <w:rFonts w:ascii="Arial" w:cs="Arial" w:eastAsia="Arial" w:hAnsi="Arial"/>
          <w:sz w:val="19"/>
          <w:szCs w:val="19"/>
          <w:color w:val="auto"/>
        </w:rPr>
      </w:pPr>
    </w:p>
    <w:p>
      <w:pPr>
        <w:ind w:firstLine="807"/>
        <w:spacing w:after="0" w:line="279" w:lineRule="auto"/>
        <w:tabs>
          <w:tab w:leader="none" w:pos="148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Upon any distribution of the Company’s assets upon any dissolution, winding up, liquidation, reorganization, bankruptcy, assignment for the benefit of holders or any other marshaling of assets, or similar proceeding, the payment of the principal, Fundamental Change Purchase Price or Redemption Price of and interest (including Special Interest and Additional Interest) on, the Notes will be subordinated in right of payment to the prior payment in full in cash (or other payment satisfactory to the holders of Designated Senior Debt) of all of the Designated Senior Debt. The Company shall promptly notify holders of Designated Senior Debt if payment of the Notes is accelerated because of an Event of Default or if a Fundamental Change occurs.</w:t>
      </w:r>
    </w:p>
    <w:p>
      <w:pPr>
        <w:spacing w:after="0" w:line="151" w:lineRule="exact"/>
        <w:rPr>
          <w:sz w:val="20"/>
          <w:szCs w:val="20"/>
          <w:color w:val="auto"/>
        </w:rPr>
      </w:pPr>
    </w:p>
    <w:p>
      <w:pPr>
        <w:ind w:right="80" w:firstLine="799"/>
        <w:spacing w:after="0" w:line="297" w:lineRule="auto"/>
        <w:rPr>
          <w:sz w:val="20"/>
          <w:szCs w:val="20"/>
          <w:color w:val="auto"/>
        </w:rPr>
      </w:pPr>
      <w:r>
        <w:rPr>
          <w:rFonts w:ascii="Arial" w:cs="Arial" w:eastAsia="Arial" w:hAnsi="Arial"/>
          <w:sz w:val="19"/>
          <w:szCs w:val="19"/>
          <w:color w:val="auto"/>
        </w:rPr>
        <w:t>Notwithstanding the foregoing, the right of Holders to receive any distributions, which (x) are provided for by a plan of reorganization or readjustment authorized by an order or decree of a court of competent jurisdiction in a reorganization proceeding under any applicable Bankruptcy Law relating to the Company and consented to by the holders of the Designated Senior Debt and</w:t>
      </w:r>
    </w:p>
    <w:p>
      <w:pPr>
        <w:sectPr>
          <w:pgSz w:w="11900" w:h="16838" w:orient="portrait"/>
          <w:cols w:equalWidth="0" w:num="1">
            <w:col w:w="11380"/>
          </w:cols>
          <w:pgMar w:left="240" w:top="267" w:right="279" w:bottom="1440" w:gutter="0" w:footer="0" w:header="0"/>
        </w:sectPr>
      </w:pPr>
    </w:p>
    <w:bookmarkStart w:id="140" w:name="page141"/>
    <w:bookmarkEnd w:id="140"/>
    <w:p>
      <w:pPr>
        <w:ind w:right="40" w:firstLine="8"/>
        <w:spacing w:after="0" w:line="236" w:lineRule="auto"/>
        <w:tabs>
          <w:tab w:leader="none" w:pos="306" w:val="left"/>
        </w:tabs>
        <w:numPr>
          <w:ilvl w:val="0"/>
          <w:numId w:val="11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take the form of the Company’s equity interests or the Company’s indebtedness that is subordinated in right of payment to Designated Senior Debt then outstanding to at least the same extent of the Notes, shall not be subordinated to the prior payment of any Designated Senior Debt or otherwise subject to the subordination provisions of this Section 18.01, and none of the Holders will be obligated to pay over any such distributions to any holder of Designated Senior Debt. The Company may not make any payment on the Notes if:</w:t>
      </w:r>
    </w:p>
    <w:p>
      <w:pPr>
        <w:spacing w:after="0" w:line="187" w:lineRule="exact"/>
        <w:rPr>
          <w:rFonts w:ascii="Arial" w:cs="Arial" w:eastAsia="Arial" w:hAnsi="Arial"/>
          <w:sz w:val="22"/>
          <w:szCs w:val="22"/>
          <w:color w:val="auto"/>
        </w:rPr>
      </w:pPr>
    </w:p>
    <w:p>
      <w:pPr>
        <w:jc w:val="both"/>
        <w:ind w:left="800" w:right="40" w:firstLine="750"/>
        <w:spacing w:after="0"/>
        <w:tabs>
          <w:tab w:leader="none" w:pos="2233"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at the time any default in the payment of principal, premium, interest or other amounts due on Designated Senior Debt when due, whether at maturity, upon redemption or mandatory repurchase, acceleration, or otherwise, and the default has not been cured or waived (a “</w:t>
      </w:r>
      <w:r>
        <w:rPr>
          <w:rFonts w:ascii="Arial" w:cs="Arial" w:eastAsia="Arial" w:hAnsi="Arial"/>
          <w:sz w:val="22"/>
          <w:szCs w:val="22"/>
          <w:b w:val="1"/>
          <w:bCs w:val="1"/>
          <w:color w:val="auto"/>
        </w:rPr>
        <w:t>Payment Default</w:t>
      </w:r>
      <w:r>
        <w:rPr>
          <w:rFonts w:ascii="Arial" w:cs="Arial" w:eastAsia="Arial" w:hAnsi="Arial"/>
          <w:sz w:val="22"/>
          <w:szCs w:val="22"/>
          <w:color w:val="auto"/>
        </w:rPr>
        <w:t>”); or</w:t>
      </w:r>
    </w:p>
    <w:p>
      <w:pPr>
        <w:spacing w:after="0" w:line="186" w:lineRule="exact"/>
        <w:rPr>
          <w:rFonts w:ascii="Arial" w:cs="Arial" w:eastAsia="Arial" w:hAnsi="Arial"/>
          <w:sz w:val="22"/>
          <w:szCs w:val="22"/>
          <w:color w:val="auto"/>
        </w:rPr>
      </w:pPr>
    </w:p>
    <w:p>
      <w:pPr>
        <w:ind w:left="800" w:right="220" w:firstLine="750"/>
        <w:spacing w:after="0" w:line="238" w:lineRule="auto"/>
        <w:tabs>
          <w:tab w:leader="none" w:pos="2239"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 default, other than a payment default, on any Designated Senior Debt occurs and is continuing that permits holders of Designated Senior Debt to accelerate its maturity, and the Trustee receives a notice of such default (a “</w:t>
      </w:r>
      <w:r>
        <w:rPr>
          <w:rFonts w:ascii="Arial" w:cs="Arial" w:eastAsia="Arial" w:hAnsi="Arial"/>
          <w:sz w:val="22"/>
          <w:szCs w:val="22"/>
          <w:b w:val="1"/>
          <w:bCs w:val="1"/>
          <w:color w:val="auto"/>
        </w:rPr>
        <w:t>Payment Blockage Notice</w:t>
      </w:r>
      <w:r>
        <w:rPr>
          <w:rFonts w:ascii="Arial" w:cs="Arial" w:eastAsia="Arial" w:hAnsi="Arial"/>
          <w:sz w:val="22"/>
          <w:szCs w:val="22"/>
          <w:color w:val="auto"/>
        </w:rPr>
        <w:t>”) from a holder of Designated Senior Debt electing to effect a payment blockage under this Indenture (a “</w:t>
      </w:r>
      <w:r>
        <w:rPr>
          <w:rFonts w:ascii="Arial" w:cs="Arial" w:eastAsia="Arial" w:hAnsi="Arial"/>
          <w:sz w:val="22"/>
          <w:szCs w:val="22"/>
          <w:b w:val="1"/>
          <w:bCs w:val="1"/>
          <w:color w:val="auto"/>
        </w:rPr>
        <w:t>Nonpayment Default</w:t>
      </w:r>
      <w:r>
        <w:rPr>
          <w:rFonts w:ascii="Arial" w:cs="Arial" w:eastAsia="Arial" w:hAnsi="Arial"/>
          <w:sz w:val="22"/>
          <w:szCs w:val="22"/>
          <w:color w:val="auto"/>
        </w:rPr>
        <w:t>”).</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Company may resume payments and distributions on the Notes:</w:t>
      </w:r>
    </w:p>
    <w:p>
      <w:pPr>
        <w:spacing w:after="0" w:line="206" w:lineRule="exact"/>
        <w:rPr>
          <w:sz w:val="20"/>
          <w:szCs w:val="20"/>
          <w:color w:val="auto"/>
        </w:rPr>
      </w:pPr>
    </w:p>
    <w:p>
      <w:pPr>
        <w:ind w:left="2240" w:hanging="690"/>
        <w:spacing w:after="0"/>
        <w:tabs>
          <w:tab w:leader="none" w:pos="22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in case of a Payment Default, upon the date on which such default is cured or waived or ceases to exist;</w:t>
      </w:r>
    </w:p>
    <w:p>
      <w:pPr>
        <w:spacing w:after="0" w:line="4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ind w:left="800" w:right="40" w:firstLine="750"/>
        <w:spacing w:after="0" w:line="271" w:lineRule="auto"/>
        <w:tabs>
          <w:tab w:leader="none" w:pos="2239"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in case of a Nonpayment Default, the earlier of (A) the date on which such Nonpayment Default is cured or waived, (B) 91 days after the date the Designated Senior Debt is paid in full in cash (or other payment satisfactory to the holders of the Designated Senior Debt), (C) 179 days after the date on which the Payment Blockage Notice is received by the Trustee, if the maturity of the Designated Senior Debt has not been accelerated and there is no Payment Default, or</w:t>
      </w:r>
    </w:p>
    <w:p>
      <w:pPr>
        <w:spacing w:after="0" w:line="3" w:lineRule="exact"/>
        <w:rPr>
          <w:rFonts w:ascii="Arial" w:cs="Arial" w:eastAsia="Arial" w:hAnsi="Arial"/>
          <w:sz w:val="19"/>
          <w:szCs w:val="19"/>
          <w:color w:val="auto"/>
        </w:rPr>
      </w:pPr>
    </w:p>
    <w:p>
      <w:pPr>
        <w:ind w:left="1160" w:hanging="353"/>
        <w:spacing w:after="0"/>
        <w:tabs>
          <w:tab w:leader="none" w:pos="11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date the Payment Blockage Notice has been rescinded.</w:t>
      </w:r>
    </w:p>
    <w:p>
      <w:pPr>
        <w:spacing w:after="0" w:line="188" w:lineRule="exact"/>
        <w:rPr>
          <w:sz w:val="20"/>
          <w:szCs w:val="20"/>
          <w:color w:val="auto"/>
        </w:rPr>
      </w:pPr>
    </w:p>
    <w:p>
      <w:pPr>
        <w:ind w:firstLine="799"/>
        <w:spacing w:after="0"/>
        <w:rPr>
          <w:sz w:val="20"/>
          <w:szCs w:val="20"/>
          <w:color w:val="auto"/>
        </w:rPr>
      </w:pPr>
      <w:r>
        <w:rPr>
          <w:rFonts w:ascii="Arial" w:cs="Arial" w:eastAsia="Arial" w:hAnsi="Arial"/>
          <w:sz w:val="22"/>
          <w:szCs w:val="22"/>
          <w:color w:val="auto"/>
        </w:rPr>
        <w:t>No Nonpayment Default that existed or was continuing on the date of delivery of any Payment Blockage Notice shall be the basis for any later Payment Blockage Notice unless such default shall have been cured or waived for a period of not less than 90 consecutive days.</w:t>
      </w:r>
    </w:p>
    <w:p>
      <w:pPr>
        <w:spacing w:after="0" w:line="186" w:lineRule="exact"/>
        <w:rPr>
          <w:sz w:val="20"/>
          <w:szCs w:val="20"/>
          <w:color w:val="auto"/>
        </w:rPr>
      </w:pPr>
    </w:p>
    <w:p>
      <w:pPr>
        <w:ind w:right="160" w:firstLine="807"/>
        <w:spacing w:after="0" w:line="287" w:lineRule="auto"/>
        <w:tabs>
          <w:tab w:leader="none" w:pos="147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the Trustee or any Holder receives any payment or distribution of the Company’s assets in contravention of the subordination provisions of this Section 18.01 before all Designated Senior Debt is paid in full in cash or other payment satisfactory to holders of Designated Senior Debt, then such payment or distribution will be held for the benefit of holders of Designated Senior Debt or their representatives and paid over to them to the extent necessary to make</w:t>
      </w:r>
    </w:p>
    <w:p>
      <w:pPr>
        <w:sectPr>
          <w:pgSz w:w="11900" w:h="16838" w:orient="portrait"/>
          <w:cols w:equalWidth="0" w:num="1">
            <w:col w:w="11420"/>
          </w:cols>
          <w:pgMar w:left="240" w:top="267" w:right="23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in full in cash or payment satisfactory to the holders of Designated Senior Debt of all unpaid Designated Senior Debt.</w:t>
      </w:r>
    </w:p>
    <w:p>
      <w:pPr>
        <w:spacing w:after="0" w:line="241" w:lineRule="exact"/>
        <w:rPr>
          <w:sz w:val="20"/>
          <w:szCs w:val="20"/>
          <w:color w:val="auto"/>
        </w:rPr>
      </w:pPr>
    </w:p>
    <w:p>
      <w:pPr>
        <w:ind w:firstLine="799"/>
        <w:spacing w:after="0" w:line="279" w:lineRule="auto"/>
        <w:rPr>
          <w:sz w:val="20"/>
          <w:szCs w:val="20"/>
          <w:color w:val="auto"/>
        </w:rPr>
      </w:pPr>
      <w:r>
        <w:rPr>
          <w:rFonts w:ascii="Arial" w:cs="Arial" w:eastAsia="Arial" w:hAnsi="Arial"/>
          <w:sz w:val="19"/>
          <w:szCs w:val="19"/>
          <w:color w:val="auto"/>
        </w:rPr>
        <w:t>The Trustee shall not be deemed to owe any fiduciary duty to the holders of Designated Senior Debt and shall not be liable to any such holders if the Trustee shall in good faith mistakenly pay over or distribute to Holders or to the Company or to any other person cash, property or securities to which any holders of Designated Senior Debt shall be entitled by virtue of this Article or otherwise. With respect to the holders of Designated Senior Debt, the Trustee undertakes to perform or to observe only such of its covenants or obligations as are specifically set forth in this Article and no implied covenants or obligations with respect to holders of Designated Senior Debt shall be read into this Indenture against the Trustee.</w:t>
      </w:r>
    </w:p>
    <w:p>
      <w:pPr>
        <w:spacing w:after="0" w:line="151" w:lineRule="exact"/>
        <w:rPr>
          <w:sz w:val="20"/>
          <w:szCs w:val="20"/>
          <w:color w:val="auto"/>
        </w:rPr>
      </w:pPr>
    </w:p>
    <w:p>
      <w:pPr>
        <w:ind w:right="480" w:firstLine="799"/>
        <w:spacing w:after="0" w:line="251" w:lineRule="auto"/>
        <w:rPr>
          <w:sz w:val="20"/>
          <w:szCs w:val="20"/>
          <w:color w:val="auto"/>
        </w:rPr>
      </w:pPr>
      <w:r>
        <w:rPr>
          <w:rFonts w:ascii="Arial" w:cs="Arial" w:eastAsia="Arial" w:hAnsi="Arial"/>
          <w:sz w:val="22"/>
          <w:szCs w:val="22"/>
          <w:color w:val="auto"/>
        </w:rPr>
        <w:t>Nothing in this Section 18.01 shall prohibit the conversion or exchange of any or all of the Notes into or for shares of Common Stock, including cash payments in lieu of fractional shares of common stock.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267" w:right="239" w:bottom="1440" w:gutter="0" w:footer="0" w:header="0"/>
        </w:sectPr>
      </w:pPr>
    </w:p>
    <w:bookmarkStart w:id="142" w:name="page143"/>
    <w:bookmarkEnd w:id="142"/>
    <w:p>
      <w:pPr>
        <w:ind w:left="8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date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MANNKIND CORPORATION, as Issuer</w:t>
      </w:r>
    </w:p>
    <w:p>
      <w:pPr>
        <w:spacing w:after="0" w:line="31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22"/>
          <w:szCs w:val="22"/>
          <w:color w:val="auto"/>
        </w:rPr>
        <w:t>By:</w:t>
        <w:tab/>
        <w:t>/s/ Mathew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7620</wp:posOffset>
            </wp:positionV>
            <wp:extent cx="25901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Name: Matthew Pfeffer</w:t>
      </w:r>
    </w:p>
    <w:p>
      <w:pPr>
        <w:ind w:left="7340"/>
        <w:spacing w:after="0"/>
        <w:rPr>
          <w:sz w:val="20"/>
          <w:szCs w:val="20"/>
          <w:color w:val="auto"/>
        </w:rPr>
      </w:pPr>
      <w:r>
        <w:rPr>
          <w:rFonts w:ascii="Arial" w:cs="Arial" w:eastAsia="Arial" w:hAnsi="Arial"/>
          <w:sz w:val="22"/>
          <w:szCs w:val="22"/>
          <w:color w:val="auto"/>
        </w:rPr>
        <w:t>Title: Chief Financial Officer</w:t>
      </w:r>
    </w:p>
    <w:p>
      <w:pPr>
        <w:spacing w:after="0" w:line="296"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Wells Fargo Bank, National Association,</w:t>
      </w:r>
    </w:p>
    <w:p>
      <w:pPr>
        <w:spacing w:after="0" w:line="8"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as Trustee</w:t>
      </w:r>
    </w:p>
    <w:p>
      <w:pPr>
        <w:spacing w:after="0" w:line="29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22"/>
          <w:szCs w:val="22"/>
          <w:color w:val="auto"/>
        </w:rPr>
        <w:t>By:</w:t>
        <w:tab/>
        <w:t>/s/ Maddy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7620</wp:posOffset>
            </wp:positionV>
            <wp:extent cx="25901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 w:lineRule="exact"/>
        <w:rPr>
          <w:sz w:val="20"/>
          <w:szCs w:val="20"/>
          <w:color w:val="auto"/>
        </w:rPr>
      </w:pPr>
    </w:p>
    <w:p>
      <w:pPr>
        <w:ind w:left="7340"/>
        <w:spacing w:after="0"/>
        <w:rPr>
          <w:sz w:val="20"/>
          <w:szCs w:val="20"/>
          <w:color w:val="auto"/>
        </w:rPr>
      </w:pPr>
      <w:r>
        <w:rPr>
          <w:rFonts w:ascii="Arial" w:cs="Arial" w:eastAsia="Arial" w:hAnsi="Arial"/>
          <w:sz w:val="22"/>
          <w:szCs w:val="22"/>
          <w:color w:val="auto"/>
        </w:rPr>
        <w:t>Name: Maddy Hughes</w:t>
      </w:r>
    </w:p>
    <w:p>
      <w:pPr>
        <w:ind w:left="734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1060"/>
          </w:cols>
          <w:pgMar w:left="240" w:top="267" w:right="599" w:bottom="1440" w:gutter="0" w:footer="0" w:header="0"/>
        </w:sectPr>
      </w:pPr>
    </w:p>
    <w:bookmarkStart w:id="143" w:name="page144"/>
    <w:bookmarkEnd w:id="143"/>
    <w:p>
      <w:pPr>
        <w:ind w:left="52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06"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Make Whole Premium Upon a Fundamental Change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(Number of Additional Shares)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Stock Price</w:t>
            </w:r>
          </w:p>
        </w:tc>
        <w:tc>
          <w:tcPr>
            <w:tcW w:w="9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$4.82</w:t>
            </w:r>
          </w:p>
        </w:tc>
        <w:tc>
          <w:tcPr>
            <w:tcW w:w="920" w:type="dxa"/>
            <w:vAlign w:val="bottom"/>
            <w:tcBorders>
              <w:bottom w:val="single" w:sz="8" w:color="CCEEFF"/>
            </w:tcBorders>
            <w:shd w:val="clear" w:color="auto" w:fill="CCEEFF"/>
          </w:tcPr>
          <w:p>
            <w:pPr>
              <w:ind w:left="160"/>
              <w:spacing w:after="0" w:line="199" w:lineRule="exact"/>
              <w:rPr>
                <w:sz w:val="20"/>
                <w:szCs w:val="20"/>
                <w:color w:val="auto"/>
              </w:rPr>
            </w:pPr>
            <w:r>
              <w:rPr>
                <w:rFonts w:ascii="Arial" w:cs="Arial" w:eastAsia="Arial" w:hAnsi="Arial"/>
                <w:sz w:val="18"/>
                <w:szCs w:val="18"/>
                <w:b w:val="1"/>
                <w:bCs w:val="1"/>
                <w:color w:val="auto"/>
              </w:rPr>
              <w:t>$5.50</w:t>
            </w:r>
          </w:p>
        </w:tc>
        <w:tc>
          <w:tcPr>
            <w:tcW w:w="920" w:type="dxa"/>
            <w:vAlign w:val="bottom"/>
            <w:tcBorders>
              <w:bottom w:val="single" w:sz="8" w:color="CCEEFF"/>
            </w:tcBorders>
            <w:shd w:val="clear" w:color="auto" w:fill="CCEEFF"/>
          </w:tcPr>
          <w:p>
            <w:pPr>
              <w:ind w:left="160"/>
              <w:spacing w:after="0" w:line="199" w:lineRule="exact"/>
              <w:rPr>
                <w:sz w:val="20"/>
                <w:szCs w:val="20"/>
                <w:color w:val="auto"/>
              </w:rPr>
            </w:pPr>
            <w:r>
              <w:rPr>
                <w:rFonts w:ascii="Arial" w:cs="Arial" w:eastAsia="Arial" w:hAnsi="Arial"/>
                <w:sz w:val="18"/>
                <w:szCs w:val="18"/>
                <w:b w:val="1"/>
                <w:bCs w:val="1"/>
                <w:color w:val="auto"/>
              </w:rPr>
              <w:t>$6.00</w:t>
            </w:r>
          </w:p>
        </w:tc>
        <w:tc>
          <w:tcPr>
            <w:tcW w:w="900" w:type="dxa"/>
            <w:vAlign w:val="bottom"/>
            <w:tcBorders>
              <w:bottom w:val="single" w:sz="8" w:color="CCEEFF"/>
            </w:tcBorders>
            <w:shd w:val="clear" w:color="auto" w:fill="CCEEFF"/>
          </w:tcPr>
          <w:p>
            <w:pPr>
              <w:ind w:left="160"/>
              <w:spacing w:after="0" w:line="199" w:lineRule="exact"/>
              <w:rPr>
                <w:sz w:val="20"/>
                <w:szCs w:val="20"/>
                <w:color w:val="auto"/>
              </w:rPr>
            </w:pPr>
            <w:r>
              <w:rPr>
                <w:rFonts w:ascii="Arial" w:cs="Arial" w:eastAsia="Arial" w:hAnsi="Arial"/>
                <w:sz w:val="18"/>
                <w:szCs w:val="18"/>
                <w:b w:val="1"/>
                <w:bCs w:val="1"/>
                <w:color w:val="auto"/>
              </w:rPr>
              <w:t>$6.80</w:t>
            </w:r>
          </w:p>
        </w:tc>
        <w:tc>
          <w:tcPr>
            <w:tcW w:w="920" w:type="dxa"/>
            <w:vAlign w:val="bottom"/>
            <w:tcBorders>
              <w:bottom w:val="single" w:sz="8" w:color="CCEEFF"/>
            </w:tcBorders>
            <w:shd w:val="clear" w:color="auto" w:fill="CCEEFF"/>
          </w:tcPr>
          <w:p>
            <w:pPr>
              <w:ind w:left="180"/>
              <w:spacing w:after="0" w:line="199" w:lineRule="exact"/>
              <w:rPr>
                <w:sz w:val="20"/>
                <w:szCs w:val="20"/>
                <w:color w:val="auto"/>
              </w:rPr>
            </w:pPr>
            <w:r>
              <w:rPr>
                <w:rFonts w:ascii="Arial" w:cs="Arial" w:eastAsia="Arial" w:hAnsi="Arial"/>
                <w:sz w:val="18"/>
                <w:szCs w:val="18"/>
                <w:b w:val="1"/>
                <w:bCs w:val="1"/>
                <w:color w:val="auto"/>
              </w:rPr>
              <w:t>$7.50</w:t>
            </w:r>
          </w:p>
        </w:tc>
        <w:tc>
          <w:tcPr>
            <w:tcW w:w="920" w:type="dxa"/>
            <w:vAlign w:val="bottom"/>
            <w:tcBorders>
              <w:bottom w:val="single" w:sz="8" w:color="CCEEFF"/>
            </w:tcBorders>
            <w:shd w:val="clear" w:color="auto" w:fill="CCEEFF"/>
          </w:tcPr>
          <w:p>
            <w:pPr>
              <w:ind w:left="180"/>
              <w:spacing w:after="0" w:line="199" w:lineRule="exact"/>
              <w:rPr>
                <w:sz w:val="20"/>
                <w:szCs w:val="20"/>
                <w:color w:val="auto"/>
              </w:rPr>
            </w:pPr>
            <w:r>
              <w:rPr>
                <w:rFonts w:ascii="Arial" w:cs="Arial" w:eastAsia="Arial" w:hAnsi="Arial"/>
                <w:sz w:val="18"/>
                <w:szCs w:val="18"/>
                <w:b w:val="1"/>
                <w:bCs w:val="1"/>
                <w:color w:val="auto"/>
              </w:rPr>
              <w:t>$8.00</w:t>
            </w:r>
          </w:p>
        </w:tc>
        <w:tc>
          <w:tcPr>
            <w:tcW w:w="920" w:type="dxa"/>
            <w:vAlign w:val="bottom"/>
            <w:tcBorders>
              <w:bottom w:val="single" w:sz="8" w:color="CCEEFF"/>
            </w:tcBorders>
            <w:shd w:val="clear" w:color="auto" w:fill="CCEEFF"/>
          </w:tcPr>
          <w:p>
            <w:pPr>
              <w:ind w:left="180"/>
              <w:spacing w:after="0" w:line="199" w:lineRule="exact"/>
              <w:rPr>
                <w:sz w:val="20"/>
                <w:szCs w:val="20"/>
                <w:color w:val="auto"/>
              </w:rPr>
            </w:pPr>
            <w:r>
              <w:rPr>
                <w:rFonts w:ascii="Arial" w:cs="Arial" w:eastAsia="Arial" w:hAnsi="Arial"/>
                <w:sz w:val="18"/>
                <w:szCs w:val="18"/>
                <w:b w:val="1"/>
                <w:bCs w:val="1"/>
                <w:color w:val="auto"/>
              </w:rPr>
              <w:t>$8.84</w:t>
            </w:r>
          </w:p>
        </w:tc>
        <w:tc>
          <w:tcPr>
            <w:tcW w:w="820" w:type="dxa"/>
            <w:vAlign w:val="bottom"/>
            <w:tcBorders>
              <w:bottom w:val="single" w:sz="8" w:color="CCEEFF"/>
            </w:tcBorders>
            <w:shd w:val="clear" w:color="auto" w:fill="CCEEFF"/>
          </w:tcPr>
          <w:p>
            <w:pPr>
              <w:jc w:val="right"/>
              <w:ind w:right="70"/>
              <w:spacing w:after="0" w:line="199" w:lineRule="exact"/>
              <w:rPr>
                <w:sz w:val="20"/>
                <w:szCs w:val="20"/>
                <w:color w:val="auto"/>
              </w:rPr>
            </w:pPr>
            <w:r>
              <w:rPr>
                <w:rFonts w:ascii="Arial" w:cs="Arial" w:eastAsia="Arial" w:hAnsi="Arial"/>
                <w:sz w:val="18"/>
                <w:szCs w:val="18"/>
                <w:b w:val="1"/>
                <w:bCs w:val="1"/>
                <w:color w:val="auto"/>
              </w:rPr>
              <w:t>$10.00</w:t>
            </w:r>
          </w:p>
        </w:tc>
        <w:tc>
          <w:tcPr>
            <w:tcW w:w="780" w:type="dxa"/>
            <w:vAlign w:val="bottom"/>
            <w:tcBorders>
              <w:bottom w:val="single" w:sz="8" w:color="CCEEFF"/>
            </w:tcBorders>
            <w:shd w:val="clear" w:color="auto" w:fill="CCEEFF"/>
          </w:tcPr>
          <w:p>
            <w:pPr>
              <w:ind w:left="140"/>
              <w:spacing w:after="0" w:line="199" w:lineRule="exact"/>
              <w:rPr>
                <w:sz w:val="20"/>
                <w:szCs w:val="20"/>
                <w:color w:val="auto"/>
              </w:rPr>
            </w:pPr>
            <w:r>
              <w:rPr>
                <w:rFonts w:ascii="Arial" w:cs="Arial" w:eastAsia="Arial" w:hAnsi="Arial"/>
                <w:sz w:val="18"/>
                <w:szCs w:val="18"/>
                <w:b w:val="1"/>
                <w:bCs w:val="1"/>
                <w:color w:val="auto"/>
              </w:rPr>
              <w:t>$11.00</w:t>
            </w:r>
          </w:p>
        </w:tc>
        <w:tc>
          <w:tcPr>
            <w:tcW w:w="840" w:type="dxa"/>
            <w:vAlign w:val="bottom"/>
            <w:tcBorders>
              <w:bottom w:val="single" w:sz="8" w:color="CCEEFF"/>
            </w:tcBorders>
            <w:shd w:val="clear" w:color="auto" w:fill="CCEEFF"/>
          </w:tcPr>
          <w:p>
            <w:pPr>
              <w:jc w:val="right"/>
              <w:ind w:right="110"/>
              <w:spacing w:after="0" w:line="199" w:lineRule="exact"/>
              <w:rPr>
                <w:sz w:val="20"/>
                <w:szCs w:val="20"/>
                <w:color w:val="auto"/>
              </w:rPr>
            </w:pPr>
            <w:r>
              <w:rPr>
                <w:rFonts w:ascii="Arial" w:cs="Arial" w:eastAsia="Arial" w:hAnsi="Arial"/>
                <w:sz w:val="18"/>
                <w:szCs w:val="18"/>
                <w:b w:val="1"/>
                <w:bCs w:val="1"/>
                <w:color w:val="auto"/>
              </w:rPr>
              <w:t>$12.00</w:t>
            </w:r>
          </w:p>
        </w:tc>
      </w:tr>
      <w:tr>
        <w:trPr>
          <w:trHeight w:val="210"/>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August 15, 2015</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60.3829</w:t>
            </w:r>
          </w:p>
        </w:tc>
        <w:tc>
          <w:tcPr>
            <w:tcW w:w="920" w:type="dxa"/>
            <w:vAlign w:val="bottom"/>
          </w:tcPr>
          <w:p>
            <w:pPr>
              <w:ind w:left="160"/>
              <w:spacing w:after="0"/>
              <w:rPr>
                <w:sz w:val="20"/>
                <w:szCs w:val="20"/>
                <w:color w:val="auto"/>
              </w:rPr>
            </w:pPr>
            <w:r>
              <w:rPr>
                <w:rFonts w:ascii="Arial" w:cs="Arial" w:eastAsia="Arial" w:hAnsi="Arial"/>
                <w:sz w:val="18"/>
                <w:szCs w:val="18"/>
                <w:color w:val="auto"/>
              </w:rPr>
              <w:t>45.1836</w:t>
            </w:r>
          </w:p>
        </w:tc>
        <w:tc>
          <w:tcPr>
            <w:tcW w:w="920" w:type="dxa"/>
            <w:vAlign w:val="bottom"/>
          </w:tcPr>
          <w:p>
            <w:pPr>
              <w:ind w:left="160"/>
              <w:spacing w:after="0"/>
              <w:rPr>
                <w:sz w:val="20"/>
                <w:szCs w:val="20"/>
                <w:color w:val="auto"/>
              </w:rPr>
            </w:pPr>
            <w:r>
              <w:rPr>
                <w:rFonts w:ascii="Arial" w:cs="Arial" w:eastAsia="Arial" w:hAnsi="Arial"/>
                <w:sz w:val="18"/>
                <w:szCs w:val="18"/>
                <w:color w:val="auto"/>
              </w:rPr>
              <w:t>36.8467</w:t>
            </w:r>
          </w:p>
        </w:tc>
        <w:tc>
          <w:tcPr>
            <w:tcW w:w="900" w:type="dxa"/>
            <w:vAlign w:val="bottom"/>
          </w:tcPr>
          <w:p>
            <w:pPr>
              <w:ind w:left="160"/>
              <w:spacing w:after="0"/>
              <w:rPr>
                <w:sz w:val="20"/>
                <w:szCs w:val="20"/>
                <w:color w:val="auto"/>
              </w:rPr>
            </w:pPr>
            <w:r>
              <w:rPr>
                <w:rFonts w:ascii="Arial" w:cs="Arial" w:eastAsia="Arial" w:hAnsi="Arial"/>
                <w:sz w:val="18"/>
                <w:szCs w:val="18"/>
                <w:color w:val="auto"/>
              </w:rPr>
              <w:t>26.9809</w:t>
            </w:r>
          </w:p>
        </w:tc>
        <w:tc>
          <w:tcPr>
            <w:tcW w:w="920" w:type="dxa"/>
            <w:vAlign w:val="bottom"/>
          </w:tcPr>
          <w:p>
            <w:pPr>
              <w:ind w:left="180"/>
              <w:spacing w:after="0"/>
              <w:rPr>
                <w:sz w:val="20"/>
                <w:szCs w:val="20"/>
                <w:color w:val="auto"/>
              </w:rPr>
            </w:pPr>
            <w:r>
              <w:rPr>
                <w:rFonts w:ascii="Arial" w:cs="Arial" w:eastAsia="Arial" w:hAnsi="Arial"/>
                <w:sz w:val="18"/>
                <w:szCs w:val="18"/>
                <w:color w:val="auto"/>
              </w:rPr>
              <w:t>20.8347</w:t>
            </w:r>
          </w:p>
        </w:tc>
        <w:tc>
          <w:tcPr>
            <w:tcW w:w="920" w:type="dxa"/>
            <w:vAlign w:val="bottom"/>
          </w:tcPr>
          <w:p>
            <w:pPr>
              <w:ind w:left="180"/>
              <w:spacing w:after="0"/>
              <w:rPr>
                <w:sz w:val="20"/>
                <w:szCs w:val="20"/>
                <w:color w:val="auto"/>
              </w:rPr>
            </w:pPr>
            <w:r>
              <w:rPr>
                <w:rFonts w:ascii="Arial" w:cs="Arial" w:eastAsia="Arial" w:hAnsi="Arial"/>
                <w:sz w:val="18"/>
                <w:szCs w:val="18"/>
                <w:color w:val="auto"/>
              </w:rPr>
              <w:t>17.4675</w:t>
            </w:r>
          </w:p>
        </w:tc>
        <w:tc>
          <w:tcPr>
            <w:tcW w:w="920" w:type="dxa"/>
            <w:vAlign w:val="bottom"/>
          </w:tcPr>
          <w:p>
            <w:pPr>
              <w:ind w:left="180"/>
              <w:spacing w:after="0"/>
              <w:rPr>
                <w:sz w:val="20"/>
                <w:szCs w:val="20"/>
                <w:color w:val="auto"/>
              </w:rPr>
            </w:pPr>
            <w:r>
              <w:rPr>
                <w:rFonts w:ascii="Arial" w:cs="Arial" w:eastAsia="Arial" w:hAnsi="Arial"/>
                <w:sz w:val="18"/>
                <w:szCs w:val="18"/>
                <w:color w:val="auto"/>
              </w:rPr>
              <w:t>13.2048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9.3090</w:t>
            </w:r>
          </w:p>
        </w:tc>
        <w:tc>
          <w:tcPr>
            <w:tcW w:w="780" w:type="dxa"/>
            <w:vAlign w:val="bottom"/>
          </w:tcPr>
          <w:p>
            <w:pPr>
              <w:ind w:left="140"/>
              <w:spacing w:after="0"/>
              <w:rPr>
                <w:sz w:val="20"/>
                <w:szCs w:val="20"/>
                <w:color w:val="auto"/>
              </w:rPr>
            </w:pPr>
            <w:r>
              <w:rPr>
                <w:rFonts w:ascii="Arial" w:cs="Arial" w:eastAsia="Arial" w:hAnsi="Arial"/>
                <w:sz w:val="18"/>
                <w:szCs w:val="18"/>
                <w:color w:val="auto"/>
              </w:rPr>
              <w:t>7.1400</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5.6625</w:t>
            </w: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August 15, 2016</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60.3829</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42.3709</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33.2767</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22.2559</w:t>
            </w: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15.0613</w:t>
            </w: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10.9113</w:t>
            </w: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0.0000</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0.0000</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0.0000</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August 15, 2017</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60.3829</w:t>
            </w:r>
          </w:p>
        </w:tc>
        <w:tc>
          <w:tcPr>
            <w:tcW w:w="920" w:type="dxa"/>
            <w:vAlign w:val="bottom"/>
          </w:tcPr>
          <w:p>
            <w:pPr>
              <w:ind w:left="160"/>
              <w:spacing w:after="0"/>
              <w:rPr>
                <w:sz w:val="20"/>
                <w:szCs w:val="20"/>
                <w:color w:val="auto"/>
              </w:rPr>
            </w:pPr>
            <w:r>
              <w:rPr>
                <w:rFonts w:ascii="Arial" w:cs="Arial" w:eastAsia="Arial" w:hAnsi="Arial"/>
                <w:sz w:val="18"/>
                <w:szCs w:val="18"/>
                <w:color w:val="auto"/>
              </w:rPr>
              <w:t>39.2818</w:t>
            </w:r>
          </w:p>
        </w:tc>
        <w:tc>
          <w:tcPr>
            <w:tcW w:w="920" w:type="dxa"/>
            <w:vAlign w:val="bottom"/>
          </w:tcPr>
          <w:p>
            <w:pPr>
              <w:ind w:left="160"/>
              <w:spacing w:after="0"/>
              <w:rPr>
                <w:sz w:val="20"/>
                <w:szCs w:val="20"/>
                <w:color w:val="auto"/>
              </w:rPr>
            </w:pPr>
            <w:r>
              <w:rPr>
                <w:rFonts w:ascii="Arial" w:cs="Arial" w:eastAsia="Arial" w:hAnsi="Arial"/>
                <w:sz w:val="18"/>
                <w:szCs w:val="18"/>
                <w:color w:val="auto"/>
              </w:rPr>
              <w:t>29.7017</w:t>
            </w:r>
          </w:p>
        </w:tc>
        <w:tc>
          <w:tcPr>
            <w:tcW w:w="900" w:type="dxa"/>
            <w:vAlign w:val="bottom"/>
          </w:tcPr>
          <w:p>
            <w:pPr>
              <w:ind w:left="160"/>
              <w:spacing w:after="0"/>
              <w:rPr>
                <w:sz w:val="20"/>
                <w:szCs w:val="20"/>
                <w:color w:val="auto"/>
              </w:rPr>
            </w:pPr>
            <w:r>
              <w:rPr>
                <w:rFonts w:ascii="Arial" w:cs="Arial" w:eastAsia="Arial" w:hAnsi="Arial"/>
                <w:sz w:val="18"/>
                <w:szCs w:val="18"/>
                <w:color w:val="auto"/>
              </w:rPr>
              <w:t>18.8074</w:t>
            </w:r>
          </w:p>
        </w:tc>
        <w:tc>
          <w:tcPr>
            <w:tcW w:w="920" w:type="dxa"/>
            <w:vAlign w:val="bottom"/>
          </w:tcPr>
          <w:p>
            <w:pPr>
              <w:ind w:left="180"/>
              <w:spacing w:after="0"/>
              <w:rPr>
                <w:sz w:val="20"/>
                <w:szCs w:val="20"/>
                <w:color w:val="auto"/>
              </w:rPr>
            </w:pPr>
            <w:r>
              <w:rPr>
                <w:rFonts w:ascii="Arial" w:cs="Arial" w:eastAsia="Arial" w:hAnsi="Arial"/>
                <w:sz w:val="18"/>
                <w:szCs w:val="18"/>
                <w:color w:val="auto"/>
              </w:rPr>
              <w:t>12.2520</w:t>
            </w:r>
          </w:p>
        </w:tc>
        <w:tc>
          <w:tcPr>
            <w:tcW w:w="920" w:type="dxa"/>
            <w:vAlign w:val="bottom"/>
          </w:tcPr>
          <w:p>
            <w:pPr>
              <w:ind w:left="180"/>
              <w:spacing w:after="0"/>
              <w:rPr>
                <w:sz w:val="20"/>
                <w:szCs w:val="20"/>
                <w:color w:val="auto"/>
              </w:rPr>
            </w:pPr>
            <w:r>
              <w:rPr>
                <w:rFonts w:ascii="Arial" w:cs="Arial" w:eastAsia="Arial" w:hAnsi="Arial"/>
                <w:sz w:val="18"/>
                <w:szCs w:val="18"/>
                <w:color w:val="auto"/>
              </w:rPr>
              <w:t>8.6950</w:t>
            </w:r>
          </w:p>
        </w:tc>
        <w:tc>
          <w:tcPr>
            <w:tcW w:w="920" w:type="dxa"/>
            <w:vAlign w:val="bottom"/>
          </w:tcPr>
          <w:p>
            <w:pPr>
              <w:ind w:left="180"/>
              <w:spacing w:after="0"/>
              <w:rPr>
                <w:sz w:val="20"/>
                <w:szCs w:val="20"/>
                <w:color w:val="auto"/>
              </w:rPr>
            </w:pPr>
            <w:r>
              <w:rPr>
                <w:rFonts w:ascii="Arial" w:cs="Arial" w:eastAsia="Arial" w:hAnsi="Arial"/>
                <w:sz w:val="18"/>
                <w:szCs w:val="18"/>
                <w:color w:val="auto"/>
              </w:rPr>
              <w:t>0.0000</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0.0000</w:t>
            </w:r>
          </w:p>
        </w:tc>
        <w:tc>
          <w:tcPr>
            <w:tcW w:w="780" w:type="dxa"/>
            <w:vAlign w:val="bottom"/>
          </w:tcPr>
          <w:p>
            <w:pPr>
              <w:ind w:left="140"/>
              <w:spacing w:after="0"/>
              <w:rPr>
                <w:sz w:val="20"/>
                <w:szCs w:val="20"/>
                <w:color w:val="auto"/>
              </w:rPr>
            </w:pPr>
            <w:r>
              <w:rPr>
                <w:rFonts w:ascii="Arial" w:cs="Arial" w:eastAsia="Arial" w:hAnsi="Arial"/>
                <w:sz w:val="18"/>
                <w:szCs w:val="18"/>
                <w:color w:val="auto"/>
              </w:rPr>
              <w:t>0.0000</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0.0000</w:t>
            </w: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August 15, 2018</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60.3829</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34.7600</w:t>
            </w:r>
          </w:p>
        </w:tc>
        <w:tc>
          <w:tcPr>
            <w:tcW w:w="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19.6083</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0.0000</w:t>
            </w: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0.0000</w:t>
            </w: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0.0000</w:t>
            </w: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0.0000</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0.0000</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0.0000</w:t>
            </w:r>
          </w:p>
        </w:tc>
      </w:tr>
    </w:tbl>
    <w:p>
      <w:pPr>
        <w:sectPr>
          <w:pgSz w:w="11900" w:h="16838" w:orient="portrait"/>
          <w:cols w:equalWidth="0" w:num="1">
            <w:col w:w="11420"/>
          </w:cols>
          <w:pgMar w:left="240" w:top="26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FACE OF NOTE]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[INCLUDE IF A GLOBAL NOTE]</w:t>
      </w:r>
    </w:p>
    <w:p>
      <w:pPr>
        <w:spacing w:after="0" w:line="206" w:lineRule="exact"/>
        <w:rPr>
          <w:sz w:val="20"/>
          <w:szCs w:val="20"/>
          <w:color w:val="auto"/>
        </w:rPr>
      </w:pPr>
    </w:p>
    <w:p>
      <w:pPr>
        <w:jc w:val="both"/>
        <w:ind w:firstLine="799"/>
        <w:spacing w:after="0" w:line="234" w:lineRule="auto"/>
        <w:rPr>
          <w:sz w:val="20"/>
          <w:szCs w:val="20"/>
          <w:color w:val="auto"/>
        </w:rPr>
      </w:pPr>
      <w:r>
        <w:rPr>
          <w:rFonts w:ascii="Arial" w:cs="Arial" w:eastAsia="Arial" w:hAnsi="Arial"/>
          <w:sz w:val="22"/>
          <w:szCs w:val="22"/>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[INCLUDE IF A RESTRICTED SECURITY]</w:t>
      </w:r>
    </w:p>
    <w:p>
      <w:pPr>
        <w:spacing w:after="0" w:line="206" w:lineRule="exact"/>
        <w:rPr>
          <w:sz w:val="20"/>
          <w:szCs w:val="20"/>
          <w:color w:val="auto"/>
        </w:rPr>
      </w:pPr>
    </w:p>
    <w:p>
      <w:pPr>
        <w:jc w:val="both"/>
        <w:ind w:firstLine="799"/>
        <w:spacing w:after="0" w:line="232" w:lineRule="auto"/>
        <w:rPr>
          <w:sz w:val="20"/>
          <w:szCs w:val="20"/>
          <w:color w:val="auto"/>
        </w:rPr>
      </w:pPr>
      <w:r>
        <w:rPr>
          <w:rFonts w:ascii="Arial" w:cs="Arial" w:eastAsia="Arial" w:hAnsi="Arial"/>
          <w:sz w:val="22"/>
          <w:szCs w:val="22"/>
          <w:color w:val="auto"/>
        </w:rPr>
        <w:t>THE SALE OF THIS NOTE HAS NOT BEEN REGISTERED UNDER THE U.S. SECURITIES ACT OF 1933, AS AMENDED (THE “SECURITIES ACT”), AND ACCORDINGLY, THIS NOTE MAY NOT BE OFFERED, SOLD, PLEDGED OR OTHERWISE TRANSFERRED EXCEPT AS SET FORTH IN THE FOLLOWING SENTENCE. BY ITS ACQUISITION HEREOF, OR OF A BENEFICIAL OWNERSHIP HEREIN, THE ACQUIRER: (I) REPRESENTS THAT IT, AND ANY ACCOUNT FOR WHICH IT IS ACTING, IS A “QUALIFIED INSTITUTIONAL BUYER” (WITHIN THE MEANING OF RULE 144A UNDER THE SECURITIES ACT) AND THAT IT EXERCISES SOLE INVESTMENT DISCRETION WITH RESPECT TO EACH SUCH ACCOUNT, AND (II) AGREES (1) THAT IT WILL NOT WITHIN THE LATER OF (X) ONE YEAR AFTER THE DATE OF ISSUANCE OF THIS NOTE AND (Y) 90 DAYS AFTER IT CEASES TO BE AN AFFILIATE (WITHIN THE MEANING OF RULE 144 UNDER THE SECURITIES ACT) OF MANNKIND CORPORATION (THE “COMPANY”), OFFER, RESELL, PLEDGE OR OTHERWISE TRANSFER THE NOTES EVIDENCED HEREBY, THE COMMON STOCK ISSUABLE UPON CONVERSION OF SUCH NOTES OR ANY BENEFICIAL OWNERSHIP HEREIN, EXCEPT: (A) TO THE COMPANY OR ANY SUBSIDIARY THEREOF; (B) UNDER A REGISTRATION STATEMENT THAT HAS BECOME EFFECTIVE UNDER THE SECURITIES ACT; (C) TO A PERSON THE SELLER REASONABLY BELIEVES IS A QUALIFIED INSTITUTIONAL BUYER (AS DEFINED IN RULE 144A UNDER THE SECURITIES ACT) THAT IS PURCHASING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261" w:right="239" w:bottom="1440" w:gutter="0" w:footer="0" w:header="0"/>
        </w:sectPr>
      </w:pPr>
    </w:p>
    <w:bookmarkStart w:id="145" w:name="page146"/>
    <w:bookmarkEnd w:id="145"/>
    <w:p>
      <w:pPr>
        <w:jc w:val="both"/>
        <w:spacing w:after="0" w:line="24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INCLUDING RULE 144, IF AVAILABLE; AND (2) THAT IT WILL, PRIOR TO ANY TRANSFER OF THIS NOTE WITHIN THE LATER OF (X) SIX MONTHS (OR, IF THE COMPANY HAS NOT SATISFIED THE CURRENT PUBLIC INFORMATION REQUIREMENTS OF RULE 144, ONE YEAR) AFTER THE DATE OF ISSUANCE OF THIS NOTE AND (Y) 90 DAYS AFTER IT CEASES TO BE AN AFFILIATE (WITHIN THE MEANING OF RULE 144) OF THE COMPANY, FURNISH TO THE TRUSTEE AND THE COMPANY SUCH CERTIFICATIONS, LEGAL OPINIONS OR OTHER INFORMATION AS THEY MAY REQUIRE AND MAY RELY UPON TO CONFIRM THAT SUCH TRANSFER IS BEING MADE PURSUANT TO AN EXEMPTION FROM, OR IN A TRANSACTION NOT SUBJECT TO, THE REGISTRATION REQUIREMENTS OF THE SECURITIES ACT AND APPLICABLE STATE SECURITIES LAWS. IN ANY EVENT, NO AFFILIATE OF THE COMPANY MAY RESELL THIS NOTE OTHER THAN UNDER A REGISTRATION STATEMENT THAT HAS BECOME EFFECTIVE UNDER THE SECURITIES ACT OR PURSUANT TO AN EXEMPTION FROM THE REGISTRATION REQUIREMENTS OF THE SECURITIES ACT IN A TRANSACTION THAT RESULTS IN SUCH NOTE NO LONGER BEING “RESTRICTED SECURITIES” (AS DEFINED UNDER RULE 144). NO REPRESENTATION IS MADE AS TO THE AVAILABILITY OF ANY EXEMPTION FROM THE REGISTRATION REQUIREMENTS OF THE SECURITIES ACT. EACH PURCHASER AND TRANSFEREE OF A NOTE AND THE COMMON STOCK ISSUABLE UPON CONVERSION OF A NOTE WILL BE DEEMED TO HAVE REPRESENTED BY ITS PURCHASE AND HOLDING OF THE NOTE AND THE COMMON STOCK ISSUABLE UPON CONVERSION OF THE NOTE THAT (A) ITS PURCHASE AND HOLDING OF THE NOTE AND THE COMMON STOCK ISSUABLE UPON CONVERSION OF THE NOTE IS NOT MADE ON BEHALF OF OR WITH “PLAN ASSETS” OF ANY PLAN SUBJECT TO TITLE I OF ERISA, SECTION 4975 OF THE CODE OR ANY SIMILAR LAW OR (B) ITS PURCHASE AND HOLDING OF THE NOTE AND THE COMMON STOCK ISSUABLE UPON CONVERSION OF THE NOTE WILL NOT RESULT IN A NON-EXEMPT PROHIBITED TRANSACTION UNDER SECTION 406 OF ERISA, SECTION 4975 OF THE CODE OR ANY SIMILAR LAW.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266"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4.19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MANNKIND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5.75% Convertible Senior Subordinated Exchange Notes due 2018</w:t>
      </w:r>
    </w:p>
    <w:p>
      <w:pPr>
        <w:spacing w:after="0" w:line="215" w:lineRule="exact"/>
        <w:rPr>
          <w:sz w:val="20"/>
          <w:szCs w:val="20"/>
          <w:color w:val="auto"/>
        </w:rPr>
      </w:pPr>
    </w:p>
    <w:p>
      <w:pPr>
        <w:spacing w:after="0"/>
        <w:tabs>
          <w:tab w:leader="none" w:pos="760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-17780</wp:posOffset>
            </wp:positionV>
            <wp:extent cx="5486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CUSIP No.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ISIN No.</w:t>
      </w:r>
    </w:p>
    <w:p>
      <w:pPr>
        <w:spacing w:after="0" w:line="206" w:lineRule="exact"/>
        <w:rPr>
          <w:sz w:val="20"/>
          <w:szCs w:val="20"/>
          <w:color w:val="auto"/>
        </w:rPr>
      </w:pPr>
    </w:p>
    <w:p>
      <w:pPr>
        <w:ind w:right="20" w:firstLine="799"/>
        <w:spacing w:after="0" w:line="279" w:lineRule="auto"/>
        <w:rPr>
          <w:sz w:val="20"/>
          <w:szCs w:val="20"/>
          <w:color w:val="auto"/>
        </w:rPr>
      </w:pPr>
      <w:r>
        <w:rPr>
          <w:rFonts w:ascii="Arial" w:cs="Arial" w:eastAsia="Arial" w:hAnsi="Arial"/>
          <w:sz w:val="19"/>
          <w:szCs w:val="19"/>
          <w:color w:val="auto"/>
        </w:rPr>
        <w:t>MannKind Corporation, a corporation duly organized and validly existing under the laws of the state of Delaware (herein called the “</w:t>
      </w:r>
      <w:r>
        <w:rPr>
          <w:rFonts w:ascii="Arial" w:cs="Arial" w:eastAsia="Arial" w:hAnsi="Arial"/>
          <w:sz w:val="19"/>
          <w:szCs w:val="19"/>
          <w:b w:val="1"/>
          <w:bCs w:val="1"/>
          <w:color w:val="auto"/>
        </w:rPr>
        <w:t>Company</w:t>
      </w:r>
      <w:r>
        <w:rPr>
          <w:rFonts w:ascii="Arial" w:cs="Arial" w:eastAsia="Arial" w:hAnsi="Arial"/>
          <w:sz w:val="19"/>
          <w:szCs w:val="19"/>
          <w:color w:val="auto"/>
        </w:rPr>
        <w:t>,” which term includes any successor corporation or other entity under the Indenture referred to on the reverse hereof), for value received hereby promises to pay to CEDE &amp; CO., or registered assigns, the principal sum of $[ ] (which amount may from time to time be increased or decreased to such other principal amounts as permitted by the Indenture by adjustments made on the records of the Trustee or the Custodian of the Depositary as set forth in Schedule A hereto, in accordance with the rules and procedures of the Depositary) on August 15, 2018, and interest thereon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-516255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1" w:lineRule="exact"/>
        <w:rPr>
          <w:sz w:val="20"/>
          <w:szCs w:val="20"/>
          <w:color w:val="auto"/>
        </w:rPr>
      </w:pPr>
    </w:p>
    <w:p>
      <w:pPr>
        <w:ind w:right="120" w:firstLine="799"/>
        <w:spacing w:after="0" w:line="282" w:lineRule="auto"/>
        <w:rPr>
          <w:sz w:val="20"/>
          <w:szCs w:val="20"/>
          <w:color w:val="auto"/>
        </w:rPr>
      </w:pPr>
      <w:r>
        <w:rPr>
          <w:rFonts w:ascii="Arial" w:cs="Arial" w:eastAsia="Arial" w:hAnsi="Arial"/>
          <w:sz w:val="19"/>
          <w:szCs w:val="19"/>
          <w:color w:val="auto"/>
        </w:rPr>
        <w:t>This Note shall bear interest at the rate of 5.75% per year from the date of issuance of such Note or from the most recent date to which interest has been paid or duly provided for, to the date the principal amount of such Note is paid or deemed paid, as the case may be. Interest is payable semi-annually in arrears on each February 15 and August 15 (or if any such day is not a Business Day, the immediately following Business Day), commencing February 15, 2016, to the holder of record on February 1 or August 1 (whether or not such day is a Business Day) immediately preceding such Interest Payment Date (Regular Record Date).</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Interest on the Notes shall be computed on the basis of a 360-day year comprised of twelve 30-day months</w:t>
      </w:r>
    </w:p>
    <w:p>
      <w:pPr>
        <w:spacing w:after="0" w:line="206" w:lineRule="exact"/>
        <w:rPr>
          <w:sz w:val="20"/>
          <w:szCs w:val="20"/>
          <w:color w:val="auto"/>
        </w:rPr>
      </w:pPr>
    </w:p>
    <w:p>
      <w:pPr>
        <w:ind w:right="120" w:firstLine="799"/>
        <w:spacing w:after="0" w:line="287" w:lineRule="auto"/>
        <w:rPr>
          <w:sz w:val="20"/>
          <w:szCs w:val="20"/>
          <w:color w:val="auto"/>
        </w:rPr>
      </w:pPr>
      <w:r>
        <w:rPr>
          <w:rFonts w:ascii="Arial" w:cs="Arial" w:eastAsia="Arial" w:hAnsi="Arial"/>
          <w:sz w:val="19"/>
          <w:szCs w:val="19"/>
          <w:color w:val="auto"/>
        </w:rPr>
        <w:t>Interest not paid when due and any interest on principal or interest not paid when due will be paid to Holders on a special record date, which will be the 15th day preceding the day fixed by the Company for the payment of such interest, whether or not such day is a Business Day. At least 15 days before a special record date, the Company will send to each Holder and to the Trustee a notice that sets forth the special record date, the payment date and the amount of interest to be paid.</w:t>
      </w:r>
    </w:p>
    <w:p>
      <w:pPr>
        <w:spacing w:after="0" w:line="143" w:lineRule="exact"/>
        <w:rPr>
          <w:sz w:val="20"/>
          <w:szCs w:val="20"/>
          <w:color w:val="auto"/>
        </w:rPr>
      </w:pPr>
    </w:p>
    <w:p>
      <w:pPr>
        <w:jc w:val="both"/>
        <w:ind w:right="460" w:firstLine="799"/>
        <w:spacing w:after="0"/>
        <w:rPr>
          <w:sz w:val="20"/>
          <w:szCs w:val="20"/>
          <w:color w:val="auto"/>
        </w:rPr>
      </w:pPr>
      <w:r>
        <w:rPr>
          <w:rFonts w:ascii="Arial" w:cs="Arial" w:eastAsia="Arial" w:hAnsi="Arial"/>
          <w:sz w:val="22"/>
          <w:szCs w:val="22"/>
          <w:color w:val="auto"/>
        </w:rPr>
        <w:t xml:space="preserve">Payment of the principal of, and accrued and unpaid interest on, this Note shall be made at the office or agency of the Company maintained for that purpose in such lawful money of the United States of America as at the time of payment shall be legal tender for the payment of public and private debts; </w:t>
      </w:r>
      <w:r>
        <w:rPr>
          <w:rFonts w:ascii="Arial" w:cs="Arial" w:eastAsia="Arial" w:hAnsi="Arial"/>
          <w:sz w:val="22"/>
          <w:szCs w:val="22"/>
          <w:i w:val="1"/>
          <w:iCs w:val="1"/>
          <w:color w:val="auto"/>
        </w:rPr>
        <w:t>provided</w:t>
      </w:r>
      <w:r>
        <w:rPr>
          <w:rFonts w:ascii="Arial" w:cs="Arial" w:eastAsia="Arial" w:hAnsi="Arial"/>
          <w:sz w:val="22"/>
          <w:szCs w:val="22"/>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111" w:right="239" w:bottom="1440" w:gutter="0" w:footer="0" w:header="0"/>
        </w:sectPr>
      </w:pPr>
    </w:p>
    <w:bookmarkStart w:id="147" w:name="page148"/>
    <w:bookmarkEnd w:id="147"/>
    <w:p>
      <w:pPr>
        <w:spacing w:after="0" w:line="248" w:lineRule="auto"/>
        <w:rPr>
          <w:sz w:val="20"/>
          <w:szCs w:val="20"/>
          <w:color w:val="auto"/>
        </w:rPr>
      </w:pPr>
      <w:r>
        <w:rPr>
          <w:rFonts w:ascii="Arial" w:cs="Arial" w:eastAsia="Arial" w:hAnsi="Arial"/>
          <w:sz w:val="21"/>
          <w:szCs w:val="2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w:t>
      </w:r>
      <w:r>
        <w:rPr>
          <w:rFonts w:ascii="Arial" w:cs="Arial" w:eastAsia="Arial" w:hAnsi="Arial"/>
          <w:sz w:val="21"/>
          <w:szCs w:val="21"/>
          <w:color w:val="auto"/>
        </w:rPr>
        <w:t>, that interest on any Notes in certificated form (i) to the Person entitled thereto having an aggregate principal amount of</w:t>
      </w:r>
      <w:r>
        <w:rPr>
          <w:rFonts w:ascii="Arial" w:cs="Arial" w:eastAsia="Arial" w:hAnsi="Arial"/>
          <w:sz w:val="21"/>
          <w:szCs w:val="21"/>
          <w:i w:val="1"/>
          <w:iCs w:val="1"/>
          <w:color w:val="auto"/>
        </w:rPr>
        <w:t xml:space="preserve"> </w:t>
      </w:r>
      <w:r>
        <w:rPr>
          <w:rFonts w:ascii="Arial" w:cs="Arial" w:eastAsia="Arial" w:hAnsi="Arial"/>
          <w:sz w:val="21"/>
          <w:szCs w:val="21"/>
          <w:color w:val="auto"/>
        </w:rPr>
        <w:t>$2,000,000 or less, by check mailed to such Person at the address set forth in the Note Register and (ii) to the Person entitled thereto having an aggregate principal amount of more than $2,000,000, either by check mailed to such Person or, upon application by such Person to the Note Registrar not later than the relevant Regular Record Date, by wire transfer in immediately available funds to such Person’s account within the United States, which application and wire transfer instructions shall remain in effect until such Person notifies, in writing, the Note Registrar to the contrary.</w:t>
      </w:r>
    </w:p>
    <w:p>
      <w:pPr>
        <w:spacing w:after="0" w:line="177" w:lineRule="exact"/>
        <w:rPr>
          <w:sz w:val="20"/>
          <w:szCs w:val="20"/>
          <w:color w:val="auto"/>
        </w:rPr>
      </w:pPr>
    </w:p>
    <w:p>
      <w:pPr>
        <w:ind w:right="20" w:firstLine="799"/>
        <w:spacing w:after="0" w:line="238" w:lineRule="auto"/>
        <w:rPr>
          <w:sz w:val="20"/>
          <w:szCs w:val="20"/>
          <w:color w:val="auto"/>
        </w:rPr>
      </w:pPr>
      <w:r>
        <w:rPr>
          <w:rFonts w:ascii="Arial" w:cs="Arial" w:eastAsia="Arial" w:hAnsi="Arial"/>
          <w:sz w:val="22"/>
          <w:szCs w:val="22"/>
          <w:color w:val="auto"/>
        </w:rPr>
        <w:t>Reference is made to the further provisions of this Note set forth on the reverse hereof, including, without limitation, provisions giving the Holder of this Note the right to convert this Note into shares of Common Stock (together with cash in lieu of fractional shares) on the terms and subject to the limitations set forth in the Indenture. Such further provisions shall for all purposes have the same effect as though fully set forth at this place.</w:t>
      </w:r>
    </w:p>
    <w:p>
      <w:pPr>
        <w:spacing w:after="0" w:line="185" w:lineRule="exact"/>
        <w:rPr>
          <w:sz w:val="20"/>
          <w:szCs w:val="20"/>
          <w:color w:val="auto"/>
        </w:rPr>
      </w:pPr>
    </w:p>
    <w:p>
      <w:pPr>
        <w:jc w:val="both"/>
        <w:ind w:right="120" w:firstLine="799"/>
        <w:spacing w:after="0"/>
        <w:rPr>
          <w:sz w:val="20"/>
          <w:szCs w:val="20"/>
          <w:color w:val="auto"/>
        </w:rPr>
      </w:pPr>
      <w:r>
        <w:rPr>
          <w:rFonts w:ascii="Arial" w:cs="Arial" w:eastAsia="Arial" w:hAnsi="Arial"/>
          <w:sz w:val="22"/>
          <w:szCs w:val="22"/>
          <w:color w:val="auto"/>
        </w:rPr>
        <w:t>THIS NOTE SHALL BE DEEMED TO BE A CONTRACT MADE UNDER THE LAWS OF NEW YORK, AND FOR ALL PURPOSES SHALL BE CONSTRUED IN ACCORDANCE WITH THE LAWS OF NEW YORK, WITHOUT REGARD TO CONFLICTS OF LAWS PRINCIPLES THEREOF.</w:t>
      </w:r>
    </w:p>
    <w:p>
      <w:pPr>
        <w:spacing w:after="0" w:line="186" w:lineRule="exact"/>
        <w:rPr>
          <w:sz w:val="20"/>
          <w:szCs w:val="20"/>
          <w:color w:val="auto"/>
        </w:rPr>
      </w:pPr>
    </w:p>
    <w:p>
      <w:pPr>
        <w:ind w:right="100" w:firstLine="799"/>
        <w:spacing w:after="0" w:line="274" w:lineRule="auto"/>
        <w:rPr>
          <w:sz w:val="20"/>
          <w:szCs w:val="20"/>
          <w:color w:val="auto"/>
        </w:rPr>
      </w:pPr>
      <w:r>
        <w:rPr>
          <w:rFonts w:ascii="Arial" w:cs="Arial" w:eastAsia="Arial" w:hAnsi="Arial"/>
          <w:sz w:val="21"/>
          <w:szCs w:val="21"/>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[Remainder of page intentionally left blank]</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380"/>
          </w:cols>
          <w:pgMar w:left="240" w:top="266" w:right="279" w:bottom="1440" w:gutter="0" w:footer="0" w:header="0"/>
        </w:sectPr>
      </w:pPr>
    </w:p>
    <w:bookmarkStart w:id="148" w:name="page149"/>
    <w:bookmarkEnd w:id="148"/>
    <w:p>
      <w:pPr>
        <w:ind w:left="8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Note to be duly executed.</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MANNKIND CORPORATION</w:t>
      </w:r>
    </w:p>
    <w:p>
      <w:pPr>
        <w:spacing w:after="0" w:line="326"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7620</wp:posOffset>
            </wp:positionV>
            <wp:extent cx="24701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TRUSTEE’S CERTIFICATE OF AUTHENTICATION</w:t>
      </w:r>
    </w:p>
    <w:p>
      <w:pPr>
        <w:spacing w:after="0" w:line="238" w:lineRule="auto"/>
        <w:rPr>
          <w:sz w:val="20"/>
          <w:szCs w:val="20"/>
          <w:color w:val="auto"/>
        </w:rPr>
      </w:pPr>
      <w:r>
        <w:rPr>
          <w:rFonts w:ascii="Arial" w:cs="Arial" w:eastAsia="Arial" w:hAnsi="Arial"/>
          <w:sz w:val="22"/>
          <w:szCs w:val="22"/>
          <w:color w:val="auto"/>
        </w:rPr>
        <w:t>Wells Fargo Bank, National Association,</w:t>
      </w:r>
    </w:p>
    <w:p>
      <w:pPr>
        <w:spacing w:after="0" w:line="230" w:lineRule="auto"/>
        <w:rPr>
          <w:sz w:val="20"/>
          <w:szCs w:val="20"/>
          <w:color w:val="auto"/>
        </w:rPr>
      </w:pPr>
      <w:r>
        <w:rPr>
          <w:rFonts w:ascii="Arial" w:cs="Arial" w:eastAsia="Arial" w:hAnsi="Arial"/>
          <w:sz w:val="22"/>
          <w:szCs w:val="22"/>
          <w:color w:val="auto"/>
        </w:rPr>
        <w:t>as Trustee, certifies that this is one of the Notes described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 the within-named Indenture.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7620</wp:posOffset>
            </wp:positionV>
            <wp:extent cx="26327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Authorized Signatory</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0219"/>
          </w:cols>
          <w:pgMar w:left="240" w:top="267" w:right="1440" w:bottom="1440" w:gutter="0" w:footer="0" w:header="0"/>
        </w:sectPr>
      </w:pPr>
    </w:p>
    <w:bookmarkStart w:id="149" w:name="page150"/>
    <w:bookmarkEnd w:id="149"/>
    <w:p>
      <w:pPr>
        <w:ind w:left="41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NOTE]</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MANNKIND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5.75% Convertible Senior Subordinated Exchange Notes due 2018</w:t>
      </w:r>
    </w:p>
    <w:p>
      <w:pPr>
        <w:spacing w:after="0" w:line="188" w:lineRule="exact"/>
        <w:rPr>
          <w:sz w:val="20"/>
          <w:szCs w:val="20"/>
          <w:color w:val="auto"/>
        </w:rPr>
      </w:pPr>
    </w:p>
    <w:p>
      <w:pPr>
        <w:ind w:firstLine="799"/>
        <w:spacing w:after="0" w:line="247" w:lineRule="auto"/>
        <w:rPr>
          <w:sz w:val="20"/>
          <w:szCs w:val="20"/>
          <w:color w:val="auto"/>
        </w:rPr>
      </w:pPr>
      <w:r>
        <w:rPr>
          <w:rFonts w:ascii="Arial" w:cs="Arial" w:eastAsia="Arial" w:hAnsi="Arial"/>
          <w:sz w:val="21"/>
          <w:szCs w:val="21"/>
          <w:color w:val="auto"/>
        </w:rPr>
        <w:t>This Note is one of a duly authorized issue of the Notes of the Company, designated as its 5.75% Convertible Senior Subordinated Exchange Notes due 2018 (herein called the “</w:t>
      </w:r>
      <w:r>
        <w:rPr>
          <w:rFonts w:ascii="Arial" w:cs="Arial" w:eastAsia="Arial" w:hAnsi="Arial"/>
          <w:sz w:val="21"/>
          <w:szCs w:val="21"/>
          <w:b w:val="1"/>
          <w:bCs w:val="1"/>
          <w:color w:val="auto"/>
        </w:rPr>
        <w:t>Notes</w:t>
      </w:r>
      <w:r>
        <w:rPr>
          <w:rFonts w:ascii="Arial" w:cs="Arial" w:eastAsia="Arial" w:hAnsi="Arial"/>
          <w:sz w:val="21"/>
          <w:szCs w:val="21"/>
          <w:color w:val="auto"/>
        </w:rPr>
        <w:t>”), all issued or to be issued under and pursuant to an Indenture dated as of August 10, 2015 (herein called the “</w:t>
      </w:r>
      <w:r>
        <w:rPr>
          <w:rFonts w:ascii="Arial" w:cs="Arial" w:eastAsia="Arial" w:hAnsi="Arial"/>
          <w:sz w:val="21"/>
          <w:szCs w:val="21"/>
          <w:b w:val="1"/>
          <w:bCs w:val="1"/>
          <w:color w:val="auto"/>
        </w:rPr>
        <w:t>Indenture</w:t>
      </w:r>
      <w:r>
        <w:rPr>
          <w:rFonts w:ascii="Arial" w:cs="Arial" w:eastAsia="Arial" w:hAnsi="Arial"/>
          <w:sz w:val="21"/>
          <w:szCs w:val="21"/>
          <w:color w:val="auto"/>
        </w:rPr>
        <w:t>”), between the Company and Wells Fargo Bank, National Association (herein called the “</w:t>
      </w:r>
      <w:r>
        <w:rPr>
          <w:rFonts w:ascii="Arial" w:cs="Arial" w:eastAsia="Arial" w:hAnsi="Arial"/>
          <w:sz w:val="21"/>
          <w:szCs w:val="21"/>
          <w:b w:val="1"/>
          <w:bCs w:val="1"/>
          <w:color w:val="auto"/>
        </w:rPr>
        <w:t>Trustee</w:t>
      </w:r>
      <w:r>
        <w:rPr>
          <w:rFonts w:ascii="Arial" w:cs="Arial" w:eastAsia="Arial" w:hAnsi="Arial"/>
          <w:sz w:val="21"/>
          <w:szCs w:val="21"/>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w:t>
      </w:r>
    </w:p>
    <w:p>
      <w:pPr>
        <w:spacing w:after="0" w:line="178" w:lineRule="exact"/>
        <w:rPr>
          <w:sz w:val="20"/>
          <w:szCs w:val="20"/>
          <w:color w:val="auto"/>
        </w:rPr>
      </w:pPr>
    </w:p>
    <w:p>
      <w:pPr>
        <w:ind w:right="40" w:firstLine="799"/>
        <w:spacing w:after="0" w:line="287" w:lineRule="auto"/>
        <w:rPr>
          <w:sz w:val="20"/>
          <w:szCs w:val="20"/>
          <w:color w:val="auto"/>
        </w:rPr>
      </w:pPr>
      <w:r>
        <w:rPr>
          <w:rFonts w:ascii="Arial" w:cs="Arial" w:eastAsia="Arial" w:hAnsi="Arial"/>
          <w:sz w:val="19"/>
          <w:szCs w:val="19"/>
          <w:color w:val="auto"/>
        </w:rPr>
        <w:t>All payments on the Notes, including the payment of principal, Fundamental Change Purchase Price or Redemption Price, interest (including Special Interest and Additional Interest) on the Notes, will be subordinated to the prior payment in full in cash (or other payment satisfactory to the holders of Designated Senior Debt) of all of the Designated Senior Debt and the subordination is for the benefit of and enforceable by the holders of the Designated Senior Debt.</w:t>
      </w:r>
    </w:p>
    <w:p>
      <w:pPr>
        <w:spacing w:after="0" w:line="143" w:lineRule="exact"/>
        <w:rPr>
          <w:sz w:val="20"/>
          <w:szCs w:val="20"/>
          <w:color w:val="auto"/>
        </w:rPr>
      </w:pPr>
    </w:p>
    <w:p>
      <w:pPr>
        <w:ind w:right="40" w:firstLine="799"/>
        <w:spacing w:after="0" w:line="238" w:lineRule="auto"/>
        <w:rPr>
          <w:sz w:val="20"/>
          <w:szCs w:val="20"/>
          <w:color w:val="auto"/>
        </w:rPr>
      </w:pPr>
      <w:r>
        <w:rPr>
          <w:rFonts w:ascii="Arial" w:cs="Arial" w:eastAsia="Arial" w:hAnsi="Arial"/>
          <w:sz w:val="22"/>
          <w:szCs w:val="22"/>
          <w:color w:val="auto"/>
        </w:rPr>
        <w:t>In case an Event of Default, as defined in the Indenture, shall have occurred and be continuing, the principal of and accrued and unpaid interest, if any, on all Notes may be declared, by either the Trustee or Holders of not less than 25% in aggregate principal amount of Notes then outstanding, and upon said declaration shall become, due and payable, in the manner, with the effect and subject to the conditions and certain exceptions set forth in the Indenture.</w:t>
      </w:r>
    </w:p>
    <w:p>
      <w:pPr>
        <w:spacing w:after="0" w:line="185" w:lineRule="exact"/>
        <w:rPr>
          <w:sz w:val="20"/>
          <w:szCs w:val="20"/>
          <w:color w:val="auto"/>
        </w:rPr>
      </w:pPr>
    </w:p>
    <w:p>
      <w:pPr>
        <w:ind w:right="100" w:firstLine="799"/>
        <w:spacing w:after="0" w:line="287" w:lineRule="auto"/>
        <w:rPr>
          <w:sz w:val="20"/>
          <w:szCs w:val="20"/>
          <w:color w:val="auto"/>
        </w:rPr>
      </w:pPr>
      <w:r>
        <w:rPr>
          <w:rFonts w:ascii="Arial" w:cs="Arial" w:eastAsia="Arial" w:hAnsi="Arial"/>
          <w:sz w:val="19"/>
          <w:szCs w:val="19"/>
          <w:color w:val="auto"/>
        </w:rPr>
        <w:t>Subject to the terms and conditions of the Indenture, the Company will make all payments and deliveries in respect of the Redemption Price, the Fundamental Change Purchase Price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43" w:lineRule="exact"/>
        <w:rPr>
          <w:sz w:val="20"/>
          <w:szCs w:val="20"/>
          <w:color w:val="auto"/>
        </w:rPr>
      </w:pPr>
    </w:p>
    <w:p>
      <w:pPr>
        <w:ind w:right="180" w:firstLine="799"/>
        <w:spacing w:after="0" w:line="297" w:lineRule="auto"/>
        <w:rPr>
          <w:sz w:val="20"/>
          <w:szCs w:val="20"/>
          <w:color w:val="auto"/>
        </w:rPr>
      </w:pPr>
      <w:r>
        <w:rPr>
          <w:rFonts w:ascii="Arial" w:cs="Arial" w:eastAsia="Arial" w:hAnsi="Arial"/>
          <w:sz w:val="19"/>
          <w:szCs w:val="19"/>
          <w:color w:val="auto"/>
        </w:rPr>
        <w:t>The Indenture contains provisions permitting the Company and the Trustee in certain circumstances, without the consent of the Holders of the Notes, and in other circumstances, with the consent of the Holders of not less than a majority in aggregate principal amount of the Notes at the time outstanding, evidenced as in the Indenture provided, to execute supplemental indentures</w:t>
      </w:r>
    </w:p>
    <w:p>
      <w:pPr>
        <w:sectPr>
          <w:pgSz w:w="11900" w:h="16838" w:orient="portrait"/>
          <w:cols w:equalWidth="0" w:num="1">
            <w:col w:w="11420"/>
          </w:cols>
          <w:pgMar w:left="240" w:top="267" w:right="239" w:bottom="1440" w:gutter="0" w:footer="0" w:header="0"/>
        </w:sectPr>
      </w:pPr>
    </w:p>
    <w:bookmarkStart w:id="150" w:name="page151"/>
    <w:bookmarkEnd w:id="150"/>
    <w:p>
      <w:pPr>
        <w:ind w:right="140"/>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34" w:lineRule="exact"/>
        <w:rPr>
          <w:sz w:val="20"/>
          <w:szCs w:val="20"/>
          <w:color w:val="auto"/>
        </w:rPr>
      </w:pPr>
    </w:p>
    <w:p>
      <w:pPr>
        <w:ind w:right="20" w:firstLine="799"/>
        <w:spacing w:after="0" w:line="238"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accrued and unpaid interest, if any, on this Note at the place, at the respective times, at the rate and in the lawful money herein prescribed or to satisfy its obligation to convert the Notes.</w:t>
      </w:r>
    </w:p>
    <w:p>
      <w:pPr>
        <w:spacing w:after="0" w:line="185" w:lineRule="exact"/>
        <w:rPr>
          <w:sz w:val="20"/>
          <w:szCs w:val="20"/>
          <w:color w:val="auto"/>
        </w:rPr>
      </w:pPr>
    </w:p>
    <w:p>
      <w:pPr>
        <w:ind w:right="200" w:firstLine="799"/>
        <w:spacing w:after="0" w:line="247" w:lineRule="auto"/>
        <w:rPr>
          <w:sz w:val="20"/>
          <w:szCs w:val="20"/>
          <w:color w:val="auto"/>
        </w:rPr>
      </w:pPr>
      <w:r>
        <w:rPr>
          <w:rFonts w:ascii="Arial" w:cs="Arial" w:eastAsia="Arial" w:hAnsi="Arial"/>
          <w:sz w:val="21"/>
          <w:szCs w:val="21"/>
          <w:color w:val="auto"/>
        </w:rPr>
        <w:t>The Notes are issuable in registered form without coupons in denominations of $1,000 principal amount and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tax, assessments or other governmental charges that may be imposed in connection therewith as a result of the name of the Holders of the new Notes issued upon such exchange of Notes being different from the name of the Holder of the old Notes surrendered for such exchange.</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Notes are not subject to redemption through the operation of any sinking fund.</w:t>
      </w:r>
    </w:p>
    <w:p>
      <w:pPr>
        <w:spacing w:after="0" w:line="206" w:lineRule="exact"/>
        <w:rPr>
          <w:sz w:val="20"/>
          <w:szCs w:val="20"/>
          <w:color w:val="auto"/>
        </w:rPr>
      </w:pPr>
    </w:p>
    <w:p>
      <w:pPr>
        <w:ind w:firstLine="799"/>
        <w:spacing w:after="0" w:line="252" w:lineRule="auto"/>
        <w:rPr>
          <w:sz w:val="20"/>
          <w:szCs w:val="20"/>
          <w:color w:val="auto"/>
        </w:rPr>
      </w:pPr>
      <w:r>
        <w:rPr>
          <w:rFonts w:ascii="Arial" w:cs="Arial" w:eastAsia="Arial" w:hAnsi="Arial"/>
          <w:sz w:val="21"/>
          <w:szCs w:val="21"/>
          <w:color w:val="auto"/>
        </w:rPr>
        <w:t>On or after the date that is one year following the original Issue Date of the Notes, the Company may redeem the Notes in whole or in part for cash, subject to certain conditions described in the Indenture, at any time prior to the Maturity Date. The Redemption Price will equal 100% of the principal amount of the Notes to be redeemed, plus accrued and unpaid interest, if any, to, but excluding, the Redemption Date, as defined in the Indenture.</w:t>
      </w:r>
    </w:p>
    <w:p>
      <w:pPr>
        <w:spacing w:after="0" w:line="174" w:lineRule="exact"/>
        <w:rPr>
          <w:sz w:val="20"/>
          <w:szCs w:val="20"/>
          <w:color w:val="auto"/>
        </w:rPr>
      </w:pPr>
    </w:p>
    <w:p>
      <w:pPr>
        <w:ind w:right="40" w:firstLine="799"/>
        <w:spacing w:after="0" w:line="238" w:lineRule="auto"/>
        <w:rPr>
          <w:sz w:val="20"/>
          <w:szCs w:val="20"/>
          <w:color w:val="auto"/>
        </w:rPr>
      </w:pPr>
      <w:r>
        <w:rPr>
          <w:rFonts w:ascii="Arial" w:cs="Arial" w:eastAsia="Arial" w:hAnsi="Arial"/>
          <w:sz w:val="22"/>
          <w:szCs w:val="22"/>
          <w:color w:val="auto"/>
        </w:rPr>
        <w:t>Upon the occurrence of a Fundamental Change, the Company will offer to purchase any and all of the Notes. The Holder has the right, at such Holder’s option, to accept such offer and require the Company to purchase for cash all of such Holder’s Notes or any portion thereof (in principal amounts of $1,000 or multiples thereof) on the Fundamental Change Purchase Date at a price equal to the Fundamental Change Purchase Price.</w:t>
      </w:r>
    </w:p>
    <w:p>
      <w:pPr>
        <w:spacing w:after="0" w:line="185" w:lineRule="exact"/>
        <w:rPr>
          <w:sz w:val="20"/>
          <w:szCs w:val="20"/>
          <w:color w:val="auto"/>
        </w:rPr>
      </w:pPr>
    </w:p>
    <w:p>
      <w:pPr>
        <w:ind w:right="280" w:firstLine="799"/>
        <w:spacing w:after="0"/>
        <w:rPr>
          <w:sz w:val="20"/>
          <w:szCs w:val="20"/>
          <w:color w:val="auto"/>
        </w:rPr>
      </w:pPr>
      <w:r>
        <w:rPr>
          <w:rFonts w:ascii="Arial" w:cs="Arial" w:eastAsia="Arial" w:hAnsi="Arial"/>
          <w:sz w:val="22"/>
          <w:szCs w:val="22"/>
          <w:color w:val="auto"/>
        </w:rPr>
        <w:t>Subject to the provisions of the Indenture, the Holder hereof has the right, at its option, prior to the close of business on the Business Day immediately preceding the Maturity Date, to convert any Notes or portion thereof that is $1,000 or a multiple thereof, into shares of Common Stock (together with cash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267" w:right="259"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lieu of fractional shares) at a Conversion Rate specified in the Indenture, as adjusted from time to time as provided in the Indenture.</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Terms used in this Note and defined in the Indenture are used herein as therein defined.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266" w:right="259" w:bottom="1440" w:gutter="0" w:footer="0" w:header="0"/>
        </w:sectPr>
      </w:pPr>
    </w:p>
    <w:bookmarkStart w:id="152" w:name="page153"/>
    <w:bookmarkEnd w:id="152"/>
    <w:p>
      <w:pPr>
        <w:jc w:val="center"/>
        <w:ind w:right="-1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ABBREVIATIONS</w:t>
      </w:r>
    </w:p>
    <w:p>
      <w:pPr>
        <w:spacing w:after="0" w:line="206" w:lineRule="exact"/>
        <w:rPr>
          <w:sz w:val="20"/>
          <w:szCs w:val="20"/>
          <w:color w:val="auto"/>
        </w:rPr>
      </w:pPr>
    </w:p>
    <w:p>
      <w:pPr>
        <w:ind w:firstLine="799"/>
        <w:spacing w:after="0" w:line="251" w:lineRule="auto"/>
        <w:rPr>
          <w:sz w:val="20"/>
          <w:szCs w:val="20"/>
          <w:color w:val="auto"/>
        </w:rPr>
      </w:pPr>
      <w:r>
        <w:rPr>
          <w:rFonts w:ascii="Arial" w:cs="Arial" w:eastAsia="Arial" w:hAnsi="Arial"/>
          <w:sz w:val="22"/>
          <w:szCs w:val="22"/>
          <w:color w:val="auto"/>
        </w:rPr>
        <w:t>The following abbreviations, when used in the inscription of the face of this Note, shall be construed as though they were written out in full according to applicable laws or regulations: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TEN COM = as tenants in common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UNIF GIFT MIN ACT = Uniform Gifts to Minors 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CUST = Custodian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TEN ENT = as tenants by the entireties</w:t>
      </w:r>
    </w:p>
    <w:p>
      <w:pPr>
        <w:spacing w:after="0" w:line="206" w:lineRule="exact"/>
        <w:rPr>
          <w:sz w:val="20"/>
          <w:szCs w:val="20"/>
          <w:color w:val="auto"/>
        </w:rPr>
      </w:pPr>
    </w:p>
    <w:p>
      <w:pPr>
        <w:jc w:val="right"/>
        <w:ind w:right="4340"/>
        <w:spacing w:after="0" w:line="467" w:lineRule="auto"/>
        <w:rPr>
          <w:sz w:val="20"/>
          <w:szCs w:val="20"/>
          <w:color w:val="auto"/>
        </w:rPr>
      </w:pPr>
      <w:r>
        <w:rPr>
          <w:rFonts w:ascii="Arial" w:cs="Arial" w:eastAsia="Arial" w:hAnsi="Arial"/>
          <w:sz w:val="19"/>
          <w:szCs w:val="19"/>
          <w:color w:val="auto"/>
        </w:rPr>
        <w:t>JT TEN = joint tenants with right of survivorship and not as tenants in common Additional abbreviations may also be used though not in the above list.</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00"/>
          </w:cols>
          <w:pgMar w:left="240" w:top="267" w:right="359" w:bottom="1440" w:gutter="0" w:footer="0" w:header="0"/>
        </w:sectPr>
      </w:pPr>
    </w:p>
    <w:bookmarkStart w:id="153" w:name="page154"/>
    <w:bookmarkEnd w:id="153"/>
    <w:p>
      <w:pPr>
        <w:ind w:left="100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MANNKIND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5.75% Convertible Senior Subordinated Exchange Notes due 2018</w:t>
      </w:r>
    </w:p>
    <w:p>
      <w:pPr>
        <w:spacing w:after="0" w:line="188" w:lineRule="exact"/>
        <w:rPr>
          <w:sz w:val="20"/>
          <w:szCs w:val="20"/>
          <w:color w:val="auto"/>
        </w:rPr>
      </w:pPr>
    </w:p>
    <w:p>
      <w:pPr>
        <w:ind w:left="920" w:right="1060" w:firstLine="671"/>
        <w:spacing w:after="0" w:line="251" w:lineRule="auto"/>
        <w:rPr>
          <w:sz w:val="20"/>
          <w:szCs w:val="20"/>
          <w:color w:val="auto"/>
        </w:rPr>
      </w:pPr>
      <w:r>
        <w:rPr>
          <w:rFonts w:ascii="Arial" w:cs="Arial" w:eastAsia="Arial" w:hAnsi="Arial"/>
          <w:sz w:val="22"/>
          <w:szCs w:val="22"/>
          <w:color w:val="auto"/>
        </w:rPr>
        <w:t>The initial principal amount of this Global Note is $27,690,000. The following increases or decreases in this Global Note have been made: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2"/>
          </w:tcPr>
          <w:p>
            <w:pPr>
              <w:jc w:val="center"/>
              <w:ind w:right="40"/>
              <w:spacing w:after="0"/>
              <w:rPr>
                <w:sz w:val="20"/>
                <w:szCs w:val="20"/>
                <w:color w:val="auto"/>
              </w:rPr>
            </w:pPr>
            <w:r>
              <w:rPr>
                <w:rFonts w:ascii="Arial" w:cs="Arial" w:eastAsia="Arial" w:hAnsi="Arial"/>
                <w:sz w:val="16"/>
                <w:szCs w:val="16"/>
                <w:color w:val="auto"/>
                <w:w w:val="95"/>
              </w:rPr>
              <w:t>Principal Amount</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92"/>
              </w:rPr>
              <w:t>Signature of</w:t>
            </w:r>
          </w:p>
        </w:tc>
      </w:tr>
      <w:tr>
        <w:trPr>
          <w:trHeight w:val="203"/>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2"/>
          </w:tcPr>
          <w:p>
            <w:pPr>
              <w:jc w:val="center"/>
              <w:ind w:right="60"/>
              <w:spacing w:after="0"/>
              <w:rPr>
                <w:sz w:val="20"/>
                <w:szCs w:val="20"/>
                <w:color w:val="auto"/>
              </w:rPr>
            </w:pPr>
            <w:r>
              <w:rPr>
                <w:rFonts w:ascii="Arial" w:cs="Arial" w:eastAsia="Arial" w:hAnsi="Arial"/>
                <w:sz w:val="16"/>
                <w:szCs w:val="16"/>
                <w:color w:val="auto"/>
                <w:w w:val="98"/>
              </w:rPr>
              <w:t>Amount of</w:t>
            </w:r>
          </w:p>
        </w:tc>
        <w:tc>
          <w:tcPr>
            <w:tcW w:w="2280" w:type="dxa"/>
            <w:vAlign w:val="bottom"/>
            <w:gridSpan w:val="2"/>
          </w:tcPr>
          <w:p>
            <w:pPr>
              <w:jc w:val="center"/>
              <w:ind w:right="40"/>
              <w:spacing w:after="0"/>
              <w:rPr>
                <w:sz w:val="20"/>
                <w:szCs w:val="20"/>
                <w:color w:val="auto"/>
              </w:rPr>
            </w:pPr>
            <w:r>
              <w:rPr>
                <w:rFonts w:ascii="Arial" w:cs="Arial" w:eastAsia="Arial" w:hAnsi="Arial"/>
                <w:sz w:val="16"/>
                <w:szCs w:val="16"/>
                <w:color w:val="auto"/>
                <w:w w:val="98"/>
              </w:rPr>
              <w:t>Amount of</w:t>
            </w:r>
          </w:p>
        </w:tc>
        <w:tc>
          <w:tcPr>
            <w:tcW w:w="2200" w:type="dxa"/>
            <w:vAlign w:val="bottom"/>
            <w:gridSpan w:val="2"/>
          </w:tcPr>
          <w:p>
            <w:pPr>
              <w:jc w:val="center"/>
              <w:ind w:right="40"/>
              <w:spacing w:after="0"/>
              <w:rPr>
                <w:sz w:val="20"/>
                <w:szCs w:val="20"/>
                <w:color w:val="auto"/>
              </w:rPr>
            </w:pPr>
            <w:r>
              <w:rPr>
                <w:rFonts w:ascii="Arial" w:cs="Arial" w:eastAsia="Arial" w:hAnsi="Arial"/>
                <w:sz w:val="16"/>
                <w:szCs w:val="16"/>
                <w:color w:val="auto"/>
                <w:w w:val="94"/>
              </w:rPr>
              <w:t>of this Global Note</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90"/>
              </w:rPr>
              <w:t>authorized</w:t>
            </w:r>
          </w:p>
        </w:tc>
      </w:tr>
      <w:tr>
        <w:trPr>
          <w:trHeight w:val="203"/>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2"/>
          </w:tcPr>
          <w:p>
            <w:pPr>
              <w:jc w:val="center"/>
              <w:ind w:right="60"/>
              <w:spacing w:after="0"/>
              <w:rPr>
                <w:sz w:val="20"/>
                <w:szCs w:val="20"/>
                <w:color w:val="auto"/>
              </w:rPr>
            </w:pPr>
            <w:r>
              <w:rPr>
                <w:rFonts w:ascii="Arial" w:cs="Arial" w:eastAsia="Arial" w:hAnsi="Arial"/>
                <w:sz w:val="16"/>
                <w:szCs w:val="16"/>
                <w:color w:val="auto"/>
                <w:w w:val="86"/>
              </w:rPr>
              <w:t>decrease in</w:t>
            </w:r>
          </w:p>
        </w:tc>
        <w:tc>
          <w:tcPr>
            <w:tcW w:w="228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increase in</w:t>
            </w:r>
          </w:p>
        </w:tc>
        <w:tc>
          <w:tcPr>
            <w:tcW w:w="2200" w:type="dxa"/>
            <w:vAlign w:val="bottom"/>
            <w:gridSpan w:val="2"/>
          </w:tcPr>
          <w:p>
            <w:pPr>
              <w:jc w:val="center"/>
              <w:ind w:right="40"/>
              <w:spacing w:after="0"/>
              <w:rPr>
                <w:sz w:val="20"/>
                <w:szCs w:val="20"/>
                <w:color w:val="auto"/>
              </w:rPr>
            </w:pPr>
            <w:r>
              <w:rPr>
                <w:rFonts w:ascii="Arial" w:cs="Arial" w:eastAsia="Arial" w:hAnsi="Arial"/>
                <w:sz w:val="16"/>
                <w:szCs w:val="16"/>
                <w:color w:val="auto"/>
                <w:w w:val="95"/>
              </w:rPr>
              <w:t>following such</w:t>
            </w:r>
          </w:p>
        </w:tc>
        <w:tc>
          <w:tcPr>
            <w:tcW w:w="2020" w:type="dxa"/>
            <w:vAlign w:val="bottom"/>
          </w:tcPr>
          <w:p>
            <w:pPr>
              <w:jc w:val="center"/>
              <w:ind w:left="39"/>
              <w:spacing w:after="0"/>
              <w:rPr>
                <w:sz w:val="20"/>
                <w:szCs w:val="20"/>
                <w:color w:val="auto"/>
              </w:rPr>
            </w:pPr>
            <w:r>
              <w:rPr>
                <w:rFonts w:ascii="Arial" w:cs="Arial" w:eastAsia="Arial" w:hAnsi="Arial"/>
                <w:sz w:val="16"/>
                <w:szCs w:val="16"/>
                <w:color w:val="auto"/>
                <w:w w:val="94"/>
              </w:rPr>
              <w:t>signatory of</w:t>
            </w:r>
          </w:p>
        </w:tc>
      </w:tr>
      <w:tr>
        <w:trPr>
          <w:trHeight w:val="203"/>
        </w:trPr>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2"/>
          </w:tcPr>
          <w:p>
            <w:pPr>
              <w:jc w:val="center"/>
              <w:ind w:right="60"/>
              <w:spacing w:after="0"/>
              <w:rPr>
                <w:sz w:val="20"/>
                <w:szCs w:val="20"/>
                <w:color w:val="auto"/>
              </w:rPr>
            </w:pPr>
            <w:r>
              <w:rPr>
                <w:rFonts w:ascii="Arial" w:cs="Arial" w:eastAsia="Arial" w:hAnsi="Arial"/>
                <w:sz w:val="16"/>
                <w:szCs w:val="16"/>
                <w:color w:val="auto"/>
                <w:w w:val="95"/>
              </w:rPr>
              <w:t>Principal Amount</w:t>
            </w:r>
          </w:p>
        </w:tc>
        <w:tc>
          <w:tcPr>
            <w:tcW w:w="2280" w:type="dxa"/>
            <w:vAlign w:val="bottom"/>
            <w:gridSpan w:val="2"/>
          </w:tcPr>
          <w:p>
            <w:pPr>
              <w:jc w:val="center"/>
              <w:ind w:right="40"/>
              <w:spacing w:after="0"/>
              <w:rPr>
                <w:sz w:val="20"/>
                <w:szCs w:val="20"/>
                <w:color w:val="auto"/>
              </w:rPr>
            </w:pPr>
            <w:r>
              <w:rPr>
                <w:rFonts w:ascii="Arial" w:cs="Arial" w:eastAsia="Arial" w:hAnsi="Arial"/>
                <w:sz w:val="16"/>
                <w:szCs w:val="16"/>
                <w:color w:val="auto"/>
                <w:w w:val="95"/>
              </w:rPr>
              <w:t>Principal Amount</w:t>
            </w:r>
          </w:p>
        </w:tc>
        <w:tc>
          <w:tcPr>
            <w:tcW w:w="2200" w:type="dxa"/>
            <w:vAlign w:val="bottom"/>
            <w:gridSpan w:val="2"/>
          </w:tcPr>
          <w:p>
            <w:pPr>
              <w:jc w:val="center"/>
              <w:ind w:right="40"/>
              <w:spacing w:after="0"/>
              <w:rPr>
                <w:sz w:val="20"/>
                <w:szCs w:val="20"/>
                <w:color w:val="auto"/>
              </w:rPr>
            </w:pPr>
            <w:r>
              <w:rPr>
                <w:rFonts w:ascii="Arial" w:cs="Arial" w:eastAsia="Arial" w:hAnsi="Arial"/>
                <w:sz w:val="16"/>
                <w:szCs w:val="16"/>
                <w:color w:val="auto"/>
                <w:w w:val="85"/>
              </w:rPr>
              <w:t>decrease or</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7"/>
              </w:rPr>
              <w:t>Trustee or</w:t>
            </w:r>
          </w:p>
        </w:tc>
      </w:tr>
      <w:tr>
        <w:trPr>
          <w:trHeight w:val="206"/>
        </w:trPr>
        <w:tc>
          <w:tcPr>
            <w:tcW w:w="2620" w:type="dxa"/>
            <w:vAlign w:val="bottom"/>
            <w:gridSpan w:val="2"/>
          </w:tcPr>
          <w:p>
            <w:pPr>
              <w:ind w:left="660"/>
              <w:spacing w:after="0"/>
              <w:rPr>
                <w:sz w:val="20"/>
                <w:szCs w:val="20"/>
                <w:color w:val="auto"/>
              </w:rPr>
            </w:pPr>
            <w:r>
              <w:rPr>
                <w:rFonts w:ascii="Arial" w:cs="Arial" w:eastAsia="Arial" w:hAnsi="Arial"/>
                <w:sz w:val="16"/>
                <w:szCs w:val="16"/>
                <w:color w:val="auto"/>
              </w:rPr>
              <w:t>Date of Exchange</w:t>
            </w:r>
          </w:p>
        </w:tc>
        <w:tc>
          <w:tcPr>
            <w:tcW w:w="230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of this Global Note</w:t>
            </w:r>
          </w:p>
        </w:tc>
        <w:tc>
          <w:tcPr>
            <w:tcW w:w="2280" w:type="dxa"/>
            <w:vAlign w:val="bottom"/>
            <w:gridSpan w:val="2"/>
          </w:tcPr>
          <w:p>
            <w:pPr>
              <w:jc w:val="center"/>
              <w:ind w:right="40"/>
              <w:spacing w:after="0"/>
              <w:rPr>
                <w:sz w:val="20"/>
                <w:szCs w:val="20"/>
                <w:color w:val="auto"/>
              </w:rPr>
            </w:pPr>
            <w:r>
              <w:rPr>
                <w:rFonts w:ascii="Arial" w:cs="Arial" w:eastAsia="Arial" w:hAnsi="Arial"/>
                <w:sz w:val="16"/>
                <w:szCs w:val="16"/>
                <w:color w:val="auto"/>
                <w:w w:val="94"/>
              </w:rPr>
              <w:t>of this Global Note</w:t>
            </w:r>
          </w:p>
        </w:tc>
        <w:tc>
          <w:tcPr>
            <w:tcW w:w="2200" w:type="dxa"/>
            <w:vAlign w:val="bottom"/>
            <w:gridSpan w:val="2"/>
          </w:tcPr>
          <w:p>
            <w:pPr>
              <w:jc w:val="center"/>
              <w:ind w:right="40"/>
              <w:spacing w:after="0"/>
              <w:rPr>
                <w:sz w:val="20"/>
                <w:szCs w:val="20"/>
                <w:color w:val="auto"/>
              </w:rPr>
            </w:pPr>
            <w:r>
              <w:rPr>
                <w:rFonts w:ascii="Arial" w:cs="Arial" w:eastAsia="Arial" w:hAnsi="Arial"/>
                <w:sz w:val="16"/>
                <w:szCs w:val="16"/>
                <w:color w:val="auto"/>
                <w:w w:val="85"/>
              </w:rPr>
              <w:t>increase</w:t>
            </w:r>
          </w:p>
        </w:tc>
        <w:tc>
          <w:tcPr>
            <w:tcW w:w="2020" w:type="dxa"/>
            <w:vAlign w:val="bottom"/>
          </w:tcPr>
          <w:p>
            <w:pPr>
              <w:jc w:val="center"/>
              <w:ind w:left="19"/>
              <w:spacing w:after="0"/>
              <w:rPr>
                <w:sz w:val="20"/>
                <w:szCs w:val="20"/>
                <w:color w:val="auto"/>
              </w:rPr>
            </w:pPr>
            <w:r>
              <w:rPr>
                <w:rFonts w:ascii="Arial" w:cs="Arial" w:eastAsia="Arial" w:hAnsi="Arial"/>
                <w:sz w:val="16"/>
                <w:szCs w:val="16"/>
                <w:color w:val="auto"/>
                <w:w w:val="88"/>
              </w:rPr>
              <w:t>Custodian</w:t>
            </w:r>
          </w:p>
        </w:tc>
      </w:tr>
      <w:tr>
        <w:trPr>
          <w:trHeight w:val="33"/>
        </w:trPr>
        <w:tc>
          <w:tcPr>
            <w:tcW w:w="2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1</w:t>
      </w:r>
    </w:p>
    <w:p>
      <w:pPr>
        <w:spacing w:after="0" w:line="212" w:lineRule="exact"/>
        <w:rPr>
          <w:sz w:val="20"/>
          <w:szCs w:val="20"/>
          <w:color w:val="auto"/>
        </w:rPr>
      </w:pPr>
    </w:p>
    <w:p>
      <w:pPr>
        <w:jc w:val="center"/>
        <w:ind w:right="920"/>
        <w:spacing w:after="0"/>
        <w:rPr>
          <w:sz w:val="20"/>
          <w:szCs w:val="20"/>
          <w:color w:val="auto"/>
        </w:rPr>
      </w:pPr>
      <w:r>
        <w:rPr>
          <w:rFonts w:ascii="Arial" w:cs="Arial" w:eastAsia="Arial" w:hAnsi="Arial"/>
          <w:sz w:val="22"/>
          <w:szCs w:val="22"/>
          <w:color w:val="auto"/>
        </w:rPr>
        <w:t>[FORM OF NOTICE OF CONVERSION]</w:t>
      </w:r>
    </w:p>
    <w:p>
      <w:pPr>
        <w:spacing w:after="0" w:line="8" w:lineRule="exact"/>
        <w:rPr>
          <w:sz w:val="20"/>
          <w:szCs w:val="20"/>
          <w:color w:val="auto"/>
        </w:rPr>
      </w:pPr>
    </w:p>
    <w:p>
      <w:pPr>
        <w:jc w:val="center"/>
        <w:ind w:right="920"/>
        <w:spacing w:after="0"/>
        <w:rPr>
          <w:sz w:val="20"/>
          <w:szCs w:val="20"/>
          <w:color w:val="auto"/>
        </w:rPr>
      </w:pPr>
      <w:r>
        <w:rPr>
          <w:rFonts w:ascii="Arial" w:cs="Arial" w:eastAsia="Arial" w:hAnsi="Arial"/>
          <w:sz w:val="22"/>
          <w:szCs w:val="22"/>
          <w:color w:val="auto"/>
        </w:rPr>
        <w:t>5.75% Convertible Senior Subordinated Exchange Notes due 2018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To: MannKind Corporation</w:t>
      </w:r>
    </w:p>
    <w:p>
      <w:pPr>
        <w:spacing w:after="0" w:line="206" w:lineRule="exact"/>
        <w:rPr>
          <w:sz w:val="20"/>
          <w:szCs w:val="20"/>
          <w:color w:val="auto"/>
        </w:rPr>
      </w:pPr>
    </w:p>
    <w:p>
      <w:pPr>
        <w:ind w:right="1020" w:firstLine="671"/>
        <w:spacing w:after="0" w:line="245" w:lineRule="auto"/>
        <w:rPr>
          <w:sz w:val="20"/>
          <w:szCs w:val="20"/>
          <w:color w:val="auto"/>
        </w:rPr>
      </w:pPr>
      <w:r>
        <w:rPr>
          <w:rFonts w:ascii="Arial" w:cs="Arial" w:eastAsia="Arial" w:hAnsi="Arial"/>
          <w:sz w:val="21"/>
          <w:szCs w:val="21"/>
          <w:color w:val="auto"/>
        </w:rPr>
        <w:t>The undersigned registered owner of this Note hereby exercises the option to convert this Note, or the portion hereof (that is $1,000 principal amount or a multiple thereof) below designated, and the Company, at its election, may deliver shares of Common Stock (together with cash in lieu of fractional shares) in accordance with the terms of the Indenture referred to in this Note, and directs that any shares of Common Stock issuable and deliverable upon such conversion,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transfer taxes payable with respect thereto. Any amount required to be paid to the undersigned on account of interest accompanies this Note.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7620</wp:posOffset>
            </wp:positionV>
            <wp:extent cx="55397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3974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316230</wp:posOffset>
            </wp:positionV>
            <wp:extent cx="29756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left="1260"/>
        <w:spacing w:after="0"/>
        <w:rPr>
          <w:sz w:val="20"/>
          <w:szCs w:val="20"/>
          <w:color w:val="auto"/>
        </w:rPr>
      </w:pPr>
      <w:r>
        <w:rPr>
          <w:rFonts w:ascii="Arial" w:cs="Arial" w:eastAsia="Arial" w:hAnsi="Arial"/>
          <w:sz w:val="22"/>
          <w:szCs w:val="22"/>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436245</wp:posOffset>
            </wp:positionV>
            <wp:extent cx="296735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Signature(s) must be guaranteed</w:t>
      </w:r>
    </w:p>
    <w:p>
      <w:pPr>
        <w:spacing w:after="0" w:line="238" w:lineRule="auto"/>
        <w:rPr>
          <w:sz w:val="20"/>
          <w:szCs w:val="20"/>
          <w:color w:val="auto"/>
        </w:rPr>
      </w:pPr>
      <w:r>
        <w:rPr>
          <w:rFonts w:ascii="Arial" w:cs="Arial" w:eastAsia="Arial" w:hAnsi="Arial"/>
          <w:sz w:val="22"/>
          <w:szCs w:val="22"/>
          <w:color w:val="auto"/>
        </w:rPr>
        <w:t>by an eligible Guarantor Institution</w:t>
      </w:r>
    </w:p>
    <w:p>
      <w:pPr>
        <w:spacing w:after="0" w:line="230" w:lineRule="auto"/>
        <w:rPr>
          <w:sz w:val="20"/>
          <w:szCs w:val="20"/>
          <w:color w:val="auto"/>
        </w:rPr>
      </w:pPr>
      <w:r>
        <w:rPr>
          <w:rFonts w:ascii="Arial" w:cs="Arial" w:eastAsia="Arial" w:hAnsi="Arial"/>
          <w:sz w:val="22"/>
          <w:szCs w:val="22"/>
          <w:color w:val="auto"/>
        </w:rPr>
        <w:t>(banks, stock brokers, savings and</w:t>
      </w:r>
    </w:p>
    <w:p>
      <w:pPr>
        <w:spacing w:after="0" w:line="231" w:lineRule="auto"/>
        <w:rPr>
          <w:sz w:val="20"/>
          <w:szCs w:val="20"/>
          <w:color w:val="auto"/>
        </w:rPr>
      </w:pPr>
      <w:r>
        <w:rPr>
          <w:rFonts w:ascii="Arial" w:cs="Arial" w:eastAsia="Arial" w:hAnsi="Arial"/>
          <w:sz w:val="22"/>
          <w:szCs w:val="22"/>
          <w:color w:val="auto"/>
        </w:rPr>
        <w:t>loan associations and credit unions)</w:t>
      </w:r>
    </w:p>
    <w:p>
      <w:pPr>
        <w:spacing w:after="0" w:line="231" w:lineRule="auto"/>
        <w:rPr>
          <w:sz w:val="20"/>
          <w:szCs w:val="20"/>
          <w:color w:val="auto"/>
        </w:rPr>
      </w:pPr>
      <w:r>
        <w:rPr>
          <w:rFonts w:ascii="Arial" w:cs="Arial" w:eastAsia="Arial" w:hAnsi="Arial"/>
          <w:sz w:val="22"/>
          <w:szCs w:val="22"/>
          <w:color w:val="auto"/>
        </w:rPr>
        <w:t>with membership in an approved</w:t>
      </w:r>
    </w:p>
    <w:p>
      <w:pPr>
        <w:spacing w:after="0" w:line="230" w:lineRule="auto"/>
        <w:rPr>
          <w:sz w:val="20"/>
          <w:szCs w:val="20"/>
          <w:color w:val="auto"/>
        </w:rPr>
      </w:pPr>
      <w:r>
        <w:rPr>
          <w:rFonts w:ascii="Arial" w:cs="Arial" w:eastAsia="Arial" w:hAnsi="Arial"/>
          <w:sz w:val="22"/>
          <w:szCs w:val="22"/>
          <w:color w:val="auto"/>
        </w:rPr>
        <w:t>signature guarantee medallion program</w:t>
      </w:r>
    </w:p>
    <w:p>
      <w:pPr>
        <w:spacing w:after="0" w:line="231" w:lineRule="auto"/>
        <w:rPr>
          <w:sz w:val="20"/>
          <w:szCs w:val="20"/>
          <w:color w:val="auto"/>
        </w:rPr>
      </w:pPr>
      <w:r>
        <w:rPr>
          <w:rFonts w:ascii="Arial" w:cs="Arial" w:eastAsia="Arial" w:hAnsi="Arial"/>
          <w:sz w:val="22"/>
          <w:szCs w:val="22"/>
          <w:color w:val="auto"/>
        </w:rPr>
        <w:t>pursuant to Securities and Exchange</w:t>
      </w:r>
    </w:p>
    <w:p>
      <w:pPr>
        <w:spacing w:after="0" w:line="231" w:lineRule="auto"/>
        <w:rPr>
          <w:sz w:val="20"/>
          <w:szCs w:val="20"/>
          <w:color w:val="auto"/>
        </w:rPr>
      </w:pPr>
      <w:r>
        <w:rPr>
          <w:rFonts w:ascii="Arial" w:cs="Arial" w:eastAsia="Arial" w:hAnsi="Arial"/>
          <w:sz w:val="22"/>
          <w:szCs w:val="22"/>
          <w:color w:val="auto"/>
        </w:rPr>
        <w:t>Commission Rule 17Ad-15 if</w:t>
      </w:r>
    </w:p>
    <w:p>
      <w:pPr>
        <w:spacing w:after="0" w:line="230" w:lineRule="auto"/>
        <w:rPr>
          <w:sz w:val="20"/>
          <w:szCs w:val="20"/>
          <w:color w:val="auto"/>
        </w:rPr>
      </w:pPr>
      <w:r>
        <w:rPr>
          <w:rFonts w:ascii="Arial" w:cs="Arial" w:eastAsia="Arial" w:hAnsi="Arial"/>
          <w:sz w:val="22"/>
          <w:szCs w:val="22"/>
          <w:color w:val="auto"/>
        </w:rPr>
        <w:t>shares of Common Stock are to be issued, or Notes to</w:t>
      </w:r>
    </w:p>
    <w:p>
      <w:pPr>
        <w:spacing w:after="0" w:line="231" w:lineRule="auto"/>
        <w:rPr>
          <w:sz w:val="20"/>
          <w:szCs w:val="20"/>
          <w:color w:val="auto"/>
        </w:rPr>
      </w:pPr>
      <w:r>
        <w:rPr>
          <w:rFonts w:ascii="Arial" w:cs="Arial" w:eastAsia="Arial" w:hAnsi="Arial"/>
          <w:sz w:val="22"/>
          <w:szCs w:val="22"/>
          <w:color w:val="auto"/>
        </w:rPr>
        <w:t>be delivered, other than to and in the name of the</w:t>
      </w:r>
    </w:p>
    <w:p>
      <w:pPr>
        <w:spacing w:after="0"/>
        <w:rPr>
          <w:sz w:val="20"/>
          <w:szCs w:val="20"/>
          <w:color w:val="auto"/>
        </w:rPr>
      </w:pPr>
      <w:r>
        <w:rPr>
          <w:rFonts w:ascii="Arial" w:cs="Arial" w:eastAsia="Arial" w:hAnsi="Arial"/>
          <w:sz w:val="22"/>
          <w:szCs w:val="22"/>
          <w:color w:val="auto"/>
        </w:rPr>
        <w:t>registered Holder.</w:t>
      </w:r>
    </w:p>
    <w:p>
      <w:pPr>
        <w:sectPr>
          <w:pgSz w:w="11900" w:h="16838" w:orient="portrait"/>
          <w:cols w:equalWidth="0" w:num="1">
            <w:col w:w="10500"/>
          </w:cols>
          <w:pgMar w:left="1160" w:top="261" w:right="2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Fill in for registration of shares if</w:t>
      </w:r>
    </w:p>
    <w:p>
      <w:pPr>
        <w:spacing w:after="0" w:line="238" w:lineRule="auto"/>
        <w:rPr>
          <w:sz w:val="20"/>
          <w:szCs w:val="20"/>
          <w:color w:val="auto"/>
        </w:rPr>
      </w:pPr>
      <w:r>
        <w:rPr>
          <w:rFonts w:ascii="Arial" w:cs="Arial" w:eastAsia="Arial" w:hAnsi="Arial"/>
          <w:sz w:val="22"/>
          <w:szCs w:val="22"/>
          <w:color w:val="auto"/>
        </w:rPr>
        <w:t>to be issued, and Notes if to</w:t>
      </w:r>
    </w:p>
    <w:p>
      <w:pPr>
        <w:spacing w:after="0" w:line="230" w:lineRule="auto"/>
        <w:rPr>
          <w:sz w:val="20"/>
          <w:szCs w:val="20"/>
          <w:color w:val="auto"/>
        </w:rPr>
      </w:pPr>
      <w:r>
        <w:rPr>
          <w:rFonts w:ascii="Arial" w:cs="Arial" w:eastAsia="Arial" w:hAnsi="Arial"/>
          <w:sz w:val="22"/>
          <w:szCs w:val="22"/>
          <w:color w:val="auto"/>
        </w:rPr>
        <w:t>be delivered, other than to and in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(City, State and Zip Code)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Please print name and address</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Principal amount to be converted (if less than all):</w:t>
      </w:r>
    </w:p>
    <w:p>
      <w:pPr>
        <w:spacing w:after="0" w:line="43" w:lineRule="exact"/>
        <w:rPr>
          <w:sz w:val="20"/>
          <w:szCs w:val="20"/>
          <w:color w:val="auto"/>
        </w:rPr>
      </w:pPr>
    </w:p>
    <w:p>
      <w:pPr>
        <w:ind w:left="6860"/>
        <w:spacing w:after="0"/>
        <w:tabs>
          <w:tab w:leader="none" w:pos="7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-29210</wp:posOffset>
            </wp:positionV>
            <wp:extent cx="4114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NOTICE: The above signature(s) of the Holder(s)</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hereof must correspond with the name as written</w:t>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upon the face of the Note in every particular without</w:t>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377825</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Social Security or Other Taxpayer</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Identification Number</w:t>
      </w:r>
    </w:p>
    <w:p>
      <w:pPr>
        <w:sectPr>
          <w:pgSz w:w="11900" w:h="16838" w:orient="portrait"/>
          <w:cols w:equalWidth="0" w:num="1">
            <w:col w:w="11400"/>
          </w:cols>
          <w:pgMar w:left="240" w:top="267" w:right="25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2</w:t>
      </w:r>
    </w:p>
    <w:p>
      <w:pPr>
        <w:spacing w:after="0" w:line="212" w:lineRule="exact"/>
        <w:rPr>
          <w:sz w:val="20"/>
          <w:szCs w:val="20"/>
          <w:color w:val="auto"/>
        </w:rPr>
      </w:pPr>
    </w:p>
    <w:p>
      <w:pPr>
        <w:ind w:left="2820" w:right="2820" w:firstLine="11"/>
        <w:spacing w:after="0" w:line="328" w:lineRule="auto"/>
        <w:rPr>
          <w:sz w:val="20"/>
          <w:szCs w:val="20"/>
          <w:color w:val="auto"/>
        </w:rPr>
      </w:pPr>
      <w:r>
        <w:rPr>
          <w:rFonts w:ascii="Arial" w:cs="Arial" w:eastAsia="Arial" w:hAnsi="Arial"/>
          <w:sz w:val="19"/>
          <w:szCs w:val="19"/>
          <w:color w:val="auto"/>
        </w:rPr>
        <w:t>[FORM OF FUNDAMENTAL CHANGE PURCHASE NOTICE] 5.75% Convertible Senior Subordinated Exchange Notes due 2018</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To: MannKind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registered owner of this Note hereby acknowledges receipt of a notice from MannKind Corporation (the</w:t>
      </w:r>
    </w:p>
    <w:p>
      <w:pPr>
        <w:spacing w:after="0" w:line="20"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as to the occurrence of a Fundamental Change with respect to the Company, offering to purchase the Notes and specifying the Fundamental Change Purchase Date. The undersigned registered owner of this Note hereby accepts the Company’s offer to purchase the Notes and instructs the Company to pay to the registered Holder hereof in accordance with the applicable provisions of the Indenture referred to in this Note (1) the entire principal amount of this Note, or the portion thereof (that is $1,000 principal amount or a multiple thereof) below designated, and (2) if such Fundamental Change Purchase Date does not fall during the period after a Regular Record Date and on or prior to the corresponding Interest Payment Date, accrued and unpaid interest thereon to, but excluding, such Fundamental Change Purchase Date.</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2"/>
          <w:szCs w:val="22"/>
          <w:color w:val="auto"/>
        </w:rPr>
        <w:t>In the case of certificated Notes, the certificate numbers of the Notes to be purchased are as set forth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7620</wp:posOffset>
            </wp:positionV>
            <wp:extent cx="22898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8981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410210</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436245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Social Security or Other Taxpayer</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Identification Number</w:t>
      </w:r>
    </w:p>
    <w:p>
      <w:pPr>
        <w:spacing w:after="0" w:line="18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Principal amount to be repaid (if less than all):</w:t>
      </w:r>
    </w:p>
    <w:p>
      <w:pPr>
        <w:spacing w:after="0" w:line="8" w:lineRule="exact"/>
        <w:rPr>
          <w:sz w:val="20"/>
          <w:szCs w:val="20"/>
          <w:color w:val="auto"/>
        </w:rPr>
      </w:pPr>
    </w:p>
    <w:p>
      <w:pPr>
        <w:ind w:left="6860"/>
        <w:spacing w:after="0"/>
        <w:tabs>
          <w:tab w:leader="none" w:pos="7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-29210</wp:posOffset>
            </wp:positionV>
            <wp:extent cx="4114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NOTICE: The above signature(s) of the Holder(s)</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hereof must correspond with the name as written</w:t>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upon the face of the Note in every particular without</w:t>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alteration or enlargement or any change whatever.</w:t>
      </w:r>
    </w:p>
    <w:p>
      <w:pPr>
        <w:sectPr>
          <w:pgSz w:w="11900" w:h="16838" w:orient="portrait"/>
          <w:cols w:equalWidth="0" w:num="1">
            <w:col w:w="11420"/>
          </w:cols>
          <w:pgMar w:left="240" w:top="26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3</w:t>
      </w:r>
    </w:p>
    <w:p>
      <w:pPr>
        <w:spacing w:after="0" w:line="21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[FORM OF ASSIGNMENT AND TRANSFER]</w:t>
      </w:r>
    </w:p>
    <w:p>
      <w:pPr>
        <w:spacing w:after="0" w:line="206" w:lineRule="exact"/>
        <w:rPr>
          <w:sz w:val="20"/>
          <w:szCs w:val="20"/>
          <w:color w:val="auto"/>
        </w:rPr>
      </w:pPr>
    </w:p>
    <w:p>
      <w:pPr>
        <w:spacing w:after="0"/>
        <w:tabs>
          <w:tab w:leader="none" w:pos="3860" w:val="left"/>
        </w:tabs>
        <w:rPr>
          <w:sz w:val="20"/>
          <w:szCs w:val="20"/>
          <w:color w:val="auto"/>
        </w:rPr>
      </w:pPr>
      <w:r>
        <w:rPr>
          <w:rFonts w:ascii="Arial" w:cs="Arial" w:eastAsia="Arial" w:hAnsi="Arial"/>
          <w:sz w:val="22"/>
          <w:szCs w:val="22"/>
          <w:color w:val="auto"/>
        </w:rPr>
        <w:t>For value received</w:t>
      </w:r>
      <w:r>
        <w:rPr>
          <w:sz w:val="20"/>
          <w:szCs w:val="20"/>
          <w:color w:val="auto"/>
        </w:rPr>
        <w:tab/>
      </w:r>
      <w:r>
        <w:rPr>
          <w:rFonts w:ascii="Arial" w:cs="Arial" w:eastAsia="Arial" w:hAnsi="Arial"/>
          <w:sz w:val="19"/>
          <w:szCs w:val="19"/>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-17780</wp:posOffset>
            </wp:positionV>
            <wp:extent cx="13722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-17780</wp:posOffset>
            </wp:positionV>
            <wp:extent cx="9607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(Please insert social security or Taxpayer Identification Number of assignee) the within Note, and hereby</w:t>
      </w:r>
    </w:p>
    <w:p>
      <w:pPr>
        <w:spacing w:after="0"/>
        <w:tabs>
          <w:tab w:leader="none" w:pos="5640" w:val="left"/>
        </w:tabs>
        <w:rPr>
          <w:sz w:val="20"/>
          <w:szCs w:val="20"/>
          <w:color w:val="auto"/>
        </w:rPr>
      </w:pPr>
      <w:r>
        <w:rPr>
          <w:rFonts w:ascii="Arial" w:cs="Arial" w:eastAsia="Arial" w:hAnsi="Arial"/>
          <w:sz w:val="22"/>
          <w:szCs w:val="22"/>
          <w:color w:val="auto"/>
        </w:rPr>
        <w:t>irrevocably constitutes and appoints</w:t>
      </w:r>
      <w:r>
        <w:rPr>
          <w:sz w:val="20"/>
          <w:szCs w:val="20"/>
          <w:color w:val="auto"/>
        </w:rPr>
        <w:tab/>
      </w:r>
      <w:r>
        <w:rPr>
          <w:rFonts w:ascii="Arial" w:cs="Arial" w:eastAsia="Arial" w:hAnsi="Arial"/>
          <w:sz w:val="19"/>
          <w:szCs w:val="19"/>
          <w:color w:val="auto"/>
        </w:rPr>
        <w:t>attorney to transfer the said Note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-22225</wp:posOffset>
            </wp:positionV>
            <wp:extent cx="15436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books of the Company, with full power of substitution in the premises.</w:t>
      </w:r>
    </w:p>
    <w:p>
      <w:pPr>
        <w:spacing w:after="0" w:line="188" w:lineRule="exact"/>
        <w:rPr>
          <w:sz w:val="20"/>
          <w:szCs w:val="20"/>
          <w:color w:val="auto"/>
        </w:rPr>
      </w:pPr>
    </w:p>
    <w:p>
      <w:pPr>
        <w:jc w:val="both"/>
        <w:ind w:right="960"/>
        <w:spacing w:after="0" w:line="328" w:lineRule="auto"/>
        <w:rPr>
          <w:sz w:val="20"/>
          <w:szCs w:val="20"/>
          <w:color w:val="auto"/>
        </w:rPr>
      </w:pPr>
      <w:r>
        <w:rPr>
          <w:rFonts w:ascii="Arial" w:cs="Arial" w:eastAsia="Arial" w:hAnsi="Arial"/>
          <w:sz w:val="19"/>
          <w:szCs w:val="19"/>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119" w:lineRule="exact"/>
        <w:rPr>
          <w:sz w:val="20"/>
          <w:szCs w:val="20"/>
          <w:color w:val="auto"/>
        </w:rPr>
      </w:pPr>
    </w:p>
    <w:p>
      <w:pPr>
        <w:ind w:left="620" w:hanging="619"/>
        <w:spacing w:after="0"/>
        <w:tabs>
          <w:tab w:leader="none" w:pos="620" w:val="left"/>
        </w:tabs>
        <w:numPr>
          <w:ilvl w:val="0"/>
          <w:numId w:val="115"/>
        </w:numPr>
        <w:rPr>
          <w:rFonts w:ascii="MS PGothic" w:cs="MS PGothic" w:eastAsia="MS PGothic" w:hAnsi="MS PGothic"/>
          <w:sz w:val="22"/>
          <w:szCs w:val="22"/>
          <w:color w:val="auto"/>
        </w:rPr>
      </w:pPr>
      <w:r>
        <w:rPr>
          <w:rFonts w:ascii="Arial" w:cs="Arial" w:eastAsia="Arial" w:hAnsi="Arial"/>
          <w:sz w:val="22"/>
          <w:szCs w:val="22"/>
          <w:color w:val="auto"/>
        </w:rPr>
        <w:t>To MannKind Corporation or a subsidiary thereof; or</w:t>
      </w:r>
    </w:p>
    <w:p>
      <w:pPr>
        <w:spacing w:after="0" w:line="219" w:lineRule="exact"/>
        <w:rPr>
          <w:rFonts w:ascii="MS PGothic" w:cs="MS PGothic" w:eastAsia="MS PGothic" w:hAnsi="MS PGothic"/>
          <w:sz w:val="22"/>
          <w:szCs w:val="22"/>
          <w:color w:val="auto"/>
        </w:rPr>
      </w:pPr>
    </w:p>
    <w:p>
      <w:pPr>
        <w:ind w:right="1160" w:firstLine="1"/>
        <w:spacing w:after="0" w:line="251" w:lineRule="auto"/>
        <w:tabs>
          <w:tab w:leader="none" w:pos="621" w:val="left"/>
        </w:tabs>
        <w:numPr>
          <w:ilvl w:val="0"/>
          <w:numId w:val="115"/>
        </w:numPr>
        <w:rPr>
          <w:rFonts w:ascii="MS PGothic" w:cs="MS PGothic" w:eastAsia="MS PGothic" w:hAnsi="MS PGothic"/>
          <w:sz w:val="22"/>
          <w:szCs w:val="22"/>
          <w:color w:val="auto"/>
        </w:rPr>
      </w:pPr>
      <w:r>
        <w:rPr>
          <w:rFonts w:ascii="Arial" w:cs="Arial" w:eastAsia="Arial" w:hAnsi="Arial"/>
          <w:sz w:val="22"/>
          <w:szCs w:val="22"/>
          <w:color w:val="auto"/>
        </w:rPr>
        <w:t>Pursuant to the registration statement that has become or been declared effective under the Securities Act of 1933, as amended; or</w:t>
      </w:r>
    </w:p>
    <w:p>
      <w:pPr>
        <w:spacing w:after="0" w:line="186" w:lineRule="exact"/>
        <w:rPr>
          <w:rFonts w:ascii="MS PGothic" w:cs="MS PGothic" w:eastAsia="MS PGothic" w:hAnsi="MS PGothic"/>
          <w:sz w:val="22"/>
          <w:szCs w:val="22"/>
          <w:color w:val="auto"/>
        </w:rPr>
      </w:pPr>
    </w:p>
    <w:p>
      <w:pPr>
        <w:ind w:left="620" w:hanging="619"/>
        <w:spacing w:after="0"/>
        <w:tabs>
          <w:tab w:leader="none" w:pos="620" w:val="left"/>
        </w:tabs>
        <w:numPr>
          <w:ilvl w:val="0"/>
          <w:numId w:val="115"/>
        </w:numPr>
        <w:rPr>
          <w:rFonts w:ascii="MS PGothic" w:cs="MS PGothic" w:eastAsia="MS PGothic" w:hAnsi="MS PGothic"/>
          <w:sz w:val="22"/>
          <w:szCs w:val="22"/>
          <w:color w:val="auto"/>
        </w:rPr>
      </w:pPr>
      <w:r>
        <w:rPr>
          <w:rFonts w:ascii="Arial" w:cs="Arial" w:eastAsia="Arial" w:hAnsi="Arial"/>
          <w:sz w:val="22"/>
          <w:szCs w:val="22"/>
          <w:color w:val="auto"/>
        </w:rPr>
        <w:t>Pursuant to and in compliance with Rule 144A under the Securities Act of 1933, as amended; or</w:t>
      </w:r>
    </w:p>
    <w:p>
      <w:pPr>
        <w:spacing w:after="0" w:line="219" w:lineRule="exact"/>
        <w:rPr>
          <w:rFonts w:ascii="MS PGothic" w:cs="MS PGothic" w:eastAsia="MS PGothic" w:hAnsi="MS PGothic"/>
          <w:sz w:val="22"/>
          <w:szCs w:val="22"/>
          <w:color w:val="auto"/>
        </w:rPr>
      </w:pPr>
    </w:p>
    <w:p>
      <w:pPr>
        <w:ind w:left="620" w:hanging="619"/>
        <w:spacing w:after="0"/>
        <w:tabs>
          <w:tab w:leader="none" w:pos="620" w:val="left"/>
        </w:tabs>
        <w:numPr>
          <w:ilvl w:val="0"/>
          <w:numId w:val="115"/>
        </w:numPr>
        <w:rPr>
          <w:rFonts w:ascii="MS PGothic" w:cs="MS PGothic" w:eastAsia="MS PGothic" w:hAnsi="MS PGothic"/>
          <w:sz w:val="22"/>
          <w:szCs w:val="22"/>
          <w:color w:val="auto"/>
        </w:rPr>
      </w:pPr>
      <w:r>
        <w:rPr>
          <w:rFonts w:ascii="Arial" w:cs="Arial" w:eastAsia="Arial" w:hAnsi="Arial"/>
          <w:sz w:val="22"/>
          <w:szCs w:val="22"/>
          <w:color w:val="auto"/>
        </w:rPr>
        <w:t>Pursuant to and in compliance with Rule 144 under the Securities Act of 1933, as amended; or</w:t>
      </w:r>
    </w:p>
    <w:p>
      <w:pPr>
        <w:spacing w:after="0" w:line="219" w:lineRule="exact"/>
        <w:rPr>
          <w:rFonts w:ascii="MS PGothic" w:cs="MS PGothic" w:eastAsia="MS PGothic" w:hAnsi="MS PGothic"/>
          <w:sz w:val="22"/>
          <w:szCs w:val="22"/>
          <w:color w:val="auto"/>
        </w:rPr>
      </w:pPr>
    </w:p>
    <w:p>
      <w:pPr>
        <w:ind w:right="1740" w:firstLine="1"/>
        <w:spacing w:after="0" w:line="251" w:lineRule="auto"/>
        <w:tabs>
          <w:tab w:leader="none" w:pos="621" w:val="left"/>
        </w:tabs>
        <w:numPr>
          <w:ilvl w:val="0"/>
          <w:numId w:val="115"/>
        </w:numPr>
        <w:rPr>
          <w:rFonts w:ascii="MS PGothic" w:cs="MS PGothic" w:eastAsia="MS PGothic" w:hAnsi="MS PGothic"/>
          <w:sz w:val="22"/>
          <w:szCs w:val="22"/>
          <w:color w:val="auto"/>
        </w:rPr>
      </w:pPr>
      <w:r>
        <w:rPr>
          <w:rFonts w:ascii="Arial" w:cs="Arial" w:eastAsia="Arial" w:hAnsi="Arial"/>
          <w:sz w:val="22"/>
          <w:szCs w:val="22"/>
          <w:color w:val="auto"/>
        </w:rPr>
        <w:t>Pursuant to another available exemption from registration under the Securities Act of 1933, as amended.</w:t>
      </w:r>
    </w:p>
    <w:p>
      <w:pPr>
        <w:sectPr>
          <w:pgSz w:w="11900" w:h="16838" w:orient="portrait"/>
          <w:cols w:equalWidth="0" w:num="1">
            <w:col w:w="10500"/>
          </w:cols>
          <w:pgMar w:left="1160" w:top="260" w:right="2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31045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607695</wp:posOffset>
            </wp:positionV>
            <wp:extent cx="31045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-17780</wp:posOffset>
            </wp:positionV>
            <wp:extent cx="2092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31045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Signature(s) must be guaranteed by an</w:t>
      </w:r>
    </w:p>
    <w:p>
      <w:pPr>
        <w:spacing w:after="0" w:line="238" w:lineRule="auto"/>
        <w:rPr>
          <w:sz w:val="20"/>
          <w:szCs w:val="20"/>
          <w:color w:val="auto"/>
        </w:rPr>
      </w:pPr>
      <w:r>
        <w:rPr>
          <w:rFonts w:ascii="Arial" w:cs="Arial" w:eastAsia="Arial" w:hAnsi="Arial"/>
          <w:sz w:val="22"/>
          <w:szCs w:val="22"/>
          <w:color w:val="auto"/>
        </w:rPr>
        <w:t>eligible Guarantor Institution (banks, stock</w:t>
      </w:r>
    </w:p>
    <w:p>
      <w:pPr>
        <w:spacing w:after="0" w:line="230" w:lineRule="auto"/>
        <w:rPr>
          <w:sz w:val="20"/>
          <w:szCs w:val="20"/>
          <w:color w:val="auto"/>
        </w:rPr>
      </w:pPr>
      <w:r>
        <w:rPr>
          <w:rFonts w:ascii="Arial" w:cs="Arial" w:eastAsia="Arial" w:hAnsi="Arial"/>
          <w:sz w:val="22"/>
          <w:szCs w:val="22"/>
          <w:color w:val="auto"/>
        </w:rPr>
        <w:t>brokers, savings and loan associations and</w:t>
      </w:r>
    </w:p>
    <w:p>
      <w:pPr>
        <w:spacing w:after="0" w:line="231" w:lineRule="auto"/>
        <w:rPr>
          <w:sz w:val="20"/>
          <w:szCs w:val="20"/>
          <w:color w:val="auto"/>
        </w:rPr>
      </w:pPr>
      <w:r>
        <w:rPr>
          <w:rFonts w:ascii="Arial" w:cs="Arial" w:eastAsia="Arial" w:hAnsi="Arial"/>
          <w:sz w:val="22"/>
          <w:szCs w:val="22"/>
          <w:color w:val="auto"/>
        </w:rPr>
        <w:t>credit unions) with membership in an approved</w:t>
      </w:r>
    </w:p>
    <w:p>
      <w:pPr>
        <w:spacing w:after="0" w:line="231" w:lineRule="auto"/>
        <w:rPr>
          <w:sz w:val="20"/>
          <w:szCs w:val="20"/>
          <w:color w:val="auto"/>
        </w:rPr>
      </w:pPr>
      <w:r>
        <w:rPr>
          <w:rFonts w:ascii="Arial" w:cs="Arial" w:eastAsia="Arial" w:hAnsi="Arial"/>
          <w:sz w:val="22"/>
          <w:szCs w:val="22"/>
          <w:color w:val="auto"/>
        </w:rPr>
        <w:t>signature guarantee medallion program pursuant</w:t>
      </w:r>
    </w:p>
    <w:p>
      <w:pPr>
        <w:spacing w:after="0" w:line="230" w:lineRule="auto"/>
        <w:rPr>
          <w:sz w:val="20"/>
          <w:szCs w:val="20"/>
          <w:color w:val="auto"/>
        </w:rPr>
      </w:pPr>
      <w:r>
        <w:rPr>
          <w:rFonts w:ascii="Arial" w:cs="Arial" w:eastAsia="Arial" w:hAnsi="Arial"/>
          <w:sz w:val="22"/>
          <w:szCs w:val="22"/>
          <w:color w:val="auto"/>
        </w:rPr>
        <w:t>to Securities and Exchange Commission</w:t>
      </w:r>
    </w:p>
    <w:p>
      <w:pPr>
        <w:spacing w:after="0" w:line="231" w:lineRule="auto"/>
        <w:rPr>
          <w:sz w:val="20"/>
          <w:szCs w:val="20"/>
          <w:color w:val="auto"/>
        </w:rPr>
      </w:pPr>
      <w:r>
        <w:rPr>
          <w:rFonts w:ascii="Arial" w:cs="Arial" w:eastAsia="Arial" w:hAnsi="Arial"/>
          <w:sz w:val="22"/>
          <w:szCs w:val="22"/>
          <w:color w:val="auto"/>
        </w:rPr>
        <w:t>Rule 17Ad-15 if Notes are to be delivered, other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than to and in the name of the registered Holder.</w:t>
      </w:r>
    </w:p>
    <w:p>
      <w:pPr>
        <w:spacing w:after="0" w:line="202" w:lineRule="exact"/>
        <w:rPr>
          <w:sz w:val="20"/>
          <w:szCs w:val="20"/>
          <w:color w:val="auto"/>
        </w:rPr>
      </w:pPr>
    </w:p>
    <w:p>
      <w:pPr>
        <w:ind w:right="159"/>
        <w:spacing w:after="0" w:line="274" w:lineRule="auto"/>
        <w:rPr>
          <w:sz w:val="20"/>
          <w:szCs w:val="20"/>
          <w:color w:val="auto"/>
        </w:rPr>
      </w:pPr>
      <w:r>
        <w:rPr>
          <w:rFonts w:ascii="Arial" w:cs="Arial" w:eastAsia="Arial" w:hAnsi="Arial"/>
          <w:sz w:val="21"/>
          <w:szCs w:val="21"/>
          <w:color w:val="auto"/>
        </w:rPr>
        <w:t>NOTICE: The signature on the assignment must correspond with the name as written upon the face of the Note in every particular without alteration or enlargement or any change whatever.</w:t>
      </w:r>
    </w:p>
    <w:p>
      <w:pPr>
        <w:sectPr>
          <w:pgSz w:w="11900" w:h="16838" w:orient="portrait"/>
          <w:cols w:equalWidth="0" w:num="1">
            <w:col w:w="9299"/>
          </w:cols>
          <w:pgMar w:left="1160" w:top="267"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Hakan S. Edstrom, certify that:</w:t>
      </w:r>
    </w:p>
    <w:p>
      <w:pPr>
        <w:spacing w:after="0" w:line="225" w:lineRule="exact"/>
        <w:rPr>
          <w:sz w:val="20"/>
          <w:szCs w:val="20"/>
          <w:color w:val="auto"/>
        </w:rPr>
      </w:pPr>
    </w:p>
    <w:p>
      <w:pPr>
        <w:ind w:left="180" w:hanging="172"/>
        <w:spacing w:after="0"/>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2015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6"/>
          <w:szCs w:val="16"/>
          <w:color w:val="auto"/>
        </w:rPr>
        <w:t>/s/ Hakan S. Edstrom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Hakan S. Edstrom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225" w:lineRule="exact"/>
        <w:rPr>
          <w:sz w:val="20"/>
          <w:szCs w:val="20"/>
          <w:color w:val="auto"/>
        </w:rPr>
      </w:pPr>
    </w:p>
    <w:p>
      <w:pPr>
        <w:ind w:left="180" w:hanging="172"/>
        <w:spacing w:after="0"/>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2015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connection with the filing of the quarterly report of MannKind Corporation (the “Company”) on Form 10-Q for the quarterly period ended June 30, 2015,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Hakan S. Edstrom, President and Chief Executive Officer of the Company, and Matthew J. Pfeffer, Corporate Vice President and Chief Financial Officer of the Company, each hereby certifies that to the best of his knowledge:</w:t>
      </w:r>
    </w:p>
    <w:p>
      <w:pPr>
        <w:spacing w:after="0" w:line="158" w:lineRule="exact"/>
        <w:rPr>
          <w:sz w:val="20"/>
          <w:szCs w:val="20"/>
          <w:color w:val="auto"/>
        </w:rPr>
      </w:pPr>
    </w:p>
    <w:p>
      <w:pPr>
        <w:ind w:left="640" w:hanging="17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225" w:lineRule="exact"/>
        <w:rPr>
          <w:rFonts w:ascii="Arial" w:cs="Arial" w:eastAsia="Arial" w:hAnsi="Arial"/>
          <w:sz w:val="18"/>
          <w:szCs w:val="18"/>
          <w:color w:val="auto"/>
        </w:rPr>
      </w:pPr>
    </w:p>
    <w:p>
      <w:pPr>
        <w:ind w:right="340" w:firstLine="464"/>
        <w:spacing w:after="0" w:line="501" w:lineRule="auto"/>
        <w:tabs>
          <w:tab w:leader="none" w:pos="63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10, 2015</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10</w:t>
      </w:r>
      <w:r>
        <w:rPr>
          <w:rFonts w:ascii="Arial" w:cs="Arial" w:eastAsia="Arial" w:hAnsi="Arial"/>
          <w:sz w:val="15"/>
          <w:szCs w:val="15"/>
          <w:color w:val="auto"/>
        </w:rPr>
        <w:t>th</w:t>
      </w:r>
      <w:r>
        <w:rPr>
          <w:rFonts w:ascii="Arial" w:cs="Arial" w:eastAsia="Arial" w:hAnsi="Arial"/>
          <w:sz w:val="18"/>
          <w:szCs w:val="18"/>
          <w:color w:val="auto"/>
        </w:rPr>
        <w:t xml:space="preserve"> day of August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Hakan S. Edstrom</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Hakan S. Edstrom</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Corporate Vice President and Chief Financial Officer</w:t>
            </w:r>
          </w:p>
        </w:tc>
      </w:tr>
    </w:tbl>
    <w:p>
      <w:pPr>
        <w:spacing w:after="0" w:line="20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1"/>
      <w:numFmt w:val="decimal"/>
      <w:start w:val="32"/>
    </w:lvl>
  </w:abstractNum>
  <w:abstractNum w:abstractNumId="18">
    <w:nsid w:val="100F8FCA"/>
    <w:multiLevelType w:val="hybridMultilevel"/>
    <w:lvl w:ilvl="0">
      <w:lvlJc w:val="left"/>
      <w:lvlText w:val="%1"/>
      <w:numFmt w:val="decimal"/>
      <w:start w:val="101"/>
    </w:lvl>
  </w:abstractNum>
  <w:abstractNum w:abstractNumId="19">
    <w:nsid w:val="6590700B"/>
    <w:multiLevelType w:val="hybridMultilevel"/>
    <w:lvl w:ilvl="0">
      <w:lvlJc w:val="left"/>
      <w:lvlText w:val="%1"/>
      <w:numFmt w:val="lowerLetter"/>
      <w:start w:val="1"/>
    </w:lvl>
    <w:lvl w:ilvl="1">
      <w:lvlJc w:val="left"/>
      <w:lvlText w:val="(%2)"/>
      <w:numFmt w:val="lowerLetter"/>
      <w:start w:val="9"/>
    </w:lvl>
  </w:abstractNum>
  <w:abstractNum w:abstractNumId="20">
    <w:nsid w:val="15014ACB"/>
    <w:multiLevelType w:val="hybridMultilevel"/>
    <w:lvl w:ilvl="0">
      <w:lvlJc w:val="left"/>
      <w:lvlText w:val="(%1)"/>
      <w:numFmt w:val="lowerLetter"/>
      <w:start w:val="25"/>
    </w:lvl>
    <w:lvl w:ilvl="1">
      <w:lvlJc w:val="left"/>
      <w:lvlText w:val="(%2)"/>
      <w:numFmt w:val="lowerLetter"/>
      <w:start w:val="35"/>
    </w:lvl>
  </w:abstractNum>
  <w:abstractNum w:abstractNumId="21">
    <w:nsid w:val="5F5E7FD0"/>
    <w:multiLevelType w:val="hybridMultilevel"/>
    <w:lvl w:ilvl="0">
      <w:lvlJc w:val="left"/>
      <w:lvlText w:val="(%1)"/>
      <w:numFmt w:val="lowerRoman"/>
      <w:start w:val="3"/>
    </w:lvl>
  </w:abstractNum>
  <w:abstractNum w:abstractNumId="22">
    <w:nsid w:val="98A3148"/>
    <w:multiLevelType w:val="hybridMultilevel"/>
    <w:lvl w:ilvl="0">
      <w:lvlJc w:val="left"/>
      <w:lvlText w:val="(%1)"/>
      <w:numFmt w:val="lowerLetter"/>
      <w:start w:val="1"/>
    </w:lvl>
  </w:abstractNum>
  <w:abstractNum w:abstractNumId="23">
    <w:nsid w:val="799D0247"/>
    <w:multiLevelType w:val="hybridMultilevel"/>
    <w:lvl w:ilvl="0">
      <w:lvlJc w:val="left"/>
      <w:lvlText w:val="(%1)"/>
      <w:numFmt w:val="decimal"/>
      <w:start w:val="2"/>
    </w:lvl>
    <w:lvl w:ilvl="1">
      <w:lvlJc w:val="left"/>
      <w:lvlText w:val="(%2)"/>
      <w:numFmt w:val="decimal"/>
      <w:start w:val="1"/>
    </w:lvl>
  </w:abstractNum>
  <w:abstractNum w:abstractNumId="24">
    <w:nsid w:val="6B94764"/>
    <w:multiLevelType w:val="hybridMultilevel"/>
    <w:lvl w:ilvl="0">
      <w:lvlJc w:val="left"/>
      <w:lvlText w:val="(%1)"/>
      <w:numFmt w:val="lowerLetter"/>
      <w:start w:val="1"/>
    </w:lvl>
  </w:abstractNum>
  <w:abstractNum w:abstractNumId="25">
    <w:nsid w:val="42C296BD"/>
    <w:multiLevelType w:val="hybridMultilevel"/>
    <w:lvl w:ilvl="0">
      <w:lvlJc w:val="left"/>
      <w:lvlText w:val="(%1)"/>
      <w:numFmt w:val="lowerLetter"/>
      <w:start w:val="2"/>
    </w:lvl>
  </w:abstractNum>
  <w:abstractNum w:abstractNumId="26">
    <w:nsid w:val="168E121F"/>
    <w:multiLevelType w:val="hybridMultilevel"/>
    <w:lvl w:ilvl="0">
      <w:lvlJc w:val="left"/>
      <w:lvlText w:val="(%1)"/>
      <w:numFmt w:val="lowerRoman"/>
      <w:start w:val="2"/>
    </w:lvl>
  </w:abstractNum>
  <w:abstractNum w:abstractNumId="27">
    <w:nsid w:val="1EBA5D23"/>
    <w:multiLevelType w:val="hybridMultilevel"/>
    <w:lvl w:ilvl="0">
      <w:lvlJc w:val="left"/>
      <w:lvlText w:val="%1"/>
      <w:numFmt w:val="lowerLetter"/>
      <w:start w:val="1"/>
    </w:lvl>
    <w:lvl w:ilvl="1">
      <w:lvlJc w:val="left"/>
      <w:lvlText w:val="(%2)"/>
      <w:numFmt w:val="lowerLetter"/>
      <w:start w:val="4"/>
    </w:lvl>
  </w:abstractNum>
  <w:abstractNum w:abstractNumId="28">
    <w:nsid w:val="661E3F1E"/>
    <w:multiLevelType w:val="hybridMultilevel"/>
    <w:lvl w:ilvl="0">
      <w:lvlJc w:val="left"/>
      <w:lvlText w:val="(%1)"/>
      <w:numFmt w:val="lowerLetter"/>
      <w:start w:val="35"/>
    </w:lvl>
    <w:lvl w:ilvl="1">
      <w:lvlJc w:val="left"/>
      <w:lvlText w:val="%2"/>
      <w:numFmt w:val="lowerLetter"/>
      <w:start w:val="1"/>
    </w:lvl>
  </w:abstractNum>
  <w:abstractNum w:abstractNumId="29">
    <w:nsid w:val="5DC79EA8"/>
    <w:multiLevelType w:val="hybridMultilevel"/>
    <w:lvl w:ilvl="0">
      <w:lvlJc w:val="left"/>
      <w:lvlText w:val="(%1)"/>
      <w:numFmt w:val="lowerLetter"/>
      <w:start w:val="2"/>
    </w:lvl>
  </w:abstractNum>
  <w:abstractNum w:abstractNumId="30">
    <w:nsid w:val="540A471C"/>
    <w:multiLevelType w:val="hybridMultilevel"/>
    <w:lvl w:ilvl="0">
      <w:lvlJc w:val="left"/>
      <w:lvlText w:val="(%1)"/>
      <w:numFmt w:val="lowerLetter"/>
      <w:start w:val="2"/>
    </w:lvl>
  </w:abstractNum>
  <w:abstractNum w:abstractNumId="31">
    <w:nsid w:val="7BD3EE7B"/>
    <w:multiLevelType w:val="hybridMultilevel"/>
    <w:lvl w:ilvl="0">
      <w:lvlJc w:val="left"/>
      <w:lvlText w:val="(%1)"/>
      <w:numFmt w:val="lowerRoman"/>
      <w:start w:val="3"/>
    </w:lvl>
  </w:abstractNum>
  <w:abstractNum w:abstractNumId="32">
    <w:nsid w:val="51D9C564"/>
    <w:multiLevelType w:val="hybridMultilevel"/>
    <w:lvl w:ilvl="0">
      <w:lvlJc w:val="left"/>
      <w:lvlText w:val="%1"/>
      <w:numFmt w:val="lowerLetter"/>
      <w:start w:val="1"/>
    </w:lvl>
    <w:lvl w:ilvl="1">
      <w:lvlJc w:val="left"/>
      <w:lvlText w:val="(%2)"/>
      <w:numFmt w:val="lowerRoman"/>
      <w:start w:val="1"/>
    </w:lvl>
  </w:abstractNum>
  <w:abstractNum w:abstractNumId="33">
    <w:nsid w:val="613EFDC5"/>
    <w:multiLevelType w:val="hybridMultilevel"/>
    <w:lvl w:ilvl="0">
      <w:lvlJc w:val="left"/>
      <w:lvlText w:val="(%1)"/>
      <w:numFmt w:val="lowerLetter"/>
      <w:start w:val="2"/>
    </w:lvl>
    <w:lvl w:ilvl="1">
      <w:lvlJc w:val="left"/>
      <w:lvlText w:val="%2"/>
      <w:numFmt w:val="lowerRoman"/>
      <w:start w:val="1"/>
    </w:lvl>
  </w:abstractNum>
  <w:abstractNum w:abstractNumId="34">
    <w:nsid w:val="BF72B14"/>
    <w:multiLevelType w:val="hybridMultilevel"/>
    <w:lvl w:ilvl="0">
      <w:lvlJc w:val="left"/>
      <w:lvlText w:val="(%1)"/>
      <w:numFmt w:val="lowerLetter"/>
      <w:start w:val="1"/>
    </w:lvl>
  </w:abstractNum>
  <w:abstractNum w:abstractNumId="35">
    <w:nsid w:val="11447B73"/>
    <w:multiLevelType w:val="hybridMultilevel"/>
    <w:lvl w:ilvl="0">
      <w:lvlJc w:val="left"/>
      <w:lvlText w:val="(%1)"/>
      <w:numFmt w:val="lowerLetter"/>
      <w:start w:val="1"/>
    </w:lvl>
  </w:abstractNum>
  <w:abstractNum w:abstractNumId="36">
    <w:nsid w:val="42963E5A"/>
    <w:multiLevelType w:val="hybridMultilevel"/>
    <w:lvl w:ilvl="0">
      <w:lvlJc w:val="left"/>
      <w:lvlText w:val="(%1)"/>
      <w:numFmt w:val="lowerLetter"/>
      <w:start w:val="1"/>
    </w:lvl>
  </w:abstractNum>
  <w:abstractNum w:abstractNumId="37">
    <w:nsid w:val="A0382C5"/>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38">
    <w:nsid w:val="8F2B15E"/>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abstractNum>
  <w:abstractNum w:abstractNumId="39">
    <w:nsid w:val="1A32234B"/>
    <w:multiLevelType w:val="hybridMultilevel"/>
    <w:lvl w:ilvl="0">
      <w:lvlJc w:val="left"/>
      <w:lvlText w:val="(%1)"/>
      <w:numFmt w:val="decimal"/>
      <w:start w:val="1"/>
    </w:lvl>
  </w:abstractNum>
  <w:abstractNum w:abstractNumId="40">
    <w:nsid w:val="3B0FD379"/>
    <w:multiLevelType w:val="hybridMultilevel"/>
    <w:lvl w:ilvl="0">
      <w:lvlJc w:val="left"/>
      <w:lvlText w:val="(%1)"/>
      <w:numFmt w:val="decimal"/>
      <w:start w:val="1"/>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1)"/>
      <w:numFmt w:val="lowerLetter"/>
      <w:start w:val="1"/>
    </w:lvl>
  </w:abstractNum>
  <w:abstractNum w:abstractNumId="43">
    <w:nsid w:val="60B6DF70"/>
    <w:multiLevelType w:val="hybridMultilevel"/>
    <w:lvl w:ilvl="0">
      <w:lvlJc w:val="left"/>
      <w:lvlText w:val="(%1)"/>
      <w:numFmt w:val="lowerLetter"/>
      <w:start w:val="2"/>
    </w:lvl>
  </w:abstractNum>
  <w:abstractNum w:abstractNumId="44">
    <w:nsid w:val="6A5EE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
    <w:nsid w:val="14330624"/>
    <w:multiLevelType w:val="hybridMultilevel"/>
    <w:lvl w:ilvl="0">
      <w:lvlJc w:val="left"/>
      <w:lvlText w:val="%1"/>
      <w:numFmt w:val="lowerRoman"/>
      <w:start w:val="1"/>
    </w:lvl>
    <w:lvl w:ilvl="1">
      <w:lvlJc w:val="left"/>
      <w:lvlText w:val="(%2)"/>
      <w:numFmt w:val="upperLetter"/>
      <w:start w:val="2"/>
    </w:lvl>
  </w:abstractNum>
  <w:abstractNum w:abstractNumId="46">
    <w:nsid w:val="7FFFCA11"/>
    <w:multiLevelType w:val="hybridMultilevel"/>
    <w:lvl w:ilvl="0">
      <w:lvlJc w:val="left"/>
      <w:lvlText w:val="(%1)"/>
      <w:numFmt w:val="lowerRoman"/>
      <w:start w:val="2"/>
    </w:lvl>
    <w:lvl w:ilvl="1">
      <w:lvlJc w:val="left"/>
      <w:lvlText w:val="%2"/>
      <w:numFmt w:val="upperLetter"/>
      <w:start w:val="1"/>
    </w:lvl>
  </w:abstractNum>
  <w:abstractNum w:abstractNumId="47">
    <w:nsid w:val="1A27709E"/>
    <w:multiLevelType w:val="hybridMultilevel"/>
    <w:lvl w:ilvl="0">
      <w:lvlJc w:val="left"/>
      <w:lvlText w:val="(%1)"/>
      <w:numFmt w:val="lowerLetter"/>
      <w:start w:val="1"/>
    </w:lvl>
  </w:abstractNum>
  <w:abstractNum w:abstractNumId="48">
    <w:nsid w:val="71EA1109"/>
    <w:multiLevelType w:val="hybridMultilevel"/>
    <w:lvl w:ilvl="0">
      <w:lvlJc w:val="left"/>
      <w:lvlText w:val="(%1)"/>
      <w:numFmt w:val="lowerLetter"/>
      <w:start w:val="3"/>
    </w:lvl>
  </w:abstractNum>
  <w:abstractNum w:abstractNumId="49">
    <w:nsid w:val="100F59DC"/>
    <w:multiLevelType w:val="hybridMultilevel"/>
    <w:lvl w:ilvl="0">
      <w:lvlJc w:val="left"/>
      <w:lvlText w:val="(%1)"/>
      <w:numFmt w:val="lowerLetter"/>
      <w:start w:val="9"/>
    </w:lvl>
  </w:abstractNum>
  <w:abstractNum w:abstractNumId="50">
    <w:nsid w:val="7FB7E0AA"/>
    <w:multiLevelType w:val="hybridMultilevel"/>
    <w:lvl w:ilvl="0">
      <w:lvlJc w:val="left"/>
      <w:lvlText w:val="(%1)"/>
      <w:numFmt w:val="lowerLetter"/>
      <w:start w:val="1"/>
    </w:lvl>
  </w:abstractNum>
  <w:abstractNum w:abstractNumId="51">
    <w:nsid w:val="6EB5BD4"/>
    <w:multiLevelType w:val="hybridMultilevel"/>
    <w:lvl w:ilvl="0">
      <w:lvlJc w:val="left"/>
      <w:lvlText w:val="(%1)"/>
      <w:numFmt w:val="lowerLetter"/>
      <w:start w:val="1"/>
    </w:lvl>
  </w:abstractNum>
  <w:abstractNum w:abstractNumId="52">
    <w:nsid w:val="6F6DD9AC"/>
    <w:multiLevelType w:val="hybridMultilevel"/>
    <w:lvl w:ilvl="0">
      <w:lvlJc w:val="left"/>
      <w:lvlText w:val="(%1)"/>
      <w:numFmt w:val="lowerLetter"/>
      <w:start w:val="4"/>
    </w:lvl>
  </w:abstractNum>
  <w:abstractNum w:abstractNumId="53">
    <w:nsid w:val="94211F2"/>
    <w:multiLevelType w:val="hybridMultilevel"/>
    <w:lvl w:ilvl="0">
      <w:lvlJc w:val="left"/>
      <w:lvlText w:val="(%1)"/>
      <w:numFmt w:val="lowerLetter"/>
      <w:start w:val="1"/>
    </w:lvl>
    <w:lvl w:ilvl="1">
      <w:lvlJc w:val="left"/>
      <w:lvlText w:val="(%2)"/>
      <w:numFmt w:val="lowerRoman"/>
      <w:start w:val="1"/>
    </w:lvl>
  </w:abstractNum>
  <w:abstractNum w:abstractNumId="54">
    <w:nsid w:val="885E1B"/>
    <w:multiLevelType w:val="hybridMultilevel"/>
    <w:lvl w:ilvl="0">
      <w:lvlJc w:val="left"/>
      <w:lvlText w:val="(%1)"/>
      <w:numFmt w:val="lowerRoman"/>
      <w:start w:val="3"/>
    </w:lvl>
  </w:abstractNum>
  <w:abstractNum w:abstractNumId="55">
    <w:nsid w:val="76272110"/>
    <w:multiLevelType w:val="hybridMultilevel"/>
    <w:lvl w:ilvl="0">
      <w:lvlJc w:val="left"/>
      <w:lvlText w:val="(%1)"/>
      <w:numFmt w:val="lowerLetter"/>
      <w:start w:val="3"/>
    </w:lvl>
  </w:abstractNum>
  <w:abstractNum w:abstractNumId="56">
    <w:nsid w:val="4C04A8AF"/>
    <w:multiLevelType w:val="hybridMultilevel"/>
    <w:lvl w:ilvl="0">
      <w:lvlJc w:val="left"/>
      <w:lvlText w:val="(%1)"/>
      <w:numFmt w:val="lowerLetter"/>
      <w:start w:val="1"/>
    </w:lvl>
  </w:abstractNum>
  <w:abstractNum w:abstractNumId="57">
    <w:nsid w:val="1716703B"/>
    <w:multiLevelType w:val="hybridMultilevel"/>
    <w:lvl w:ilvl="0">
      <w:lvlJc w:val="left"/>
      <w:lvlText w:val="(%1)"/>
      <w:numFmt w:val="lowerLetter"/>
      <w:start w:val="3"/>
    </w:lvl>
  </w:abstractNum>
  <w:abstractNum w:abstractNumId="58">
    <w:nsid w:val="14E17E33"/>
    <w:multiLevelType w:val="hybridMultilevel"/>
    <w:lvl w:ilvl="0">
      <w:lvlJc w:val="left"/>
      <w:lvlText w:val="(%1)"/>
      <w:numFmt w:val="lowerLetter"/>
      <w:start w:val="1"/>
    </w:lvl>
  </w:abstractNum>
  <w:abstractNum w:abstractNumId="59">
    <w:nsid w:val="3222E7CD"/>
    <w:multiLevelType w:val="hybridMultilevel"/>
    <w:lvl w:ilvl="0">
      <w:lvlJc w:val="left"/>
      <w:lvlText w:val="(%1)"/>
      <w:numFmt w:val="lowerLetter"/>
      <w:start w:val="1"/>
    </w:lvl>
  </w:abstractNum>
  <w:abstractNum w:abstractNumId="60">
    <w:nsid w:val="74DE0EE3"/>
    <w:multiLevelType w:val="hybridMultilevel"/>
    <w:lvl w:ilvl="0">
      <w:lvlJc w:val="left"/>
      <w:lvlText w:val="(%1)"/>
      <w:numFmt w:val="lowerLetter"/>
      <w:start w:val="5"/>
    </w:lvl>
  </w:abstractNum>
  <w:abstractNum w:abstractNumId="61">
    <w:nsid w:val="68EBC550"/>
    <w:multiLevelType w:val="hybridMultilevel"/>
    <w:lvl w:ilvl="0">
      <w:lvlJc w:val="left"/>
      <w:lvlText w:val="(%1)"/>
      <w:numFmt w:val="lowerLetter"/>
      <w:start w:val="1"/>
    </w:lvl>
  </w:abstractNum>
  <w:abstractNum w:abstractNumId="62">
    <w:nsid w:val="2DF6D648"/>
    <w:multiLevelType w:val="hybridMultilevel"/>
    <w:lvl w:ilvl="0">
      <w:lvlJc w:val="left"/>
      <w:lvlText w:val="(%1)"/>
      <w:numFmt w:val="lowerLetter"/>
      <w:start w:val="4"/>
    </w:lvl>
  </w:abstractNum>
  <w:abstractNum w:abstractNumId="63">
    <w:nsid w:val="46B7D447"/>
    <w:multiLevelType w:val="hybridMultilevel"/>
    <w:lvl w:ilvl="0">
      <w:lvlJc w:val="left"/>
      <w:lvlText w:val="(%1)"/>
      <w:numFmt w:val="lowerLetter"/>
      <w:start w:val="6"/>
    </w:lvl>
  </w:abstractNum>
  <w:abstractNum w:abstractNumId="64">
    <w:nsid w:val="4A2AC315"/>
    <w:multiLevelType w:val="hybridMultilevel"/>
    <w:lvl w:ilvl="0">
      <w:lvlJc w:val="left"/>
      <w:lvlText w:val="(%1)"/>
      <w:numFmt w:val="lowerLetter"/>
      <w:start w:val="1"/>
    </w:lvl>
  </w:abstractNum>
  <w:abstractNum w:abstractNumId="65">
    <w:nsid w:val="39EE015C"/>
    <w:multiLevelType w:val="hybridMultilevel"/>
    <w:lvl w:ilvl="0">
      <w:lvlJc w:val="left"/>
      <w:lvlText w:val="%1"/>
      <w:numFmt w:val="lowerLetter"/>
      <w:start w:val="1"/>
    </w:lvl>
    <w:lvl w:ilvl="1">
      <w:lvlJc w:val="left"/>
      <w:lvlText w:val="(%2)"/>
      <w:numFmt w:val="lowerLetter"/>
      <w:start w:val="2"/>
    </w:lvl>
  </w:abstractNum>
  <w:abstractNum w:abstractNumId="66">
    <w:nsid w:val="57FC4FBB"/>
    <w:multiLevelType w:val="hybridMultilevel"/>
    <w:lvl w:ilvl="0">
      <w:lvlJc w:val="left"/>
      <w:lvlText w:val="(%1)"/>
      <w:numFmt w:val="lowerLetter"/>
      <w:start w:val="61"/>
    </w:lvl>
    <w:lvl w:ilvl="1">
      <w:lvlJc w:val="left"/>
      <w:lvlText w:val="(%2)"/>
      <w:numFmt w:val="lowerLetter"/>
      <w:start w:val="3"/>
    </w:lvl>
  </w:abstractNum>
  <w:abstractNum w:abstractNumId="67">
    <w:nsid w:val="CC1016F"/>
    <w:multiLevelType w:val="hybridMultilevel"/>
    <w:lvl w:ilvl="0">
      <w:lvlJc w:val="left"/>
      <w:lvlText w:val="(%1)"/>
      <w:numFmt w:val="lowerLetter"/>
      <w:start w:val="2"/>
    </w:lvl>
  </w:abstractNum>
  <w:abstractNum w:abstractNumId="68">
    <w:nsid w:val="43F18422"/>
    <w:multiLevelType w:val="hybridMultilevel"/>
    <w:lvl w:ilvl="0">
      <w:lvlJc w:val="left"/>
      <w:lvlText w:val="(%1)"/>
      <w:numFmt w:val="lowerLetter"/>
      <w:start w:val="3"/>
    </w:lvl>
  </w:abstractNum>
  <w:abstractNum w:abstractNumId="69">
    <w:nsid w:val="60EF0119"/>
    <w:multiLevelType w:val="hybridMultilevel"/>
    <w:lvl w:ilvl="0">
      <w:lvlJc w:val="left"/>
      <w:lvlText w:val="(%1)"/>
      <w:numFmt w:val="lowerLetter"/>
      <w:start w:val="6"/>
    </w:lvl>
  </w:abstractNum>
  <w:abstractNum w:abstractNumId="70">
    <w:nsid w:val="26F324BA"/>
    <w:multiLevelType w:val="hybridMultilevel"/>
    <w:lvl w:ilvl="0">
      <w:lvlJc w:val="left"/>
      <w:lvlText w:val="(%1)"/>
      <w:numFmt w:val="lowerLetter"/>
      <w:start w:val="2"/>
    </w:lvl>
  </w:abstractNum>
  <w:abstractNum w:abstractNumId="71">
    <w:nsid w:val="7F01579B"/>
    <w:multiLevelType w:val="hybridMultilevel"/>
    <w:lvl w:ilvl="0">
      <w:lvlJc w:val="left"/>
      <w:lvlText w:val="(%1)"/>
      <w:numFmt w:val="lowerLetter"/>
      <w:start w:val="3"/>
    </w:lvl>
  </w:abstractNum>
  <w:abstractNum w:abstractNumId="72">
    <w:nsid w:val="49DA307D"/>
    <w:multiLevelType w:val="hybridMultilevel"/>
    <w:lvl w:ilvl="0">
      <w:lvlJc w:val="left"/>
      <w:lvlText w:val="(%1)"/>
      <w:numFmt w:val="lowerLetter"/>
      <w:start w:val="5"/>
    </w:lvl>
  </w:abstractNum>
  <w:abstractNum w:abstractNumId="73">
    <w:nsid w:val="7055A5F5"/>
    <w:multiLevelType w:val="hybridMultilevel"/>
    <w:lvl w:ilvl="0">
      <w:lvlJc w:val="left"/>
      <w:lvlText w:val="(%1)"/>
      <w:numFmt w:val="lowerLetter"/>
      <w:start w:val="2"/>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1)"/>
      <w:numFmt w:val="lowerLetter"/>
      <w:start w:val="2"/>
    </w:lvl>
  </w:abstractNum>
  <w:abstractNum w:abstractNumId="76">
    <w:nsid w:val="488AC1A"/>
    <w:multiLevelType w:val="hybridMultilevel"/>
    <w:lvl w:ilvl="0">
      <w:lvlJc w:val="left"/>
      <w:lvlText w:val="X"/>
      <w:numFmt w:val="bullet"/>
      <w:start w:val="1"/>
    </w:lvl>
  </w:abstractNum>
  <w:abstractNum w:abstractNumId="77">
    <w:nsid w:val="5FB8011C"/>
    <w:multiLevelType w:val="hybridMultilevel"/>
    <w:lvl w:ilvl="0">
      <w:lvlJc w:val="left"/>
      <w:lvlText w:val="Y"/>
      <w:numFmt w:val="bullet"/>
      <w:start w:val="1"/>
    </w:lvl>
  </w:abstractNum>
  <w:abstractNum w:abstractNumId="78">
    <w:nsid w:val="6AA78F7F"/>
    <w:multiLevelType w:val="hybridMultilevel"/>
    <w:lvl w:ilvl="0">
      <w:lvlJc w:val="left"/>
      <w:lvlText w:val="(%1)"/>
      <w:numFmt w:val="lowerLetter"/>
      <w:start w:val="3"/>
    </w:lvl>
    <w:lvl w:ilvl="1">
      <w:lvlJc w:val="left"/>
      <w:lvlText w:val="(%2)"/>
      <w:numFmt w:val="lowerRoman"/>
      <w:start w:val="1"/>
    </w:lvl>
  </w:abstractNum>
  <w:abstractNum w:abstractNumId="79">
    <w:nsid w:val="7672BD23"/>
    <w:multiLevelType w:val="hybridMultilevel"/>
    <w:lvl w:ilvl="0">
      <w:lvlJc w:val="left"/>
      <w:lvlText w:val="(%1)"/>
      <w:numFmt w:val="lowerRoman"/>
      <w:start w:val="4"/>
    </w:lvl>
  </w:abstractNum>
  <w:abstractNum w:abstractNumId="80">
    <w:nsid w:val="6FC75AF8"/>
    <w:multiLevelType w:val="hybridMultilevel"/>
    <w:lvl w:ilvl="0">
      <w:lvlJc w:val="left"/>
      <w:lvlText w:val="(%1)"/>
      <w:numFmt w:val="lowerLetter"/>
      <w:start w:val="4"/>
    </w:lvl>
  </w:abstractNum>
  <w:abstractNum w:abstractNumId="81">
    <w:nsid w:val="6A5F7029"/>
    <w:multiLevelType w:val="hybridMultilevel"/>
    <w:lvl w:ilvl="0">
      <w:lvlJc w:val="left"/>
      <w:lvlText w:val="C"/>
      <w:numFmt w:val="bullet"/>
      <w:start w:val="1"/>
    </w:lvl>
  </w:abstractNum>
  <w:abstractNum w:abstractNumId="82">
    <w:nsid w:val="7D5E18F8"/>
    <w:multiLevelType w:val="hybridMultilevel"/>
    <w:lvl w:ilvl="0">
      <w:lvlJc w:val="left"/>
      <w:lvlText w:val="(%1)"/>
      <w:numFmt w:val="lowerLetter"/>
      <w:start w:val="5"/>
    </w:lvl>
  </w:abstractNum>
  <w:abstractNum w:abstractNumId="83">
    <w:nsid w:val="5F3534A4"/>
    <w:multiLevelType w:val="hybridMultilevel"/>
    <w:lvl w:ilvl="0">
      <w:lvlJc w:val="left"/>
      <w:lvlText w:val="(%1)"/>
      <w:numFmt w:val="lowerLetter"/>
      <w:start w:val="6"/>
    </w:lvl>
  </w:abstractNum>
  <w:abstractNum w:abstractNumId="84">
    <w:nsid w:val="73A1821B"/>
    <w:multiLevelType w:val="hybridMultilevel"/>
    <w:lvl w:ilvl="0">
      <w:lvlJc w:val="left"/>
      <w:lvlText w:val="(%1)"/>
      <w:numFmt w:val="lowerLetter"/>
      <w:start w:val="2"/>
    </w:lvl>
  </w:abstractNum>
  <w:abstractNum w:abstractNumId="85">
    <w:nsid w:val="7DE67713"/>
    <w:multiLevelType w:val="hybridMultilevel"/>
    <w:lvl w:ilvl="0">
      <w:lvlJc w:val="left"/>
      <w:lvlText w:val="(%1)"/>
      <w:numFmt w:val="lowerLetter"/>
      <w:start w:val="3"/>
    </w:lvl>
    <w:lvl w:ilvl="1">
      <w:lvlJc w:val="left"/>
      <w:lvlText w:val="(%2)"/>
      <w:numFmt w:val="lowerRoman"/>
      <w:start w:val="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2"/>
    </w:lvl>
  </w:abstractNum>
  <w:abstractNum w:abstractNumId="88">
    <w:nsid w:val="14FCE74E"/>
    <w:multiLevelType w:val="hybridMultilevel"/>
    <w:lvl w:ilvl="0">
      <w:lvlJc w:val="left"/>
      <w:lvlText w:val="(%1)"/>
      <w:numFmt w:val="lowerLetter"/>
      <w:start w:val="2"/>
    </w:lvl>
  </w:abstractNum>
  <w:abstractNum w:abstractNumId="89">
    <w:nsid w:val="6A3DD3E8"/>
    <w:multiLevelType w:val="hybridMultilevel"/>
    <w:lvl w:ilvl="0">
      <w:lvlJc w:val="left"/>
      <w:lvlText w:val="(%1)"/>
      <w:numFmt w:val="lowerLetter"/>
      <w:start w:val="5"/>
    </w:lvl>
  </w:abstractNum>
  <w:abstractNum w:abstractNumId="90">
    <w:nsid w:val="71C91298"/>
    <w:multiLevelType w:val="hybridMultilevel"/>
    <w:lvl w:ilvl="0">
      <w:lvlJc w:val="left"/>
      <w:lvlText w:val="(%1)"/>
      <w:numFmt w:val="lowerLetter"/>
      <w:start w:val="2"/>
    </w:lvl>
  </w:abstractNum>
  <w:abstractNum w:abstractNumId="91">
    <w:nsid w:val="9DAF632"/>
    <w:multiLevelType w:val="hybridMultilevel"/>
    <w:lvl w:ilvl="0">
      <w:lvlJc w:val="left"/>
      <w:lvlText w:val="(%1)"/>
      <w:numFmt w:val="lowerLetter"/>
      <w:start w:val="4"/>
    </w:lvl>
  </w:abstractNum>
  <w:abstractNum w:abstractNumId="92">
    <w:nsid w:val="53299938"/>
    <w:multiLevelType w:val="hybridMultilevel"/>
    <w:lvl w:ilvl="0">
      <w:lvlJc w:val="left"/>
      <w:lvlText w:val="(%1)"/>
      <w:numFmt w:val="lowerRoman"/>
      <w:start w:val="1"/>
    </w:lvl>
  </w:abstractNum>
  <w:abstractNum w:abstractNumId="93">
    <w:nsid w:val="1FBFE8E0"/>
    <w:multiLevelType w:val="hybridMultilevel"/>
    <w:lvl w:ilvl="0">
      <w:lvlJc w:val="left"/>
      <w:lvlText w:val="(%1)"/>
      <w:numFmt w:val="lowerRoman"/>
      <w:start w:val="4"/>
    </w:lvl>
  </w:abstractNum>
  <w:abstractNum w:abstractNumId="94">
    <w:nsid w:val="5092CA79"/>
    <w:multiLevelType w:val="hybridMultilevel"/>
    <w:lvl w:ilvl="0">
      <w:lvlJc w:val="left"/>
      <w:lvlText w:val="(%1)"/>
      <w:numFmt w:val="lowerLetter"/>
      <w:start w:val="2"/>
    </w:lvl>
  </w:abstractNum>
  <w:abstractNum w:abstractNumId="95">
    <w:nsid w:val="1D545C4D"/>
    <w:multiLevelType w:val="hybridMultilevel"/>
    <w:lvl w:ilvl="0">
      <w:lvlJc w:val="left"/>
      <w:lvlText w:val="(%1)"/>
      <w:numFmt w:val="lowerLetter"/>
      <w:start w:val="2"/>
    </w:lvl>
    <w:lvl w:ilvl="1">
      <w:lvlJc w:val="left"/>
      <w:lvlText w:val="(%2)"/>
      <w:numFmt w:val="lowerLetter"/>
      <w:start w:val="9"/>
    </w:lvl>
  </w:abstractNum>
  <w:abstractNum w:abstractNumId="96">
    <w:nsid w:val="59ADEA3D"/>
    <w:multiLevelType w:val="hybridMultilevel"/>
    <w:lvl w:ilvl="0">
      <w:lvlJc w:val="left"/>
      <w:lvlText w:val="(%1)"/>
      <w:numFmt w:val="lowerRoman"/>
      <w:start w:val="2"/>
    </w:lvl>
  </w:abstractNum>
  <w:abstractNum w:abstractNumId="97">
    <w:nsid w:val="288F1A34"/>
    <w:multiLevelType w:val="hybridMultilevel"/>
    <w:lvl w:ilvl="0">
      <w:lvlJc w:val="left"/>
      <w:lvlText w:val="(%1)"/>
      <w:numFmt w:val="decimal"/>
      <w:start w:val="5"/>
    </w:lvl>
  </w:abstractNum>
  <w:abstractNum w:abstractNumId="98">
    <w:nsid w:val="2A155DBC"/>
    <w:multiLevelType w:val="hybridMultilevel"/>
    <w:lvl w:ilvl="0">
      <w:lvlJc w:val="left"/>
      <w:lvlText w:val="(%1)"/>
      <w:numFmt w:val="lowerLetter"/>
      <w:start w:val="3"/>
    </w:lvl>
  </w:abstractNum>
  <w:abstractNum w:abstractNumId="99">
    <w:nsid w:val="1D9F6E5F"/>
    <w:multiLevelType w:val="hybridMultilevel"/>
    <w:lvl w:ilvl="0">
      <w:lvlJc w:val="left"/>
      <w:lvlText w:val="%1"/>
      <w:numFmt w:val="upperLetter"/>
      <w:start w:val="1"/>
    </w:lvl>
    <w:lvl w:ilvl="1">
      <w:lvlJc w:val="left"/>
      <w:lvlText w:val="(%2)"/>
      <w:numFmt w:val="lowerRoman"/>
      <w:start w:val="1"/>
    </w:lvl>
  </w:abstractNum>
  <w:abstractNum w:abstractNumId="100">
    <w:nsid w:val="97E1B4E"/>
    <w:multiLevelType w:val="hybridMultilevel"/>
    <w:lvl w:ilvl="0">
      <w:lvlJc w:val="left"/>
      <w:lvlText w:val="(%1)"/>
      <w:numFmt w:val="upperLetter"/>
      <w:start w:val="1"/>
    </w:lvl>
    <w:lvl w:ilvl="1">
      <w:lvlJc w:val="left"/>
      <w:lvlText w:val="%2"/>
      <w:numFmt w:val="lowerRoman"/>
      <w:start w:val="1"/>
    </w:lvl>
  </w:abstractNum>
  <w:abstractNum w:abstractNumId="101">
    <w:nsid w:val="51088277"/>
    <w:multiLevelType w:val="hybridMultilevel"/>
    <w:lvl w:ilvl="0">
      <w:lvlJc w:val="left"/>
      <w:lvlText w:val="(%1)"/>
      <w:numFmt w:val="lowerLetter"/>
      <w:start w:val="4"/>
    </w:lvl>
  </w:abstractNum>
  <w:abstractNum w:abstractNumId="102">
    <w:nsid w:val="1CA0C5FA"/>
    <w:multiLevelType w:val="hybridMultilevel"/>
    <w:lvl w:ilvl="0">
      <w:lvlJc w:val="left"/>
      <w:lvlText w:val="(%1)"/>
      <w:numFmt w:val="lowerLetter"/>
      <w:start w:val="2"/>
    </w:lvl>
  </w:abstractNum>
  <w:abstractNum w:abstractNumId="103">
    <w:nsid w:val="53584BCB"/>
    <w:multiLevelType w:val="hybridMultilevel"/>
    <w:lvl w:ilvl="0">
      <w:lvlJc w:val="left"/>
      <w:lvlText w:val="(%1)"/>
      <w:numFmt w:val="lowerLetter"/>
      <w:start w:val="3"/>
    </w:lvl>
  </w:abstractNum>
  <w:abstractNum w:abstractNumId="104">
    <w:nsid w:val="415E286C"/>
    <w:multiLevelType w:val="hybridMultilevel"/>
    <w:lvl w:ilvl="0">
      <w:lvlJc w:val="left"/>
      <w:lvlText w:val="(%1)"/>
      <w:numFmt w:val="lowerLetter"/>
      <w:start w:val="2"/>
    </w:lvl>
  </w:abstractNum>
  <w:abstractNum w:abstractNumId="105">
    <w:nsid w:val="7C58FD05"/>
    <w:multiLevelType w:val="hybridMultilevel"/>
    <w:lvl w:ilvl="0">
      <w:lvlJc w:val="left"/>
      <w:lvlText w:val="(%1)"/>
      <w:numFmt w:val="lowerLetter"/>
      <w:start w:val="2"/>
    </w:lvl>
  </w:abstractNum>
  <w:abstractNum w:abstractNumId="106">
    <w:nsid w:val="23D86AAC"/>
    <w:multiLevelType w:val="hybridMultilevel"/>
    <w:lvl w:ilvl="0">
      <w:lvlJc w:val="left"/>
      <w:lvlText w:val="(%1)"/>
      <w:numFmt w:val="lowerLetter"/>
      <w:start w:val="4"/>
    </w:lvl>
  </w:abstractNum>
  <w:abstractNum w:abstractNumId="107">
    <w:nsid w:val="45E6D486"/>
    <w:multiLevelType w:val="hybridMultilevel"/>
    <w:lvl w:ilvl="0">
      <w:lvlJc w:val="left"/>
      <w:lvlText w:val="(%1)"/>
      <w:numFmt w:val="lowerLetter"/>
      <w:start w:val="2"/>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1)"/>
      <w:numFmt w:val="lowerLetter"/>
      <w:start w:val="25"/>
    </w:lvl>
    <w:lvl w:ilvl="1">
      <w:lvlJc w:val="left"/>
      <w:lvlText w:val="(%2)"/>
      <w:numFmt w:val="lowerRoman"/>
      <w:start w:val="1"/>
    </w:lvl>
  </w:abstractNum>
  <w:abstractNum w:abstractNumId="110">
    <w:nsid w:val="3C5991AA"/>
    <w:multiLevelType w:val="hybridMultilevel"/>
    <w:lvl w:ilvl="0">
      <w:lvlJc w:val="left"/>
      <w:lvlText w:val="(%1)"/>
      <w:numFmt w:val="lowerRoman"/>
      <w:start w:val="1"/>
    </w:lvl>
  </w:abstractNum>
  <w:abstractNum w:abstractNumId="111">
    <w:nsid w:val="4BD8591A"/>
    <w:multiLevelType w:val="hybridMultilevel"/>
    <w:lvl w:ilvl="0">
      <w:lvlJc w:val="left"/>
      <w:lvlText w:val="%1"/>
      <w:numFmt w:val="upperLetter"/>
      <w:start w:val="1"/>
    </w:lvl>
    <w:lvl w:ilvl="1">
      <w:lvlJc w:val="left"/>
      <w:lvlText w:val="(%2)"/>
      <w:numFmt w:val="lowerRoman"/>
      <w:start w:val="2"/>
    </w:lvl>
  </w:abstractNum>
  <w:abstractNum w:abstractNumId="112">
    <w:nsid w:val="78DF6A55"/>
    <w:multiLevelType w:val="hybridMultilevel"/>
    <w:lvl w:ilvl="0">
      <w:lvlJc w:val="left"/>
      <w:lvlText w:val="(%1)"/>
      <w:numFmt w:val="upperLetter"/>
      <w:start w:val="4"/>
    </w:lvl>
    <w:lvl w:ilvl="1">
      <w:lvlJc w:val="left"/>
      <w:lvlText w:val="%2"/>
      <w:numFmt w:val="lowerRoman"/>
      <w:start w:val="1"/>
    </w:lvl>
  </w:abstractNum>
  <w:abstractNum w:abstractNumId="113">
    <w:nsid w:val="39B7AAA2"/>
    <w:multiLevelType w:val="hybridMultilevel"/>
    <w:lvl w:ilvl="0">
      <w:lvlJc w:val="left"/>
      <w:lvlText w:val="(%1)"/>
      <w:numFmt w:val="lowerLetter"/>
      <w:start w:val="3"/>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2019-12-29T15:34:20Z</dcterms:created>
  <dcterms:modified xsi:type="dcterms:W3CDTF">2019-12-29T15:34:20Z</dcterms:modified>
</cp:coreProperties>
</file>