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51" w:lineRule="exact"/>
        <w:rPr>
          <w:sz w:val="24"/>
          <w:szCs w:val="24"/>
          <w:color w:val="auto"/>
        </w:rPr>
      </w:pPr>
    </w:p>
    <w:p>
      <w:pPr>
        <w:spacing w:after="0" w:line="207" w:lineRule="exact"/>
        <w:tabs>
          <w:tab w:leader="none" w:pos="29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500" w:hanging="488"/>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00" w:hanging="488"/>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00" w:hanging="488"/>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00" w:hanging="488"/>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0" w:lineRule="exact"/>
        <w:rPr>
          <w:sz w:val="24"/>
          <w:szCs w:val="24"/>
          <w:color w:val="auto"/>
        </w:rPr>
      </w:pPr>
    </w:p>
    <w:p>
      <w:pPr>
        <w:spacing w:after="0" w:line="3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MANNKIND CORPORATION</w:t>
      </w:r>
    </w:p>
    <w:p>
      <w:pPr>
        <w:spacing w:after="0" w:line="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273" w:right="1440" w:bottom="1440" w:gutter="0" w:footer="0" w:header="0"/>
        </w:sectPr>
      </w:pPr>
    </w:p>
    <w:bookmarkStart w:id="1" w:name="page2"/>
    <w:bookmarkEnd w:id="1"/>
    <w:p>
      <w:pPr>
        <w:spacing w:after="0" w:line="2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6292215" cy="806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066405"/>
                    </a:xfrm>
                    <a:prstGeom prst="rect">
                      <a:avLst/>
                    </a:prstGeom>
                    <a:noFill/>
                  </pic:spPr>
                </pic:pic>
              </a:graphicData>
            </a:graphic>
          </wp:anchor>
        </w:drawing>
      </w:r>
    </w:p>
    <w:p>
      <w:pPr>
        <w:ind w:left="6140"/>
        <w:spacing w:after="0"/>
        <w:rPr>
          <w:sz w:val="20"/>
          <w:szCs w:val="20"/>
          <w:color w:val="auto"/>
        </w:rPr>
      </w:pPr>
      <w:r>
        <w:rPr>
          <w:rFonts w:ascii="Times New Roman" w:cs="Times New Roman" w:eastAsia="Times New Roman" w:hAnsi="Times New Roman"/>
          <w:sz w:val="43"/>
          <w:szCs w:val="43"/>
          <w:b w:val="1"/>
          <w:bCs w:val="1"/>
          <w:color w:val="auto"/>
        </w:rPr>
        <w:t>Notice of</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43"/>
          <w:szCs w:val="43"/>
          <w:b w:val="1"/>
          <w:bCs w:val="1"/>
          <w:color w:val="auto"/>
        </w:rPr>
        <w:t>2022 Meeting</w:t>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43"/>
          <w:szCs w:val="43"/>
          <w:b w:val="1"/>
          <w:bCs w:val="1"/>
          <w:color w:val="auto"/>
        </w:rPr>
        <w:t>of Stockholders and</w:t>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43"/>
          <w:szCs w:val="43"/>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6140" w:right="1220"/>
        <w:spacing w:after="0" w:line="283" w:lineRule="auto"/>
        <w:rPr>
          <w:sz w:val="20"/>
          <w:szCs w:val="20"/>
          <w:color w:val="auto"/>
        </w:rPr>
      </w:pPr>
      <w:r>
        <w:rPr>
          <w:rFonts w:ascii="Times New Roman" w:cs="Times New Roman" w:eastAsia="Times New Roman" w:hAnsi="Times New Roman"/>
          <w:sz w:val="64"/>
          <w:szCs w:val="64"/>
          <w:b w:val="1"/>
          <w:bCs w:val="1"/>
          <w:color w:val="auto"/>
        </w:rPr>
        <w:t>life more humann.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1038225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-268605</wp:posOffset>
            </wp:positionV>
            <wp:extent cx="102870" cy="60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60325"/>
                    </a:xfrm>
                    <a:prstGeom prst="rect">
                      <a:avLst/>
                    </a:prstGeom>
                    <a:noFill/>
                  </pic:spPr>
                </pic:pic>
              </a:graphicData>
            </a:graphic>
          </wp:anchor>
        </w:drawing>
      </w:r>
    </w:p>
    <w:p>
      <w:pPr>
        <w:sectPr>
          <w:pgSz w:w="11900" w:h="16838" w:orient="portrait"/>
          <w:cols w:equalWidth="0" w:num="1">
            <w:col w:w="9820"/>
          </w:cols>
          <w:pgMar w:left="1440" w:top="1440" w:right="6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1688465"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8465" cy="283210"/>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 Casper Street, Danbury, Connecticut 06810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(818) 661-5000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NOTICE OF ANNUAL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MEETING OF STOCKHOLDERS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Held On Tuesday, May 10, 2022</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33" w:lineRule="exact"/>
        <w:rPr>
          <w:sz w:val="20"/>
          <w:szCs w:val="20"/>
          <w:color w:val="auto"/>
        </w:rPr>
      </w:pPr>
    </w:p>
    <w:p>
      <w:pPr>
        <w:ind w:right="360" w:firstLine="416"/>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MannKind Corporation, a Delaware corporation (“MannKind”). The meeting will be held live via the Internet on Tuesday, May 10, 2022 at 10:00 a.m. U.S. Eastern Time. To attend, please visit www.virtualshareholdermeeting.com/MNKD2022. You will not be able to attend the Annual Meeting in person. The Annual Meeting will consider the following matters:</w:t>
      </w:r>
    </w:p>
    <w:p>
      <w:pPr>
        <w:spacing w:after="0" w:line="126" w:lineRule="exact"/>
        <w:rPr>
          <w:sz w:val="20"/>
          <w:szCs w:val="20"/>
          <w:color w:val="auto"/>
        </w:rPr>
      </w:pPr>
    </w:p>
    <w:p>
      <w:pPr>
        <w:ind w:left="820" w:hanging="39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nine nominees named herein as directors to serve for the ensuing year and until their successors are elected;</w:t>
      </w:r>
    </w:p>
    <w:p>
      <w:pPr>
        <w:spacing w:after="0" w:line="117" w:lineRule="exact"/>
        <w:rPr>
          <w:rFonts w:ascii="Times New Roman" w:cs="Times New Roman" w:eastAsia="Times New Roman" w:hAnsi="Times New Roman"/>
          <w:sz w:val="18"/>
          <w:szCs w:val="18"/>
          <w:color w:val="auto"/>
        </w:rPr>
      </w:pPr>
    </w:p>
    <w:p>
      <w:pPr>
        <w:ind w:left="820" w:right="80" w:hanging="39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named executive officers of MannKind, as disclosed in MannKind’s proxy statement for the Annual Meeting;</w:t>
      </w:r>
    </w:p>
    <w:p>
      <w:pPr>
        <w:spacing w:after="0" w:line="53" w:lineRule="exact"/>
        <w:rPr>
          <w:rFonts w:ascii="Times New Roman" w:cs="Times New Roman" w:eastAsia="Times New Roman" w:hAnsi="Times New Roman"/>
          <w:sz w:val="18"/>
          <w:szCs w:val="18"/>
          <w:color w:val="auto"/>
        </w:rPr>
      </w:pPr>
    </w:p>
    <w:p>
      <w:pPr>
        <w:ind w:left="820" w:right="620" w:hanging="39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MannKind for its fiscal year ending December 31, 2022; and</w:t>
      </w:r>
    </w:p>
    <w:p>
      <w:pPr>
        <w:spacing w:after="0" w:line="53" w:lineRule="exact"/>
        <w:rPr>
          <w:rFonts w:ascii="Times New Roman" w:cs="Times New Roman" w:eastAsia="Times New Roman" w:hAnsi="Times New Roman"/>
          <w:sz w:val="18"/>
          <w:szCs w:val="18"/>
          <w:color w:val="auto"/>
        </w:rPr>
      </w:pPr>
    </w:p>
    <w:p>
      <w:pPr>
        <w:ind w:left="820" w:hanging="39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63" w:lineRule="exact"/>
        <w:rPr>
          <w:sz w:val="20"/>
          <w:szCs w:val="20"/>
          <w:color w:val="auto"/>
        </w:rPr>
      </w:pPr>
    </w:p>
    <w:p>
      <w:pPr>
        <w:ind w:right="380" w:firstLine="416"/>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11, 2022. Only stockholders of record on that date may vote at the meeting or any adjournment thereof.</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1163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Thomson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via the Internet. Whether or not you expect to attend the meeting, please vote by proxy pursuant to the instructions set forth herein as promptly as possible in order to ensure your representation at the meeting. Even if you have voted by proxy, you may still vote live if you attend the meeting via the Internet.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9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Proxy Statement Summary</w:t>
            </w:r>
          </w:p>
        </w:tc>
        <w:tc>
          <w:tcPr>
            <w:tcW w:w="1560" w:type="dxa"/>
            <w:vAlign w:val="bottom"/>
          </w:tcPr>
          <w:p>
            <w:pPr>
              <w:spacing w:after="0"/>
              <w:rPr>
                <w:sz w:val="18"/>
                <w:szCs w:val="18"/>
                <w:color w:val="auto"/>
              </w:rPr>
            </w:pPr>
          </w:p>
        </w:tc>
      </w:tr>
      <w:tr>
        <w:trPr>
          <w:trHeight w:val="194"/>
        </w:trPr>
        <w:tc>
          <w:tcPr>
            <w:tcW w:w="244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Proposal 1 - Election of Directors</w:t>
              </w:r>
            </w:hyperlink>
          </w:p>
        </w:tc>
        <w:tc>
          <w:tcPr>
            <w:tcW w:w="7260" w:type="dxa"/>
            <w:vAlign w:val="bottom"/>
            <w:gridSpan w:val="7"/>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6"/>
        </w:trPr>
        <w:tc>
          <w:tcPr>
            <w:tcW w:w="4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Corporate Governance Principles and Board and Committee Matters</w:t>
              </w:r>
            </w:hyperlink>
          </w:p>
        </w:tc>
        <w:tc>
          <w:tcPr>
            <w:tcW w:w="4760" w:type="dxa"/>
            <w:vAlign w:val="bottom"/>
            <w:gridSpan w:val="2"/>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6"/>
        </w:trPr>
        <w:tc>
          <w:tcPr>
            <w:tcW w:w="4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Proposal 2 - Advisory Vote on Executive Compensation</w:t>
              </w:r>
            </w:hyperlink>
          </w:p>
        </w:tc>
        <w:tc>
          <w:tcPr>
            <w:tcW w:w="566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83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Proposal 3 - Ratification of Selection of Deloitte &amp; Touche LLP as Independent Registered Public Accounting Firm</w:t>
              </w:r>
            </w:hyperlink>
          </w:p>
        </w:tc>
        <w:tc>
          <w:tcPr>
            <w:tcW w:w="134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Report of the Audit Committee</w:t>
              </w:r>
            </w:hyperlink>
          </w:p>
        </w:tc>
        <w:tc>
          <w:tcPr>
            <w:tcW w:w="744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9700" w:type="dxa"/>
            <w:vAlign w:val="bottom"/>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Executive Officers of the Registrant</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0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Executive Compensation - Compensation Discussion and Analysis</w:t>
              </w:r>
            </w:hyperlink>
          </w:p>
        </w:tc>
        <w:tc>
          <w:tcPr>
            <w:tcW w:w="488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9700" w:type="dxa"/>
            <w:vAlign w:val="bottom"/>
            <w:gridSpan w:val="11"/>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Compensation Committee Report</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10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9700" w:type="dxa"/>
            <w:vAlign w:val="bottom"/>
            <w:gridSpan w:val="11"/>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Security Ownership of Certain Beneficial Owners and Management</w:t>
              </w:r>
            </w:hyperlink>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48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Other Matters</w:t>
              </w:r>
            </w:hyperlink>
          </w:p>
        </w:tc>
        <w:tc>
          <w:tcPr>
            <w:tcW w:w="482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568"/>
        </w:trPr>
        <w:tc>
          <w:tcPr>
            <w:tcW w:w="1020" w:type="dxa"/>
            <w:vAlign w:val="bottom"/>
            <w:tcBorders>
              <w:top w:val="single" w:sz="8" w:color="0000EE"/>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4" w:name="page5"/>
    <w:bookmarkEnd w:id="4"/>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4040"/>
                    </a:xfrm>
                    <a:prstGeom prst="rect">
                      <a:avLst/>
                    </a:prstGeom>
                    <a:noFill/>
                  </pic:spPr>
                </pic:pic>
              </a:graphicData>
            </a:graphic>
          </wp:anchor>
        </w:drawing>
        <w:t>Proxy Statement</w:t>
      </w:r>
    </w:p>
    <w:p>
      <w:pPr>
        <w:sectPr>
          <w:pgSz w:w="11900" w:h="16838" w:orient="portrait"/>
          <w:cols w:equalWidth="0" w:num="1">
            <w:col w:w="11220"/>
          </w:cols>
          <w:pgMar w:left="320" w:top="630" w:right="3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Casper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Danbury, Connecticut 06810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(818) 661-5000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 THE 2022 ANNUAL MEETING OF STOCKHOLDERS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be held on May 10, 2022</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QUESTIONS AND ANSWERS ABOUT THESE PROXY MATERIALS AND VOTING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the “Board”) of MannKind Corporation (sometimes referred to as, “we,” “us,” the “Company” or “MannKind”) is soliciting your proxy to vote at the 2022 Annual Meeting of Stockholders (the “Annual Meeting”), including any adjournments or postponements of the Annual Meeting. This year’s Annual Meeting will be held entirely via the Internet. You are invited to attend the Annual Meeting to vote on the proposals described in this proxy statement. However, you do not need to attend the meeting via the Internet to vote your shares.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Notice will be mailed on March 31, 2022 to our stockholders of record entitled to vote at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ten days after mailing the first Notice.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we holding a virtual Annual Meeting?</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This year we have implemented a virtual format for our Annual Meeting, which will be conducted via live audio webcast and online stockholder tools. We believe a virtual format helps to facilitate stockholder attendance and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Annual Meeting, we may answer questions submitted during the Annual Meeting and address those asked in advance, to the extent relevant to the business of the Annual Meeting. We do not intend to post questions received during the Annual Meeting on our website.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11, 2022 (the “record date”) will be entitled to vote at the Annual Meeting. On this record date, there were 252,255,454 shares of common stock outstanding and entitled to vote. A list of MannKind's stockholders of record will be open for examination by any stockholder beginning ten days prior to the Annual Meeting at our principal executive office located at 1 Casper Street, Danbury, Connecticut 06810. If you would like to view the list, please contact our Corporate Secretary to schedule an appointment by calling (818) 661-5000 or writing to him at the address above. In addition, the list will be available for inspection by stockholders on the virtual meeting website during the Annual Meeting.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MannKind’s transfer agent, Computershare, then you are a stockholder of record. As a stockholder of record, you may vote live at the meeting or vote by proxy. Whether or not you plan to attend the Annual Meeting, we urge you to vote by proxy pursuant to the instructions set forth below to ensure your vote is counted.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65"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on how to vote the shares in your account. You are also invited to attend the Annual Meeting. However, because you are not the stockholder of record, you may not vote your shares live at the Annual Meeting unless you request and obtain a valid proxy from your broker or other agent.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Management is presenting the following three proposals for stockholder vote: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Nine Directors</w:t>
      </w:r>
    </w:p>
    <w:p>
      <w:pPr>
        <w:spacing w:after="0" w:line="119"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The first proposal to be voted on is the election of our nine nominees named herein as directors for a one-year term ending at our 2023 Annual Meeting of Stockholders. The Board has nominated these nine people as directors. You may find information about these nominees, as well as information about MannKind’s Board of Directors and its committees, director compensation and other related matters beginning on page 6.</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all the nominees, “Withhold” your votes as to all nominees or “Withhold” your votes as to specific nominees.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all the director nominees named herein.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Advisory Vote on Executive Compensation</w:t>
      </w:r>
    </w:p>
    <w:p>
      <w:pPr>
        <w:spacing w:after="0" w:line="119"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The second proposal to be voted on is an advisory vote regarding the compensation of the Company’s named executive officers as described in this proxy statement, including the disclosures under “Compensation Discussion and Analysis”, the compensation tables and the narrative discussion following the compensation tables. You may find information about this proposal beginning on page 19.</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2.</w:t>
      </w:r>
    </w:p>
    <w:p>
      <w:pPr>
        <w:spacing w:after="0" w:line="22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3. Ratification of Selection by the Audit Committee of the Board of Directors of Deloitte &amp; Touche LLP as the Company’s Independent Registered Public Accounting Firm for the Fiscal Year Ending December 31, 2022</w:t>
      </w:r>
    </w:p>
    <w:p>
      <w:pPr>
        <w:spacing w:after="0" w:line="160" w:lineRule="exact"/>
        <w:rPr>
          <w:sz w:val="20"/>
          <w:szCs w:val="20"/>
          <w:color w:val="auto"/>
        </w:rPr>
      </w:pPr>
    </w:p>
    <w:p>
      <w:pPr>
        <w:ind w:right="140" w:firstLine="419"/>
        <w:spacing w:after="0" w:line="276" w:lineRule="auto"/>
        <w:rPr>
          <w:sz w:val="20"/>
          <w:szCs w:val="20"/>
          <w:color w:val="auto"/>
        </w:rPr>
      </w:pPr>
      <w:r>
        <w:rPr>
          <w:rFonts w:ascii="Times New Roman" w:cs="Times New Roman" w:eastAsia="Times New Roman" w:hAnsi="Times New Roman"/>
          <w:sz w:val="17"/>
          <w:szCs w:val="17"/>
          <w:color w:val="auto"/>
        </w:rPr>
        <w:t>The third proposal to be voted on is the ratification of the selection by the Audit Committee of the Board of Directors of Deloitte &amp; Touche LLP as the Company’s independent registered public accounting firm for the fiscal year ending December 31, 2022. It is expected that representatives of Deloitte</w:t>
      </w:r>
    </w:p>
    <w:p>
      <w:pPr>
        <w:spacing w:after="0" w:line="1" w:lineRule="exact"/>
        <w:rPr>
          <w:sz w:val="20"/>
          <w:szCs w:val="20"/>
          <w:color w:val="auto"/>
        </w:rPr>
      </w:pPr>
    </w:p>
    <w:p>
      <w:pPr>
        <w:ind w:right="140" w:firstLine="8"/>
        <w:spacing w:after="0" w:line="260"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will attend the Annual Meeting and be available to make a statement or respond to appropriate questions. You may find information about this proposal beginning on page 21.</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jc w:val="both"/>
        <w:ind w:right="200" w:firstLine="416"/>
        <w:spacing w:after="0" w:line="282"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proxy to vote on those matters in accordance with their best judgment.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89"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live at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live if you have already voted by proxy.</w:t>
      </w:r>
    </w:p>
    <w:p>
      <w:pPr>
        <w:spacing w:after="0" w:line="72" w:lineRule="exact"/>
        <w:rPr>
          <w:sz w:val="20"/>
          <w:szCs w:val="20"/>
          <w:color w:val="auto"/>
        </w:rPr>
      </w:pPr>
    </w:p>
    <w:p>
      <w:pPr>
        <w:ind w:left="740" w:right="2060" w:hanging="368"/>
        <w:spacing w:after="0" w:line="312" w:lineRule="auto"/>
        <w:tabs>
          <w:tab w:leader="none" w:pos="7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live, attend the Annual Meeting and follow the instructions for voting. To attend the meeting, please visit www.virtualshareholdermeeting.com/MNKD2022. You will be asked to provide the control number from the Notice.</w:t>
      </w:r>
    </w:p>
    <w:p>
      <w:pPr>
        <w:spacing w:after="0" w:line="31" w:lineRule="exact"/>
        <w:rPr>
          <w:rFonts w:ascii="Times New Roman" w:cs="Times New Roman" w:eastAsia="Times New Roman" w:hAnsi="Times New Roman"/>
          <w:sz w:val="17"/>
          <w:szCs w:val="17"/>
          <w:color w:val="auto"/>
        </w:rPr>
      </w:pPr>
    </w:p>
    <w:p>
      <w:pPr>
        <w:ind w:left="740" w:right="64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Your signed proxy card must be received by 11:59 PM U.S. Eastern time on May 9, 2022 to be counted.</w:t>
      </w:r>
    </w:p>
    <w:p>
      <w:pPr>
        <w:spacing w:after="0" w:line="53" w:lineRule="exact"/>
        <w:rPr>
          <w:rFonts w:ascii="Times New Roman" w:cs="Times New Roman" w:eastAsia="Times New Roman" w:hAnsi="Times New Roman"/>
          <w:sz w:val="18"/>
          <w:szCs w:val="18"/>
          <w:color w:val="auto"/>
        </w:rPr>
      </w:pPr>
    </w:p>
    <w:p>
      <w:pPr>
        <w:ind w:left="740" w:right="360" w:hanging="368"/>
        <w:spacing w:after="0" w:line="282"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(800) 690-6903 using a touch-tone phone and follow the recorded instructions. You will be asked to provide the control number from the Notice. Your vote must be received by 11:59 PM U.S. Eastern time on May 9, 2022 to be counted.</w:t>
      </w:r>
    </w:p>
    <w:p>
      <w:pPr>
        <w:spacing w:after="0" w:line="53" w:lineRule="exact"/>
        <w:rPr>
          <w:rFonts w:ascii="Times New Roman" w:cs="Times New Roman" w:eastAsia="Times New Roman" w:hAnsi="Times New Roman"/>
          <w:sz w:val="18"/>
          <w:szCs w:val="18"/>
          <w:color w:val="auto"/>
        </w:rPr>
      </w:pPr>
    </w:p>
    <w:p>
      <w:pPr>
        <w:ind w:left="740" w:right="140" w:hanging="368"/>
        <w:spacing w:after="0" w:line="26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in advance of the Annual Meeting, go to http://www.proxyvote.com to complete an electronic proxy card. You will be asked to provide the control number from the Notice. Your vote must be received by 11:59 PM U.S. Eastern time on May 9, 2022 to be counted.</w:t>
      </w:r>
    </w:p>
    <w:p>
      <w:pPr>
        <w:spacing w:after="0" w:line="176"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Voting at the Annual Meeting and Internet proxy voting have procedures designed to ensure the authenticity and correctness of your vote or voting instructions. However, please be aware that you must bear any costs associated with your internet access, such as usage charges from Internet access providers and telephone companies.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420" w:firstLine="416"/>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MannKind. Simply follow the voting instructions in the Notice to ensure that your vote is counted. To vote live at the Annual Meeting, follow the instructions after logging into the meeting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record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by proxy but do not make specific choices?</w:t>
      </w:r>
    </w:p>
    <w:p>
      <w:pPr>
        <w:spacing w:after="0" w:line="121"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If you voted by proxy without marking any voting selections, your shares will be voted “For” the election of each of the nine nominees for director listed in Proposal 1, “For” the advisory vote on executive compensation as provided in Proposal 2 and “For” the ratification of the selection of Deloitte &amp; Touche LLP as our independent registered public accounting firm for the fiscal year ending December 31, 2022 as provided in Proposal 3. If any other matter is properly presented at the Annual Meeting, your proxy (one of the individuals named on your proxy card) will vote your shares using his or her best judgment.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 xml:space="preserve">If you receive more than one Notice, your shares are registered in more than one name or are registered in different accounts.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 Similarly, if you are a stockholder of record and you receive more than one Notice, your shares are registered in more than one name.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right="380" w:firstLine="416"/>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a stockholder of record, you may revoke your proxy in any one of the following ways:</w:t>
      </w:r>
    </w:p>
    <w:p>
      <w:pPr>
        <w:spacing w:after="0" w:line="54" w:lineRule="exact"/>
        <w:rPr>
          <w:sz w:val="20"/>
          <w:szCs w:val="20"/>
          <w:color w:val="auto"/>
        </w:rPr>
      </w:pPr>
    </w:p>
    <w:p>
      <w:pPr>
        <w:ind w:left="740" w:right="300" w:hanging="368"/>
        <w:spacing w:after="0" w:line="282"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MannKind’s Corporate Secretary at 1 Casper Street, Danbury, Connecticut 06810.</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another proxy by telephone or through the Internet.</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live. Simply attending the Annual Meeting will not, by itself, revoke your proxy.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Your most current proxy, whether submitted by proxy card, telephone or Internet, is the one that is counted.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the proposal to elect directors, votes “For,” “Withhold” and broker non-votes; and with respect to other proposals, “For” and “Against” votes, abstentions and, if applicable, broker non-votes. Abstentions will be counted towards the vote total for each proposal, except with respect to the election of directors, and will have the same effect as “Against” votes.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(shares are held by your broker as your nominee), the beneficial owner of the shares is entitled to give voting instructions to the broker or nominee holding the shares. If you do not give instructions to your broker, your broker can vote your shares with respect to matters that are considered to be “routine,” but not with respect to “non-routine” matters. Under the rules and interpretations of the New York Stock Exchange, “non-routine” matters are generally those involving a matter that may substantially affect the rights or privileges of stockholders, such as mergers or stockholder proposals, election of directors (even if not contested) and executive compensation, including the stockholder advisory votes on executive compensation. Proposals 1 and 2 regarding the election of directors and the advisory vote regarding executive compensation are non-routine matters. Proposal 3 to ratify Deloitte &amp; Touche LLP as our independent registered public accounting firm is a routine matter.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election of directors, the nine nominees receiving the most “For” votes (among votes properly cast at the meeting or by proxy) will be elected.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votes “For” or “Withhold” will affect the outcome. Only the nine nominees named herein have been properly nominated for election as directors.</w:t>
      </w:r>
    </w:p>
    <w:p>
      <w:pPr>
        <w:spacing w:after="0" w:line="207" w:lineRule="exact"/>
        <w:rPr>
          <w:sz w:val="20"/>
          <w:szCs w:val="20"/>
          <w:color w:val="auto"/>
        </w:rPr>
      </w:pPr>
    </w:p>
    <w:p>
      <w:pPr>
        <w:ind w:right="340" w:firstLine="416"/>
        <w:spacing w:after="0" w:line="261" w:lineRule="auto"/>
        <w:rPr>
          <w:sz w:val="20"/>
          <w:szCs w:val="20"/>
          <w:color w:val="auto"/>
        </w:rPr>
      </w:pPr>
      <w:r>
        <w:rPr>
          <w:rFonts w:ascii="Times New Roman" w:cs="Times New Roman" w:eastAsia="Times New Roman" w:hAnsi="Times New Roman"/>
          <w:sz w:val="18"/>
          <w:szCs w:val="18"/>
          <w:color w:val="auto"/>
        </w:rPr>
        <w:t>Proposals 2 and 3 regarding approval on an advisory basis of the compensation of the Company’s named executive officers and ratification of the Audit Committee’s selection of the independent registered public accounting firm, must receive a “For” vote from the majority of shares present and entitled to vote either at the meeting or by proxy in order to be approved. If you “Abstain” from voting on any of these proposals, it will have the same effect as an “Against” vote. Broker non-votes will have no effect any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right="140" w:firstLine="416"/>
        <w:spacing w:after="0" w:line="289" w:lineRule="auto"/>
        <w:rPr>
          <w:sz w:val="20"/>
          <w:szCs w:val="20"/>
          <w:color w:val="auto"/>
        </w:rPr>
      </w:pPr>
      <w:r>
        <w:rPr>
          <w:rFonts w:ascii="Times New Roman" w:cs="Times New Roman" w:eastAsia="Times New Roman" w:hAnsi="Times New Roman"/>
          <w:sz w:val="17"/>
          <w:szCs w:val="17"/>
          <w:color w:val="auto"/>
        </w:rPr>
        <w:t>A quorum of stockholders is necessary to hold a valid Annual Meeting. A quorum will be present if at least a majority of the outstanding shares entitled to vote are represented by stockholders present at the Annual Meeting or by proxy. On the record date, there were 252,255,454 shares outstanding and entitled to vote. Thus, 126,127,728 shares must be represented by stockholders present at the Annual Meeting or by proxy to have a quorum.</w:t>
      </w:r>
    </w:p>
    <w:p>
      <w:pPr>
        <w:spacing w:after="0" w:line="158"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live at the Annual Meeting. Abstentions and broker non-votes will be counted towards the quorum requirement. If there is no quorum, the chair of the Annual Meeting or a majority of the votes present at the Annual Meeting may adjourn the meeting to another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67" w:lineRule="exact"/>
        <w:rPr>
          <w:sz w:val="20"/>
          <w:szCs w:val="20"/>
          <w:color w:val="auto"/>
        </w:rPr>
      </w:pPr>
    </w:p>
    <w:p>
      <w:pPr>
        <w:ind w:right="140" w:firstLine="416"/>
        <w:spacing w:after="0" w:line="276" w:lineRule="auto"/>
        <w:rPr>
          <w:sz w:val="20"/>
          <w:szCs w:val="20"/>
          <w:color w:val="auto"/>
        </w:rPr>
      </w:pPr>
      <w:r>
        <w:rPr>
          <w:rFonts w:ascii="Times New Roman" w:cs="Times New Roman" w:eastAsia="Times New Roman" w:hAnsi="Times New Roman"/>
          <w:sz w:val="17"/>
          <w:szCs w:val="17"/>
          <w:color w:val="auto"/>
        </w:rPr>
        <w:t>Preliminary voting results will be announced at the Annual Meeting. Final voting results will be published in a current report on Form 8-K that we expect to file no later than four business days following the date of the Annual Meeting. If final voting results are not available to us in time to file a Form</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8-K on or before such date, we intend to file a Form 8-K to publish preliminary results and, within four business days after the final results are known to us, file an additional Form 8-K to publish the final results.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67" w:lineRule="exact"/>
        <w:rPr>
          <w:sz w:val="20"/>
          <w:szCs w:val="20"/>
          <w:color w:val="auto"/>
        </w:rPr>
      </w:pPr>
    </w:p>
    <w:p>
      <w:pPr>
        <w:ind w:right="180" w:firstLine="416"/>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MannKind’s proxy material for next year’s annual meeting, your proposal must be submitted in writing by December 1, 2022 to Attn: Corporate Secretary, MannKind Corporation, 1 Casper Street, Danbury, Connecticut 06810. If you wish to submit a proposal (including a director nomination) that is not to be included in MannKind’s proxy materials, you must do so not later than February 9, 2023 and not earlier than January 10, 2023. You are also advised to review the Company’s Amended and Restated Bylaws, which contain additional requirements about advance notice of stockholder proposals and director nominations.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57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4040"/>
                    </a:xfrm>
                    <a:prstGeom prst="rect">
                      <a:avLst/>
                    </a:prstGeom>
                    <a:noFill/>
                  </pic:spPr>
                </pic:pic>
              </a:graphicData>
            </a:graphic>
          </wp:anchor>
        </w:drawing>
        <w:t>Proposal 1</w:t>
      </w:r>
    </w:p>
    <w:p>
      <w:pPr>
        <w:sectPr>
          <w:pgSz w:w="11900" w:h="16838" w:orient="portrait"/>
          <w:cols w:equalWidth="0" w:num="1">
            <w:col w:w="11220"/>
          </w:cols>
          <w:pgMar w:left="320" w:top="833" w:right="35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ELECTION OF DIRECTORS</w:t>
      </w:r>
    </w:p>
    <w:p>
      <w:pPr>
        <w:spacing w:after="0" w:line="344"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Our Board currently consists of nine directors. There are nine nominees for director this year, all of whom were nominated by our Board, consisting of our incumbent directors. Each director to be elected will hold office until the next annual meeting of stockholders and until his or her successor is elected, or until the director’s earlier death, resignation or removal. All nominees listed below are currently our directors and were previously elected by our stockholders at the 2021 Annual Meeting of Stockholders. It is our policy that directors are invited and expected to attend annual meetings. All of our directors attended the 2021 Annual Meeting of Stockholders.</w:t>
      </w:r>
    </w:p>
    <w:p>
      <w:pPr>
        <w:spacing w:after="0" w:line="183"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properly cast at the Annual Meeting or by proxy. The nine nominees receiving the highest number of affirmative votes will be elected. Shares represented by executed proxies will be voted, if authority to do so is not withheld, for the election of the nine nominees named below. If any nominee becomes unavailable for election as a result of an unexpected occurrence, your shares may be voted for the election of a substitute nominee proposed by our Nominating and Corporate Governance Committee. Each person nominated for election has agreed to serve if elected. Our management has no reason to believe that any nominee will be unable to serve.</w:t>
      </w:r>
    </w:p>
    <w:p>
      <w:pPr>
        <w:spacing w:after="0" w:line="183"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auto"/>
        </w:rPr>
        <w:t>We believe that we have an accomplished slate of nominees, with diversity of thought, experience, perspective and skills beneficial to the Company. All nominees except Mr. Castagna are independent. The average tenure of our directors is approximately 8.6 years, which includes three directors that have an extensive history with the Company and four directors that have joined the Board within the last 3.5 years. We believe that a mix of service lengths is beneficial to the overall functioning of the Board.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our Board of Directors to conclude that each nominee should serve as a member of the Board.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JAMES S. SHANNON,</w:t>
            </w:r>
          </w:p>
        </w:tc>
        <w:tc>
          <w:tcPr>
            <w:tcW w:w="43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Chair of the Board of Directors</w:t>
            </w:r>
          </w:p>
        </w:tc>
        <w:tc>
          <w:tcPr>
            <w:tcW w:w="256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21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Age: 65</w:t>
            </w: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M.D., MRCP (UK)</w:t>
            </w:r>
          </w:p>
        </w:tc>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560" w:type="dxa"/>
            <w:vAlign w:val="bottom"/>
          </w:tcPr>
          <w:p>
            <w:pPr>
              <w:spacing w:after="0"/>
              <w:rPr>
                <w:sz w:val="20"/>
                <w:szCs w:val="20"/>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Director since: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Dr. Shannon’s business experience and his extensive experience in drug development, combined with his business acumen and judgment provide our Board with valuable scientific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Times New Roman" w:cs="Times New Roman" w:eastAsia="Times New Roman" w:hAnsi="Times New Roman"/>
          <w:sz w:val="18"/>
          <w:szCs w:val="18"/>
          <w:color w:val="auto"/>
        </w:rPr>
        <w:t>Dr. Shannon rejoined our board in May 2015 after previously serving as a director from February 2010 until April 2012. Dr. Shannon was appointed Chair of the Board of Directors in December 2020. From May 2012 until his retirement in April 2015, Dr. Shannon was the Chief Medical Officer of GlaxoSmithKline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groups from those of Ciba-Geigy Ltd and Sandoz. Following the merger, he was appointed Head of the Cardiovascular Strategic Team and subsequently became Global Head of Project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has served on the board of directors of ProQR Therapeutics NV since June 2016, Horizon Therapeutics plc, a publicly traded biotechnology company, since May 2017 and Kyowa Kirin, Inc. – U.S. since July 2019.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spacing w:after="0" w:line="200" w:lineRule="exact"/>
        <w:rPr>
          <w:sz w:val="20"/>
          <w:szCs w:val="20"/>
          <w:color w:val="auto"/>
        </w:rPr>
      </w:pPr>
    </w:p>
    <w:p>
      <w:pPr>
        <w:sectPr>
          <w:pgSz w:w="11900" w:h="16838" w:orient="portrait"/>
          <w:cols w:equalWidth="0" w:num="2">
            <w:col w:w="2120" w:space="380"/>
            <w:col w:w="8740"/>
          </w:cols>
          <w:pgMar w:left="320" w:top="117" w:right="3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MICHAEL E. CASTAGNA,</w:t>
            </w:r>
          </w:p>
        </w:tc>
        <w:tc>
          <w:tcPr>
            <w:tcW w:w="38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60" w:type="dxa"/>
            <w:vAlign w:val="bottom"/>
            <w:tcBorders>
              <w:top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Chief</w:t>
            </w:r>
          </w:p>
        </w:tc>
        <w:tc>
          <w:tcPr>
            <w:tcW w:w="21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Age: 45</w:t>
            </w: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PHARM.D.</w:t>
            </w: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960" w:type="dxa"/>
            <w:vAlign w:val="bottom"/>
          </w:tcPr>
          <w:p>
            <w:pPr>
              <w:spacing w:after="0"/>
              <w:rPr>
                <w:sz w:val="20"/>
                <w:szCs w:val="20"/>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Director since: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Mr. Castagna’s knowledge and extensive experience with commercial pharmaceutical companies,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Mr. Castagna has served as our Chief Executive Officer and as one of our directors since May 2017. Mr. Castagna also served as our Corporate Vice President, Chief Commercial Officer from March 2016 until May 2017. From November 2012 until he joined us, Mr. Castagna was at Amgen, Inc., where he initially served as Vice President, Global Lifecycle Management and was most recently Vice President, Global Commercial Lead for Amgen’s Biosimilar Business Unit.</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From 2010 to 2012, he was Executive Director, Immunology, at Bristol-Myers Squibb Company (“BMS”). Before BMS, Mr.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278130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2180" w:space="320"/>
            <w:col w:w="8740"/>
          </w:cols>
          <w:pgMar w:left="320" w:top="117" w:right="3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1"/>
        </w:trPr>
        <w:tc>
          <w:tcPr>
            <w:tcW w:w="2300" w:type="dxa"/>
            <w:vAlign w:val="bottom"/>
            <w:tcBorders>
              <w:top w:val="single" w:sz="8" w:color="auto"/>
            </w:tcBorders>
          </w:tcPr>
          <w:p>
            <w:pPr>
              <w:spacing w:after="0"/>
              <w:rPr>
                <w:sz w:val="19"/>
                <w:szCs w:val="19"/>
                <w:color w:val="auto"/>
              </w:rPr>
            </w:pPr>
          </w:p>
        </w:tc>
        <w:tc>
          <w:tcPr>
            <w:tcW w:w="47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214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Age: 78</w:t>
            </w:r>
          </w:p>
        </w:tc>
        <w:tc>
          <w:tcPr>
            <w:tcW w:w="0" w:type="dxa"/>
            <w:vAlign w:val="bottom"/>
          </w:tcPr>
          <w:p>
            <w:pPr>
              <w:spacing w:after="0"/>
              <w:rPr>
                <w:sz w:val="1"/>
                <w:szCs w:val="1"/>
                <w:color w:val="auto"/>
              </w:rPr>
            </w:pPr>
          </w:p>
        </w:tc>
      </w:tr>
      <w:tr>
        <w:trPr>
          <w:trHeight w:val="108"/>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RONALD J. CONSIGLIO</w:t>
            </w:r>
          </w:p>
        </w:tc>
        <w:tc>
          <w:tcPr>
            <w:tcW w:w="4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3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Member,</w:t>
            </w:r>
          </w:p>
        </w:tc>
        <w:tc>
          <w:tcPr>
            <w:tcW w:w="74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47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1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2300" w:type="dxa"/>
            <w:vAlign w:val="bottom"/>
          </w:tcPr>
          <w:p>
            <w:pPr>
              <w:spacing w:after="0"/>
              <w:rPr>
                <w:sz w:val="11"/>
                <w:szCs w:val="11"/>
                <w:color w:val="auto"/>
              </w:rPr>
            </w:pPr>
          </w:p>
        </w:tc>
        <w:tc>
          <w:tcPr>
            <w:tcW w:w="4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47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p>
      <w:pPr>
        <w:spacing w:after="0" w:line="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Board believes that Mr. Consiglio’s knowledge and understanding of accounting and finance, his experience as a board member and executive officer at financial services firms, combined with his business acumen and judgment provide our Board with valuable accounting, financial and operational expertise and leadership and qualify him to serve on our Board of Directors. Mr. Consiglio meets the requirements of an SEC designated Audit Committee Financial Expert.</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Mr. Consiglio has been one of our directors since October 2003. Since 1999, Mr. Consiglio has been the Managing Director of Synergy Trading, a 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has served as a member of the board of trustees for the Metropolitan West Funds since 2003. Mr. Consiglio is a certified public accountant and holds a bachelor’s degree in accounting from California State University at Northridge.</w:t>
      </w:r>
    </w:p>
    <w:p>
      <w:pPr>
        <w:spacing w:after="0" w:line="2140" w:lineRule="exact"/>
        <w:rPr>
          <w:sz w:val="20"/>
          <w:szCs w:val="20"/>
          <w:color w:val="auto"/>
        </w:rPr>
      </w:pPr>
    </w:p>
    <w:p>
      <w:pPr>
        <w:sectPr>
          <w:pgSz w:w="11900" w:h="16838" w:orient="portrait"/>
          <w:cols w:equalWidth="0" w:num="2">
            <w:col w:w="2260" w:space="280"/>
            <w:col w:w="8700"/>
          </w:cols>
          <w:pgMar w:left="320" w:top="120"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MICHAEL A. FRIEDMAN,</w:t>
            </w:r>
          </w:p>
        </w:tc>
        <w:tc>
          <w:tcPr>
            <w:tcW w:w="20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38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214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Age: 78</w:t>
            </w:r>
          </w:p>
        </w:tc>
        <w:tc>
          <w:tcPr>
            <w:tcW w:w="0" w:type="dxa"/>
            <w:vAlign w:val="bottom"/>
          </w:tcPr>
          <w:p>
            <w:pPr>
              <w:spacing w:after="0"/>
              <w:rPr>
                <w:sz w:val="1"/>
                <w:szCs w:val="1"/>
                <w:color w:val="auto"/>
              </w:rPr>
            </w:pPr>
          </w:p>
        </w:tc>
      </w:tr>
      <w:tr>
        <w:trPr>
          <w:trHeight w:val="108"/>
        </w:trPr>
        <w:tc>
          <w:tcPr>
            <w:tcW w:w="2360" w:type="dxa"/>
            <w:vAlign w:val="bottom"/>
            <w:vMerge w:val="continue"/>
          </w:tcPr>
          <w:p>
            <w:pPr>
              <w:spacing w:after="0"/>
              <w:rPr>
                <w:sz w:val="9"/>
                <w:szCs w:val="9"/>
                <w:color w:val="auto"/>
              </w:rPr>
            </w:pPr>
          </w:p>
        </w:tc>
        <w:tc>
          <w:tcPr>
            <w:tcW w:w="5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w:t>
            </w:r>
          </w:p>
        </w:tc>
        <w:tc>
          <w:tcPr>
            <w:tcW w:w="80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M.D.</w:t>
            </w:r>
          </w:p>
        </w:tc>
        <w:tc>
          <w:tcPr>
            <w:tcW w:w="59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21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2360" w:type="dxa"/>
            <w:vAlign w:val="bottom"/>
            <w:vMerge w:val="continue"/>
          </w:tcPr>
          <w:p>
            <w:pPr>
              <w:spacing w:after="0"/>
              <w:rPr>
                <w:sz w:val="11"/>
                <w:szCs w:val="11"/>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88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Member, Compensation Committee</w:t>
            </w:r>
          </w:p>
        </w:tc>
        <w:tc>
          <w:tcPr>
            <w:tcW w:w="80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38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p>
      <w:pPr>
        <w:spacing w:after="0" w:line="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Board believes Dr. Friedman’s business experience, including his experience as an executive officer at biopharmaceutical companies and a leading clinical and research center specializing in cancer and diabetes, and his service at the Food and Drug Administration, combined with his business acumen and judgment provide our Board with valuable scientific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Dr. Friedman has been one of our directors since December 2003. In 2014, Dr. Friedman completed a decade of service as the President and 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w:t>
      </w:r>
    </w:p>
    <w:p>
      <w:pPr>
        <w:spacing w:after="0" w:line="1928" w:lineRule="exact"/>
        <w:rPr>
          <w:sz w:val="20"/>
          <w:szCs w:val="20"/>
          <w:color w:val="auto"/>
        </w:rPr>
      </w:pPr>
    </w:p>
    <w:p>
      <w:pPr>
        <w:sectPr>
          <w:pgSz w:w="11900" w:h="16838" w:orient="portrait"/>
          <w:cols w:equalWidth="0" w:num="2">
            <w:col w:w="2240" w:space="300"/>
            <w:col w:w="8700"/>
          </w:cols>
          <w:pgMar w:left="320" w:top="120" w:right="339" w:bottom="1440" w:gutter="0" w:footer="0" w:header="0"/>
          <w:type w:val="continuous"/>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JENNIFER GRANCIO</w:t>
            </w:r>
          </w:p>
        </w:tc>
        <w:tc>
          <w:tcPr>
            <w:tcW w:w="33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3560" w:type="dxa"/>
            <w:vAlign w:val="bottom"/>
            <w:tcBorders>
              <w:top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Member, Audit</w:t>
            </w:r>
          </w:p>
        </w:tc>
        <w:tc>
          <w:tcPr>
            <w:tcW w:w="21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Age: 50</w:t>
            </w:r>
          </w:p>
        </w:tc>
        <w:tc>
          <w:tcPr>
            <w:tcW w:w="0" w:type="dxa"/>
            <w:vAlign w:val="bottom"/>
          </w:tcPr>
          <w:p>
            <w:pPr>
              <w:spacing w:after="0"/>
              <w:rPr>
                <w:sz w:val="1"/>
                <w:szCs w:val="1"/>
                <w:color w:val="auto"/>
              </w:rPr>
            </w:pPr>
          </w:p>
        </w:tc>
      </w:tr>
      <w:tr>
        <w:trPr>
          <w:trHeight w:val="130"/>
        </w:trPr>
        <w:tc>
          <w:tcPr>
            <w:tcW w:w="2180" w:type="dxa"/>
            <w:vAlign w:val="bottom"/>
            <w:vMerge w:val="continue"/>
          </w:tcPr>
          <w:p>
            <w:pPr>
              <w:spacing w:after="0"/>
              <w:rPr>
                <w:sz w:val="11"/>
                <w:szCs w:val="11"/>
                <w:color w:val="auto"/>
              </w:rPr>
            </w:pPr>
          </w:p>
        </w:tc>
        <w:tc>
          <w:tcPr>
            <w:tcW w:w="3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3560" w:type="dxa"/>
            <w:vAlign w:val="bottom"/>
          </w:tcPr>
          <w:p>
            <w:pPr>
              <w:spacing w:after="0"/>
              <w:rPr>
                <w:sz w:val="11"/>
                <w:szCs w:val="11"/>
                <w:color w:val="auto"/>
              </w:rPr>
            </w:pPr>
          </w:p>
        </w:tc>
        <w:tc>
          <w:tcPr>
            <w:tcW w:w="21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356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p>
      <w:pPr>
        <w:spacing w:after="0" w:line="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Board believes that Ms. Grancio’s business acumen and judgment including her service on other public company boards,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Ms. Grancio has been one of our directors since March 2020. Since October 2020, Ms. Grancio served as the Chief Executive Officer of Engine No. 1, an investment firm. From November 2018 until October 2020, she consulted through Grancio Capital, where she worked with CEOs to accelerate high-growth company success. From 1999 to 2018, she served as a founder and executive with BlackRock’s iShares business and other distribution businesses within BlackRock. Prior to BlackRock, she was a senior associate with PricewaterhouseCoopers, a management consulting firm. Ms. Grancio serves as a board member for Ethic Inc. Ms. Grancio earned a bachelor’s degree in economics and international relations from Stanford University, and an MBA degree in strategy and finance from Columbia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415925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2120" w:space="420"/>
            <w:col w:w="8700"/>
          </w:cols>
          <w:pgMar w:left="320" w:top="120" w:right="3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1"/>
        </w:trPr>
        <w:tc>
          <w:tcPr>
            <w:tcW w:w="22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ANTHONY HOOPER</w:t>
            </w:r>
          </w:p>
        </w:tc>
        <w:tc>
          <w:tcPr>
            <w:tcW w:w="46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320" w:type="dxa"/>
            <w:vAlign w:val="bottom"/>
            <w:tcBorders>
              <w:top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Age: 67</w:t>
            </w: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46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432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4680" w:type="dxa"/>
            <w:vAlign w:val="bottom"/>
            <w:vMerge w:val="continue"/>
          </w:tcPr>
          <w:p>
            <w:pPr>
              <w:spacing w:after="0"/>
              <w:rPr>
                <w:sz w:val="9"/>
                <w:szCs w:val="9"/>
                <w:color w:val="auto"/>
              </w:rPr>
            </w:pP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p>
      <w:pPr>
        <w:spacing w:after="0" w:line="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The Board believes that Mr. Hooper’s business experience, his extensive experience in drug commercialization and his service on other public company boards,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Mr. Hooper has been one of our directors since January 2020. He is also a director of BeiGene, Ltd., a publicly traded biotechnology company. Mr. Hooper served as executive vice president of Global Commercial Operations for Amgen Inc. from Oct 2011 until August 2018. Prior to joining Amgen, Mr. Hooper spent more than 15 years at Bristol-Myers Squibb.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w:t>
      </w:r>
    </w:p>
    <w:p>
      <w:pPr>
        <w:spacing w:after="0" w:line="1077" w:lineRule="exact"/>
        <w:rPr>
          <w:sz w:val="20"/>
          <w:szCs w:val="20"/>
          <w:color w:val="auto"/>
        </w:rPr>
      </w:pPr>
    </w:p>
    <w:p>
      <w:pPr>
        <w:sectPr>
          <w:pgSz w:w="11900" w:h="16838" w:orient="portrait"/>
          <w:cols w:equalWidth="0" w:num="2">
            <w:col w:w="2360" w:space="380"/>
            <w:col w:w="8500"/>
          </w:cols>
          <w:pgMar w:left="320" w:top="120" w:right="339" w:bottom="1440" w:gutter="0" w:footer="0" w:header="0"/>
          <w:type w:val="continuous"/>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SABRINA KAY</w:t>
            </w:r>
          </w:p>
        </w:tc>
        <w:tc>
          <w:tcPr>
            <w:tcW w:w="49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3320" w:type="dxa"/>
            <w:vAlign w:val="bottom"/>
            <w:tcBorders>
              <w:top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Age: 59</w:t>
            </w:r>
          </w:p>
        </w:tc>
        <w:tc>
          <w:tcPr>
            <w:tcW w:w="10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0" w:type="dxa"/>
            <w:vAlign w:val="bottom"/>
          </w:tcPr>
          <w:p>
            <w:pPr>
              <w:spacing w:after="0"/>
              <w:rPr>
                <w:sz w:val="1"/>
                <w:szCs w:val="1"/>
                <w:color w:val="auto"/>
              </w:rPr>
            </w:pPr>
          </w:p>
        </w:tc>
      </w:tr>
      <w:tr>
        <w:trPr>
          <w:trHeight w:val="130"/>
        </w:trPr>
        <w:tc>
          <w:tcPr>
            <w:tcW w:w="2000" w:type="dxa"/>
            <w:vAlign w:val="bottom"/>
            <w:vMerge w:val="continue"/>
          </w:tcPr>
          <w:p>
            <w:pPr>
              <w:spacing w:after="0"/>
              <w:rPr>
                <w:sz w:val="11"/>
                <w:szCs w:val="11"/>
                <w:color w:val="auto"/>
              </w:rPr>
            </w:pPr>
          </w:p>
        </w:tc>
        <w:tc>
          <w:tcPr>
            <w:tcW w:w="49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332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since: 2020</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4920" w:type="dxa"/>
            <w:vAlign w:val="bottom"/>
            <w:vMerge w:val="continue"/>
          </w:tcPr>
          <w:p>
            <w:pPr>
              <w:spacing w:after="0"/>
              <w:rPr>
                <w:sz w:val="9"/>
                <w:szCs w:val="9"/>
                <w:color w:val="auto"/>
              </w:rPr>
            </w:pPr>
          </w:p>
        </w:tc>
        <w:tc>
          <w:tcPr>
            <w:tcW w:w="33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p>
      <w:pPr>
        <w:spacing w:after="0" w:line="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Board believes that Dr. Kay’s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160"/>
        <w:spacing w:after="0" w:line="254" w:lineRule="auto"/>
        <w:rPr>
          <w:sz w:val="20"/>
          <w:szCs w:val="20"/>
          <w:color w:val="auto"/>
        </w:rPr>
      </w:pPr>
      <w:r>
        <w:rPr>
          <w:rFonts w:ascii="Times New Roman" w:cs="Times New Roman" w:eastAsia="Times New Roman" w:hAnsi="Times New Roman"/>
          <w:sz w:val="18"/>
          <w:szCs w:val="18"/>
          <w:color w:val="auto"/>
        </w:rPr>
        <w:t>Dr. Kay has been a member of our Board of Directors since December 2020. Currently, Dr. Kay serves as Founder and CEO of Fremont Private Investments, where she has led the operations and financial exits of several companies including The Art Institute of Hollywood (sold to Education Management Corp.), Premier Business Bank (sold to First Foundation Inc.), Fashion Umbrella, Fremont College, and Dale Carnegie of Los Angeles.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Business School and After-School All-Stars Los Angeles, which she chairs. Dr. Kay received Ed.D. and M.Sc. degrees in education from the University of Pennsylvania. She also holds an MBA degree from the University of Southern California.</w:t>
      </w:r>
    </w:p>
    <w:p>
      <w:pPr>
        <w:spacing w:after="0" w:line="200" w:lineRule="exact"/>
        <w:rPr>
          <w:sz w:val="20"/>
          <w:szCs w:val="20"/>
          <w:color w:val="auto"/>
        </w:rPr>
      </w:pPr>
    </w:p>
    <w:p>
      <w:pPr>
        <w:sectPr>
          <w:pgSz w:w="11900" w:h="16838" w:orient="portrait"/>
          <w:cols w:equalWidth="0" w:num="2">
            <w:col w:w="2420" w:space="320"/>
            <w:col w:w="8500"/>
          </w:cols>
          <w:pgMar w:left="320" w:top="120"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1960" w:type="dxa"/>
            <w:vAlign w:val="bottom"/>
            <w:tcBorders>
              <w:top w:val="single" w:sz="8" w:color="auto"/>
            </w:tcBorders>
          </w:tcPr>
          <w:p>
            <w:pPr>
              <w:spacing w:after="0"/>
              <w:rPr>
                <w:sz w:val="19"/>
                <w:szCs w:val="19"/>
                <w:color w:val="auto"/>
              </w:rPr>
            </w:pPr>
          </w:p>
        </w:tc>
        <w:tc>
          <w:tcPr>
            <w:tcW w:w="62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000" w:type="dxa"/>
            <w:vAlign w:val="bottom"/>
            <w:tcBorders>
              <w:top w:val="single" w:sz="8" w:color="auto"/>
            </w:tcBorders>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Age: 84</w:t>
            </w:r>
          </w:p>
        </w:tc>
        <w:tc>
          <w:tcPr>
            <w:tcW w:w="100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0" w:type="dxa"/>
            <w:vAlign w:val="bottom"/>
          </w:tcPr>
          <w:p>
            <w:pPr>
              <w:spacing w:after="0"/>
              <w:rPr>
                <w:sz w:val="1"/>
                <w:szCs w:val="1"/>
                <w:color w:val="auto"/>
              </w:rPr>
            </w:pPr>
          </w:p>
        </w:tc>
      </w:tr>
      <w:tr>
        <w:trPr>
          <w:trHeight w:val="108"/>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KENT KRESA</w:t>
            </w:r>
          </w:p>
        </w:tc>
        <w:tc>
          <w:tcPr>
            <w:tcW w:w="62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Chair, Compensation Committee</w:t>
            </w:r>
          </w:p>
        </w:tc>
        <w:tc>
          <w:tcPr>
            <w:tcW w:w="2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6280" w:type="dxa"/>
            <w:vAlign w:val="bottom"/>
            <w:vMerge w:val="continue"/>
          </w:tcPr>
          <w:p>
            <w:pPr>
              <w:spacing w:after="0"/>
              <w:rPr>
                <w:sz w:val="9"/>
                <w:szCs w:val="9"/>
                <w:color w:val="auto"/>
              </w:rPr>
            </w:pPr>
          </w:p>
        </w:tc>
        <w:tc>
          <w:tcPr>
            <w:tcW w:w="2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since: 2004</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62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Member, Nominating and Corporate Governance Committee</w:t>
            </w:r>
          </w:p>
        </w:tc>
        <w:tc>
          <w:tcPr>
            <w:tcW w:w="2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628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p>
      <w:pPr>
        <w:spacing w:after="0" w:line="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The Board believes that Mr. Kresa’s business experience, including his experience as a director and executive officer of Northrop Grumman, and his service on other public company boards,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100"/>
        <w:spacing w:after="0" w:line="253" w:lineRule="auto"/>
        <w:rPr>
          <w:sz w:val="20"/>
          <w:szCs w:val="20"/>
          <w:color w:val="auto"/>
        </w:rPr>
      </w:pPr>
      <w:r>
        <w:rPr>
          <w:rFonts w:ascii="Times New Roman" w:cs="Times New Roman" w:eastAsia="Times New Roman" w:hAnsi="Times New Roman"/>
          <w:sz w:val="18"/>
          <w:szCs w:val="18"/>
          <w:color w:val="auto"/>
        </w:rPr>
        <w:t>Mr. Kresa has been a member of our Board of Directors since June 2004 and served as Chair of the Board from February 2017 until December 2020. From November 2011 until his appointment as our Chair, Mr. Kresa served on our Board of Directors as our lead independent director. Mr. Kresa is Chair Emeritus of Northrop Grumman Corporation and from September 1990 until October 2003, he was also its Chair. He also served as Chief Executive Officer of Northrop Grumman Corporation from January 1990 until March 2003 and as its President from 1987 until September 2001. From 2003 to August 2010, Mr. Kresa served as a director of General Motors Company (or its predecessor). Mr. Kresa has also served on the boards of Fluor Corporation and Avery Dennison Corporation. Mr. Kresa has been a member of the Caltech Board of Trustees since 1994 and also serves on the boards of several non-profit organizations. As a graduate of Massachusetts Institute of Technology, he received a B.S. degree in 1959, an M.S. degree in 1961, and an E.A.A. degree in 1966, all in aeronautics and astronautics.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417830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2360" w:space="380"/>
            <w:col w:w="8500"/>
          </w:cols>
          <w:pgMar w:left="320" w:top="120" w:right="339" w:bottom="1440" w:gutter="0" w:footer="0" w:header="0"/>
          <w:type w:val="continuous"/>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24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CHRISTINE MUNDKUR</w:t>
            </w:r>
          </w:p>
        </w:tc>
        <w:tc>
          <w:tcPr>
            <w:tcW w:w="46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120" w:type="dxa"/>
            <w:vAlign w:val="bottom"/>
            <w:tcBorders>
              <w:top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Age: 53</w:t>
            </w:r>
          </w:p>
        </w:tc>
        <w:tc>
          <w:tcPr>
            <w:tcW w:w="0" w:type="dxa"/>
            <w:vAlign w:val="bottom"/>
          </w:tcPr>
          <w:p>
            <w:pPr>
              <w:spacing w:after="0"/>
              <w:rPr>
                <w:sz w:val="1"/>
                <w:szCs w:val="1"/>
                <w:color w:val="auto"/>
              </w:rPr>
            </w:pPr>
          </w:p>
        </w:tc>
      </w:tr>
      <w:tr>
        <w:trPr>
          <w:trHeight w:val="130"/>
        </w:trPr>
        <w:tc>
          <w:tcPr>
            <w:tcW w:w="2480" w:type="dxa"/>
            <w:vAlign w:val="bottom"/>
            <w:vMerge w:val="continue"/>
          </w:tcPr>
          <w:p>
            <w:pPr>
              <w:spacing w:after="0"/>
              <w:rPr>
                <w:sz w:val="11"/>
                <w:szCs w:val="11"/>
                <w:color w:val="auto"/>
              </w:rPr>
            </w:pPr>
          </w:p>
        </w:tc>
        <w:tc>
          <w:tcPr>
            <w:tcW w:w="46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412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rPr>
              <w:t>Director since: 2018</w:t>
            </w: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4640" w:type="dxa"/>
            <w:vAlign w:val="bottom"/>
            <w:vMerge w:val="continue"/>
          </w:tcPr>
          <w:p>
            <w:pPr>
              <w:spacing w:after="0"/>
              <w:rPr>
                <w:sz w:val="9"/>
                <w:szCs w:val="9"/>
                <w:color w:val="auto"/>
              </w:rPr>
            </w:pPr>
          </w:p>
        </w:tc>
        <w:tc>
          <w:tcPr>
            <w:tcW w:w="4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p>
      <w:pPr>
        <w:spacing w:after="0" w:line="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Ms. Mundkur’s business experience, including her experience as chair of the board and chief executive officer at a pharmaceutical company developing inhaled drugs, combined with her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Ms. Mundkur has been one of our directors since November 2018. Ms. Mundkur most recently served as Chief Executive Officer and non-voting Chair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has served on the board of directors of Lupin Limited since April 2019. Ms. Mundkur holds a J.D. degree from the St. Louis University School of Law and received her B.S. degree in chemistry from St. Louis University.</w:t>
      </w:r>
    </w:p>
    <w:p>
      <w:pPr>
        <w:spacing w:after="0" w:line="200" w:lineRule="exact"/>
        <w:rPr>
          <w:sz w:val="20"/>
          <w:szCs w:val="20"/>
          <w:color w:val="auto"/>
        </w:rPr>
      </w:pPr>
    </w:p>
    <w:p>
      <w:pPr>
        <w:sectPr>
          <w:pgSz w:w="11900" w:h="16838" w:orient="portrait"/>
          <w:cols w:equalWidth="0" w:num="2">
            <w:col w:w="2620" w:space="340"/>
            <w:col w:w="8280"/>
          </w:cols>
          <w:pgMar w:left="320" w:top="120" w:right="339"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21" w:lineRule="exact"/>
        <w:rPr>
          <w:sz w:val="20"/>
          <w:szCs w:val="20"/>
          <w:color w:val="auto"/>
        </w:rPr>
      </w:pPr>
    </w:p>
    <w:p>
      <w:pPr>
        <w:ind w:right="560" w:firstLine="416"/>
        <w:spacing w:after="0" w:line="282" w:lineRule="auto"/>
        <w:rPr>
          <w:sz w:val="20"/>
          <w:szCs w:val="20"/>
          <w:color w:val="auto"/>
        </w:rPr>
      </w:pPr>
      <w:r>
        <w:rPr>
          <w:rFonts w:ascii="Times New Roman" w:cs="Times New Roman" w:eastAsia="Times New Roman" w:hAnsi="Times New Roman"/>
          <w:sz w:val="18"/>
          <w:szCs w:val="18"/>
          <w:color w:val="auto"/>
        </w:rPr>
        <w:t>The nine nominees receiving the most “For” votes (among votes properly cast at the meeting or by proxy) will be elected. Only votes “For” or “Withhold” will affect the outcome. Only the nine nominees named herein have been properly nominated for election as directors.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THE ELECTION OF ALL DIRECTOR NOMINEES NAMED ABOVE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CORPORATE GOVERNANCE PRINCIPLES AND BOARD AND COMMITTEE MATTERS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154305</wp:posOffset>
            </wp:positionV>
            <wp:extent cx="6172200" cy="2623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0" cy="2623185"/>
                    </a:xfrm>
                    <a:prstGeom prst="rect">
                      <a:avLst/>
                    </a:prstGeom>
                    <a:noFill/>
                  </pic:spPr>
                </pic:pic>
              </a:graphicData>
            </a:graphic>
          </wp:anchor>
        </w:drawing>
      </w: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Diversity Matrix (As of March 30, 2022)</w:t>
      </w:r>
    </w:p>
    <w:p>
      <w:pPr>
        <w:spacing w:after="0" w:line="31"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90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tcPr>
          <w:p>
            <w:pPr>
              <w:jc w:val="center"/>
              <w:ind w:right="81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r>
      <w:tr>
        <w:trPr>
          <w:trHeight w:val="187"/>
        </w:trPr>
        <w:tc>
          <w:tcPr>
            <w:tcW w:w="20" w:type="dxa"/>
            <w:vAlign w:val="bottom"/>
          </w:tcPr>
          <w:p>
            <w:pPr>
              <w:spacing w:after="0"/>
              <w:rPr>
                <w:sz w:val="16"/>
                <w:szCs w:val="16"/>
                <w:color w:val="auto"/>
              </w:rPr>
            </w:pPr>
          </w:p>
        </w:tc>
        <w:tc>
          <w:tcPr>
            <w:tcW w:w="2560" w:type="dxa"/>
            <w:vAlign w:val="bottom"/>
            <w:shd w:val="clear" w:color="auto" w:fill="D9D9D9"/>
          </w:tcPr>
          <w:p>
            <w:pPr>
              <w:spacing w:after="0"/>
              <w:rPr>
                <w:sz w:val="16"/>
                <w:szCs w:val="16"/>
                <w:color w:val="auto"/>
              </w:rPr>
            </w:pPr>
          </w:p>
        </w:tc>
        <w:tc>
          <w:tcPr>
            <w:tcW w:w="2340" w:type="dxa"/>
            <w:vAlign w:val="bottom"/>
            <w:tcBorders>
              <w:right w:val="single" w:sz="8" w:color="auto"/>
            </w:tcBorders>
            <w:shd w:val="clear" w:color="auto" w:fill="D9D9D9"/>
          </w:tcPr>
          <w:p>
            <w:pPr>
              <w:spacing w:after="0"/>
              <w:rPr>
                <w:sz w:val="16"/>
                <w:szCs w:val="16"/>
                <w:color w:val="auto"/>
              </w:rPr>
            </w:pPr>
          </w:p>
        </w:tc>
        <w:tc>
          <w:tcPr>
            <w:tcW w:w="1120" w:type="dxa"/>
            <w:vAlign w:val="bottom"/>
            <w:tcBorders>
              <w:right w:val="single" w:sz="8" w:color="auto"/>
            </w:tcBorders>
            <w:shd w:val="clear" w:color="auto" w:fill="D9D9D9"/>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Female</w:t>
            </w:r>
          </w:p>
        </w:tc>
        <w:tc>
          <w:tcPr>
            <w:tcW w:w="980" w:type="dxa"/>
            <w:vAlign w:val="bottom"/>
            <w:shd w:val="clear" w:color="auto" w:fill="D9D9D9"/>
          </w:tcPr>
          <w:p>
            <w:pPr>
              <w:ind w:left="400"/>
              <w:spacing w:after="0" w:line="188" w:lineRule="exact"/>
              <w:rPr>
                <w:sz w:val="20"/>
                <w:szCs w:val="20"/>
                <w:color w:val="auto"/>
              </w:rPr>
            </w:pPr>
            <w:r>
              <w:rPr>
                <w:rFonts w:ascii="Times New Roman" w:cs="Times New Roman" w:eastAsia="Times New Roman" w:hAnsi="Times New Roman"/>
                <w:sz w:val="18"/>
                <w:szCs w:val="18"/>
                <w:b w:val="1"/>
                <w:bCs w:val="1"/>
                <w:color w:val="auto"/>
              </w:rPr>
              <w:t>Male</w:t>
            </w:r>
          </w:p>
        </w:tc>
        <w:tc>
          <w:tcPr>
            <w:tcW w:w="240" w:type="dxa"/>
            <w:vAlign w:val="bottom"/>
            <w:tcBorders>
              <w:right w:val="single" w:sz="8" w:color="auto"/>
            </w:tcBorders>
            <w:shd w:val="clear" w:color="auto" w:fill="D9D9D9"/>
          </w:tcPr>
          <w:p>
            <w:pPr>
              <w:spacing w:after="0"/>
              <w:rPr>
                <w:sz w:val="16"/>
                <w:szCs w:val="16"/>
                <w:color w:val="auto"/>
              </w:rPr>
            </w:pPr>
          </w:p>
        </w:tc>
        <w:tc>
          <w:tcPr>
            <w:tcW w:w="1240" w:type="dxa"/>
            <w:vAlign w:val="bottom"/>
            <w:tcBorders>
              <w:righ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220" w:type="dxa"/>
            <w:vAlign w:val="bottom"/>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Did Not</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D9D9D9"/>
          </w:tcPr>
          <w:p>
            <w:pPr>
              <w:spacing w:after="0"/>
              <w:rPr>
                <w:sz w:val="18"/>
                <w:szCs w:val="18"/>
                <w:color w:val="auto"/>
              </w:rPr>
            </w:pPr>
          </w:p>
        </w:tc>
        <w:tc>
          <w:tcPr>
            <w:tcW w:w="234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240" w:type="dxa"/>
            <w:vAlign w:val="bottom"/>
            <w:tcBorders>
              <w:right w:val="single" w:sz="8" w:color="auto"/>
            </w:tcBorders>
            <w:shd w:val="clear" w:color="auto" w:fill="D9D9D9"/>
          </w:tcPr>
          <w:p>
            <w:pPr>
              <w:spacing w:after="0"/>
              <w:rPr>
                <w:sz w:val="18"/>
                <w:szCs w:val="18"/>
                <w:color w:val="auto"/>
              </w:rPr>
            </w:pPr>
          </w:p>
        </w:tc>
        <w:tc>
          <w:tcPr>
            <w:tcW w:w="12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2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560" w:type="dxa"/>
            <w:vAlign w:val="bottom"/>
            <w:tcBorders>
              <w:bottom w:val="single" w:sz="8" w:color="auto"/>
            </w:tcBorders>
            <w:shd w:val="clear" w:color="auto" w:fill="D9D9D9"/>
          </w:tcPr>
          <w:p>
            <w:pPr>
              <w:spacing w:after="0"/>
              <w:rPr>
                <w:sz w:val="20"/>
                <w:szCs w:val="20"/>
                <w:color w:val="auto"/>
              </w:rPr>
            </w:pPr>
          </w:p>
        </w:tc>
        <w:tc>
          <w:tcPr>
            <w:tcW w:w="234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980" w:type="dxa"/>
            <w:vAlign w:val="bottom"/>
            <w:tcBorders>
              <w:bottom w:val="single" w:sz="8" w:color="auto"/>
            </w:tcBorders>
            <w:shd w:val="clear" w:color="auto" w:fill="D9D9D9"/>
          </w:tcPr>
          <w:p>
            <w:pPr>
              <w:spacing w:after="0"/>
              <w:rPr>
                <w:sz w:val="20"/>
                <w:szCs w:val="20"/>
                <w:color w:val="auto"/>
              </w:rPr>
            </w:pPr>
          </w:p>
        </w:tc>
        <w:tc>
          <w:tcPr>
            <w:tcW w:w="240" w:type="dxa"/>
            <w:vAlign w:val="bottom"/>
            <w:tcBorders>
              <w:bottom w:val="single" w:sz="8" w:color="auto"/>
              <w:right w:val="single" w:sz="8" w:color="auto"/>
            </w:tcBorders>
            <w:shd w:val="clear" w:color="auto" w:fill="D9D9D9"/>
          </w:tcPr>
          <w:p>
            <w:pPr>
              <w:spacing w:after="0"/>
              <w:rPr>
                <w:sz w:val="20"/>
                <w:szCs w:val="20"/>
                <w:color w:val="auto"/>
              </w:rPr>
            </w:pPr>
          </w:p>
        </w:tc>
        <w:tc>
          <w:tcPr>
            <w:tcW w:w="1240" w:type="dxa"/>
            <w:vAlign w:val="bottom"/>
            <w:tcBorders>
              <w:bottom w:val="single" w:sz="8" w:color="auto"/>
              <w:right w:val="single" w:sz="8" w:color="auto"/>
            </w:tcBorders>
            <w:shd w:val="clear" w:color="auto" w:fill="D9D9D9"/>
          </w:tcPr>
          <w:p>
            <w:pPr>
              <w:spacing w:after="0"/>
              <w:rPr>
                <w:sz w:val="20"/>
                <w:szCs w:val="20"/>
                <w:color w:val="auto"/>
              </w:rPr>
            </w:pPr>
          </w:p>
        </w:tc>
        <w:tc>
          <w:tcPr>
            <w:tcW w:w="12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20" w:type="dxa"/>
            <w:vAlign w:val="bottom"/>
            <w:tcBorders>
              <w:bottom w:val="single" w:sz="8" w:color="auto"/>
            </w:tcBorders>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auto"/>
              <w:right w:val="single" w:sz="8" w:color="auto"/>
            </w:tcBorders>
            <w:gridSpan w:val="2"/>
            <w:shd w:val="clear" w:color="auto" w:fill="D9D9D9"/>
          </w:tcPr>
          <w:p>
            <w:pPr>
              <w:ind w:left="2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auto"/>
              <w:right w:val="single" w:sz="8" w:color="auto"/>
            </w:tcBorders>
            <w:shd w:val="clear" w:color="auto" w:fill="D9D9D9"/>
          </w:tcPr>
          <w:p>
            <w:pPr>
              <w:spacing w:after="0"/>
              <w:rPr>
                <w:sz w:val="21"/>
                <w:szCs w:val="21"/>
                <w:color w:val="auto"/>
              </w:rPr>
            </w:pPr>
          </w:p>
        </w:tc>
        <w:tc>
          <w:tcPr>
            <w:tcW w:w="980" w:type="dxa"/>
            <w:vAlign w:val="bottom"/>
            <w:tcBorders>
              <w:bottom w:val="single" w:sz="8" w:color="auto"/>
            </w:tcBorders>
            <w:shd w:val="clear" w:color="auto" w:fill="D9D9D9"/>
          </w:tcPr>
          <w:p>
            <w:pPr>
              <w:spacing w:after="0"/>
              <w:rPr>
                <w:sz w:val="21"/>
                <w:szCs w:val="21"/>
                <w:color w:val="auto"/>
              </w:rPr>
            </w:pPr>
          </w:p>
        </w:tc>
        <w:tc>
          <w:tcPr>
            <w:tcW w:w="240" w:type="dxa"/>
            <w:vAlign w:val="bottom"/>
            <w:tcBorders>
              <w:bottom w:val="single" w:sz="8" w:color="auto"/>
              <w:right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1220" w:type="dxa"/>
            <w:vAlign w:val="bottom"/>
            <w:tcBorders>
              <w:bottom w:val="single" w:sz="8" w:color="auto"/>
            </w:tcBorders>
            <w:shd w:val="clear" w:color="auto" w:fill="D9D9D9"/>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auto"/>
              <w:right w:val="single" w:sz="8" w:color="auto"/>
            </w:tcBorders>
            <w:gridSpan w:val="2"/>
            <w:shd w:val="clear" w:color="auto" w:fill="D9D9D9"/>
          </w:tcPr>
          <w:p>
            <w:pPr>
              <w:ind w:left="2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auto"/>
              <w:right w:val="single" w:sz="8" w:color="auto"/>
            </w:tcBorders>
            <w:shd w:val="clear" w:color="auto" w:fill="D9D9D9"/>
          </w:tcPr>
          <w:p>
            <w:pPr>
              <w:spacing w:after="0"/>
              <w:rPr>
                <w:sz w:val="21"/>
                <w:szCs w:val="21"/>
                <w:color w:val="auto"/>
              </w:rPr>
            </w:pPr>
          </w:p>
        </w:tc>
        <w:tc>
          <w:tcPr>
            <w:tcW w:w="980" w:type="dxa"/>
            <w:vAlign w:val="bottom"/>
            <w:tcBorders>
              <w:bottom w:val="single" w:sz="8" w:color="auto"/>
            </w:tcBorders>
            <w:shd w:val="clear" w:color="auto" w:fill="D9D9D9"/>
          </w:tcPr>
          <w:p>
            <w:pPr>
              <w:spacing w:after="0"/>
              <w:rPr>
                <w:sz w:val="21"/>
                <w:szCs w:val="21"/>
                <w:color w:val="auto"/>
              </w:rPr>
            </w:pPr>
          </w:p>
        </w:tc>
        <w:tc>
          <w:tcPr>
            <w:tcW w:w="240" w:type="dxa"/>
            <w:vAlign w:val="bottom"/>
            <w:tcBorders>
              <w:bottom w:val="single" w:sz="8" w:color="auto"/>
              <w:right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1220" w:type="dxa"/>
            <w:vAlign w:val="bottom"/>
            <w:tcBorders>
              <w:bottom w:val="single" w:sz="8" w:color="auto"/>
            </w:tcBorders>
            <w:shd w:val="clear" w:color="auto" w:fill="D9D9D9"/>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LGBTQ+</w:t>
            </w:r>
          </w:p>
        </w:tc>
        <w:tc>
          <w:tcPr>
            <w:tcW w:w="1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81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81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Our Board of Directors consults with the Company’s counsel to ensure that the Board’s determinations are consistent with all relevant securities and other laws and regulations regarding the definition of “independent,” including those set forth in pertinent listing standards of Nasdaq, as in effect time to time.</w:t>
      </w:r>
    </w:p>
    <w:p>
      <w:pPr>
        <w:spacing w:after="0" w:line="180" w:lineRule="exact"/>
        <w:rPr>
          <w:sz w:val="20"/>
          <w:szCs w:val="20"/>
          <w:color w:val="auto"/>
        </w:rPr>
      </w:pPr>
    </w:p>
    <w:p>
      <w:pPr>
        <w:ind w:right="380" w:firstLine="416"/>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auditors, the Board of Directors affirmatively has determined that all of the Company’s directors, other than Mr. Castagna, are independent within the meaning of the applicable Nasdaq listing standards. Mr. Castagna was determined not to be independent under applicable Nasdaq listing standards due to his position as an executive officer of our company. In making this determination, the Board found that none of the directors has a material or other disqualifying relationship with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its Committees</w:t>
      </w:r>
    </w:p>
    <w:p>
      <w:pPr>
        <w:spacing w:after="0" w:line="121"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 xml:space="preserve">We are committed to maintaining the highest standards of business conduct and ethics. Our Board of Directors has adopted a Code of Business Conduct and Ethics and adheres to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charters for various Board committees set forth the practices the Board will follow with respect to board composition and selection, board meetings and involvement of senior management, Chief Executive Officer performance evaluation and succession planning, and board committees and compensation. Our Board of Directors adopted these measures to, among other things, reflect changes to the Nasdaq listing standards and SEC rules adopted to implement provisions of the Sarbanes-Oxley Act of 2002, as amended. Our Code of Business Conduct and Ethics, as well as the charters for each committee of the Board, may be viewed on our website at </w:t>
      </w:r>
      <w:r>
        <w:rPr>
          <w:rFonts w:ascii="Times New Roman" w:cs="Times New Roman" w:eastAsia="Times New Roman" w:hAnsi="Times New Roman"/>
          <w:sz w:val="18"/>
          <w:szCs w:val="18"/>
          <w:i w:val="1"/>
          <w:iCs w:val="1"/>
          <w:color w:val="auto"/>
        </w:rPr>
        <w:t>mannkindcorp.com/corporate-governance/.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Our Board of Directors is chaired by Dr. Shannon. As a general policy, our Board of Directors believes that separation of the positions of Chair and Chief Executive Officer reinforces the independence of the Board of Directors from management, creates an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15" w:name="page16"/>
    <w:bookmarkEnd w:id="15"/>
    <w:p>
      <w:pPr>
        <w:ind w:right="40"/>
        <w:spacing w:after="0" w:line="256" w:lineRule="auto"/>
        <w:rPr>
          <w:sz w:val="20"/>
          <w:szCs w:val="20"/>
          <w:color w:val="auto"/>
        </w:rPr>
      </w:pPr>
      <w:r>
        <w:rPr>
          <w:rFonts w:ascii="Times New Roman" w:cs="Times New Roman" w:eastAsia="Times New Roman" w:hAnsi="Times New Roman"/>
          <w:sz w:val="18"/>
          <w:szCs w:val="18"/>
          <w:color w:val="auto"/>
        </w:rPr>
        <w:t>environment that encourages objective oversight of management’s performance and enhances the effectiveness of the Board of Directors as a whole. As such, Mr. Castagna serves as our Chief Executive Officer while Dr. Shannon serves as our Chair of the Board of Directors but is not an officer. We expect and intend the positions of Chair of the Board of Directors and Chief Executive Officer to continue to be held by separate individuals in the future. If in the future we conclude there is a compelling reason for the positions of Chair of the Board and Chief Executive Officer to be occupied by the same individual, we would expect to appoint one of our other directors to the position of lead independent director to help reinforce the independence of the Board from management.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the Company’s risk management process. The Board of Directors does not have a standing risk management committee, but rather administers this oversight function directly through the Board as a whole, as well as through various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review our enterprise risk management system, to consider and discuss our major financial risk exposures and the steps our management has taken to monitor and control these exposures, including guidelines and policies to govern the process by which risk assessment and management is undertaken. The Audit Committee also reviews and receives regular briefings concerning information security and technology risks (including cybersecurity) from management, including our Executive Director of Information Technology. Our Compensation Committee reviews and approves individual and corporate performance goals, advises the Board regarding the adoption, modification, or termination of compensation plans and policies and assesses and monitors whether any of our compensation policies and programs has the potential to encourage excessive risk-taking.</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800" w:firstLine="416"/>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three standing committees: an Audit Committee, a Compensation Committee, and a Nominating and Corporate Governance Committee. All three committees operate under written charters adopted by our Board, all of which are available on our website at </w:t>
      </w:r>
      <w:r>
        <w:rPr>
          <w:rFonts w:ascii="Times New Roman" w:cs="Times New Roman" w:eastAsia="Times New Roman" w:hAnsi="Times New Roman"/>
          <w:sz w:val="18"/>
          <w:szCs w:val="18"/>
          <w:i w:val="1"/>
          <w:iCs w:val="1"/>
          <w:color w:val="auto"/>
        </w:rPr>
        <w:t>mannkindcorp.com/corporate-governance/.</w:t>
      </w:r>
    </w:p>
    <w:p>
      <w:pPr>
        <w:spacing w:after="0" w:line="176" w:lineRule="exact"/>
        <w:rPr>
          <w:sz w:val="20"/>
          <w:szCs w:val="20"/>
          <w:color w:val="auto"/>
        </w:rPr>
      </w:pPr>
    </w:p>
    <w:p>
      <w:pPr>
        <w:jc w:val="both"/>
        <w:ind w:right="100" w:firstLine="416"/>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of Directors has determined that each member of each committee meets the applicable rules and regulations regarding “independence” and that each member is free of any relationship that would interfere with his or her individual exercise of independent judgment with regard to the Company. Below is a description of each committee.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Mr. Consiglio (Chair), Ms. Grancio, Mr. Hooper, Ms. Kay and Ms. Mundkur, each of whom is an independent member of our Board of Directors (as determined by our Board based on its annual review of the independence requirement of Audit Committee members provided in Rule 5605(c)(2)(A)(i) and (ii) of the Nasdaq listing standards). Our Audit Committee was established by the Board in accordance with Section 3(a)(58)(A) of the Securities Exchange Act of 1934, as amended (the “Exchange Act”), to oversee the Company’s corporate accounting and financial reporting processes and audits of its financial statements. The functions of this committee include, among others:</w:t>
      </w:r>
    </w:p>
    <w:p>
      <w:pPr>
        <w:spacing w:after="0" w:line="75" w:lineRule="exact"/>
        <w:rPr>
          <w:sz w:val="20"/>
          <w:szCs w:val="20"/>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engagement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the independent registered public accounting firm to perform any proposed permissible non- audit services;</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engagement team as required by law;</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w:t>
      </w:r>
    </w:p>
    <w:p>
      <w:pPr>
        <w:spacing w:after="0" w:line="130"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ind w:left="740" w:hanging="368"/>
        <w:spacing w:after="0" w:line="289" w:lineRule="auto"/>
        <w:tabs>
          <w:tab w:leader="none" w:pos="7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and, as appropriate, our independent registered public accounting firm, our guidelines and policies with respect to risk assessment and risk management, including enterprise risk management, information security and technology risks (including cybersecurity), and our major financial risk exposures and the steps taken by management to monitor and control these risks and exposures;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ind w:left="740" w:right="120" w:hanging="368"/>
        <w:spacing w:after="0" w:line="26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adherence to applicable laws and rules as well as to our Code of Business Conduct and Ethics, including review and approval of every transaction with a related person that must be disclosed pursuant to the applicable SEC rules; and</w:t>
      </w:r>
    </w:p>
    <w:p>
      <w:pPr>
        <w:spacing w:after="0" w:line="67" w:lineRule="exact"/>
        <w:rPr>
          <w:rFonts w:ascii="Times New Roman" w:cs="Times New Roman" w:eastAsia="Times New Roman" w:hAnsi="Times New Roman"/>
          <w:sz w:val="18"/>
          <w:szCs w:val="18"/>
          <w:color w:val="auto"/>
        </w:rPr>
      </w:pPr>
    </w:p>
    <w:p>
      <w:pPr>
        <w:ind w:left="740" w:right="64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62"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 xml:space="preserve">The Board of Directors has determined that Mr. Consiglio qualifies as an “audit committee financial expert,” as that term is defined in applicable SEC rules. In making such determinations, the Board of Directors made a qualitative assessment of Mr. Consiglio’s level of knowledge and experience based on a number of factors, including his formal education and experience. Both our independent registered public accounting firm and internal financial personnel regularly meet privately with our Audit Committee and have unrestricted access to this committee. Our Audit Committee charter can be found on our corporate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xml:space="preserve"> The Audit Committee met eight times during 2021. The report of the Audit Committee is included herein on page 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Mr. Kresa (Chair), Dr. Friedman, Mr. Hooper and Dr. Shannon, each of whom is an independent member of our Board of Directors (as independence is currently defined in Rule 5605(a)(2) of the Nasdaq listing standards). The functions of this committee include, among others:</w:t>
      </w:r>
    </w:p>
    <w:p>
      <w:pPr>
        <w:spacing w:after="0" w:line="68" w:lineRule="exact"/>
        <w:rPr>
          <w:sz w:val="20"/>
          <w:szCs w:val="20"/>
          <w:color w:val="auto"/>
        </w:rPr>
      </w:pPr>
    </w:p>
    <w:p>
      <w:pPr>
        <w:ind w:left="740" w:hanging="368"/>
        <w:spacing w:after="0" w:line="258"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or approving (or with respect to our Chief Executive Officer, recommending to the full Board for approval) policy relating to compensation and benefits of our officers and employees, including reviewing and approving corporate goals and objectives relevant to compensation of our executive and other senior officers, evaluating the performance of these officers in light of those goals and objectives, and recommending or approving (or with respect to our Chief Executive Officer, recommending to the full Board for approval) compensation of these officers based on such evaluations;</w:t>
      </w:r>
    </w:p>
    <w:p>
      <w:pPr>
        <w:spacing w:after="0" w:line="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benefit plans and the issuance of stock options and other awards under our stock plans;</w:t>
      </w:r>
    </w:p>
    <w:p>
      <w:pPr>
        <w:spacing w:after="0" w:line="117" w:lineRule="exact"/>
        <w:rPr>
          <w:rFonts w:ascii="Times New Roman" w:cs="Times New Roman" w:eastAsia="Times New Roman" w:hAnsi="Times New Roman"/>
          <w:sz w:val="18"/>
          <w:szCs w:val="18"/>
          <w:color w:val="auto"/>
        </w:rPr>
      </w:pPr>
    </w:p>
    <w:p>
      <w:pPr>
        <w:ind w:left="740" w:right="460" w:hanging="368"/>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type and amount of compensation to be paid or awarded to non-employee members of our Board of Directors, including consulting, retainer, meeting, committee and committee chair fees and restricted stock awards ;</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for succession with respect to the position of Chief Executive Officer and other senior officers;</w:t>
      </w:r>
    </w:p>
    <w:p>
      <w:pPr>
        <w:spacing w:after="0" w:line="117" w:lineRule="exact"/>
        <w:rPr>
          <w:rFonts w:ascii="Times New Roman" w:cs="Times New Roman" w:eastAsia="Times New Roman" w:hAnsi="Times New Roman"/>
          <w:sz w:val="18"/>
          <w:szCs w:val="18"/>
          <w:color w:val="auto"/>
        </w:rPr>
      </w:pPr>
    </w:p>
    <w:p>
      <w:pPr>
        <w:ind w:left="740" w:right="340" w:hanging="368"/>
        <w:spacing w:after="0" w:line="26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with respect to our Chief Executive Officer, recommending to the full Board for approval) the terms of any employment agreements, severance arrangements, change-of-control protections and any other compensatory arrangements for our executive officers; and</w:t>
      </w:r>
    </w:p>
    <w:p>
      <w:pPr>
        <w:spacing w:after="0" w:line="67" w:lineRule="exact"/>
        <w:rPr>
          <w:rFonts w:ascii="Times New Roman" w:cs="Times New Roman" w:eastAsia="Times New Roman" w:hAnsi="Times New Roman"/>
          <w:sz w:val="18"/>
          <w:szCs w:val="18"/>
          <w:color w:val="auto"/>
        </w:rPr>
      </w:pPr>
    </w:p>
    <w:p>
      <w:pPr>
        <w:ind w:left="740" w:right="460" w:hanging="368"/>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Compensation Committee and its members, including compliance of the Compensation Committee with its charter.</w:t>
      </w:r>
    </w:p>
    <w:p>
      <w:pPr>
        <w:spacing w:after="0" w:line="162"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has ever been one of our officers or employees. During 2021, none of our executive officers served as a member of the board of directors or compensation committee of any other entity that had one or more executive officers who served on our Board of Directors or Compensation Committee.</w:t>
      </w:r>
    </w:p>
    <w:p>
      <w:pPr>
        <w:spacing w:after="0" w:line="176" w:lineRule="exact"/>
        <w:rPr>
          <w:sz w:val="20"/>
          <w:szCs w:val="20"/>
          <w:color w:val="auto"/>
        </w:rPr>
      </w:pPr>
    </w:p>
    <w:p>
      <w:pPr>
        <w:ind w:right="380" w:firstLine="416"/>
        <w:spacing w:after="0" w:line="282"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Compensation Committee met four times during 2021.</w:t>
      </w:r>
    </w:p>
    <w:p>
      <w:pPr>
        <w:spacing w:after="0" w:line="162" w:lineRule="exact"/>
        <w:rPr>
          <w:sz w:val="20"/>
          <w:szCs w:val="20"/>
          <w:color w:val="auto"/>
        </w:rPr>
      </w:pPr>
    </w:p>
    <w:p>
      <w:pPr>
        <w:ind w:right="140" w:firstLine="416"/>
        <w:spacing w:after="0" w:line="266" w:lineRule="auto"/>
        <w:rPr>
          <w:sz w:val="20"/>
          <w:szCs w:val="20"/>
          <w:color w:val="auto"/>
        </w:rPr>
      </w:pPr>
      <w:r>
        <w:rPr>
          <w:rFonts w:ascii="Times New Roman" w:cs="Times New Roman" w:eastAsia="Times New Roman" w:hAnsi="Times New Roman"/>
          <w:sz w:val="18"/>
          <w:szCs w:val="18"/>
          <w:color w:val="auto"/>
        </w:rPr>
        <w:t xml:space="preserve">The processes and procedures of the Compensation Committee with respect to executive compensation are described in greater detail in the “Compensation Discussion and Analysis” section of this proxy statement. Our Compensation Committee charter can be found on our corporate website at </w:t>
      </w:r>
      <w:r>
        <w:rPr>
          <w:rFonts w:ascii="Times New Roman" w:cs="Times New Roman" w:eastAsia="Times New Roman" w:hAnsi="Times New Roman"/>
          <w:sz w:val="18"/>
          <w:szCs w:val="18"/>
          <w:i w:val="1"/>
          <w:iCs w:val="1"/>
          <w:color w:val="auto"/>
        </w:rPr>
        <w:t xml:space="preserve">mannkindcorp.com/corporate-governance/. </w:t>
      </w:r>
      <w:r>
        <w:rPr>
          <w:rFonts w:ascii="Times New Roman" w:cs="Times New Roman" w:eastAsia="Times New Roman" w:hAnsi="Times New Roman"/>
          <w:sz w:val="18"/>
          <w:szCs w:val="18"/>
          <w:color w:val="auto"/>
        </w:rPr>
        <w:t>The report of the Compensation Committee is included herein on page 43.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Friedman (Chair), Mr. Consiglio, Mr. Kresa and Ms. Mundkur, each of whom is an independent member of our Board of Directors (as independence is currently defined in Rule 5605(a)(2) of the Nasdaq listing standards). The functions of this committee include, among others:</w:t>
      </w:r>
    </w:p>
    <w:p>
      <w:pPr>
        <w:spacing w:after="0" w:line="149" w:lineRule="exact"/>
        <w:rPr>
          <w:sz w:val="20"/>
          <w:szCs w:val="20"/>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nominees for election as directors;</w:t>
      </w:r>
    </w:p>
    <w:p>
      <w:pPr>
        <w:spacing w:after="0" w:line="130"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Board committees and making recommendations to the Board regarding directors qualified to serve on and chair such committees;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current list of the functional needs and qualifications of members of the Board;</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Board of Directors and monitoring committee evaluations;</w:t>
      </w:r>
    </w:p>
    <w:p>
      <w:pPr>
        <w:spacing w:after="0" w:line="130" w:lineRule="exact"/>
        <w:rPr>
          <w:rFonts w:ascii="Times New Roman" w:cs="Times New Roman" w:eastAsia="Times New Roman" w:hAnsi="Times New Roman"/>
          <w:sz w:val="18"/>
          <w:szCs w:val="18"/>
          <w:color w:val="auto"/>
        </w:rPr>
      </w:pPr>
    </w:p>
    <w:p>
      <w:pPr>
        <w:ind w:left="740" w:right="42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with respect to, our strategy, initiatives and policies concerning corporate social responsibility, including environmental, social and governance matters;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members of the Compensation Committee, as requested, in determining the compensation for non-employee directors; and</w:t>
      </w:r>
    </w:p>
    <w:p>
      <w:pPr>
        <w:spacing w:after="0" w:line="130" w:lineRule="exact"/>
        <w:rPr>
          <w:rFonts w:ascii="Times New Roman" w:cs="Times New Roman" w:eastAsia="Times New Roman" w:hAnsi="Times New Roman"/>
          <w:sz w:val="18"/>
          <w:szCs w:val="18"/>
          <w:color w:val="auto"/>
        </w:rPr>
      </w:pPr>
    </w:p>
    <w:p>
      <w:pPr>
        <w:ind w:left="740" w:right="72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Nominating and Corporate Governance Committee and its members, including compliance of the Nominating and Corporate Governance Committee with its charter.</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Our Nominating and Corporate Governance Committee charter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met three times during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Qualifications</w:t>
      </w:r>
    </w:p>
    <w:p>
      <w:pPr>
        <w:spacing w:after="0" w:line="121"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being able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discretion to modify these qualifications from time to time.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Evaluating Nominees for Director</w:t>
      </w:r>
    </w:p>
    <w:p>
      <w:pPr>
        <w:spacing w:after="0" w:line="12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reviews candidates for director nominees in the context of the current composition of the Board of Directors, the operating requirements of the Company and the long-term interests of the Company’s stockholders. In conducting this assessment, the Nominating and Corporate Governance Committee considers age, skills, and such other factors as it deems appropriate given the current needs of the Board of Directors and the Company, to maintain a balance of knowledge, experience and capability. In the case of incumbent directors,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would be independent, which determination is based upon applicable Nasdaq listing standards, applicable SEC rules and regulations and the advice of counsel, if necessary. The Nominating and Corporate Governance Committee also considers diversity of gender, race, national origin, other self-identified diversity characteristics such as LGBTQ+, education, professional experience and differences in viewpoints and skills. The Nominating and Corporate Governance Committee does not have a formal policy with respect to diversity; however, the Board of Directors and the Nominating and Corporate Governance Committee believe that it is important that directors represent diverse viewpoints. To this end, the Nominating and Corporate Governance Committee assesses diversity, including self-identified diversity characteristics, in connection with the annual nomination process as well as in new director searches.</w:t>
      </w:r>
    </w:p>
    <w:p>
      <w:pPr>
        <w:spacing w:after="0" w:line="187"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one or more nominees for recommendation to the Board by majority vote. To date, the Nominating and Corporate Governance Committee has not paid a fee to any third party to assist in the process of identifying or evaluating director candidates.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w:t>
      </w:r>
    </w:p>
    <w:p>
      <w:pPr>
        <w:spacing w:after="0" w:line="121" w:lineRule="exact"/>
        <w:rPr>
          <w:sz w:val="20"/>
          <w:szCs w:val="20"/>
          <w:color w:val="auto"/>
        </w:rPr>
      </w:pPr>
    </w:p>
    <w:p>
      <w:pPr>
        <w:ind w:right="380" w:firstLine="416"/>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a candidate was recommended by a stockholder or not. Stockholders who wish to recommend individuals for consideration by the Nominating and Corporate Governance Committee to become nominees for election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the Board of Directors must do so by delivering at least 120 days prior to the anniversary date of the mailing of MannKind’s proxy statement for its last annual meeting of stockholders a written recommendation to the Nominating and Corporate Governance Committee, c/o MannKind Corporation, 1 Casper Street, Danbury, Connecticut 06810, Attn: Corporate Secretary. Each submission must set forth:</w:t>
      </w:r>
    </w:p>
    <w:p>
      <w:pPr>
        <w:spacing w:after="0" w:line="68" w:lineRule="exact"/>
        <w:rPr>
          <w:sz w:val="20"/>
          <w:szCs w:val="20"/>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MannKind stockholder on whose behalf the submission is made;</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MannKind shares that are owned beneficially by such stockholder as of the date of the submission;</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 of the proposed candidate;</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business experience for at least the previous five years;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biographical information for the proposed candidate;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qualifications as a director.</w:t>
      </w:r>
    </w:p>
    <w:p>
      <w:pPr>
        <w:spacing w:after="0" w:line="225" w:lineRule="exact"/>
        <w:rPr>
          <w:sz w:val="20"/>
          <w:szCs w:val="20"/>
          <w:color w:val="auto"/>
        </w:rPr>
      </w:pPr>
    </w:p>
    <w:p>
      <w:pPr>
        <w:ind w:right="560" w:firstLine="416"/>
        <w:spacing w:after="0" w:line="282" w:lineRule="auto"/>
        <w:rPr>
          <w:sz w:val="20"/>
          <w:szCs w:val="20"/>
          <w:color w:val="auto"/>
        </w:rPr>
      </w:pPr>
      <w:r>
        <w:rPr>
          <w:rFonts w:ascii="Times New Roman" w:cs="Times New Roman" w:eastAsia="Times New Roman" w:hAnsi="Times New Roman"/>
          <w:sz w:val="18"/>
          <w:szCs w:val="18"/>
          <w:color w:val="auto"/>
        </w:rPr>
        <w:t>Each submission must be accompanied by the written consent of the proposed candidate to be named as a nominee and to serve as a director if elected.</w:t>
      </w:r>
    </w:p>
    <w:p>
      <w:pPr>
        <w:spacing w:after="0" w:line="160" w:lineRule="exact"/>
        <w:rPr>
          <w:sz w:val="20"/>
          <w:szCs w:val="20"/>
          <w:color w:val="auto"/>
        </w:rPr>
      </w:pPr>
    </w:p>
    <w:p>
      <w:pPr>
        <w:ind w:right="340" w:firstLine="416"/>
        <w:spacing w:after="0" w:line="284" w:lineRule="auto"/>
        <w:rPr>
          <w:sz w:val="20"/>
          <w:szCs w:val="20"/>
          <w:color w:val="auto"/>
        </w:rPr>
      </w:pPr>
      <w:r>
        <w:rPr>
          <w:rFonts w:ascii="Times New Roman" w:cs="Times New Roman" w:eastAsia="Times New Roman" w:hAnsi="Times New Roman"/>
          <w:sz w:val="18"/>
          <w:szCs w:val="18"/>
          <w:color w:val="auto"/>
        </w:rPr>
        <w:t xml:space="preserve">Our policy regarding stockholder recommendations of director nominees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160"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To date, the Nominating and Corporate Governance Committee has not received a timely nomination of a candidate for election as a director at any annual meeting from a stockholder or group of stockholders holding more than 5% of our voting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The Board of Directors met 14 times during the last fiscal year. Each director attended 75% or more of the aggregate number of the meetings of the Board, and of the committees on which he or she served, held during the period for which he or she was a director or committee member.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right="560" w:firstLine="416"/>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our independent directors meet in regularly scheduled executive sessions at which only independent directors are present.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adopted a formal process by which stockholders may communicate with the Board or any of its directors. Stockholders who wish to communicate with the Board or an individual director may send a written communication to the Board or such director c/o MannKind Corporation, 1 Casper Street, Danbury, Connecticut 06810, Attn: Corporate Secretary. Communications also may be sent by e-mail to the following address: board@mannkindcorp.com. Each communication must set forth the name and address of the MannKind stockholder on whose behalf the communication is sent. Each communication will be screened by MannKind’s Corporate Secretary to determine whether it is appropriate for presentation to the Board of Directors or such director. Examples of inappropriate communications include junk mail, mass mailings, product complaints, product inquiries, new product suggestions, resumes, job inquiries, surveys, business solicitations and advertisements, as well as unduly hostile, threatening, illegal, unsuitable, frivolous, patently offensive or otherwise inappropriate material. Communications determined by the Corporate Secretary to be appropriate for presentation to the Board of Directors or such director will be submitted to the Board of Directors or such director on a periodic basis.</w:t>
      </w:r>
    </w:p>
    <w:p>
      <w:pPr>
        <w:spacing w:after="0" w:line="188"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The screening procedures have been approved by a majority of the independent directors of the Board. All communications directed to the Audit Committee in accordance with the Company’s Code of Business Conduct and Ethics that relate to questionable accounting or auditing matters involving the Company will be promptly and directly forwarded to the Audit Committee.</w:t>
      </w:r>
    </w:p>
    <w:p>
      <w:pPr>
        <w:spacing w:after="0" w:line="174" w:lineRule="exact"/>
        <w:rPr>
          <w:sz w:val="20"/>
          <w:szCs w:val="20"/>
          <w:color w:val="auto"/>
        </w:rPr>
      </w:pPr>
    </w:p>
    <w:p>
      <w:pPr>
        <w:ind w:right="100" w:firstLine="416"/>
        <w:spacing w:after="0" w:line="280" w:lineRule="auto"/>
        <w:rPr>
          <w:sz w:val="20"/>
          <w:szCs w:val="20"/>
          <w:color w:val="auto"/>
        </w:rPr>
      </w:pPr>
      <w:r>
        <w:rPr>
          <w:rFonts w:ascii="Times New Roman" w:cs="Times New Roman" w:eastAsia="Times New Roman" w:hAnsi="Times New Roman"/>
          <w:sz w:val="18"/>
          <w:szCs w:val="18"/>
          <w:color w:val="auto"/>
        </w:rPr>
        <w:t xml:space="preserve">Our process for security holder communications with the Board of Directors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Related-Person Transactions Policy and Procedures</w:t>
      </w:r>
    </w:p>
    <w:p>
      <w:pPr>
        <w:spacing w:after="0" w:line="121"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We have adopted a Related-Person Transactions Policy that sets forth the policies and procedures regarding the identification, review, consideration and approval or ratification of “related-person transactions.” For purposes of the Company’s policy only, a “related-person transaction” is a transaction, arrangement or relationship (or any series of similar transactions, arrangements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ind w:right="100"/>
        <w:spacing w:after="0" w:line="282" w:lineRule="auto"/>
        <w:rPr>
          <w:sz w:val="20"/>
          <w:szCs w:val="20"/>
          <w:color w:val="auto"/>
        </w:rPr>
      </w:pPr>
      <w:r>
        <w:rPr>
          <w:rFonts w:ascii="Times New Roman" w:cs="Times New Roman" w:eastAsia="Times New Roman" w:hAnsi="Times New Roman"/>
          <w:sz w:val="18"/>
          <w:szCs w:val="18"/>
          <w:color w:val="auto"/>
        </w:rPr>
        <w:t>relationships) in which the Company and any “related person” are, were or will be participants involving an amount that is the lesser of $120,000 or 1% of the average of the Company’s total assets for December 31, 2020 and 2021.</w:t>
      </w:r>
    </w:p>
    <w:p>
      <w:pPr>
        <w:spacing w:after="0" w:line="162"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the Company as an employee, consultant or director are not covered by this policy. A related person is any executive officer, director, or more than 5% beneficial stockholder of the Company, including any of their immediate family members, and any entity owned or controlled by such persons.</w:t>
      </w:r>
    </w:p>
    <w:p>
      <w:pPr>
        <w:spacing w:after="0" w:line="176" w:lineRule="exact"/>
        <w:rPr>
          <w:sz w:val="20"/>
          <w:szCs w:val="20"/>
          <w:color w:val="auto"/>
        </w:rPr>
      </w:pPr>
    </w:p>
    <w:p>
      <w:pPr>
        <w:ind w:right="100" w:firstLine="416"/>
        <w:spacing w:after="0" w:line="253"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significant stockholders. In considering related-person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Audit Committee consider, in light of known circumstances, whether the transaction is in, or is not inconsistent with, the best interests of the Company and its stockholders, as the Audit Committee determines in the good faith exercise of its discretion.</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Since January 1, 2020, we had no related-persons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Anti-Corruption</w:t>
      </w:r>
    </w:p>
    <w:p>
      <w:pPr>
        <w:spacing w:after="0" w:line="121"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and employees (including our principal executive officer, principal financial officer, principal accounting officer and controller), and have posted the text of the code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In addition, we intend to promptly disclose on our website (i) the nature of any amendment to the policy that applies to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5" w:lineRule="exact"/>
        <w:rPr>
          <w:sz w:val="20"/>
          <w:szCs w:val="20"/>
          <w:color w:val="auto"/>
        </w:rPr>
      </w:pPr>
    </w:p>
    <w:p>
      <w:pPr>
        <w:ind w:right="280" w:firstLine="416"/>
        <w:spacing w:after="0" w:line="258" w:lineRule="auto"/>
        <w:rPr>
          <w:sz w:val="20"/>
          <w:szCs w:val="20"/>
          <w:color w:val="auto"/>
        </w:rPr>
      </w:pPr>
      <w:r>
        <w:rPr>
          <w:rFonts w:ascii="Times New Roman" w:cs="Times New Roman" w:eastAsia="Times New Roman" w:hAnsi="Times New Roman"/>
          <w:sz w:val="18"/>
          <w:szCs w:val="18"/>
          <w:color w:val="auto"/>
        </w:rPr>
        <w:t xml:space="preserve">We have also adopted an Anti-Corruption Policy and have posted the text of the policy on our website at </w:t>
      </w:r>
      <w:r>
        <w:rPr>
          <w:rFonts w:ascii="Times New Roman" w:cs="Times New Roman" w:eastAsia="Times New Roman" w:hAnsi="Times New Roman"/>
          <w:sz w:val="18"/>
          <w:szCs w:val="18"/>
          <w:i w:val="1"/>
          <w:iCs w:val="1"/>
          <w:color w:val="auto"/>
        </w:rPr>
        <w:t>www.mannkindcorp.com/corporate-governance/</w:t>
      </w:r>
      <w:r>
        <w:rPr>
          <w:rFonts w:ascii="Times New Roman" w:cs="Times New Roman" w:eastAsia="Times New Roman" w:hAnsi="Times New Roman"/>
          <w:sz w:val="18"/>
          <w:szCs w:val="18"/>
          <w:color w:val="auto"/>
        </w:rPr>
        <w:t>. This policy strictly prohibits our directors and employees from (i) promising, offering, providing, or authorizing cash payments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bribes or kickbacks) or anything else of value directly or indirectly to any person to achieve an improper purpose related to the Company’s business and</w:t>
      </w:r>
    </w:p>
    <w:p>
      <w:pPr>
        <w:spacing w:after="0" w:line="1" w:lineRule="exact"/>
        <w:rPr>
          <w:sz w:val="20"/>
          <w:szCs w:val="20"/>
          <w:color w:val="auto"/>
        </w:rPr>
      </w:pPr>
    </w:p>
    <w:p>
      <w:pPr>
        <w:ind w:right="40" w:firstLine="8"/>
        <w:spacing w:after="0" w:line="260"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agreeing to receive, or accepting money or anything else of value from any person to achieve an improper purpose related to the Company’s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right="740" w:firstLine="416"/>
        <w:spacing w:after="0" w:line="282" w:lineRule="auto"/>
        <w:rPr>
          <w:sz w:val="20"/>
          <w:szCs w:val="20"/>
          <w:color w:val="auto"/>
        </w:rPr>
      </w:pPr>
      <w:r>
        <w:rPr>
          <w:rFonts w:ascii="Times New Roman" w:cs="Times New Roman" w:eastAsia="Times New Roman" w:hAnsi="Times New Roman"/>
          <w:sz w:val="18"/>
          <w:szCs w:val="18"/>
          <w:color w:val="auto"/>
        </w:rPr>
        <w:t>As part of our Insider Trading Policy, we prohibit speculation based on fluctuations in the market. As a result, the following transactions are prohibited, whether or not the director, employee, officer or consultant is in possession of inside information:</w:t>
      </w:r>
    </w:p>
    <w:p>
      <w:pPr>
        <w:spacing w:after="0" w:line="108" w:lineRule="exact"/>
        <w:rPr>
          <w:sz w:val="20"/>
          <w:szCs w:val="20"/>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any derivative security of the Company, including without limitation, puts and calls;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stock on margin;</w:t>
      </w:r>
    </w:p>
    <w:p>
      <w:pPr>
        <w:spacing w:after="0" w:line="117"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the Company’s stock (i.e., where a person borrows shares of the Company’s stock, sells them and then purchases stock at a later date to replace the borrowed stock);</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loaning shares of the Company’s stock through a brokerage or otherwise in order to facilitate the short sales of other persons;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buying or selling options for the Company’s stock;</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the Company’s stock as security or collateral for a loan or any other obligation; and</w:t>
      </w:r>
    </w:p>
    <w:p>
      <w:pPr>
        <w:spacing w:after="0" w:line="117" w:lineRule="exact"/>
        <w:rPr>
          <w:rFonts w:ascii="Times New Roman" w:cs="Times New Roman" w:eastAsia="Times New Roman" w:hAnsi="Times New Roman"/>
          <w:sz w:val="18"/>
          <w:szCs w:val="18"/>
          <w:color w:val="auto"/>
        </w:rPr>
      </w:pPr>
    </w:p>
    <w:p>
      <w:pPr>
        <w:ind w:left="740" w:right="460" w:hanging="368"/>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referenced above, any other hedging transaction involving the Company’s stock or any derivative security of the Company, or any other inherently speculative transaction involving the Company’s stock.</w:t>
      </w:r>
    </w:p>
    <w:p>
      <w:pPr>
        <w:spacing w:after="0" w:line="162"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The prohibition on these transactions also applies to members of the households of directors, officers, employees and consultants of the Company or its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(the “director compensation program”), each of our non-employee directors receives an annual retainer and fees for their service on our standing board committees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8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 Retainer</w:t>
            </w:r>
          </w:p>
        </w:tc>
        <w:tc>
          <w:tcPr>
            <w:tcW w:w="20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Chair Premium</w:t>
            </w:r>
          </w:p>
        </w:tc>
        <w:tc>
          <w:tcPr>
            <w:tcW w:w="2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tcPr>
          <w:p>
            <w:pPr>
              <w:spacing w:after="0"/>
              <w:rPr>
                <w:sz w:val="19"/>
                <w:szCs w:val="19"/>
                <w:color w:val="auto"/>
              </w:rPr>
            </w:pPr>
          </w:p>
        </w:tc>
      </w:tr>
      <w:tr>
        <w:trPr>
          <w:trHeight w:val="230"/>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7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Chair: $25,000</w:t>
            </w:r>
          </w:p>
        </w:tc>
      </w:tr>
      <w:tr>
        <w:trPr>
          <w:trHeight w:val="229"/>
        </w:trPr>
        <w:tc>
          <w:tcPr>
            <w:tcW w:w="8540" w:type="dxa"/>
            <w:vAlign w:val="bottom"/>
          </w:tcPr>
          <w:p>
            <w:pPr>
              <w:spacing w:after="0"/>
              <w:rPr>
                <w:sz w:val="19"/>
                <w:szCs w:val="19"/>
                <w:color w:val="auto"/>
              </w:rPr>
            </w:pP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members: $10,000</w:t>
            </w:r>
          </w:p>
        </w:tc>
      </w:tr>
      <w:tr>
        <w:trPr>
          <w:trHeight w:val="229"/>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7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Chair: $20,000</w:t>
            </w:r>
          </w:p>
        </w:tc>
      </w:tr>
      <w:tr>
        <w:trPr>
          <w:trHeight w:val="230"/>
        </w:trPr>
        <w:tc>
          <w:tcPr>
            <w:tcW w:w="8540" w:type="dxa"/>
            <w:vAlign w:val="bottom"/>
          </w:tcPr>
          <w:p>
            <w:pPr>
              <w:spacing w:after="0"/>
              <w:rPr>
                <w:sz w:val="19"/>
                <w:szCs w:val="19"/>
                <w:color w:val="auto"/>
              </w:rPr>
            </w:pP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members: $7,500</w:t>
            </w:r>
          </w:p>
        </w:tc>
      </w:tr>
      <w:tr>
        <w:trPr>
          <w:trHeight w:val="229"/>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7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Chair: $10,000</w:t>
            </w:r>
          </w:p>
        </w:tc>
      </w:tr>
      <w:tr>
        <w:trPr>
          <w:trHeight w:val="234"/>
        </w:trPr>
        <w:tc>
          <w:tcPr>
            <w:tcW w:w="8540" w:type="dxa"/>
            <w:vAlign w:val="bottom"/>
          </w:tcPr>
          <w:p>
            <w:pPr>
              <w:spacing w:after="0"/>
              <w:rPr>
                <w:sz w:val="20"/>
                <w:szCs w:val="20"/>
                <w:color w:val="auto"/>
              </w:rPr>
            </w:pPr>
          </w:p>
        </w:tc>
        <w:tc>
          <w:tcPr>
            <w:tcW w:w="2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Other members: $5,000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165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27"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The members of the Board are also eligible for reimbursement for their expenses incurred in attending Board of Directors meetings in accordance with Company policy. Other than the annual fees described above, our non-employee directors do not receive meeting fees or other compensation for their attendance at specific Board or committee meetings.</w:t>
      </w:r>
    </w:p>
    <w:p>
      <w:pPr>
        <w:spacing w:after="0" w:line="176"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Our director compensation program specifies that each non-employee director of the Company is also eligible to receive annual equity awards under the 2018 Plan. Specifically, on the date of each of our annual stockholder meetings, each of our non-employee directors receives a restricted stock unit (RSU) award determined by dividing $150,000 by the then-current stock price used for valuing employee equity awards, which in no event is less than the last reported closing price of the Company’s common stock. Each such annual RSU award vests immediately, but shares are not distributed until the director separates from service to the Board (i.e. retires, is removed or dies).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non-employee director who joins the Board between annual stockholders meetings is entitled to a pro-rata compensation package.</w:t>
      </w:r>
    </w:p>
    <w:p>
      <w:pPr>
        <w:spacing w:after="0" w:line="225"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Non-employee directors have an option to receive their annual $50,000 retainer in cash or common stock of the Company. If a non-employee director elects to receive his or her annual retainer in common stock, such director will be granted an RSU award consisting of that number of shares that equals 100% of the annual retainer, based on the 20-day trailing average closing price as of the trading day immediately preceding the date of the annual stockholder meeting. This award vests immediately, but shares are not distributed until the director separates from service to the Board (i.e. retires, is removed or dies). Non-employee directors who do not elect this option receive the full annual retainer in cash shortly after the date of the stockholder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ind w:right="52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director compensation received for the fiscal year ended December 31, 2021 by our non-employee directors.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2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(1)(2)</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Ronald J. Consiglio</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194,803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224,803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Michael A. Friedman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145,937</w:t>
            </w:r>
          </w:p>
        </w:tc>
        <w:tc>
          <w:tcPr>
            <w:tcW w:w="220" w:type="dxa"/>
            <w:vAlign w:val="bottom"/>
          </w:tcPr>
          <w:p>
            <w:pPr>
              <w:spacing w:after="0"/>
              <w:rPr>
                <w:sz w:val="19"/>
                <w:szCs w:val="19"/>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213,437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Jennifer Grancio</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205,937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Anthony Hooper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194,803</w:t>
            </w:r>
          </w:p>
        </w:tc>
        <w:tc>
          <w:tcPr>
            <w:tcW w:w="220" w:type="dxa"/>
            <w:vAlign w:val="bottom"/>
          </w:tcPr>
          <w:p>
            <w:pPr>
              <w:spacing w:after="0"/>
              <w:rPr>
                <w:sz w:val="19"/>
                <w:szCs w:val="19"/>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212,303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Sabrina Kay</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205,937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Kent Kresa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194,803</w:t>
            </w:r>
          </w:p>
        </w:tc>
        <w:tc>
          <w:tcPr>
            <w:tcW w:w="220" w:type="dxa"/>
            <w:vAlign w:val="bottom"/>
          </w:tcPr>
          <w:p>
            <w:pPr>
              <w:spacing w:after="0"/>
              <w:rPr>
                <w:sz w:val="19"/>
                <w:szCs w:val="19"/>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219,803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Mundkur</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210,937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James S. Shannon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194,803</w:t>
            </w:r>
          </w:p>
        </w:tc>
        <w:tc>
          <w:tcPr>
            <w:tcW w:w="220" w:type="dxa"/>
            <w:vAlign w:val="bottom"/>
          </w:tcPr>
          <w:p>
            <w:pPr>
              <w:spacing w:after="0"/>
              <w:rPr>
                <w:sz w:val="20"/>
                <w:szCs w:val="20"/>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234,803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-1176655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-1176655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-1176655</wp:posOffset>
            </wp:positionV>
            <wp:extent cx="951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165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6" w:lineRule="exact"/>
        <w:rPr>
          <w:sz w:val="20"/>
          <w:szCs w:val="20"/>
          <w:color w:val="auto"/>
        </w:rPr>
      </w:pPr>
    </w:p>
    <w:p>
      <w:pPr>
        <w:ind w:left="420" w:right="120" w:hanging="412"/>
        <w:spacing w:after="0" w:line="236" w:lineRule="auto"/>
        <w:tabs>
          <w:tab w:leader="none" w:pos="4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option grants to non-employee directors in 2021. We have no consulting agreements with any of our directors pursuant to which stock awards were issued. As of December 31, 2021, our non-employee directors had option grants outstanding to purchase 209,286 shares of our common stock as follows: Ronald J. Consiglio, 51,141 shares; Michael A. Friedman, M.D., 64,660 shares; Kent Kresa, 48,980 shares; and James Shannon, 44,505 shares. Jennifer Grancio, Anthony Hooper, Sabrina Kay and Christine Mundkur had no option grants outstanding as of December 31,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ind w:left="420" w:hanging="412"/>
        <w:spacing w:after="0" w:line="229" w:lineRule="auto"/>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grant date fair value of all restricted stock awards to non-employee directors in 2021. Restricted stock units are valued based on the market price on the grant date. Reference Note 12 “Stock Award Plans” in the notes to our financial statements for the period ended December 31, 2021, included in Part IV of our Annual Report on Form 10-K for the fiscal year ended December 31, 2021 filed with the SEC on February 24, 2022, which identifies the assumptions made in the valuation of restricted stock awards. Restricted stock awards granted to non-employee directors in 2021 vested immediately, but the shares will not be delivered until there is a separation of service, such as through resignation or retirement from the Board or his or her death. As of December 31, 2021, our non-employee directors had no unvested restricted stock units outstanding and had vested restricted stock units to receive 2,182,018 shares of our common stock as follows: Ronald J. Consiglio, 406,606 shares; Michael A. Friedman, M.D., 336,470 shares; Jennifer Grancio, 134,114 shares; Anthony Hooper, 202,241 shares; Sabrina Kay, 77,977 shares; Kent Kresa, 404,445 shares; Christine Mundkur, 226,818 shares and James S. Shannon, 393,347 shares.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Our non-employee directors are subject to our stock ownership guidelines, which require each such individual to hold a specified number of shares of our common stock calculated by dividing three times the annual retainer by the current stock price.</w:t>
      </w:r>
    </w:p>
    <w:p>
      <w:pPr>
        <w:spacing w:after="0" w:line="162"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non-employee director has five years to reach the applicable guideline, beginning January 1, 2020 or when the individual was first appointed or elected to the Board, whichever is later. Upon completion of the grace period, for anyone out of compliance with the guidelines, the Board may restrict their sale of shares or may choose to deliver the annual retainer in stock rather than cash until the guidelines are satisfied. As of December 31, 2021, all non-employee directors were in compliance with our stock ownership guidelines.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22" w:name="page23"/>
    <w:bookmarkEnd w:id="22"/>
    <w:p>
      <w:pPr>
        <w:ind w:left="120"/>
        <w:spacing w:after="0"/>
        <w:rPr>
          <w:sz w:val="20"/>
          <w:szCs w:val="20"/>
          <w:color w:val="auto"/>
        </w:rPr>
      </w:pPr>
      <w:r>
        <w:rPr>
          <w:rFonts w:ascii="Times New Roman" w:cs="Times New Roman" w:eastAsia="Times New Roman" w:hAnsi="Times New Roman"/>
          <w:sz w:val="58"/>
          <w:szCs w:val="58"/>
          <w:b w:val="1"/>
          <w:bCs w:val="1"/>
          <w:color w:val="FFFFFF"/>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574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574675"/>
                    </a:xfrm>
                    <a:prstGeom prst="rect">
                      <a:avLst/>
                    </a:prstGeom>
                    <a:noFill/>
                  </pic:spPr>
                </pic:pic>
              </a:graphicData>
            </a:graphic>
          </wp:anchor>
        </w:drawing>
        <w:t>Proposal 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ADVISORY VOTE ON EXECUTIVE COMPENSATION</w:t>
      </w:r>
    </w:p>
    <w:p>
      <w:pPr>
        <w:spacing w:after="0" w:line="128"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approve, on an advisory or non-binding basis, the compensation of the Company’s named executive officers as described in the “Compensation Discussion and Analysis” section of this proxy statement. This proposal is commonly referred to as a “say on pay” proposal. This vote is not intended to address any specific item of compensation, but rather the overall compensation of our named executive officers and the philosophy, policies and practices described in this proxy statement.</w:t>
      </w:r>
    </w:p>
    <w:p>
      <w:pPr>
        <w:spacing w:after="0" w:line="180"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 compensation of our named executive officers is disclosed in the Compensation Discussion and Analysis, the compensation tables, and the related narrative disclosure contained in this proxy statement. As discussed in those disclosures, the Company believes that its compensation policies and decisions are appropriately designed to attract and retain the individuals needed to support the Company’s business strategy and to compete effectively with pharmaceutical and biotechnology companies while aligning with the long-term interests of the Company’s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121"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auto"/>
        </w:rPr>
        <w:t>We believe that our pay practices are reasonable and in the best interests of our Company and our stockholders. Our compensation programs are guided by the following principles:</w:t>
      </w:r>
    </w:p>
    <w:p>
      <w:pPr>
        <w:spacing w:after="0" w:line="52" w:lineRule="exact"/>
        <w:rPr>
          <w:sz w:val="20"/>
          <w:szCs w:val="20"/>
          <w:color w:val="auto"/>
        </w:rPr>
      </w:pPr>
    </w:p>
    <w:p>
      <w:pPr>
        <w:ind w:left="740" w:hanging="368"/>
        <w:spacing w:after="0" w:line="258"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Emphasis on pay-for-performance. </w:t>
      </w:r>
      <w:r>
        <w:rPr>
          <w:rFonts w:ascii="Times New Roman" w:cs="Times New Roman" w:eastAsia="Times New Roman" w:hAnsi="Times New Roman"/>
          <w:sz w:val="18"/>
          <w:szCs w:val="18"/>
          <w:color w:val="auto"/>
        </w:rPr>
        <w:t>We believe a significant portion of the compensation for our executive officers should be variable, at risk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tied directly to the Company’s measurable performance. Consistent with these principles, a material portion of the compensation of our executive officers is in the form of performance-based incentives that are earned upon the attainment of pre-established objectives. The annual cash incentive awards under our short-term incentive (“STI”) plan are intended to compensate our executive officers for achieving our annual financial and operational objectives, the attainment of which requires significant effort.</w:t>
      </w:r>
    </w:p>
    <w:p>
      <w:pPr>
        <w:spacing w:after="0" w:line="75" w:lineRule="exact"/>
        <w:rPr>
          <w:rFonts w:ascii="Times New Roman" w:cs="Times New Roman" w:eastAsia="Times New Roman" w:hAnsi="Times New Roman"/>
          <w:sz w:val="18"/>
          <w:szCs w:val="18"/>
          <w:color w:val="auto"/>
        </w:rPr>
      </w:pPr>
    </w:p>
    <w:p>
      <w:pPr>
        <w:ind w:left="740" w:right="40" w:hanging="368"/>
        <w:spacing w:after="0" w:line="261"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as a key component of compensation to align with our stockholders’ interests. </w:t>
      </w:r>
      <w:r>
        <w:rPr>
          <w:rFonts w:ascii="Times New Roman" w:cs="Times New Roman" w:eastAsia="Times New Roman" w:hAnsi="Times New Roman"/>
          <w:sz w:val="18"/>
          <w:szCs w:val="18"/>
          <w:color w:val="auto"/>
        </w:rPr>
        <w:t>The use of equity-based compensation for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(“LTI”) aligns the interests of our executive officers with those of our stockholders by encouraging long-term performance and growth in stockholder value. Multi-year vesting schedules create incentives for our employees to sustain performance over the long term and encourage retention as the Company executes its business strategy.</w:t>
      </w:r>
    </w:p>
    <w:p>
      <w:pPr>
        <w:spacing w:after="0" w:line="71" w:lineRule="exact"/>
        <w:rPr>
          <w:rFonts w:ascii="Times New Roman" w:cs="Times New Roman" w:eastAsia="Times New Roman" w:hAnsi="Times New Roman"/>
          <w:sz w:val="18"/>
          <w:szCs w:val="18"/>
          <w:color w:val="auto"/>
        </w:rPr>
      </w:pPr>
    </w:p>
    <w:p>
      <w:pPr>
        <w:ind w:left="740" w:right="120" w:hanging="368"/>
        <w:spacing w:after="0" w:line="257"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compensation value at or close to the peer group median. </w:t>
      </w:r>
      <w:r>
        <w:rPr>
          <w:rFonts w:ascii="Times New Roman" w:cs="Times New Roman" w:eastAsia="Times New Roman" w:hAnsi="Times New Roman"/>
          <w:sz w:val="18"/>
          <w:szCs w:val="18"/>
          <w:color w:val="auto"/>
        </w:rPr>
        <w:t>We target total compensation levels for executives at the median of our peer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on the basis that we believe this target to be an appropriate level of compensation to attract and retain qualified and capable executives. However, actual compensation may fall above or below this level under a range of circumstances, including Company performance. The 2021 and 2020 total compensation values presented in the Summary Compensation Table in this proxy statement for our named executive officers are all below the median of the competitive market. We believe this below-median compensation value constituted a restrained compensation philosophy during a period of corporate under-performance and transformation.</w:t>
      </w:r>
    </w:p>
    <w:p>
      <w:pPr>
        <w:spacing w:after="0" w:line="74" w:lineRule="exact"/>
        <w:rPr>
          <w:rFonts w:ascii="Times New Roman" w:cs="Times New Roman" w:eastAsia="Times New Roman" w:hAnsi="Times New Roman"/>
          <w:sz w:val="18"/>
          <w:szCs w:val="18"/>
          <w:color w:val="auto"/>
        </w:rPr>
      </w:pPr>
    </w:p>
    <w:p>
      <w:pPr>
        <w:ind w:left="740" w:right="500" w:hanging="368"/>
        <w:spacing w:after="0" w:line="267"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perquisites or tax gross-ups</w:t>
      </w:r>
      <w:r>
        <w:rPr>
          <w:rFonts w:ascii="Times New Roman" w:cs="Times New Roman" w:eastAsia="Times New Roman" w:hAnsi="Times New Roman"/>
          <w:sz w:val="18"/>
          <w:szCs w:val="18"/>
          <w:color w:val="auto"/>
        </w:rPr>
        <w:t>. We have no structured perquisite benefits nor do we provide supplemental pensions to any of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we do not use tax gross-ups, guaranteed bonuses, “single-trigger” benefits payable upon a change in control without a corresponding separation from service, or similar pay practices.</w:t>
      </w:r>
    </w:p>
    <w:p>
      <w:pPr>
        <w:spacing w:after="0" w:line="65" w:lineRule="exact"/>
        <w:rPr>
          <w:rFonts w:ascii="Times New Roman" w:cs="Times New Roman" w:eastAsia="Times New Roman" w:hAnsi="Times New Roman"/>
          <w:sz w:val="18"/>
          <w:szCs w:val="18"/>
          <w:color w:val="auto"/>
        </w:rPr>
      </w:pPr>
    </w:p>
    <w:p>
      <w:pPr>
        <w:ind w:left="740" w:right="40" w:hanging="368"/>
        <w:spacing w:after="0" w:line="258"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stock ownership policy. </w:t>
      </w:r>
      <w:r>
        <w:rPr>
          <w:rFonts w:ascii="Times New Roman" w:cs="Times New Roman" w:eastAsia="Times New Roman" w:hAnsi="Times New Roman"/>
          <w:sz w:val="18"/>
          <w:szCs w:val="18"/>
          <w:color w:val="auto"/>
        </w:rPr>
        <w:t>We have an executive stock ownership policy designed to align our executive officers’ long-term interests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of our stockholders and to discourage excessive risk taking. The policy requires our CEO to achieve a stock ownership level of four times base salary, while the other executive officers must achieve stock ownership levels of two times base salary. Executive officers who have not achieved the ownership requirements within five years may be restricted from selling their shares or may receive salary or bonus payments in stock rather than cash until they are in compliance.</w:t>
      </w:r>
    </w:p>
    <w:p>
      <w:pPr>
        <w:spacing w:after="0" w:line="75" w:lineRule="exact"/>
        <w:rPr>
          <w:rFonts w:ascii="Times New Roman" w:cs="Times New Roman" w:eastAsia="Times New Roman" w:hAnsi="Times New Roman"/>
          <w:sz w:val="18"/>
          <w:szCs w:val="18"/>
          <w:color w:val="auto"/>
        </w:rPr>
      </w:pPr>
    </w:p>
    <w:p>
      <w:pPr>
        <w:ind w:left="740" w:right="20" w:hanging="368"/>
        <w:spacing w:after="0" w:line="267"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compensation recovery policy (“clawback”). </w:t>
      </w:r>
      <w:r>
        <w:rPr>
          <w:rFonts w:ascii="Times New Roman" w:cs="Times New Roman" w:eastAsia="Times New Roman" w:hAnsi="Times New Roman"/>
          <w:sz w:val="18"/>
          <w:szCs w:val="18"/>
          <w:color w:val="auto"/>
        </w:rPr>
        <w:t>Our incentive recoupment policy provides that all incentive compensation awarded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may be recovered in the event of any material financial restatement with the executive at fault as well as in the event of any fraud or willful misconduct.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Commitment to Strong Governance Standards</w:t>
      </w:r>
    </w:p>
    <w:p>
      <w:pPr>
        <w:spacing w:after="0" w:line="121"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We are committed to adopting and maintaining good corporate governance standards with respect to our compensation programs, procedures and practices. As such, our practices include the following:</w:t>
      </w:r>
    </w:p>
    <w:p>
      <w:pPr>
        <w:spacing w:after="0" w:line="52" w:lineRule="exact"/>
        <w:rPr>
          <w:sz w:val="20"/>
          <w:szCs w:val="20"/>
          <w:color w:val="auto"/>
        </w:rPr>
      </w:pPr>
    </w:p>
    <w:p>
      <w:pPr>
        <w:ind w:left="740" w:right="740" w:hanging="368"/>
        <w:spacing w:after="0" w:line="284"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compensation committee. </w:t>
      </w:r>
      <w:r>
        <w:rPr>
          <w:rFonts w:ascii="Times New Roman" w:cs="Times New Roman" w:eastAsia="Times New Roman" w:hAnsi="Times New Roman"/>
          <w:sz w:val="18"/>
          <w:szCs w:val="18"/>
          <w:color w:val="auto"/>
        </w:rPr>
        <w:t>Our Compensation Committee designs and oversees our executive compensation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is comprised entirely of independent directors.</w:t>
      </w:r>
    </w:p>
    <w:p>
      <w:pPr>
        <w:spacing w:after="0" w:line="50" w:lineRule="exact"/>
        <w:rPr>
          <w:rFonts w:ascii="Times New Roman" w:cs="Times New Roman" w:eastAsia="Times New Roman" w:hAnsi="Times New Roman"/>
          <w:sz w:val="18"/>
          <w:szCs w:val="18"/>
          <w:color w:val="auto"/>
        </w:rPr>
      </w:pPr>
    </w:p>
    <w:p>
      <w:pPr>
        <w:ind w:left="740" w:right="420" w:hanging="368"/>
        <w:spacing w:after="0" w:line="26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goals. </w:t>
      </w:r>
      <w:r>
        <w:rPr>
          <w:rFonts w:ascii="Times New Roman" w:cs="Times New Roman" w:eastAsia="Times New Roman" w:hAnsi="Times New Roman"/>
          <w:sz w:val="18"/>
          <w:szCs w:val="18"/>
          <w:color w:val="auto"/>
        </w:rPr>
        <w:t>A material portion of executive compensation is in the form of performance-based annual cash and long-term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that are earned upon the attainment of pre-established financial or operational objectives. These objectives are tied directly to the Company’s measurable performance and designed to align the interests of our executives with those of our stockholders.</w:t>
      </w:r>
    </w:p>
    <w:p>
      <w:pPr>
        <w:spacing w:after="0" w:line="65" w:lineRule="exact"/>
        <w:rPr>
          <w:rFonts w:ascii="Times New Roman" w:cs="Times New Roman" w:eastAsia="Times New Roman" w:hAnsi="Times New Roman"/>
          <w:sz w:val="18"/>
          <w:szCs w:val="18"/>
          <w:color w:val="auto"/>
        </w:rPr>
      </w:pPr>
    </w:p>
    <w:p>
      <w:pPr>
        <w:ind w:left="740" w:right="360" w:hanging="368"/>
        <w:spacing w:after="0" w:line="26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to engage independent consultants. </w:t>
      </w:r>
      <w:r>
        <w:rPr>
          <w:rFonts w:ascii="Times New Roman" w:cs="Times New Roman" w:eastAsia="Times New Roman" w:hAnsi="Times New Roman"/>
          <w:sz w:val="18"/>
          <w:szCs w:val="18"/>
          <w:color w:val="auto"/>
        </w:rPr>
        <w:t>Our Compensation Committee has the authority to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legal counsel or other advisers to assist in designing and assessing our executive compensation programs and pay practices. Our current independent compensation consultant is Mercer LLC.</w:t>
      </w:r>
    </w:p>
    <w:p>
      <w:pPr>
        <w:spacing w:after="0" w:line="65" w:lineRule="exact"/>
        <w:rPr>
          <w:rFonts w:ascii="Times New Roman" w:cs="Times New Roman" w:eastAsia="Times New Roman" w:hAnsi="Times New Roman"/>
          <w:sz w:val="18"/>
          <w:szCs w:val="18"/>
          <w:color w:val="auto"/>
        </w:rPr>
      </w:pPr>
    </w:p>
    <w:p>
      <w:pPr>
        <w:ind w:left="740" w:right="320" w:hanging="368"/>
        <w:spacing w:after="0" w:line="284"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on speculative trading. </w:t>
      </w:r>
      <w:r>
        <w:rPr>
          <w:rFonts w:ascii="Times New Roman" w:cs="Times New Roman" w:eastAsia="Times New Roman" w:hAnsi="Times New Roman"/>
          <w:sz w:val="18"/>
          <w:szCs w:val="18"/>
          <w:color w:val="auto"/>
        </w:rPr>
        <w:t>Board members, officers and employees are prohibited under the Company’s insider Trading Policy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short-term or speculative transactions in our common stock or other securities.</w:t>
      </w:r>
    </w:p>
    <w:p>
      <w:pPr>
        <w:spacing w:after="0" w:line="50" w:lineRule="exact"/>
        <w:rPr>
          <w:rFonts w:ascii="Times New Roman" w:cs="Times New Roman" w:eastAsia="Times New Roman" w:hAnsi="Times New Roman"/>
          <w:sz w:val="18"/>
          <w:szCs w:val="18"/>
          <w:color w:val="auto"/>
        </w:rPr>
      </w:pPr>
    </w:p>
    <w:p>
      <w:pPr>
        <w:ind w:left="740" w:right="40" w:hanging="368"/>
        <w:spacing w:after="0" w:line="25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say-on-pay advisory vote. </w:t>
      </w:r>
      <w:r>
        <w:rPr>
          <w:rFonts w:ascii="Times New Roman" w:cs="Times New Roman" w:eastAsia="Times New Roman" w:hAnsi="Times New Roman"/>
          <w:sz w:val="18"/>
          <w:szCs w:val="18"/>
          <w:color w:val="auto"/>
        </w:rPr>
        <w:t>Since 2011, we have held annual say-on-pay advisory votes in accordance with good governance practices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accountability to our stockholders. The results of our say-on-pay advisory votes , combined with input from investors have helped us to design awards of long-term compensation to executive officers that will pay out, if at all, in proportion to the Company’s total stockholder return relative to a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Required Vote and Board of Directors Recommendation</w:t>
      </w:r>
    </w:p>
    <w:p>
      <w:pPr>
        <w:spacing w:after="0" w:line="116"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At the 2017 Annual Meeting of Stockholders, our stockholders indicated their preference that the Company solicit a non-binding advisory vote on the compensation of the named executive officers every year. The Board has adopted a policy that is consistent with that preference. In accordance with that policy, this year, we are again asking our stockholders to support the compensation of the Company’s named executive officers as described in this proxy statement by casting a non-binding advisory vote “FOR” the following resolution:</w:t>
      </w:r>
    </w:p>
    <w:p>
      <w:pPr>
        <w:spacing w:after="0" w:line="180" w:lineRule="exact"/>
        <w:rPr>
          <w:sz w:val="20"/>
          <w:szCs w:val="20"/>
          <w:color w:val="auto"/>
        </w:rPr>
      </w:pPr>
    </w:p>
    <w:p>
      <w:pPr>
        <w:ind w:right="80" w:firstLine="416"/>
        <w:spacing w:after="0" w:line="289" w:lineRule="auto"/>
        <w:rPr>
          <w:sz w:val="20"/>
          <w:szCs w:val="20"/>
          <w:color w:val="auto"/>
        </w:rPr>
      </w:pPr>
      <w:r>
        <w:rPr>
          <w:rFonts w:ascii="Times New Roman" w:cs="Times New Roman" w:eastAsia="Times New Roman" w:hAnsi="Times New Roman"/>
          <w:sz w:val="17"/>
          <w:szCs w:val="17"/>
          <w:color w:val="auto"/>
        </w:rPr>
        <w:t>“RESOLVED, that the Company’s stockholders approve, on an advisory basis, the compensation of the named executive officers, as disclosed in the Company’s Proxy Statement for the 2022 Annual Meeting of Stockholders pursuant to the compensation disclosure rules of the Securities and Exchange Commission, including the Compensation Discussion and Analysis, the 2021 Summary Compensation Table and the other related tables and disclosure.”</w:t>
      </w:r>
    </w:p>
    <w:p>
      <w:pPr>
        <w:spacing w:after="0" w:line="158"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While this advisory vote on executive compensation is non-binding, the Board of Directors and the Compensation Committee, which is responsible for designing and administering the Company’s executive compensation program, will review the voting results and consider the outcome of the vote when making future compensation decisions for named executive officers.</w:t>
      </w:r>
    </w:p>
    <w:p>
      <w:pPr>
        <w:spacing w:after="0" w:line="176"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Unless the Board decides to modify its policy regarding the frequency of soliciting say-on-pay votes, the next scheduled say-on-pay vote will be at the 2023 Annual Meeting of Stockholders.</w:t>
      </w:r>
    </w:p>
    <w:p>
      <w:pPr>
        <w:spacing w:after="0" w:line="162" w:lineRule="exact"/>
        <w:rPr>
          <w:sz w:val="20"/>
          <w:szCs w:val="20"/>
          <w:color w:val="auto"/>
        </w:rPr>
      </w:pPr>
    </w:p>
    <w:p>
      <w:pPr>
        <w:jc w:val="both"/>
        <w:ind w:right="320" w:firstLine="416"/>
        <w:spacing w:after="0" w:line="266" w:lineRule="auto"/>
        <w:rPr>
          <w:sz w:val="20"/>
          <w:szCs w:val="20"/>
          <w:color w:val="auto"/>
        </w:rPr>
      </w:pPr>
      <w:r>
        <w:rPr>
          <w:rFonts w:ascii="Times New Roman" w:cs="Times New Roman" w:eastAsia="Times New Roman" w:hAnsi="Times New Roman"/>
          <w:sz w:val="18"/>
          <w:szCs w:val="18"/>
          <w:color w:val="auto"/>
        </w:rPr>
        <w:t>Approval of Proposal 2 requires the affirmative vote of a majority of the shares present or represented by proxy and entitled to vote at the Annual Meeting. Abstentions will be counted toward the tabulation of votes cast on the proposal and will have the same effect as “Against” votes. Broker non-votes are counted towards a quorum, but will have no effect on the outcome of the vote.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4" w:name="page25"/>
    <w:bookmarkEnd w:id="24"/>
    <w:p>
      <w:pPr>
        <w:ind w:left="120"/>
        <w:spacing w:after="0"/>
        <w:rPr>
          <w:sz w:val="20"/>
          <w:szCs w:val="20"/>
          <w:color w:val="auto"/>
        </w:rPr>
      </w:pPr>
      <w:r>
        <w:rPr>
          <w:rFonts w:ascii="Times New Roman" w:cs="Times New Roman" w:eastAsia="Times New Roman" w:hAnsi="Times New Roman"/>
          <w:sz w:val="58"/>
          <w:szCs w:val="58"/>
          <w:b w:val="1"/>
          <w:bCs w:val="1"/>
          <w:color w:val="FFFFFF"/>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574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74675"/>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380"/>
        <w:spacing w:after="0" w:line="287" w:lineRule="auto"/>
        <w:rPr>
          <w:sz w:val="20"/>
          <w:szCs w:val="20"/>
          <w:color w:val="auto"/>
        </w:rPr>
      </w:pPr>
      <w:r>
        <w:rPr>
          <w:rFonts w:ascii="Times New Roman" w:cs="Times New Roman" w:eastAsia="Times New Roman" w:hAnsi="Times New Roman"/>
          <w:sz w:val="25"/>
          <w:szCs w:val="25"/>
          <w:b w:val="1"/>
          <w:bCs w:val="1"/>
          <w:color w:val="auto"/>
        </w:rPr>
        <w:t>RATIFICATION OF SELECTION OF DELOITTE &amp; TOUCHE LLP AS INDEPENDENT REGISTERED PUBLIC ACCOUNTING FIRM</w:t>
      </w:r>
    </w:p>
    <w:p>
      <w:pPr>
        <w:spacing w:after="0" w:line="25" w:lineRule="exact"/>
        <w:rPr>
          <w:sz w:val="20"/>
          <w:szCs w:val="20"/>
          <w:color w:val="auto"/>
        </w:rPr>
      </w:pPr>
    </w:p>
    <w:p>
      <w:pPr>
        <w:ind w:right="280" w:firstLine="416"/>
        <w:spacing w:after="0" w:line="266" w:lineRule="auto"/>
        <w:rPr>
          <w:sz w:val="20"/>
          <w:szCs w:val="20"/>
          <w:color w:val="auto"/>
        </w:rPr>
      </w:pPr>
      <w:r>
        <w:rPr>
          <w:rFonts w:ascii="Times New Roman" w:cs="Times New Roman" w:eastAsia="Times New Roman" w:hAnsi="Times New Roman"/>
          <w:sz w:val="18"/>
          <w:szCs w:val="18"/>
          <w:color w:val="auto"/>
        </w:rPr>
        <w:t>The Audit Committee has selected Deloitte &amp; Touche LLP (“Deloitte”), as the Company’s independent registered public accounting firm for the fiscal year ending December 31, 2022 and has directed management to submit the selection of Deloitte for ratification by the stockholders at the Annual Meeting.</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Deloitte has served as the Company’s independent auditor since 2001. Representatives of Deloitte are expected to be present at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will have an opportunity to make a statement if they so desire and will be available to respond to appropriate questions.</w:t>
      </w:r>
    </w:p>
    <w:p>
      <w:pPr>
        <w:spacing w:after="0" w:line="207"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Stockholder ratification of the selection of Deloitte as our independent registered public accounting firm is not required by our Amended and Restated Bylaws or otherwise. The Board of Directors is seeking such ratification as a matter of good corporate practice. If the stockholders fail to ratify the selection of Deloitte as our independent registered public accounting firm, the Audit Committee will consider whether to retain that firm for the fiscal year ending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right="360" w:firstLine="416"/>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2021 and 2020 by Deloitte and its subsidiaries, the affiliates of Deloitte &amp; Touche LLP, Deloitte Touche Tohmatsu Limited and its member firm (collectively, the Deloitte entities). All of these entities collectively represent the Company’s principal accounting firm.</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862,991</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816,805</w:t>
            </w:r>
          </w:p>
        </w:tc>
        <w:tc>
          <w:tcPr>
            <w:tcW w:w="120" w:type="dxa"/>
            <w:vAlign w:val="bottom"/>
            <w:shd w:val="clear" w:color="auto" w:fill="CCEEFF"/>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(2)</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53,375</w:t>
            </w:r>
          </w:p>
        </w:tc>
        <w:tc>
          <w:tcPr>
            <w:tcW w:w="120" w:type="dxa"/>
            <w:vAlign w:val="bottom"/>
          </w:tcPr>
          <w:p>
            <w:pPr>
              <w:spacing w:after="0"/>
              <w:rPr>
                <w:sz w:val="19"/>
                <w:szCs w:val="19"/>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9"/>
                <w:szCs w:val="19"/>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867,886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872,075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-593725</wp:posOffset>
            </wp:positionV>
            <wp:extent cx="111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1165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55" w:lineRule="exact"/>
        <w:rPr>
          <w:sz w:val="20"/>
          <w:szCs w:val="20"/>
          <w:color w:val="auto"/>
        </w:rPr>
      </w:pPr>
    </w:p>
    <w:p>
      <w:pPr>
        <w:ind w:left="420" w:right="420" w:hanging="412"/>
        <w:spacing w:after="0" w:line="250" w:lineRule="auto"/>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fees billed for professional services rendered for the reviews and audit of our consolidated financial statements and internal control over financial reporting including related regulatory filings and related comfort letters on such.</w:t>
      </w:r>
    </w:p>
    <w:p>
      <w:pPr>
        <w:spacing w:after="0" w:line="83" w:lineRule="exact"/>
        <w:rPr>
          <w:rFonts w:ascii="Times New Roman" w:cs="Times New Roman" w:eastAsia="Times New Roman" w:hAnsi="Times New Roman"/>
          <w:sz w:val="14"/>
          <w:szCs w:val="14"/>
          <w:color w:val="auto"/>
        </w:rPr>
      </w:pPr>
    </w:p>
    <w:p>
      <w:pPr>
        <w:ind w:left="420" w:right="60" w:hanging="412"/>
        <w:spacing w:after="0" w:line="180" w:lineRule="auto"/>
        <w:tabs>
          <w:tab w:leader="none" w:pos="420" w:val="left"/>
        </w:tabs>
        <w:numPr>
          <w:ilvl w:val="0"/>
          <w:numId w:val="20"/>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Represents the aggregate fees for professional services rendered for tax compliance, tax advice, and tax planning. These fees in 2021 represent fees for tax compliance services including the preparation of foreign tax returns. These fees in 2020 represent fees for (i) tax compliance services including the preparation of federal, foreign, state, and local tax returns, extensions, and estimated tax payments, and (ii) ownership analysis under Section 382.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Deloitte and the Deloitte entities. The policy generally pre-approves specified services in the defined categories of audit services, audit-related services, tax services and other services up to specified amounts. Pre-approval may also be given on an individual explicit case-by-case basis before the independent principal accounting firm is engaged to provide each service. The pre-approval of services may be delegated to one or more of the Audit Committee’s members, but the decision must be reported to the full Audit Committee at its next scheduled meeting. The delegation of pre-approval of services is limited to non-audit services, as set forth in the Audit Committee Charter.</w:t>
      </w:r>
    </w:p>
    <w:p>
      <w:pPr>
        <w:spacing w:after="0" w:line="187"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by the Deloitte entities of the non-audit services described above was allowed under Rule 2-01(c)(4) of Regulation S-X and was compatible with maintaining the independence of the registered public accountants and has concluded that the Deloitte entities were and are independent of us in all respects.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majority of the shares present in person or by proxy and entitled to vote at the Annual Meeting is required for approval of this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proposal. Abstentions will be counted toward the tabulation of votes cast on the proposal and will have the same effect as “Against” votes. Broker non-votes, if any, are counted towards a quorum, but will have no effect on the outcome of the vote.</w:t>
      </w:r>
    </w:p>
    <w:p>
      <w:pPr>
        <w:spacing w:after="0" w:line="3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 VOTE “FOR” PROPOSAL 3</w:t>
      </w: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320" w:top="441" w:right="6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right="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by any general statement incorporating by reference this proxy statement into any filing of MannKind under the Securities Act or the Exchange Act, except to the extent MannKind specifically incorporates this report by reference.</w:t>
      </w:r>
    </w:p>
    <w:p>
      <w:pPr>
        <w:spacing w:after="0" w:line="175"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financial statements in the Annual Report with Company management, including a discussion on the quality, not just the acceptability, of the accounting principles; the reasonableness of significant judgments; and the clarity of the disclosures within the financial statements.</w:t>
      </w:r>
    </w:p>
    <w:p>
      <w:pPr>
        <w:spacing w:after="0" w:line="183" w:lineRule="exact"/>
        <w:rPr>
          <w:sz w:val="20"/>
          <w:szCs w:val="20"/>
          <w:color w:val="auto"/>
        </w:rPr>
      </w:pPr>
    </w:p>
    <w:p>
      <w:pPr>
        <w:ind w:right="560" w:firstLine="416"/>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recognizes the importance of maintaining the independence of the Company’s independent auditor, both in fact and appearance. In fulfilling its oversight responsibility as to the audit process, the Audit Committee obtained from Deloitte &amp; Touche LLP the written disclosures and the letter describing all relationships between MannKind and its independent auditors that might bear on the auditors’ independence consistent with applicable requirements of the Public Company Accounting Oversight Board (“PCAOB”) Rule 3526, </w:t>
      </w:r>
      <w:r>
        <w:rPr>
          <w:rFonts w:ascii="Times New Roman" w:cs="Times New Roman" w:eastAsia="Times New Roman" w:hAnsi="Times New Roman"/>
          <w:sz w:val="18"/>
          <w:szCs w:val="18"/>
          <w:i w:val="1"/>
          <w:iCs w:val="1"/>
          <w:color w:val="auto"/>
        </w:rPr>
        <w:t>Communication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 Concerning Independence</w:t>
      </w:r>
      <w:r>
        <w:rPr>
          <w:rFonts w:ascii="Times New Roman" w:cs="Times New Roman" w:eastAsia="Times New Roman" w:hAnsi="Times New Roman"/>
          <w:sz w:val="18"/>
          <w:szCs w:val="18"/>
          <w:color w:val="auto"/>
        </w:rPr>
        <w:t>. The Audit Committee has discussed Deloitte’s independence with Company management and Deloitte,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compatibility of non-audit services with the independent auditor’s independence.</w:t>
      </w:r>
    </w:p>
    <w:p>
      <w:pPr>
        <w:spacing w:after="0" w:line="187"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The Audit Committee Charter provides that one duty of the Audit Committee is to determine whether to retain or to terminate MannKind’s existing auditors or to appoint and engage new auditors for the ensuing year. In performing that duty, the Audit Committee evaluated the performance of Deloitte in performing the examination of MannKind’s financial statements for the fiscal year ended December 31, 2021, considered the auditors’ technical expertise and knowledge of the Company’s operation and industry, and considered auditors’ independence, objectivity, and professional skepticism. Based on this evaluation, the Audit Committee determined to engage Deloitte as MannKind’s independent auditors for the fiscal year ending December 31, 2022.</w:t>
      </w:r>
    </w:p>
    <w:p>
      <w:pPr>
        <w:spacing w:after="0" w:line="183"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Audit Committee discussed with Deloitte the matters required to be discussed by the applicable PCAOB standards and the SEC. In addition, with and without management present, the Audit Committee discussed and reviewed MannKind’s financial statements and the results of Deloitte’s audit of MannKind’s financial statements and internal control. Based upon the Audit Committee’s discussion with management and Deloitte and the Audit Committee’s review of MannKind’s financial statements, the representations of MannKind’s management and the independent auditors’ report to the Audit Committee, the Audit Committee recommended to the Board of Directors that MannKind include the audited financial statements in its Annual Report on Form 10-K for the fiscal year ended December 31, 2021, for filing with the SEC.</w:t>
      </w:r>
    </w:p>
    <w:p>
      <w:pPr>
        <w:spacing w:after="0" w:line="3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Ronald J. Consiglio, Audit Committee Chair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Jennifer Grancio, Audit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Anthony Hooper, Audit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Sabrina Kay, Audit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Christine Mundkur, Audit Committee Member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ind w:left="420" w:right="3620" w:firstLine="3211"/>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EXECUTIVE OFFICERS OF THE REGISTRANT </w:t>
      </w:r>
      <w:r>
        <w:rPr>
          <w:rFonts w:ascii="Times New Roman" w:cs="Times New Roman" w:eastAsia="Times New Roman" w:hAnsi="Times New Roman"/>
          <w:sz w:val="18"/>
          <w:szCs w:val="18"/>
          <w:color w:val="auto"/>
        </w:rPr>
        <w:t>The following table sets forth our current executive officers and their ages: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96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23"/>
        </w:trPr>
        <w:tc>
          <w:tcPr>
            <w:tcW w:w="38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 Pharm.D.</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Borders>
              <w:top w:val="single" w:sz="8" w:color="CFF0FC"/>
            </w:tcBorders>
            <w:shd w:val="clear" w:color="auto" w:fill="CFF0FC"/>
          </w:tcPr>
          <w:p>
            <w:pPr>
              <w:spacing w:after="0"/>
              <w:rPr>
                <w:sz w:val="19"/>
                <w:szCs w:val="19"/>
                <w:color w:val="auto"/>
              </w:rPr>
            </w:pPr>
          </w:p>
        </w:tc>
        <w:tc>
          <w:tcPr>
            <w:tcW w:w="5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4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Alejandro Galindo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shd w:val="clear" w:color="auto" w:fill="CFF0FC"/>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EVP Endocrine Business Unit</w:t>
            </w:r>
          </w:p>
        </w:tc>
      </w:tr>
      <w:tr>
        <w:trPr>
          <w:trHeight w:val="229"/>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Kocinsky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4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B. Thomson, Ph.D., J.D.</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shd w:val="clear" w:color="auto" w:fill="CFF0FC"/>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4"/>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Stuart A. Tross, Ph.D.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and Workplace Officer</w:t>
            </w:r>
          </w:p>
        </w:tc>
      </w:tr>
      <w:tr>
        <w:trPr>
          <w:trHeight w:val="130"/>
        </w:trPr>
        <w:tc>
          <w:tcPr>
            <w:tcW w:w="1840" w:type="dxa"/>
            <w:vAlign w:val="bottom"/>
            <w:tcBorders>
              <w:bottom w:val="single" w:sz="8" w:color="auto"/>
            </w:tcBorders>
          </w:tcPr>
          <w:p>
            <w:pPr>
              <w:spacing w:after="0"/>
              <w:rPr>
                <w:sz w:val="11"/>
                <w:szCs w:val="11"/>
                <w:color w:val="auto"/>
              </w:rPr>
            </w:pPr>
          </w:p>
        </w:tc>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960" w:type="dxa"/>
            <w:vAlign w:val="bottom"/>
          </w:tcPr>
          <w:p>
            <w:pPr>
              <w:spacing w:after="0"/>
              <w:rPr>
                <w:sz w:val="11"/>
                <w:szCs w:val="11"/>
                <w:color w:val="auto"/>
              </w:rPr>
            </w:pPr>
          </w:p>
        </w:tc>
      </w:tr>
    </w:tbl>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Michael E. Castagna, Pharm.D</w:t>
      </w:r>
      <w:r>
        <w:rPr>
          <w:rFonts w:ascii="Times New Roman" w:cs="Times New Roman" w:eastAsia="Times New Roman" w:hAnsi="Times New Roman"/>
          <w:sz w:val="18"/>
          <w:szCs w:val="18"/>
          <w:color w:val="auto"/>
        </w:rPr>
        <w:t>. Mr. Castagna’s biographical information is included under Proposal 1 above.</w:t>
      </w:r>
    </w:p>
    <w:p>
      <w:pPr>
        <w:spacing w:after="0" w:line="225" w:lineRule="exact"/>
        <w:rPr>
          <w:sz w:val="20"/>
          <w:szCs w:val="20"/>
          <w:color w:val="auto"/>
        </w:rPr>
      </w:pPr>
    </w:p>
    <w:p>
      <w:pPr>
        <w:ind w:right="20" w:firstLine="416"/>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Steven B. Binder </w:t>
      </w:r>
      <w:r>
        <w:rPr>
          <w:rFonts w:ascii="Times New Roman" w:cs="Times New Roman" w:eastAsia="Times New Roman" w:hAnsi="Times New Roman"/>
          <w:sz w:val="17"/>
          <w:szCs w:val="17"/>
          <w:color w:val="auto"/>
        </w:rPr>
        <w:t>has been our Chief Financial Officer since July 2017. Before joining us, since 2013 Mr. Binder served as Vice President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Officer of the International Group of Stryker Corporation, a leading global medical technology company, based in Singapore. Prior to Stryker, Mr. Binder served in a series of senior leadership roles at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degree in Accounting and Business Administration from Muhlenberg College and is a Certified Public Accountant.</w:t>
      </w:r>
    </w:p>
    <w:p>
      <w:pPr>
        <w:spacing w:after="0" w:line="173"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Alejandro Galindo </w:t>
      </w:r>
      <w:r>
        <w:rPr>
          <w:rFonts w:ascii="Times New Roman" w:cs="Times New Roman" w:eastAsia="Times New Roman" w:hAnsi="Times New Roman"/>
          <w:sz w:val="18"/>
          <w:szCs w:val="18"/>
          <w:color w:val="auto"/>
        </w:rPr>
        <w:t>has been our Executive Vice President, Endocrine Business Unit since March 2022 and previously our Chief Commercial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joining us in August 2020. Before joining us, he spent the past six years at Medtronic plc, a global leader in medical technology, services, and solutions, as Vice President and President of the Advanced Insulin Management Business Unit, where he led a fast-paced, double-digit growth global business within their diabetes division. Prior to Medtronic, Mr. Galindo spent nine years at General Electric (GE) Healthcare in a variety of leadership roles, leading emerging markets, strategic corporate development and global supply chain operations. Prior to joining GE’s Healthcare division, he spent eleven years in various global leadership positions for the company’s energy and appliance sectors, overseeing advanced manufacturing engineering and product development. Mr. Galindo received a B.Sc. in Industrial &amp; Systems Engineering from Monterrey Institute of Technology, Mexico and M.B.A. and M.S. degrees from Indiana University.</w:t>
      </w:r>
    </w:p>
    <w:p>
      <w:pPr>
        <w:spacing w:after="0" w:line="185" w:lineRule="exact"/>
        <w:rPr>
          <w:sz w:val="20"/>
          <w:szCs w:val="20"/>
          <w:color w:val="auto"/>
        </w:rPr>
      </w:pPr>
    </w:p>
    <w:p>
      <w:pPr>
        <w:ind w:right="30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Joseph Kocinsky </w:t>
      </w:r>
      <w:r>
        <w:rPr>
          <w:rFonts w:ascii="Times New Roman" w:cs="Times New Roman" w:eastAsia="Times New Roman" w:hAnsi="Times New Roman"/>
          <w:sz w:val="18"/>
          <w:szCs w:val="18"/>
          <w:color w:val="auto"/>
        </w:rPr>
        <w:t>has been our Chief Technology Officer since October 2015. Mr. Kocinsky has over 30 years’ experience in the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in technical operations and product development. Prior to joining us in 2003, he held a variety of technical and management positions with increased responsibility at Schering-Plough Corp. Mr. Kocinsky holds a bachelor’s degree in chemical engineering and a master’s degree in Biomedical Engineering from New Jersey Institute of Technology and a master’s degree in Business Administration from Seton Hall University.</w:t>
      </w:r>
    </w:p>
    <w:p>
      <w:pPr>
        <w:spacing w:after="0" w:line="180" w:lineRule="exact"/>
        <w:rPr>
          <w:sz w:val="20"/>
          <w:szCs w:val="20"/>
          <w:color w:val="auto"/>
        </w:rPr>
      </w:pPr>
    </w:p>
    <w:p>
      <w:pPr>
        <w:ind w:right="200" w:firstLine="416"/>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David B. Thomson, Ph.D., J.D. </w:t>
      </w:r>
      <w:r>
        <w:rPr>
          <w:rFonts w:ascii="Times New Roman" w:cs="Times New Roman" w:eastAsia="Times New Roman" w:hAnsi="Times New Roman"/>
          <w:sz w:val="17"/>
          <w:szCs w:val="17"/>
          <w:color w:val="auto"/>
        </w:rPr>
        <w:t>has been our General Counsel and Corporate Secretary since January 2002. Prior to joining us, he practiced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corporate/commercial and securities law at a major Toronto law firm. Earlier in his career, Mr. Thomson was a post-doctoral fellow at the Rockefeller University. Mr. Thomson obtained his B.S degree, M Sc. degree and Ph.D. from Queens University and obtained his J.D. from the University of Toronto.</w:t>
      </w:r>
    </w:p>
    <w:p>
      <w:pPr>
        <w:spacing w:after="0" w:line="155" w:lineRule="exact"/>
        <w:rPr>
          <w:sz w:val="20"/>
          <w:szCs w:val="20"/>
          <w:color w:val="auto"/>
        </w:rPr>
      </w:pPr>
    </w:p>
    <w:p>
      <w:pPr>
        <w:ind w:right="20"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Stuart A. Tross, Ph.D. </w:t>
      </w:r>
      <w:r>
        <w:rPr>
          <w:rFonts w:ascii="Times New Roman" w:cs="Times New Roman" w:eastAsia="Times New Roman" w:hAnsi="Times New Roman"/>
          <w:sz w:val="18"/>
          <w:szCs w:val="18"/>
          <w:color w:val="auto"/>
        </w:rPr>
        <w:t>has been our Chief People and Workplace Officer since December 2016, with responsibilities for human resources,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corporate communications and California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 Vice President and Global Head of Human Resources for Mead Johnson Company. Mr. Tross received a B.S. degree from Cornell University and M.Sc. and Ph.D. degrees in Industrial-Organizational Psychology from the Georgia Institute of Technology.</w:t>
      </w:r>
    </w:p>
    <w:p>
      <w:pPr>
        <w:spacing w:after="0" w:line="184" w:lineRule="exact"/>
        <w:rPr>
          <w:sz w:val="20"/>
          <w:szCs w:val="20"/>
          <w:color w:val="auto"/>
        </w:rPr>
      </w:pPr>
    </w:p>
    <w:p>
      <w:pPr>
        <w:ind w:right="400" w:firstLine="416"/>
        <w:spacing w:after="0" w:line="282" w:lineRule="auto"/>
        <w:rPr>
          <w:sz w:val="20"/>
          <w:szCs w:val="20"/>
          <w:color w:val="auto"/>
        </w:rPr>
      </w:pPr>
      <w:r>
        <w:rPr>
          <w:rFonts w:ascii="Times New Roman" w:cs="Times New Roman" w:eastAsia="Times New Roman" w:hAnsi="Times New Roman"/>
          <w:sz w:val="18"/>
          <w:szCs w:val="18"/>
          <w:color w:val="auto"/>
        </w:rPr>
        <w:t>Executive officers serve at the discretion of our Board of Directors. There are no family relationships between any of our directors and executive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We are pleased to present our report on executive compensation. This report is intended to assist our stockholders in understanding the objectives and procedures used by the Compensation Committee of our Board of Directors in establishing its recommendations to the Board of Directors regarding the compensation of our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80" w:firstLine="416"/>
        <w:spacing w:after="0" w:line="254" w:lineRule="auto"/>
        <w:rPr>
          <w:sz w:val="20"/>
          <w:szCs w:val="20"/>
          <w:color w:val="auto"/>
        </w:rPr>
      </w:pPr>
      <w:r>
        <w:rPr>
          <w:rFonts w:ascii="Times New Roman" w:cs="Times New Roman" w:eastAsia="Times New Roman" w:hAnsi="Times New Roman"/>
          <w:sz w:val="18"/>
          <w:szCs w:val="18"/>
          <w:color w:val="auto"/>
        </w:rPr>
        <w:t>MannKind Corporation is a biopharmaceutical company focused on the development and commercialization of inhaled therapeutic products that address unmet needs in two therapeutic areas: endocrine diseases and orphan lung diseases. Our lead endocrinology product is Afrezza® (insulin human) Inhalation Powder, an ultra rapid-acting inhaled insulin used to improve glycemic control in adults with diabetes. In our orphan lung disease program, the lead product candidate is Tyvaso DPI™, which we licensed to United Therapeutics Corporation (“United Therapeutics” or “UT”) in September 2018. Under the license and collaboration agreement, UT is responsible for global development, regulatory and commercial activities with respect to Tyvaso DPI while we remain responsible for manufacturing clinical and commercial supplies. The dual importance of our endocrinology and orphan lung disease programs is reflected in our consolidated statement of operations, which shows that in 2021 we derived $39.2 million in net revenue from sales of Afrezza and $36.3 million in collaboration and services revenue from our partnership with UT and others.</w:t>
      </w:r>
    </w:p>
    <w:p>
      <w:pPr>
        <w:spacing w:after="0" w:line="192" w:lineRule="exact"/>
        <w:rPr>
          <w:sz w:val="20"/>
          <w:szCs w:val="20"/>
          <w:color w:val="auto"/>
        </w:rPr>
      </w:pPr>
    </w:p>
    <w:p>
      <w:pPr>
        <w:ind w:right="80" w:firstLine="416"/>
        <w:spacing w:after="0" w:line="277" w:lineRule="auto"/>
        <w:rPr>
          <w:sz w:val="20"/>
          <w:szCs w:val="20"/>
          <w:color w:val="auto"/>
        </w:rPr>
      </w:pPr>
      <w:r>
        <w:rPr>
          <w:rFonts w:ascii="Times New Roman" w:cs="Times New Roman" w:eastAsia="Times New Roman" w:hAnsi="Times New Roman"/>
          <w:sz w:val="17"/>
          <w:szCs w:val="17"/>
          <w:color w:val="auto"/>
        </w:rPr>
        <w:t>Our short-term incentive, or STI, compensation plan is designed to reward achievements that are expected to produce positive stockholder returns in the near-term in both operational areas of focus. Other elements of our compensation program, particularly equity compensation, are aimed at rewarding performance of the Company over the longer time periods typically associated with the development cycles of biopharmaceutical products. We place more emphasis on performance-based compensation than on fixed compensation, but we are mindful of the fact that an over-emphasis on at-risk compensation could jeopardize our ability to retain key talent. We discuss below how we use a mix of compensation elements in order to achieve our objectives.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the Executive Compensation Program</w:t>
      </w:r>
    </w:p>
    <w:p>
      <w:pPr>
        <w:spacing w:after="0" w:line="12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 xml:space="preserve">The Compensation Committee is responsible for establishing and administering our policies governing the compensation for our executive officers. The Compensation Committee is composed entirely of independent directors within the meaning of applicable SEC and Nasdaq rules. The Compensation Committee’s responsibilities and duties are outlined in detail in the Compensation Committee charter, which is available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A primary responsibility of the Compensation Committee is to make recommendations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our executive officers, including the determination and confirmation of annual corporate goal achievement for purposes of awarding short-term incentive compensation, to the full Board of Directors for its approval. As part of this process, the Compensation Committee has historically invited our CEO to attend Compensation Committee meetings or portions thereof to obtain his insight and guidance with respect to other executive officers, though the Chief Executive Officer is not a member of the Compensation Committee. The Compensation Committee engages a third-party consulting firm, Mercer LLC, to assist in developing compensation levels and practices and to provide external market data.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The Compensation Committee conducted an independence assessment with respect to Mercer’s role in recommending or determining the amount and form of executive compensation and considered the required six factors. After conducting this assessment, the Compensation Committee concluded that Mercer’s role in recommending or determining the amount and form of execution compensation for the fiscal year ended December 31, 2021 did not raise any conflict of interest.</w:t>
      </w:r>
    </w:p>
    <w:p>
      <w:pPr>
        <w:spacing w:after="0" w:line="196" w:lineRule="exact"/>
        <w:rPr>
          <w:sz w:val="20"/>
          <w:szCs w:val="20"/>
          <w:color w:val="auto"/>
        </w:rPr>
      </w:pPr>
    </w:p>
    <w:p>
      <w:pPr>
        <w:ind w:right="60" w:firstLine="416"/>
        <w:spacing w:after="0" w:line="253" w:lineRule="auto"/>
        <w:rPr>
          <w:sz w:val="20"/>
          <w:szCs w:val="20"/>
          <w:color w:val="auto"/>
        </w:rPr>
      </w:pPr>
      <w:r>
        <w:rPr>
          <w:rFonts w:ascii="Times New Roman" w:cs="Times New Roman" w:eastAsia="Times New Roman" w:hAnsi="Times New Roman"/>
          <w:sz w:val="18"/>
          <w:szCs w:val="18"/>
          <w:color w:val="auto"/>
        </w:rPr>
        <w:t>The Compensation Committee meets outside the presence of our CEO in order to consider the appropriate compensation for, and in setting the compensation of, our CEO. The Compensation Committee relies on compensation data provided by Mercer in setting CEO compensation. The CEO in 2021 did not maintain personal or business relationships (including any interlocking relationships) with any of the Compensation Committee members (outside of their relationship within the Company) that would impair the Compensation Committee members’ ability to remain independent and assess the CEO’s compensation without any conflict of interest. Thus, the determination of the CEO compensation was made without undue influence from the CEO. During 2021, for all other named executive officers, the Compensation Committee met outside the presence of all executive officers except our CEO. The annual performance of each of our executive officers is considered by the Compensation Committee when making decisions regarding base salary, targets for and payments under our STI plan and grants of equity incentive awards. When making recommendations regarding individual executive officers, the Compensation Committee considers the importance of the position to us, the past compensation history of the executive officer and the contributions made by the individual in the past and the contributions we expect the executive officer to make in the future towards the success of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within the context of a compensation philosophy. This philosophy is to provide compensation and benefits programs designed to attract, engage, and retain a high caliber workforce that enables us to compete with companies in the pharmaceutical and biotechnology industries and to reward individual and corporate performance. We believe that a well-designed compensation program for our executive officers should:</w:t>
      </w:r>
    </w:p>
    <w:p>
      <w:pPr>
        <w:spacing w:after="0" w:line="72" w:lineRule="exact"/>
        <w:rPr>
          <w:sz w:val="20"/>
          <w:szCs w:val="20"/>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goals of the executive officer with the goals of our stockholders;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initiative and achievement;</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total compensation that enables us to compete with companies in the pharmaceutical and biotechnology industries; and</w:t>
      </w:r>
    </w:p>
    <w:p>
      <w:pPr>
        <w:spacing w:after="0" w:line="117"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our short-term and long-term corporate objectives and strategy, focusing executive officer behavior on the fulfillment of those objectives.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keeping with this philosophy, our executive compensation program is designed to achieve the following objectives:</w:t>
      </w:r>
    </w:p>
    <w:p>
      <w:pPr>
        <w:spacing w:after="0" w:line="117" w:lineRule="exact"/>
        <w:rPr>
          <w:sz w:val="20"/>
          <w:szCs w:val="20"/>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talented and experienced executives;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executives and employees who are instrumental in accomplishing our corporate goals;</w:t>
      </w:r>
    </w:p>
    <w:p>
      <w:pPr>
        <w:spacing w:after="0" w:line="117" w:lineRule="exact"/>
        <w:rPr>
          <w:rFonts w:ascii="Times New Roman" w:cs="Times New Roman" w:eastAsia="Times New Roman" w:hAnsi="Times New Roman"/>
          <w:sz w:val="18"/>
          <w:szCs w:val="18"/>
          <w:color w:val="auto"/>
        </w:rPr>
      </w:pPr>
    </w:p>
    <w:p>
      <w:pPr>
        <w:ind w:left="740" w:right="400" w:hanging="368"/>
        <w:spacing w:after="0" w:line="282"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and stockholders by motivating executives to increase stockholder value and rewarding executives when stockholder value increases;</w:t>
      </w:r>
    </w:p>
    <w:p>
      <w:pPr>
        <w:spacing w:after="0" w:line="53" w:lineRule="exact"/>
        <w:rPr>
          <w:rFonts w:ascii="Times New Roman" w:cs="Times New Roman" w:eastAsia="Times New Roman" w:hAnsi="Times New Roman"/>
          <w:sz w:val="18"/>
          <w:szCs w:val="18"/>
          <w:color w:val="auto"/>
        </w:rPr>
      </w:pPr>
    </w:p>
    <w:p>
      <w:pPr>
        <w:ind w:left="740" w:right="60" w:hanging="368"/>
        <w:spacing w:after="0" w:line="26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which is weighted towards pay-for-performance (including, when appropriate, long-term incentives such as performance equity awards), and in which total compensation is primarily determined by the Company’s and the individual’s achievement of results;</w:t>
      </w:r>
    </w:p>
    <w:p>
      <w:pPr>
        <w:spacing w:after="0" w:line="6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 Company’s and their individual goals;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to manage our business to meet our long-term objectives.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 Assessment</w:t>
      </w:r>
    </w:p>
    <w:p>
      <w:pPr>
        <w:spacing w:after="0" w:line="121" w:lineRule="exact"/>
        <w:rPr>
          <w:sz w:val="20"/>
          <w:szCs w:val="20"/>
          <w:color w:val="auto"/>
        </w:rPr>
      </w:pPr>
    </w:p>
    <w:p>
      <w:pPr>
        <w:jc w:val="both"/>
        <w:ind w:right="260" w:firstLine="416"/>
        <w:spacing w:after="0" w:line="266" w:lineRule="auto"/>
        <w:rPr>
          <w:sz w:val="20"/>
          <w:szCs w:val="20"/>
          <w:color w:val="auto"/>
        </w:rPr>
      </w:pPr>
      <w:r>
        <w:rPr>
          <w:rFonts w:ascii="Times New Roman" w:cs="Times New Roman" w:eastAsia="Times New Roman" w:hAnsi="Times New Roman"/>
          <w:sz w:val="18"/>
          <w:szCs w:val="18"/>
          <w:color w:val="auto"/>
        </w:rPr>
        <w:t>No less frequently than annually, the Compensation Committee reviews competitive market data to determine if our compensation levels remain at targeted levels and our pay practices are appropriate. These assessments include a review of base salary, STI compensation, and long-term incentive, or LTI, compensation. These components are benchmarked against a group of peer companies.</w:t>
      </w:r>
    </w:p>
    <w:p>
      <w:pPr>
        <w:spacing w:after="0" w:line="176"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Our peer group of similarly situated companies was developed by considering U.S.-based companies in the same industry (biotechnology/pharmaceutical) with similar company characteristics, such as revenue, market capitalization, and number of employees. In addition to these criteria, we consider companies with a similar competitive strategy, including utilizing an internal sales force, and maintaining internal manufacturing capabilities. In order to ensure that we do not exclude potential peers, we also take note of companies considered to be our peers by Institutional Shareholder Services for their benchmarking purposes. We review the list annually to ensure that our peer group is relevant while also striving for year-over-year consistency.</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compensation benchmarking for 2021 compensation decisions, the peer group consisted of the following 12 companies: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Agenus Inc.</w:t>
            </w:r>
          </w:p>
        </w:tc>
        <w:tc>
          <w:tcPr>
            <w:tcW w:w="6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Lexicon Pharmaceuticals Inc.</w:t>
            </w:r>
          </w:p>
        </w:tc>
      </w:tr>
      <w:tr>
        <w:trPr>
          <w:trHeight w:val="324"/>
        </w:trPr>
        <w:tc>
          <w:tcPr>
            <w:tcW w:w="4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Acceleron Pharma Inc.</w:t>
            </w:r>
          </w:p>
        </w:tc>
        <w:tc>
          <w:tcPr>
            <w:tcW w:w="6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Macrogenics Inc.</w:t>
            </w:r>
          </w:p>
        </w:tc>
      </w:tr>
      <w:tr>
        <w:trPr>
          <w:trHeight w:val="324"/>
        </w:trPr>
        <w:tc>
          <w:tcPr>
            <w:tcW w:w="4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Anika Therapeutics, Inc.</w:t>
            </w:r>
          </w:p>
        </w:tc>
        <w:tc>
          <w:tcPr>
            <w:tcW w:w="6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Rigel Pharmaceuticals Inc.</w:t>
            </w:r>
          </w:p>
        </w:tc>
      </w:tr>
      <w:tr>
        <w:trPr>
          <w:trHeight w:val="324"/>
        </w:trPr>
        <w:tc>
          <w:tcPr>
            <w:tcW w:w="4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Dynavax Technologies Inc.</w:t>
            </w:r>
          </w:p>
        </w:tc>
        <w:tc>
          <w:tcPr>
            <w:tcW w:w="6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Seres Therapeutics, Inc.</w:t>
            </w:r>
          </w:p>
        </w:tc>
      </w:tr>
      <w:tr>
        <w:trPr>
          <w:trHeight w:val="324"/>
        </w:trPr>
        <w:tc>
          <w:tcPr>
            <w:tcW w:w="4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Karyopharm Therapeutics Inc.</w:t>
            </w:r>
          </w:p>
        </w:tc>
        <w:tc>
          <w:tcPr>
            <w:tcW w:w="6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Sorrento Therapeutics, Inc.</w:t>
            </w:r>
          </w:p>
        </w:tc>
      </w:tr>
      <w:tr>
        <w:trPr>
          <w:trHeight w:val="324"/>
        </w:trPr>
        <w:tc>
          <w:tcPr>
            <w:tcW w:w="4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La Jolla Pharmaceutical Company</w:t>
            </w:r>
          </w:p>
        </w:tc>
        <w:tc>
          <w:tcPr>
            <w:tcW w:w="69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Vanda Pharmaceuticals Inc.</w:t>
            </w:r>
          </w:p>
        </w:tc>
      </w:tr>
      <w:tr>
        <w:trPr>
          <w:trHeight w:val="486"/>
        </w:trPr>
        <w:tc>
          <w:tcPr>
            <w:tcW w:w="4300" w:type="dxa"/>
            <w:vAlign w:val="bottom"/>
          </w:tcPr>
          <w:p>
            <w:pPr>
              <w:spacing w:after="0"/>
              <w:rPr>
                <w:sz w:val="24"/>
                <w:szCs w:val="24"/>
                <w:color w:val="auto"/>
              </w:rPr>
            </w:pPr>
          </w:p>
        </w:tc>
        <w:tc>
          <w:tcPr>
            <w:tcW w:w="69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26</w:t>
            </w:r>
          </w:p>
        </w:tc>
      </w:tr>
      <w:tr>
        <w:trPr>
          <w:trHeight w:val="115"/>
        </w:trPr>
        <w:tc>
          <w:tcPr>
            <w:tcW w:w="4300" w:type="dxa"/>
            <w:vAlign w:val="bottom"/>
            <w:tcBorders>
              <w:bottom w:val="single" w:sz="8" w:color="9A9A9A"/>
            </w:tcBorders>
          </w:tcPr>
          <w:p>
            <w:pPr>
              <w:spacing w:after="0"/>
              <w:rPr>
                <w:sz w:val="10"/>
                <w:szCs w:val="10"/>
                <w:color w:val="auto"/>
              </w:rPr>
            </w:pPr>
          </w:p>
        </w:tc>
        <w:tc>
          <w:tcPr>
            <w:tcW w:w="6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0" w:name="page31"/>
    <w:bookmarkEnd w:id="30"/>
    <w:p>
      <w:pPr>
        <w:ind w:firstLine="416"/>
        <w:spacing w:after="0" w:line="258" w:lineRule="auto"/>
        <w:rPr>
          <w:sz w:val="20"/>
          <w:szCs w:val="20"/>
          <w:color w:val="auto"/>
        </w:rPr>
      </w:pPr>
      <w:r>
        <w:rPr>
          <w:rFonts w:ascii="Times New Roman" w:cs="Times New Roman" w:eastAsia="Times New Roman" w:hAnsi="Times New Roman"/>
          <w:sz w:val="18"/>
          <w:szCs w:val="18"/>
          <w:color w:val="auto"/>
        </w:rPr>
        <w:t>In accordance with our annual process, the Compensation Committee reviewed our peer group in the first quarter of 2022. Based on data compiled by Mercer and reviewed by the Compensation Committee during this process, the Compensation Committee determined that two companies needed to be removed from the list: Acceleron Pharma Inc., which was acquired in November 2021 and Lexicon Pharmaceuticals Inc., whose business model was no longer aligned with ours. In place of these companies, the Compensation Committee added two companies that satisfied our criteria for peer companies: Sangamo Therapeutics, Inc. and Deciphera Pharmaceutics, Inc. Accordingly, the full 2022 peer group consists of the following companies:</w:t>
      </w:r>
    </w:p>
    <w:p>
      <w:pPr>
        <w:sectPr>
          <w:pgSz w:w="11900" w:h="16838" w:orient="portrait"/>
          <w:cols w:equalWidth="0" w:num="1">
            <w:col w:w="11220"/>
          </w:cols>
          <w:pgMar w:left="320" w:top="553" w:right="359" w:bottom="1440" w:gutter="0" w:footer="0" w:header="0"/>
        </w:sect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Agenus Inc.</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7"/>
          <w:szCs w:val="17"/>
          <w:color w:val="auto"/>
        </w:rPr>
        <w:t>Macrogenics Inc.</w:t>
      </w:r>
    </w:p>
    <w:p>
      <w:pPr>
        <w:spacing w:after="0" w:line="129"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Anika Therapeutics, Inc.</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Times New Roman" w:cs="Times New Roman" w:eastAsia="Times New Roman" w:hAnsi="Times New Roman"/>
          <w:sz w:val="17"/>
          <w:szCs w:val="17"/>
          <w:color w:val="auto"/>
        </w:rPr>
        <w:t>Rigel Pharmaceuticals Inc.</w:t>
      </w:r>
    </w:p>
    <w:p>
      <w:pPr>
        <w:spacing w:after="0" w:line="128"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Deciphera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Sangamo Therapeutics, Inc.</w:t>
      </w:r>
    </w:p>
    <w:p>
      <w:pPr>
        <w:spacing w:after="0" w:line="129"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Dynavax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Seres Therapeutics, Inc.</w:t>
      </w:r>
    </w:p>
    <w:p>
      <w:pPr>
        <w:spacing w:after="0" w:line="129"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Karyopharm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Sorrento Therapeutics, Inc.</w:t>
      </w:r>
    </w:p>
    <w:p>
      <w:pPr>
        <w:spacing w:after="0" w:line="117"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La Jolla Pharmaceutical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Vanda Pharmaceuticals Inc.</w:t>
      </w:r>
    </w:p>
    <w:p>
      <w:pPr>
        <w:spacing w:after="0" w:line="183"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For some executive positions, the peer group data may not be sufficiently robust, or the position may not have an appropriate counterpart at our peer companies. In those cases, we will also consider industry specific and general published survey compensation data, such as the Radford Global Life Sciences Executive Survey.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Positioning</w:t>
      </w:r>
    </w:p>
    <w:p>
      <w:pPr>
        <w:spacing w:after="0" w:line="67"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executive compensation at least annually, establishes competitive compensation levels and designs the compensation program to provide pay commensurate with individual and corporate performance. With support from Mercer, we have targeted total compensation levels for executives at the median of our peer group. We believe this target to be an appropriate level of compensation to attract and retain qualified and capable executives. However, actual compensation may fall above or below this level under a range of circumstances, such as individual and Company performance, tenure with the Company or retention concerns.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the factors listed above, we also consider, among other things:</w:t>
      </w:r>
    </w:p>
    <w:p>
      <w:pPr>
        <w:spacing w:after="0" w:line="117" w:lineRule="exact"/>
        <w:rPr>
          <w:sz w:val="20"/>
          <w:szCs w:val="20"/>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need for the executive officer’s skills;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contributions that the executive officer has made, or we believe will make, to our success;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transferability of the executive officer’s managerial skills to other potential employers;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relevance of the executive officer’s experience to other potential employers, particularly in the pharmaceutical and biotechnology industries.</w:t>
      </w:r>
    </w:p>
    <w:p>
      <w:pPr>
        <w:spacing w:after="0" w:line="237"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In prior years, we have allowed total compensation levels for our named executive officers to fall well below the median of the competitive market, reflecting a restrained compensation philosophy during a period of corporate transformation. As discussed in more detail below, we consider each element of executive compensation and make adjustments as appropriate. We believe our executive compensation packages are reasonable when considering our business strategy, the revenue potential of our business, our compensation philosophy and the competitive market data.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Consideration of Past Say-on-Pay Results</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believe that our annual say-on-pay advisory vote is a good governance practice that allows us to maintain accountability to our stockholders. The result of this advisory vote, particularly in years where support is lower (see table below), can provide valuable insight into the perceptions of our executive compensation programs and areas where we need to improve. This insight can be helpful in guiding the multiple conversations with buy-side institutional investors and sell-side analysts that our management team holds throughout the year. In 2021, we also held a conference call with several dozen retail stockholders who had expressed interest in participating in a Q&amp;A session with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196850</wp:posOffset>
            </wp:positionV>
            <wp:extent cx="2305685"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05685" cy="205740"/>
                    </a:xfrm>
                    <a:prstGeom prst="rect">
                      <a:avLst/>
                    </a:prstGeom>
                    <a:noFill/>
                  </pic:spPr>
                </pic:pic>
              </a:graphicData>
            </a:graphic>
          </wp:anchor>
        </w:drawing>
      </w:r>
    </w:p>
    <w:p>
      <w:pPr>
        <w:spacing w:after="0" w:line="325" w:lineRule="exact"/>
        <w:rPr>
          <w:sz w:val="20"/>
          <w:szCs w:val="20"/>
          <w:color w:val="auto"/>
        </w:rPr>
      </w:pPr>
    </w:p>
    <w:p>
      <w:pPr>
        <w:ind w:left="3800"/>
        <w:spacing w:after="0"/>
        <w:tabs>
          <w:tab w:leader="none" w:pos="5180" w:val="left"/>
        </w:tabs>
        <w:rPr>
          <w:sz w:val="20"/>
          <w:szCs w:val="20"/>
          <w:color w:val="auto"/>
        </w:rPr>
      </w:pP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Say-on-pay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51435</wp:posOffset>
            </wp:positionV>
            <wp:extent cx="23056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11" w:lineRule="exact"/>
        <w:rPr>
          <w:sz w:val="20"/>
          <w:szCs w:val="20"/>
          <w:color w:val="auto"/>
        </w:rPr>
      </w:pPr>
    </w:p>
    <w:p>
      <w:pPr>
        <w:ind w:left="3800"/>
        <w:spacing w:after="0"/>
        <w:tabs>
          <w:tab w:leader="none" w:pos="6140" w:val="left"/>
        </w:tabs>
        <w:rPr>
          <w:sz w:val="20"/>
          <w:szCs w:val="20"/>
          <w:color w:val="auto"/>
        </w:rPr>
      </w:pPr>
      <w:r>
        <w:rPr>
          <w:rFonts w:ascii="Times New Roman" w:cs="Times New Roman" w:eastAsia="Times New Roman" w:hAnsi="Times New Roman"/>
          <w:sz w:val="18"/>
          <w:szCs w:val="18"/>
          <w:color w:val="auto"/>
        </w:rPr>
        <w:t>2021</w:t>
      </w:r>
      <w:r>
        <w:rPr>
          <w:sz w:val="20"/>
          <w:szCs w:val="20"/>
          <w:color w:val="auto"/>
        </w:rPr>
        <w:tab/>
      </w: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51435</wp:posOffset>
            </wp:positionV>
            <wp:extent cx="230568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05685" cy="205740"/>
                    </a:xfrm>
                    <a:prstGeom prst="rect">
                      <a:avLst/>
                    </a:prstGeom>
                    <a:noFill/>
                  </pic:spPr>
                </pic:pic>
              </a:graphicData>
            </a:graphic>
          </wp:anchor>
        </w:drawing>
      </w:r>
    </w:p>
    <w:p>
      <w:pPr>
        <w:spacing w:after="0" w:line="97" w:lineRule="exact"/>
        <w:rPr>
          <w:sz w:val="20"/>
          <w:szCs w:val="20"/>
          <w:color w:val="auto"/>
        </w:rPr>
      </w:pPr>
    </w:p>
    <w:p>
      <w:pPr>
        <w:ind w:left="3800"/>
        <w:spacing w:after="0"/>
        <w:tabs>
          <w:tab w:leader="none" w:pos="614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8"/>
          <w:szCs w:val="18"/>
          <w:color w:val="auto"/>
        </w:rPr>
        <w:t>61%</w:t>
      </w:r>
    </w:p>
    <w:p>
      <w:pPr>
        <w:spacing w:after="0" w:line="117" w:lineRule="exact"/>
        <w:rPr>
          <w:sz w:val="20"/>
          <w:szCs w:val="20"/>
          <w:color w:val="auto"/>
        </w:rPr>
      </w:pPr>
    </w:p>
    <w:p>
      <w:pPr>
        <w:ind w:left="3800"/>
        <w:spacing w:after="0"/>
        <w:tabs>
          <w:tab w:leader="none" w:pos="6140" w:val="left"/>
        </w:tabs>
        <w:rPr>
          <w:sz w:val="20"/>
          <w:szCs w:val="20"/>
          <w:color w:val="auto"/>
        </w:rPr>
      </w:pP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51435</wp:posOffset>
            </wp:positionV>
            <wp:extent cx="2305685"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05685" cy="205740"/>
                    </a:xfrm>
                    <a:prstGeom prst="rect">
                      <a:avLst/>
                    </a:prstGeom>
                    <a:noFill/>
                  </pic:spPr>
                </pic:pic>
              </a:graphicData>
            </a:graphic>
          </wp:anchor>
        </w:drawing>
      </w:r>
    </w:p>
    <w:p>
      <w:pPr>
        <w:spacing w:after="0" w:line="97" w:lineRule="exact"/>
        <w:rPr>
          <w:sz w:val="20"/>
          <w:szCs w:val="20"/>
          <w:color w:val="auto"/>
        </w:rPr>
      </w:pPr>
    </w:p>
    <w:p>
      <w:pPr>
        <w:ind w:left="3800"/>
        <w:spacing w:after="0"/>
        <w:tabs>
          <w:tab w:leader="none" w:pos="6140" w:val="left"/>
        </w:tabs>
        <w:rPr>
          <w:sz w:val="20"/>
          <w:szCs w:val="20"/>
          <w:color w:val="auto"/>
        </w:rPr>
      </w:pPr>
      <w:r>
        <w:rPr>
          <w:rFonts w:ascii="Times New Roman" w:cs="Times New Roman" w:eastAsia="Times New Roman" w:hAnsi="Times New Roman"/>
          <w:sz w:val="18"/>
          <w:szCs w:val="18"/>
          <w:color w:val="auto"/>
        </w:rPr>
        <w:t>2018</w:t>
      </w:r>
      <w:r>
        <w:rPr>
          <w:sz w:val="20"/>
          <w:szCs w:val="20"/>
          <w:color w:val="auto"/>
        </w:rPr>
        <w:tab/>
      </w:r>
      <w:r>
        <w:rPr>
          <w:rFonts w:ascii="Times New Roman" w:cs="Times New Roman" w:eastAsia="Times New Roman" w:hAnsi="Times New Roman"/>
          <w:sz w:val="18"/>
          <w:szCs w:val="18"/>
          <w:color w:val="auto"/>
        </w:rPr>
        <w:t>83%</w:t>
      </w:r>
    </w:p>
    <w:p>
      <w:pPr>
        <w:spacing w:after="0" w:line="117" w:lineRule="exact"/>
        <w:rPr>
          <w:sz w:val="20"/>
          <w:szCs w:val="20"/>
          <w:color w:val="auto"/>
        </w:rPr>
      </w:pPr>
    </w:p>
    <w:p>
      <w:pPr>
        <w:ind w:left="3800"/>
        <w:spacing w:after="0"/>
        <w:tabs>
          <w:tab w:leader="none" w:pos="6140" w:val="left"/>
        </w:tabs>
        <w:rPr>
          <w:sz w:val="20"/>
          <w:szCs w:val="20"/>
          <w:color w:val="auto"/>
        </w:rPr>
      </w:pPr>
      <w:r>
        <w:rPr>
          <w:rFonts w:ascii="Times New Roman" w:cs="Times New Roman" w:eastAsia="Times New Roman" w:hAnsi="Times New Roman"/>
          <w:sz w:val="18"/>
          <w:szCs w:val="18"/>
          <w:color w:val="auto"/>
        </w:rPr>
        <w:t>2017</w:t>
      </w:r>
      <w:r>
        <w:rPr>
          <w:sz w:val="20"/>
          <w:szCs w:val="20"/>
          <w:color w:val="auto"/>
        </w:rPr>
        <w:tab/>
      </w:r>
      <w:r>
        <w:rPr>
          <w:rFonts w:ascii="Times New Roman" w:cs="Times New Roman" w:eastAsia="Times New Roman" w:hAnsi="Times New Roman"/>
          <w:sz w:val="18"/>
          <w:szCs w:val="18"/>
          <w:color w:val="auto"/>
        </w:rPr>
        <w:t>90%</w:t>
      </w:r>
    </w:p>
    <w:p>
      <w:pPr>
        <w:spacing w:after="0" w:line="360"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The feedback we receive from all of these investor engagements is valuable and has helped us to appreciate how different investors assess the alignment between pay and performance differently depending on their time horizons for investment decisions, expectations about cadence for corporate milestones and other factors.</w:t>
      </w:r>
    </w:p>
    <w:p>
      <w:pPr>
        <w:spacing w:after="0" w:line="176"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Aided by these insights, we designed recent annual equity awards to executives in a manner that puts greater emphasis on performance-based vesting, measured after a multi-year period. This component of long-term compensation will pay out, if at all, in proportion to the Company’s total stockholder return relative to the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67"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In order to provide a total compensation package that is tied to stockholder value creation and the achievement of strategic corporate goals, our executive compensation package is comprised of several components. These components are designed to work together to create a balanced approach to compensation, rewarding both short-term and long-term performance and fostering sufficient retentive effect to secure the services of our executive officers while we execute on our plans. Currently, our compensation structure for executive officers includes a combination of base salary, STI compensation, LTI compensation in the form of equity awards, 401(k), medical and other benefits, and severance and change in control and other post termination provisions. Each component is described in further detail below.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32" w:name="page33"/>
    <w:bookmarkEnd w:id="32"/>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The following charts break down the total compensation that the CEO and the other named executive officers (on average) received in 2021, including the grant date fair value of equity awards granted to these officers in 2021. These charts are derived from the summary compensation table on page 33, excluding income associated with employer contributions to individual 401(k) plans, supplemental medical benefits, airline club reimbursements and other taxable income. The charts illustrate the extent to which a greater percentage of total compensation for our named executive officers is delivered in the form of performance-based compensation as compared to fixed compensation (salary and time-based equity awards). Specifically, performance-based compensation accounted for 65% of the 2021 total compensation for the CEO and 58% for the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344805</wp:posOffset>
            </wp:positionV>
            <wp:extent cx="5803265" cy="2417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032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the above compensation structure appropriately balances the dual objectives of promoting long-term stockholder value creation and preventing excessive risk-taking.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Base salaries are designed to provide compensation for the day-to-day management of the Company, assuming satisfactory levels of performance. This component is designed to provide consistent and steady cash flow for the executive and represents only a portion of total compensation. Salary levels are based primarily upon the competitive market for the executive officers’ services, as reflected by the peer group. Base salaries for our executives are generally intended to fall within 10% of the median of the competitive market, although individual performance, responsibility, and the importance of each role in our organization can also impact base salary levels.</w:t>
      </w:r>
    </w:p>
    <w:p>
      <w:pPr>
        <w:spacing w:after="0" w:line="183"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In 2021, the Compensation Committee reviewed executive salaries and other elements of compensation against the benchmarks provided by our peer group and determined that no adjustments were required to salaries, STI targets or any other element of compensation.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Incentive Plan</w:t>
      </w:r>
    </w:p>
    <w:p>
      <w:pPr>
        <w:spacing w:after="0" w:line="121" w:lineRule="exact"/>
        <w:rPr>
          <w:sz w:val="20"/>
          <w:szCs w:val="20"/>
          <w:color w:val="auto"/>
        </w:rPr>
      </w:pPr>
    </w:p>
    <w:p>
      <w:pPr>
        <w:ind w:right="200" w:firstLine="416"/>
        <w:spacing w:after="0" w:line="255" w:lineRule="auto"/>
        <w:rPr>
          <w:sz w:val="20"/>
          <w:szCs w:val="20"/>
          <w:color w:val="auto"/>
        </w:rPr>
      </w:pPr>
      <w:r>
        <w:rPr>
          <w:rFonts w:ascii="Times New Roman" w:cs="Times New Roman" w:eastAsia="Times New Roman" w:hAnsi="Times New Roman"/>
          <w:sz w:val="18"/>
          <w:szCs w:val="18"/>
          <w:color w:val="auto"/>
        </w:rPr>
        <w:t>Each of our executive officers are eligible to receive an annual performance-based cash payment. The annual cash incentive awards under our STI plan are intended to compensate our executive officers for achieving our annual goals at the corporate level and for achieving individual annual performance objectives. The objectives for our company and individual measures are established so that performance at or above target levels requires significant effort on the part of our executives. The STI plan is funded based on the overall achievement of corporate objectives, as determined by the Compensation Committee in its evaluation of the accomplishments of the Company during the previous year. Evaluation criteria can be quantitative or qualitative, depending on the objective. Quantitative objectives are typically evaluated using a leverage curve that allows up to a 200% payout for over-achievement of up to 120% of the stated target and imposes on a 0% payout for any achievement that falls below 80% of the stated target.</w:t>
      </w:r>
    </w:p>
    <w:p>
      <w:pPr>
        <w:spacing w:after="0" w:line="189"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The STI plan is an important part of our pay-for-performance culture. We believe that tying a significant portion of our executive cash compensation to financial and operational goals – such as financial metrics, progress of product development and execution of</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3" w:name="page34"/>
    <w:bookmarkEnd w:id="33"/>
    <w:p>
      <w:pPr>
        <w:ind w:right="220"/>
        <w:spacing w:after="0" w:line="282" w:lineRule="auto"/>
        <w:rPr>
          <w:sz w:val="20"/>
          <w:szCs w:val="20"/>
          <w:color w:val="auto"/>
        </w:rPr>
      </w:pPr>
      <w:r>
        <w:rPr>
          <w:rFonts w:ascii="Times New Roman" w:cs="Times New Roman" w:eastAsia="Times New Roman" w:hAnsi="Times New Roman"/>
          <w:sz w:val="18"/>
          <w:szCs w:val="18"/>
          <w:color w:val="auto"/>
        </w:rPr>
        <w:t>business development priorities – encourages corporate performance and stock price growth. This element of compensation is truly at risk because target attainment is not assured, as reflected in our recent payout history:</w:t>
      </w:r>
    </w:p>
    <w:p>
      <w:pPr>
        <w:spacing w:after="0" w:line="359"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960" w:type="dxa"/>
            <w:vAlign w:val="bottom"/>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STI</w:t>
            </w:r>
          </w:p>
        </w:tc>
        <w:tc>
          <w:tcPr>
            <w:tcW w:w="0" w:type="dxa"/>
            <w:vAlign w:val="bottom"/>
          </w:tcPr>
          <w:p>
            <w:pPr>
              <w:spacing w:after="0"/>
              <w:rPr>
                <w:sz w:val="1"/>
                <w:szCs w:val="1"/>
                <w:color w:val="auto"/>
              </w:rPr>
            </w:pPr>
          </w:p>
        </w:tc>
      </w:tr>
      <w:tr>
        <w:trPr>
          <w:trHeight w:val="148"/>
        </w:trPr>
        <w:tc>
          <w:tcPr>
            <w:tcW w:w="3460" w:type="dxa"/>
            <w:vAlign w:val="bottom"/>
            <w:vMerge w:val="restart"/>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Year Achieved (paid in the following year)</w:t>
            </w:r>
          </w:p>
        </w:tc>
        <w:tc>
          <w:tcPr>
            <w:tcW w:w="1960" w:type="dxa"/>
            <w:vAlign w:val="bottom"/>
          </w:tcPr>
          <w:p>
            <w:pPr>
              <w:jc w:val="center"/>
              <w:ind w:left="557"/>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vMerge w:val="continue"/>
          </w:tcPr>
          <w:p>
            <w:pPr>
              <w:spacing w:after="0"/>
              <w:rPr>
                <w:sz w:val="15"/>
                <w:szCs w:val="15"/>
                <w:color w:val="auto"/>
              </w:rPr>
            </w:pPr>
          </w:p>
        </w:tc>
        <w:tc>
          <w:tcPr>
            <w:tcW w:w="1960" w:type="dxa"/>
            <w:vAlign w:val="bottom"/>
            <w:tcBorders>
              <w:bottom w:val="single" w:sz="8" w:color="auto"/>
            </w:tcBorders>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Level</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8"/>
                <w:szCs w:val="18"/>
                <w:color w:val="auto"/>
              </w:rPr>
              <w:t>2016</w:t>
            </w:r>
          </w:p>
        </w:tc>
        <w:tc>
          <w:tcPr>
            <w:tcW w:w="1960" w:type="dxa"/>
            <w:vAlign w:val="bottom"/>
            <w:shd w:val="clear" w:color="auto" w:fill="CFF0FC"/>
          </w:tcPr>
          <w:p>
            <w:pPr>
              <w:jc w:val="center"/>
              <w:ind w:left="617"/>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30"/>
        </w:trPr>
        <w:tc>
          <w:tcPr>
            <w:tcW w:w="3460" w:type="dxa"/>
            <w:vAlign w:val="bottom"/>
          </w:tcPr>
          <w:p>
            <w:pPr>
              <w:jc w:val="right"/>
              <w:ind w:right="1153"/>
              <w:spacing w:after="0"/>
              <w:rPr>
                <w:sz w:val="20"/>
                <w:szCs w:val="20"/>
                <w:color w:val="auto"/>
              </w:rPr>
            </w:pPr>
            <w:r>
              <w:rPr>
                <w:rFonts w:ascii="Times New Roman" w:cs="Times New Roman" w:eastAsia="Times New Roman" w:hAnsi="Times New Roman"/>
                <w:sz w:val="18"/>
                <w:szCs w:val="18"/>
                <w:color w:val="auto"/>
              </w:rPr>
              <w:t>2017</w:t>
            </w:r>
          </w:p>
        </w:tc>
        <w:tc>
          <w:tcPr>
            <w:tcW w:w="196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8"/>
                <w:szCs w:val="18"/>
                <w:color w:val="auto"/>
              </w:rPr>
              <w:t>2018</w:t>
            </w:r>
          </w:p>
        </w:tc>
        <w:tc>
          <w:tcPr>
            <w:tcW w:w="1960" w:type="dxa"/>
            <w:vAlign w:val="bottom"/>
            <w:shd w:val="clear" w:color="auto" w:fill="CFF0FC"/>
          </w:tcPr>
          <w:p>
            <w:pPr>
              <w:jc w:val="center"/>
              <w:ind w:left="617"/>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3460" w:type="dxa"/>
            <w:vAlign w:val="bottom"/>
          </w:tcPr>
          <w:p>
            <w:pPr>
              <w:jc w:val="right"/>
              <w:ind w:right="1153"/>
              <w:spacing w:after="0"/>
              <w:rPr>
                <w:sz w:val="20"/>
                <w:szCs w:val="20"/>
                <w:color w:val="auto"/>
              </w:rPr>
            </w:pPr>
            <w:r>
              <w:rPr>
                <w:rFonts w:ascii="Times New Roman" w:cs="Times New Roman" w:eastAsia="Times New Roman" w:hAnsi="Times New Roman"/>
                <w:sz w:val="18"/>
                <w:szCs w:val="18"/>
                <w:color w:val="auto"/>
              </w:rPr>
              <w:t>2019</w:t>
            </w:r>
          </w:p>
        </w:tc>
        <w:tc>
          <w:tcPr>
            <w:tcW w:w="196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8"/>
                <w:szCs w:val="18"/>
                <w:color w:val="auto"/>
              </w:rPr>
              <w:t>2020</w:t>
            </w:r>
          </w:p>
        </w:tc>
        <w:tc>
          <w:tcPr>
            <w:tcW w:w="1960" w:type="dxa"/>
            <w:vAlign w:val="bottom"/>
            <w:shd w:val="clear" w:color="auto" w:fill="CFF0FC"/>
          </w:tcPr>
          <w:p>
            <w:pPr>
              <w:jc w:val="center"/>
              <w:ind w:left="637"/>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Early in 2021, the board of directors specified four main corporate objectives for 2021, consistent with our normal practice. In February 2022,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evaluated the performance of the Company against the corporate objectives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49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Assessment</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w:t>
            </w:r>
          </w:p>
        </w:tc>
      </w:tr>
      <w:tr>
        <w:trPr>
          <w:trHeight w:val="205"/>
        </w:trPr>
        <w:tc>
          <w:tcPr>
            <w:tcW w:w="4560" w:type="dxa"/>
            <w:vAlign w:val="bottom"/>
            <w:tcBorders>
              <w:top w:val="single" w:sz="8" w:color="auto"/>
            </w:tcBorders>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Achievement of Tyvaso DPI deliverables</w:t>
            </w:r>
          </w:p>
        </w:tc>
        <w:tc>
          <w:tcPr>
            <w:tcW w:w="14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CFF0FC"/>
            </w:tcBorders>
            <w:shd w:val="clear" w:color="auto" w:fill="CFF0FC"/>
          </w:tcPr>
          <w:p>
            <w:pPr>
              <w:spacing w:after="0"/>
              <w:rPr>
                <w:sz w:val="17"/>
                <w:szCs w:val="17"/>
                <w:color w:val="auto"/>
              </w:rPr>
            </w:pPr>
          </w:p>
        </w:tc>
        <w:tc>
          <w:tcPr>
            <w:tcW w:w="45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Assessed quantitatively with respect to certain deliverables</w:t>
            </w: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18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9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qualitatively with respect to actions taken to mitigate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184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9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unforeseen events</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Achieve Afrezza sales and other objectives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9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Assessed quantitatively.</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r>
      <w:tr>
        <w:trPr>
          <w:trHeight w:val="211"/>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 pipeline opportunities</w:t>
            </w:r>
          </w:p>
        </w:tc>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w:t>
            </w:r>
          </w:p>
        </w:tc>
        <w:tc>
          <w:tcPr>
            <w:tcW w:w="49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Assessed quantitatively with respect to the achievement of</w:t>
            </w:r>
          </w:p>
        </w:tc>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r>
      <w:tr>
        <w:trPr>
          <w:trHeight w:val="234"/>
        </w:trPr>
        <w:tc>
          <w:tcPr>
            <w:tcW w:w="184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49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development milestones</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Achieve financial objectives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9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Assessed quantitatively</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r>
      <w:tr>
        <w:trPr>
          <w:trHeight w:val="230"/>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Overall Result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115%</w:t>
            </w:r>
            <w:r>
              <w:rPr>
                <w:rFonts w:ascii="Times New Roman" w:cs="Times New Roman" w:eastAsia="Times New Roman" w:hAnsi="Times New Roman"/>
                <w:sz w:val="15"/>
                <w:szCs w:val="15"/>
                <w:b w:val="1"/>
                <w:bCs w:val="1"/>
                <w:color w:val="auto"/>
              </w:rPr>
              <w:t>(1)</w:t>
            </w:r>
          </w:p>
        </w:tc>
        <w:tc>
          <w:tcPr>
            <w:tcW w:w="100" w:type="dxa"/>
            <w:vAlign w:val="bottom"/>
            <w:shd w:val="clear" w:color="auto" w:fill="CFF0FC"/>
          </w:tcPr>
          <w:p>
            <w:pPr>
              <w:spacing w:after="0"/>
              <w:rPr>
                <w:sz w:val="19"/>
                <w:szCs w:val="19"/>
                <w:color w:val="auto"/>
              </w:rPr>
            </w:pPr>
          </w:p>
        </w:tc>
      </w:tr>
      <w:tr>
        <w:trPr>
          <w:trHeight w:val="121"/>
        </w:trPr>
        <w:tc>
          <w:tcPr>
            <w:tcW w:w="184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12"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elected to round-up the overall achievement level from 114.75% to 115%.</w:t>
      </w:r>
    </w:p>
    <w:p>
      <w:pPr>
        <w:spacing w:after="0" w:line="316"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Each eligible position, including the executive officers, is assigned a target STI opportunity expressed as a percentage of base salary, which reflects market competitive levels. Target STI opportunities are generally intended to be at the 50th percentile of the market. For Mr. Castagna, the target STI opportunity for 2021 is 70% of base salary. For all other executive officers, the target STI opportunity is 50% of base salary.</w:t>
      </w:r>
    </w:p>
    <w:p>
      <w:pPr>
        <w:spacing w:after="0" w:line="176"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As a result of the Compensation Committee’s determination that the Company as a whole achieved 115% of its 2021 corporate goals, 115% of the aggregate target STI opportunity for all executive officers was made available for cash incentive awards to be paid in April 2022. The actual cash incentive award to be paid to each individual executive officer will reflect an upward or downward adjustment from 115% imposed by the Board of Directors in order to reflect the contributions of such executive officer to the achievement or shortfall of the various 2021 corporate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21" w:lineRule="exact"/>
        <w:rPr>
          <w:sz w:val="20"/>
          <w:szCs w:val="20"/>
          <w:color w:val="auto"/>
        </w:rPr>
      </w:pPr>
    </w:p>
    <w:p>
      <w:pPr>
        <w:ind w:right="120" w:firstLine="416"/>
        <w:spacing w:after="0" w:line="254" w:lineRule="auto"/>
        <w:rPr>
          <w:sz w:val="20"/>
          <w:szCs w:val="20"/>
          <w:color w:val="auto"/>
        </w:rPr>
      </w:pPr>
      <w:r>
        <w:rPr>
          <w:rFonts w:ascii="Times New Roman" w:cs="Times New Roman" w:eastAsia="Times New Roman" w:hAnsi="Times New Roman"/>
          <w:sz w:val="18"/>
          <w:szCs w:val="18"/>
          <w:color w:val="auto"/>
        </w:rPr>
        <w:t>In order to provide a significant retention incentive and to ensure a strong link to the long-term interests of stockholders, we provide a portion of our total compensation in the form of LTI compensation, which is generally delivered as an equity award (i.e., stock options or restricted stock units). All employees, including executive officers, are eligible to receive equity awards. Equity awards are granted under the 2018 Equity Incentive Plan, which is administered by the Compensation Committee pursuant to a delegation of concurrent authority by our Board of Directors. The awards are made at the discretion of the Compensation Committee, after taking into consideration grant guidelines that we have developed. Based on the competitive market, our current equity guidelines target an annual long-term incentive award valued at 300% of base salary for the CEO and at 150% of median base salary for all other executive officers. These percentages correspond to the median of the competitive market, but they can be modified at the discretion of the Compensation Committee for a range of reasons, including but not limited to, company performance, individual employee performance, financial position of the company, number of shares available for grant under the equity incentive plan, the volatility of the stock price, and similar factors.</w:t>
      </w:r>
    </w:p>
    <w:p>
      <w:pPr>
        <w:spacing w:after="0" w:line="188"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Our policy with regard to the timing of grants of equity compensation is to issue annual grants of equity awards in connection with a regularly scheduled quarterly meeting of the Compensation Committee. The timing of grant dates is not based on any favorable or unfavorable non-public information anticipated to be disclosed at a later date. All stock option awards are granted with an exercise price equal to the closing price of our common stock on the Nasdaq Global Market on the date of the meeting at which such stock options were granted.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right="40" w:firstLine="416"/>
        <w:spacing w:after="0" w:line="266" w:lineRule="auto"/>
        <w:rPr>
          <w:sz w:val="20"/>
          <w:szCs w:val="20"/>
          <w:color w:val="auto"/>
        </w:rPr>
      </w:pPr>
      <w:r>
        <w:rPr>
          <w:rFonts w:ascii="Times New Roman" w:cs="Times New Roman" w:eastAsia="Times New Roman" w:hAnsi="Times New Roman"/>
          <w:sz w:val="18"/>
          <w:szCs w:val="18"/>
          <w:color w:val="auto"/>
        </w:rPr>
        <w:t>In 2021, annual equity awards were delivered as grants of restricted stock units. The total target amount of annual equity compensation (i.e., 300% of base salary for CEO; 150% of median base salary for other executive officers) was converted into a target number of shares using the then-current stock price and the resulting number was divided into two awards of restricted stock units.</w:t>
      </w:r>
    </w:p>
    <w:p>
      <w:pPr>
        <w:spacing w:after="0" w:line="37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21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LTI Guideline</w:t>
            </w:r>
          </w:p>
        </w:tc>
        <w:tc>
          <w:tcPr>
            <w:tcW w:w="22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0" w:type="dxa"/>
            <w:vAlign w:val="bottom"/>
          </w:tcPr>
          <w:p>
            <w:pPr>
              <w:spacing w:after="0"/>
              <w:rPr>
                <w:sz w:val="1"/>
                <w:szCs w:val="1"/>
                <w:color w:val="auto"/>
              </w:rPr>
            </w:pPr>
          </w:p>
        </w:tc>
      </w:tr>
      <w:tr>
        <w:trPr>
          <w:trHeight w:val="173"/>
        </w:trPr>
        <w:tc>
          <w:tcPr>
            <w:tcW w:w="318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Award</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CEO</w:t>
            </w:r>
          </w:p>
        </w:tc>
        <w:tc>
          <w:tcPr>
            <w:tcW w:w="18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8"/>
              </w:rPr>
              <w:t>411,000 shares</w:t>
            </w:r>
          </w:p>
        </w:tc>
        <w:tc>
          <w:tcPr>
            <w:tcW w:w="2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RSUs</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4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RSUs</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executive officers</w:t>
            </w:r>
          </w:p>
        </w:tc>
        <w:tc>
          <w:tcPr>
            <w:tcW w:w="2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144,000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RSUs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One award, representing 55% of the total annual equity incentive, was delivered as a performance stock unit that vests 100% in May 2024, provided that the closing price of the Company’s common stock on such vesting date is not less than closing price of the Company’s common stock on the grant date. The number of shares delivered on the vesting date, as a percentage of the target number specified in the table above, will be determined by the percentile ranking of the Company’s total stockholder return (“TSR”) over the period from the grant date to the vesting date relative to the TSR of the Russell 3000 Pharmaceutical &amp; Biotechnology Index over the same period, as follows:</w:t>
      </w:r>
    </w:p>
    <w:p>
      <w:pPr>
        <w:spacing w:after="0" w:line="75" w:lineRule="exact"/>
        <w:rPr>
          <w:sz w:val="20"/>
          <w:szCs w:val="20"/>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 0% of target</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 50% of target</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 100% of target</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 200% of target</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 300% of target</w:t>
      </w:r>
    </w:p>
    <w:p>
      <w:pPr>
        <w:spacing w:after="0" w:line="225"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Payout values will be interpolated between the percentile rankings above. The other award, representing 45% of total annual equity incentive, was delivered as a time-based restricted stock unit that vests 25% on each anniversary of the grant date, commencing in May 2022 and ending in August 2025.</w:t>
      </w:r>
    </w:p>
    <w:p>
      <w:pPr>
        <w:spacing w:after="0" w:line="162"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We believe that the use of relative TSR is an appropriate metric for LTI compensation whereas operational metrics, such as revenue growth, are better suited for STI. Putting a majority of the LTI at risk and tying the value of that compensation to stockholder returns over the same period aligns with our pay-for performance philosophy. At the same time, the inclusion of time-based awards within the LTI program encourages employee retention and fosters equity ownership, which are additional objectives of our compensation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All of our executive officers are subject to our clawback policy, which applies to all incentive-based compensation, including STI and LTI. The policy provides that such incentive-based compensation is subject to clawback for any material financial restatement with the executive at fault as well as any fraud or willful misconduct. The policy applies to any event discovered after January 1, 2020, even if the applicable incentive compensation was paid prior to that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Our executive officers are subject to our stock ownership guidelines, which require each such individual to hold a specified number of shares of our common stock calculated by dividing the dollar amount below by the current stock price: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Borders>
              <w:bottom w:val="single" w:sz="8" w:color="9CC2E5"/>
            </w:tcBorders>
            <w:shd w:val="clear" w:color="auto" w:fill="DEEAF6"/>
          </w:tcPr>
          <w:p>
            <w:pPr>
              <w:ind w:left="300"/>
              <w:spacing w:after="0"/>
              <w:rPr>
                <w:sz w:val="20"/>
                <w:szCs w:val="20"/>
                <w:color w:val="auto"/>
              </w:rPr>
            </w:pPr>
            <w:r>
              <w:rPr>
                <w:rFonts w:ascii="Times New Roman" w:cs="Times New Roman" w:eastAsia="Times New Roman" w:hAnsi="Times New Roman"/>
                <w:sz w:val="18"/>
                <w:szCs w:val="18"/>
                <w:color w:val="auto"/>
              </w:rPr>
              <w:t>Officer</w:t>
            </w:r>
          </w:p>
        </w:tc>
        <w:tc>
          <w:tcPr>
            <w:tcW w:w="3640" w:type="dxa"/>
            <w:vAlign w:val="bottom"/>
            <w:tcBorders>
              <w:bottom w:val="single" w:sz="8" w:color="9CC2E5"/>
            </w:tcBorders>
            <w:shd w:val="clear" w:color="auto" w:fill="DEEAF6"/>
          </w:tcPr>
          <w:p>
            <w:pPr>
              <w:ind w:left="980"/>
              <w:spacing w:after="0"/>
              <w:rPr>
                <w:sz w:val="20"/>
                <w:szCs w:val="20"/>
                <w:color w:val="auto"/>
              </w:rPr>
            </w:pPr>
            <w:r>
              <w:rPr>
                <w:rFonts w:ascii="Times New Roman" w:cs="Times New Roman" w:eastAsia="Times New Roman" w:hAnsi="Times New Roman"/>
                <w:sz w:val="18"/>
                <w:szCs w:val="18"/>
                <w:color w:val="auto"/>
              </w:rPr>
              <w:t>Ownership Guideline</w:t>
            </w:r>
          </w:p>
        </w:tc>
      </w:tr>
      <w:tr>
        <w:trPr>
          <w:trHeight w:val="21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6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 times base salary</w:t>
            </w:r>
          </w:p>
        </w:tc>
      </w:tr>
      <w:tr>
        <w:trPr>
          <w:trHeight w:val="216"/>
        </w:trPr>
        <w:tc>
          <w:tcPr>
            <w:tcW w:w="7440" w:type="dxa"/>
            <w:vAlign w:val="bottom"/>
            <w:shd w:val="clear" w:color="auto" w:fill="DEEAF6"/>
          </w:tcPr>
          <w:p>
            <w:pPr>
              <w:ind w:left="240"/>
              <w:spacing w:after="0"/>
              <w:rPr>
                <w:sz w:val="20"/>
                <w:szCs w:val="20"/>
                <w:color w:val="auto"/>
              </w:rPr>
            </w:pPr>
            <w:r>
              <w:rPr>
                <w:rFonts w:ascii="Times New Roman" w:cs="Times New Roman" w:eastAsia="Times New Roman" w:hAnsi="Times New Roman"/>
                <w:sz w:val="18"/>
                <w:szCs w:val="18"/>
                <w:color w:val="auto"/>
              </w:rPr>
              <w:t>Executive Vice Presidents</w:t>
            </w:r>
          </w:p>
        </w:tc>
        <w:tc>
          <w:tcPr>
            <w:tcW w:w="3640" w:type="dxa"/>
            <w:vAlign w:val="bottom"/>
            <w:shd w:val="clear" w:color="auto" w:fill="DEEAF6"/>
          </w:tcPr>
          <w:p>
            <w:pPr>
              <w:ind w:left="980"/>
              <w:spacing w:after="0"/>
              <w:rPr>
                <w:sz w:val="20"/>
                <w:szCs w:val="20"/>
                <w:color w:val="auto"/>
              </w:rPr>
            </w:pPr>
            <w:r>
              <w:rPr>
                <w:rFonts w:ascii="Times New Roman" w:cs="Times New Roman" w:eastAsia="Times New Roman" w:hAnsi="Times New Roman"/>
                <w:sz w:val="18"/>
                <w:szCs w:val="18"/>
                <w:color w:val="auto"/>
              </w:rPr>
              <w:t>2 times base salary</w:t>
            </w:r>
          </w:p>
        </w:tc>
      </w:tr>
      <w:tr>
        <w:trPr>
          <w:trHeight w:val="234"/>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Presidents and Vice Presidents serving on the Executive Leadership Team</w:t>
            </w:r>
          </w:p>
        </w:tc>
        <w:tc>
          <w:tcPr>
            <w:tcW w:w="36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 times base salary</w:t>
            </w:r>
          </w:p>
        </w:tc>
      </w:tr>
    </w:tbl>
    <w:p>
      <w:pPr>
        <w:spacing w:after="0" w:line="179" w:lineRule="exact"/>
        <w:rPr>
          <w:sz w:val="20"/>
          <w:szCs w:val="20"/>
          <w:color w:val="auto"/>
        </w:rPr>
      </w:pPr>
    </w:p>
    <w:p>
      <w:pPr>
        <w:ind w:right="180" w:firstLine="416"/>
        <w:spacing w:after="0" w:line="255" w:lineRule="auto"/>
        <w:rPr>
          <w:sz w:val="20"/>
          <w:szCs w:val="20"/>
          <w:color w:val="auto"/>
        </w:rPr>
      </w:pPr>
      <w:r>
        <w:rPr>
          <w:rFonts w:ascii="Times New Roman" w:cs="Times New Roman" w:eastAsia="Times New Roman" w:hAnsi="Times New Roman"/>
          <w:sz w:val="18"/>
          <w:szCs w:val="18"/>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individual subject to the stock ownership guidelines has five years to reach the applicable guideline, beginning January 1, 2020 or when the individual is hired or promoted into the eligible role, whichever is later. Upon completion of the grace period, for anyone out of compliance with the guidelines, the Board or the Compensation Committee may restrict their sale of shares or may choose to deliver salary or STI payments in stock rather than cash until the guidelines are satisfied. As of December 31, 2021, all executive officers were in compliance with our stock ownership guidelines.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We provide a competitive benefits package to all full-time employees, which includes health and welfare benefits, such as medical, dental, vision care, life insurance benefits, and a 401(k) savings plan. Executives, including the named executive officers, receive additional benefits, including executive medical reimbursement insurance, as well as additional short-term and long-term disability insurance.</w:t>
      </w:r>
    </w:p>
    <w:p>
      <w:pPr>
        <w:spacing w:after="0" w:line="176" w:lineRule="exact"/>
        <w:rPr>
          <w:sz w:val="20"/>
          <w:szCs w:val="20"/>
          <w:color w:val="auto"/>
        </w:rPr>
      </w:pPr>
    </w:p>
    <w:p>
      <w:pPr>
        <w:ind w:right="320" w:firstLine="416"/>
        <w:spacing w:after="0" w:line="266" w:lineRule="auto"/>
        <w:rPr>
          <w:sz w:val="20"/>
          <w:szCs w:val="20"/>
          <w:color w:val="auto"/>
        </w:rPr>
      </w:pPr>
      <w:r>
        <w:rPr>
          <w:rFonts w:ascii="Times New Roman" w:cs="Times New Roman" w:eastAsia="Times New Roman" w:hAnsi="Times New Roman"/>
          <w:sz w:val="18"/>
          <w:szCs w:val="18"/>
          <w:color w:val="auto"/>
        </w:rPr>
        <w:t>We have no other structured perquisite benefits (e.g. automobile allowance, or financial planning services) for any executive officer, including the named executive officers, and we currently do not provide any deferred compensation programs or supplemental pensions to any executive officer, including the named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In order to encourage stock ownership and provide greater incentives to contribute to our success at all levels, we provide all employees, including executive officers, the ability to purchase our common stock at a discount under our 2004 employee stock purchase plan (the “Purchase Plan”). The Purchase Plan is designed to comply with Section 423 of the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Purchase Plan are identical to those of all other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Provisions</w:t>
      </w:r>
    </w:p>
    <w:p>
      <w:pPr>
        <w:spacing w:after="0" w:line="121" w:lineRule="exact"/>
        <w:rPr>
          <w:sz w:val="20"/>
          <w:szCs w:val="20"/>
          <w:color w:val="auto"/>
        </w:rPr>
      </w:pPr>
    </w:p>
    <w:p>
      <w:pPr>
        <w:ind w:right="340" w:firstLine="416"/>
        <w:spacing w:after="0" w:line="282" w:lineRule="auto"/>
        <w:rPr>
          <w:sz w:val="20"/>
          <w:szCs w:val="20"/>
          <w:color w:val="auto"/>
        </w:rPr>
      </w:pPr>
      <w:r>
        <w:rPr>
          <w:rFonts w:ascii="Times New Roman" w:cs="Times New Roman" w:eastAsia="Times New Roman" w:hAnsi="Times New Roman"/>
          <w:sz w:val="18"/>
          <w:szCs w:val="18"/>
          <w:color w:val="auto"/>
        </w:rPr>
        <w:t>Currently, we have no severance agreements with our executive officers, except with Mr. Thomson. The terms of the agreement and amounts that may be realized are detailed under the heading “Potential Payments Upon Termination or Change of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Provisions</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have entered into change of control agreements with each of our executive officers in order to ensure that we have the continued dedication of these executives and in order to provide them with reasonable compensation and benefit arrangements in the event of termination of their employment following a change of control. We believe that it is imperative to diminish any distraction of our executives arising from the personal uncertainty and insecurity that arises in the absence of any assurance of job security, thereby allowing executives to focus on corporate objectives and strategy. The terms of these agreements and amounts that may be realized are detailed under the heading “Potential Payments Upon Termination or Change of Control.”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21"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Under Section 162(m) of the Internal Revenue Code (“Section 162(m)”), compensation paid to any publicly held corporation’s “covered employees” that exceeds $1 million per taxable year for any covered employee is generally non-deductible.</w:t>
      </w:r>
    </w:p>
    <w:p>
      <w:pPr>
        <w:spacing w:after="0" w:line="162"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Prior to the enactment of the Tax Cuts and Jobs Act, Section 162(m) provided a performance-based compensation exception, pursuant to which the deduction limit under Section 162(m) did not apply to any compensation that qualified as “performance-based compensation” under Section 162(m). Pursuant to the Tax Cuts and Jobs Act, the performance-based compensation exception under Section 162(m) was repealed with respect to taxable years beginning after December 31, 2017, except that certain transition relief is provided for compensation paid pursuant to a written binding contract which was in effect on November 2, 2017 and which is not modified in any material respect on or after such date.</w:t>
      </w:r>
    </w:p>
    <w:p>
      <w:pPr>
        <w:spacing w:after="0" w:line="183" w:lineRule="exact"/>
        <w:rPr>
          <w:sz w:val="20"/>
          <w:szCs w:val="20"/>
          <w:color w:val="auto"/>
        </w:rPr>
      </w:pPr>
    </w:p>
    <w:p>
      <w:pPr>
        <w:ind w:right="80" w:firstLine="416"/>
        <w:spacing w:after="0" w:line="253" w:lineRule="auto"/>
        <w:rPr>
          <w:sz w:val="20"/>
          <w:szCs w:val="20"/>
          <w:color w:val="auto"/>
        </w:rPr>
      </w:pPr>
      <w:r>
        <w:rPr>
          <w:rFonts w:ascii="Times New Roman" w:cs="Times New Roman" w:eastAsia="Times New Roman" w:hAnsi="Times New Roman"/>
          <w:sz w:val="18"/>
          <w:szCs w:val="18"/>
          <w:color w:val="auto"/>
        </w:rPr>
        <w:t>Compensation paid to each of the Company’s “covered employees” in excess of $1 million per taxable year generally will not be deductible unless it qualifies for the performance-based compensation exception under Section 162(m) pursuant to the transition relief described above. Because of certain ambiguities and uncertainties as to the application and interpretation of Section 162(m), as well as other factors beyond the control of the Compensation Committee, no assurance can be given that any compensation paid by the Company will be eligible for such transition relief and be deductible by the Company in the future. 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for the year ended December 31, 2021 compensation awarded to, or earned by:</w:t>
      </w:r>
    </w:p>
    <w:p>
      <w:pPr>
        <w:spacing w:after="0" w:line="117" w:lineRule="exact"/>
        <w:rPr>
          <w:sz w:val="20"/>
          <w:szCs w:val="20"/>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served as our principal executive officer or principal financial officer for any portion of 2021; and</w:t>
      </w:r>
    </w:p>
    <w:p>
      <w:pPr>
        <w:spacing w:after="0" w:line="130"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three most highly compensated executive officers in 2021, other than the individuals listed above, who were serving as executive officers as of December 31,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gridSpan w:val="3"/>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6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5"/>
                <w:szCs w:val="15"/>
                <w:color w:val="auto"/>
              </w:rPr>
            </w:pP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280" w:type="dxa"/>
            <w:vAlign w:val="bottom"/>
          </w:tcPr>
          <w:p>
            <w:pPr>
              <w:spacing w:after="0"/>
              <w:rPr>
                <w:sz w:val="15"/>
                <w:szCs w:val="15"/>
                <w:color w:val="auto"/>
              </w:rPr>
            </w:pP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E. Castagna</w:t>
            </w:r>
          </w:p>
        </w:tc>
        <w:tc>
          <w:tcPr>
            <w:tcW w:w="4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598,462</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2,911,592</w:t>
            </w: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481,762</w:t>
            </w: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39,017</w:t>
            </w:r>
          </w:p>
        </w:tc>
        <w:tc>
          <w:tcPr>
            <w:tcW w:w="28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4,030,833</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495,192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2,580,300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450,625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510,962</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285,117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48,118</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B. Binder</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447,385</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1,028,955</w:t>
            </w:r>
          </w:p>
        </w:tc>
        <w:tc>
          <w:tcPr>
            <w:tcW w:w="160" w:type="dxa"/>
            <w:vAlign w:val="bottom"/>
            <w:shd w:val="clear" w:color="auto" w:fill="CCEEFF"/>
          </w:tcPr>
          <w:p>
            <w:pPr>
              <w:spacing w:after="0"/>
              <w:rPr>
                <w:sz w:val="19"/>
                <w:szCs w:val="19"/>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291,814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32,851</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1,801,005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396,154</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1,032,800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257,500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408,769</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59,999</w:t>
            </w: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190,078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Kocinsky</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401,551</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1,028,193</w:t>
            </w:r>
          </w:p>
        </w:tc>
        <w:tc>
          <w:tcPr>
            <w:tcW w:w="160" w:type="dxa"/>
            <w:vAlign w:val="bottom"/>
            <w:shd w:val="clear" w:color="auto" w:fill="CCEEFF"/>
          </w:tcPr>
          <w:p>
            <w:pPr>
              <w:spacing w:after="0"/>
              <w:rPr>
                <w:sz w:val="19"/>
                <w:szCs w:val="19"/>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180,698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26,506</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1,636,948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378,822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1,032,800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246,234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B. Thomson</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454,835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1,030,395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296,098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21,967</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i w:val="1"/>
                <w:iCs w:val="1"/>
                <w:color w:val="auto"/>
              </w:rPr>
              <w:t>General Counsel and Secretary</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429,089</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1,032,800</w:t>
            </w: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278,908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442,754</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64,988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205,880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Stuart Tross</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383,180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1,027,434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254,896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14,777</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Chief People and Workplace Officer</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361,490</w:t>
            </w:r>
          </w:p>
        </w:tc>
        <w:tc>
          <w:tcPr>
            <w:tcW w:w="16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1,032,800</w:t>
            </w: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234,969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41,916</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1,309,684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840" w:type="dxa"/>
            <w:vAlign w:val="bottom"/>
            <w:tcBorders>
              <w:bottom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-2527935</wp:posOffset>
            </wp:positionV>
            <wp:extent cx="154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-2527935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-2527935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-2527935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-2527935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-2527935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-2527935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-2527935</wp:posOffset>
            </wp:positionV>
            <wp:extent cx="3003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79" w:lineRule="exact"/>
        <w:rPr>
          <w:sz w:val="20"/>
          <w:szCs w:val="20"/>
          <w:color w:val="auto"/>
        </w:rPr>
      </w:pPr>
    </w:p>
    <w:p>
      <w:pPr>
        <w:ind w:left="420" w:right="120" w:hanging="412"/>
        <w:spacing w:after="0" w:line="233" w:lineRule="auto"/>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earned but deferred at the election of the named executive officer, such as salary deferrals under our 401(k) Plan established under Section 401(k) of the Code. Performance-based restricted stock awards are valued based on a Monte-Carlo simulation model. Time-based restricted stock awards and non-qualified stock options are valued based on</w:t>
      </w:r>
    </w:p>
    <w:p>
      <w:pPr>
        <w:ind w:left="420" w:right="200" w:hanging="412"/>
        <w:spacing w:after="0" w:line="233" w:lineRule="auto"/>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the stock on the grant date. Reference Note 12 “Stock award plans” in the notes to our financial statements for the period ended December 31, 2021, included in Part IV, Item 15 of our Annual Report on Form 10-K for the fiscal year ended December 31, 2021 filed with the SEC on February 24, 2022, which identifies the assumptions made in the valuation of equity awards.</w:t>
      </w:r>
    </w:p>
    <w:p>
      <w:pPr>
        <w:spacing w:after="0" w:line="82"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Non-equity incentive plan compensation is based on individual performance in the achievement of corporate objectives. Performance is compared to these objectives annually.</w:t>
      </w:r>
    </w:p>
    <w:p>
      <w:pPr>
        <w:spacing w:after="0" w:line="109" w:lineRule="exact"/>
        <w:rPr>
          <w:rFonts w:ascii="Times New Roman" w:cs="Times New Roman" w:eastAsia="Times New Roman" w:hAnsi="Times New Roman"/>
          <w:sz w:val="14"/>
          <w:szCs w:val="14"/>
          <w:color w:val="auto"/>
        </w:rPr>
      </w:pPr>
    </w:p>
    <w:p>
      <w:pPr>
        <w:ind w:left="420" w:right="40" w:hanging="412"/>
        <w:spacing w:after="0" w:line="242" w:lineRule="auto"/>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employer contributions credited under our 401(k) Plan and the incremental cost of perquisites received by the named executive officers. Under the 401(k) Plan, which is open to substantially all of our employees, we make matching contributions based on each participant’s voluntary salary deferrals, subject to the provisions of the 401(k) Plan and limits of the Code.</w:t>
      </w:r>
    </w:p>
    <w:p>
      <w:pPr>
        <w:spacing w:after="0" w:line="242"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$9,750 in contributions under the 401(k) Plan, $28,637 in medical benefits, $550 in airline club reimbursement and $80 in other taxable income.</w:t>
      </w:r>
    </w:p>
    <w:p>
      <w:pPr>
        <w:spacing w:after="0" w:line="109"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$12,683 in contributions under the 401(k) Plan, $20,088 in medical benefits and $80 in other taxable income.</w:t>
      </w:r>
    </w:p>
    <w:p>
      <w:pPr>
        <w:spacing w:after="0" w:line="109"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$13,000 in contributions under the 401(k) Plan, $13,426 in medical benefits and $80 in other taxable income.</w:t>
      </w:r>
    </w:p>
    <w:p>
      <w:pPr>
        <w:spacing w:after="0" w:line="109"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$9,900 in contributions under the 401(k) Plan, $11,987 in medical benefits and $80 in other taxable income.</w:t>
      </w:r>
    </w:p>
    <w:p>
      <w:pPr>
        <w:spacing w:after="0" w:line="109"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$10,822 in contributions under the 401(k) Plan, $3,325 in medical benefits, $550 in airline club reimbursement and $80 in other taxable income.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The following table summarizes the equity awards granted to the named executive officers during the fiscal year ended December 31,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6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Future Payouts Under Equity Incentive Plan Awards</w:t>
            </w: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60" w:type="dxa"/>
            <w:vAlign w:val="bottom"/>
            <w:gridSpan w:val="6"/>
            <w:vMerge w:val="continue"/>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55"/>
        </w:trPr>
        <w:tc>
          <w:tcPr>
            <w:tcW w:w="2100" w:type="dxa"/>
            <w:vAlign w:val="bottom"/>
            <w:gridSpan w:val="2"/>
          </w:tcPr>
          <w:p>
            <w:pPr>
              <w:ind w:left="800"/>
              <w:spacing w:after="0" w:line="155" w:lineRule="exact"/>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62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Threshold (#)</w:t>
            </w:r>
          </w:p>
        </w:tc>
        <w:tc>
          <w:tcPr>
            <w:tcW w:w="1620" w:type="dxa"/>
            <w:vAlign w:val="bottom"/>
            <w:tcBorders>
              <w:top w:val="single" w:sz="8" w:color="auto"/>
            </w:tcBorders>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Target (#)</w:t>
            </w:r>
          </w:p>
        </w:tc>
        <w:tc>
          <w:tcPr>
            <w:tcW w:w="1380" w:type="dxa"/>
            <w:vAlign w:val="bottom"/>
            <w:tcBorders>
              <w:top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Maximum (#)</w:t>
            </w:r>
          </w:p>
        </w:tc>
        <w:tc>
          <w:tcPr>
            <w:tcW w:w="240" w:type="dxa"/>
            <w:vAlign w:val="bottom"/>
          </w:tcPr>
          <w:p>
            <w:pPr>
              <w:spacing w:after="0"/>
              <w:rPr>
                <w:sz w:val="13"/>
                <w:szCs w:val="13"/>
                <w:color w:val="auto"/>
              </w:rPr>
            </w:pPr>
          </w:p>
        </w:tc>
        <w:tc>
          <w:tcPr>
            <w:tcW w:w="1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units (#)</w:t>
            </w:r>
          </w:p>
        </w:tc>
        <w:tc>
          <w:tcPr>
            <w:tcW w:w="150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Awards ($)</w:t>
            </w:r>
          </w:p>
        </w:tc>
        <w:tc>
          <w:tcPr>
            <w:tcW w:w="0" w:type="dxa"/>
            <w:vAlign w:val="bottom"/>
          </w:tcPr>
          <w:p>
            <w:pPr>
              <w:spacing w:after="0"/>
              <w:rPr>
                <w:sz w:val="1"/>
                <w:szCs w:val="1"/>
                <w:color w:val="auto"/>
              </w:rPr>
            </w:pPr>
          </w:p>
        </w:tc>
      </w:tr>
      <w:tr>
        <w:trPr>
          <w:trHeight w:val="223"/>
        </w:trPr>
        <w:tc>
          <w:tcPr>
            <w:tcW w:w="1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(1)</w:t>
            </w: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678,000</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2,101,800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(2)</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(2)</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69,074</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Kocinsky</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(2)</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B. Thomson.</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(2)</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Stuart Tross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237,000</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5/18/2021</w:t>
            </w:r>
            <w:r>
              <w:rPr>
                <w:rFonts w:ascii="Times New Roman" w:cs="Times New Roman" w:eastAsia="Times New Roman" w:hAnsi="Times New Roman"/>
                <w:sz w:val="15"/>
                <w:szCs w:val="15"/>
                <w:color w:val="auto"/>
                <w:w w:val="99"/>
              </w:rPr>
              <w:t>(2)</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68,717</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1658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95" w:lineRule="exact"/>
        <w:rPr>
          <w:sz w:val="20"/>
          <w:szCs w:val="20"/>
          <w:color w:val="auto"/>
        </w:rPr>
      </w:pPr>
    </w:p>
    <w:p>
      <w:pPr>
        <w:ind w:left="420" w:right="40" w:hanging="412"/>
        <w:spacing w:after="0" w:line="236" w:lineRule="auto"/>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 will vest on May 17, 2024 provided that the closing price of the Company’s common stock on such vesting date is not less than the closing price on May 18, 2021 and subject to continuing service. The number of shares delivered on the vesting date is determined by the percentile ranking of the Company’s total stockholder return (TSR) over the period from May 18, 2021 until May 17, 2024 related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136" w:lineRule="exact"/>
        <w:rPr>
          <w:rFonts w:ascii="Times New Roman" w:cs="Times New Roman" w:eastAsia="Times New Roman" w:hAnsi="Times New Roman"/>
          <w:sz w:val="14"/>
          <w:szCs w:val="14"/>
          <w:color w:val="auto"/>
        </w:rPr>
      </w:pPr>
    </w:p>
    <w:p>
      <w:pPr>
        <w:ind w:left="420" w:right="220" w:hanging="412"/>
        <w:spacing w:after="0" w:line="261" w:lineRule="auto"/>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 will vest 25% on each of the first four anniversaries of the grant date, subject to continuing service. The grant date fair value is based on the market price of the stock on the grant date.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right="36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summary information regarding the outstanding equity awards at December 31, 2021 granted to each of our named executive officers.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2"/>
        </w:trPr>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0"/>
                <w:szCs w:val="10"/>
                <w:color w:val="auto"/>
              </w:rPr>
            </w:pP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3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38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3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3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38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3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3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3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38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3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38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Other Rights</w:t>
            </w:r>
          </w:p>
        </w:tc>
        <w:tc>
          <w:tcPr>
            <w:tcW w:w="3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3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r>
      <w:tr>
        <w:trPr>
          <w:trHeight w:val="135"/>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3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3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3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38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r>
      <w:tr>
        <w:trPr>
          <w:trHeight w:val="155"/>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3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 xml:space="preserve">Price </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3"/>
                <w:szCs w:val="13"/>
                <w:color w:val="auto"/>
              </w:rPr>
            </w:pPr>
          </w:p>
        </w:tc>
      </w:tr>
      <w:tr>
        <w:trPr>
          <w:trHeight w:val="155"/>
        </w:trPr>
        <w:tc>
          <w:tcPr>
            <w:tcW w:w="210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Michael E. Castagna, Pharm.D.</w:t>
            </w:r>
          </w:p>
        </w:tc>
        <w:tc>
          <w:tcPr>
            <w:tcW w:w="1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65,840</w:t>
            </w:r>
          </w:p>
        </w:tc>
        <w:tc>
          <w:tcPr>
            <w:tcW w:w="36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ind w:left="62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4.55</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5/19/2026</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306,750</w:t>
            </w:r>
          </w:p>
        </w:tc>
        <w:tc>
          <w:tcPr>
            <w:tcW w:w="340" w:type="dxa"/>
            <w:vAlign w:val="bottom"/>
            <w:tcBorders>
              <w:top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1,340,498</w:t>
            </w: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500,000</w:t>
            </w:r>
          </w:p>
        </w:tc>
        <w:tc>
          <w:tcPr>
            <w:tcW w:w="38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2,185,000</w:t>
            </w:r>
          </w:p>
        </w:tc>
        <w:tc>
          <w:tcPr>
            <w:tcW w:w="80" w:type="dxa"/>
            <w:vAlign w:val="bottom"/>
            <w:tcBorders>
              <w:top w:val="single" w:sz="8" w:color="CFF0FC"/>
            </w:tcBorders>
            <w:shd w:val="clear" w:color="auto" w:fill="CFF0FC"/>
          </w:tcPr>
          <w:p>
            <w:pPr>
              <w:spacing w:after="0"/>
              <w:rPr>
                <w:sz w:val="13"/>
                <w:szCs w:val="13"/>
                <w:color w:val="auto"/>
              </w:rPr>
            </w:pP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5/19/2026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190,092</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830,702</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226,000</w:t>
            </w: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987,620</w:t>
            </w:r>
          </w:p>
        </w:tc>
        <w:tc>
          <w:tcPr>
            <w:tcW w:w="80" w:type="dxa"/>
            <w:vAlign w:val="bottom"/>
          </w:tcPr>
          <w:p>
            <w:pPr>
              <w:spacing w:after="0"/>
              <w:rPr>
                <w:sz w:val="14"/>
                <w:szCs w:val="14"/>
                <w:color w:val="auto"/>
              </w:rPr>
            </w:pP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75,050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75,050</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(3)</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5/25/2027</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115,500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5/29/2027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191,000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5/29/2027</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478,375</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55,625</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5/16/2028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377,167</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206,833</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5/14/2029</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Steven B. Binder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8/24/2027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537,510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874,000</w:t>
            </w:r>
          </w:p>
        </w:tc>
        <w:tc>
          <w:tcPr>
            <w:tcW w:w="80" w:type="dxa"/>
            <w:vAlign w:val="bottom"/>
          </w:tcPr>
          <w:p>
            <w:pPr>
              <w:spacing w:after="0"/>
              <w:rPr>
                <w:sz w:val="14"/>
                <w:szCs w:val="14"/>
                <w:color w:val="auto"/>
              </w:rPr>
            </w:pP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191,708</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5/16/2028</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69,074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301,853</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345,230</w:t>
            </w:r>
          </w:p>
        </w:tc>
        <w:tc>
          <w:tcPr>
            <w:tcW w:w="80" w:type="dxa"/>
            <w:vAlign w:val="bottom"/>
            <w:shd w:val="clear" w:color="auto" w:fill="CFF0FC"/>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151,125</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82,875</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5/14/2029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Joseph Kocinsky</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8/16/2022</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537,510</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874,000</w:t>
            </w:r>
          </w:p>
        </w:tc>
        <w:tc>
          <w:tcPr>
            <w:tcW w:w="80" w:type="dxa"/>
            <w:vAlign w:val="bottom"/>
            <w:shd w:val="clear" w:color="auto" w:fill="CFF0FC"/>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5/23/2023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68,895</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301,071</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345,230</w:t>
            </w:r>
          </w:p>
        </w:tc>
        <w:tc>
          <w:tcPr>
            <w:tcW w:w="80" w:type="dxa"/>
            <w:vAlign w:val="bottom"/>
          </w:tcPr>
          <w:p>
            <w:pPr>
              <w:spacing w:after="0"/>
              <w:rPr>
                <w:sz w:val="14"/>
                <w:szCs w:val="14"/>
                <w:color w:val="auto"/>
              </w:rPr>
            </w:pP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8/22/2023</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8/21/2024</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8/27/2025</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11/19/2025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87,780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(19)</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2/18/2026</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5/19/2026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75,050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75,050</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(3)</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5/25/2027</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191,708</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5/16/2028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151,125</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82,875</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5/14/2029</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B. Thomson, Ph.D., J.D.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5/17/2022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537,510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874,000</w:t>
            </w:r>
          </w:p>
        </w:tc>
        <w:tc>
          <w:tcPr>
            <w:tcW w:w="80" w:type="dxa"/>
            <w:vAlign w:val="bottom"/>
          </w:tcPr>
          <w:p>
            <w:pPr>
              <w:spacing w:after="0"/>
              <w:rPr>
                <w:sz w:val="14"/>
                <w:szCs w:val="14"/>
                <w:color w:val="auto"/>
              </w:rPr>
            </w:pP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(21)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5/17/2022</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69,412</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303,330</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345,230</w:t>
            </w:r>
          </w:p>
        </w:tc>
        <w:tc>
          <w:tcPr>
            <w:tcW w:w="80" w:type="dxa"/>
            <w:vAlign w:val="bottom"/>
            <w:shd w:val="clear" w:color="auto" w:fill="CFF0FC"/>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8/16/2022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72,000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5/23/2023</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8/22/2023</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8/21/2024</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8/27/2025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87,780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(19)</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2/18/2026</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5/19/2026</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75,050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75,050</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(3)</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5/25/2027</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191,708</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5/16/2028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151,125</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(7)</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82,875</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5/14/2029</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Stuart Tross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2/16/2027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537,510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874,000</w:t>
            </w:r>
          </w:p>
        </w:tc>
        <w:tc>
          <w:tcPr>
            <w:tcW w:w="80" w:type="dxa"/>
            <w:vAlign w:val="bottom"/>
          </w:tcPr>
          <w:p>
            <w:pPr>
              <w:spacing w:after="0"/>
              <w:rPr>
                <w:sz w:val="14"/>
                <w:szCs w:val="14"/>
                <w:color w:val="auto"/>
              </w:rPr>
            </w:pP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(23)</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2/16/2027</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68,717</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(10)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300,293</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(11)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345,230</w:t>
            </w:r>
          </w:p>
        </w:tc>
        <w:tc>
          <w:tcPr>
            <w:tcW w:w="80" w:type="dxa"/>
            <w:vAlign w:val="bottom"/>
            <w:shd w:val="clear" w:color="auto" w:fill="CFF0FC"/>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56,288</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56,287</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(3)</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5/25/2027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2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191,708</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5/16/2028</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151,125</w:t>
            </w:r>
          </w:p>
        </w:tc>
        <w:tc>
          <w:tcPr>
            <w:tcW w:w="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(7)</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82,875</w:t>
            </w:r>
          </w:p>
        </w:tc>
        <w:tc>
          <w:tcPr>
            <w:tcW w:w="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5/14/2029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1658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34" w:lineRule="exact"/>
        <w:rPr>
          <w:sz w:val="20"/>
          <w:szCs w:val="20"/>
          <w:color w:val="auto"/>
        </w:rPr>
      </w:pPr>
    </w:p>
    <w:p>
      <w:pPr>
        <w:ind w:left="420" w:right="180" w:hanging="412"/>
        <w:spacing w:after="0" w:line="261" w:lineRule="auto"/>
        <w:tabs>
          <w:tab w:leader="none" w:pos="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19, 2016.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412" w:hanging="412"/>
        <w:spacing w:after="0"/>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19, 2016, which shall vest upon the achievement of certain corporate objectives.</w:t>
      </w:r>
    </w:p>
    <w:p>
      <w:pPr>
        <w:spacing w:after="0" w:line="190"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25, 2017, which shall vest upon the achievement of certain corporate objectives.</w:t>
      </w:r>
    </w:p>
    <w:p>
      <w:pPr>
        <w:spacing w:after="0" w:line="203"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29, 2017, which shall vest upon the achievement of certain corporate objectives.</w:t>
      </w:r>
    </w:p>
    <w:p>
      <w:pPr>
        <w:spacing w:after="0" w:line="203"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29, 2017.</w:t>
      </w:r>
    </w:p>
    <w:p>
      <w:pPr>
        <w:spacing w:after="0" w:line="149"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16, 2018.</w:t>
      </w:r>
    </w:p>
    <w:p>
      <w:pPr>
        <w:spacing w:after="0" w:line="162"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14, 2019.</w:t>
      </w:r>
    </w:p>
    <w:p>
      <w:pPr>
        <w:spacing w:after="0" w:line="162" w:lineRule="exact"/>
        <w:rPr>
          <w:rFonts w:ascii="Times New Roman" w:cs="Times New Roman" w:eastAsia="Times New Roman" w:hAnsi="Times New Roman"/>
          <w:sz w:val="14"/>
          <w:szCs w:val="14"/>
          <w:color w:val="auto"/>
        </w:rPr>
      </w:pPr>
    </w:p>
    <w:p>
      <w:pPr>
        <w:ind w:left="412" w:right="14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August 27, 2020.</w:t>
      </w:r>
    </w:p>
    <w:p>
      <w:pPr>
        <w:spacing w:after="0" w:line="149" w:lineRule="exact"/>
        <w:rPr>
          <w:rFonts w:ascii="Times New Roman" w:cs="Times New Roman" w:eastAsia="Times New Roman" w:hAnsi="Times New Roman"/>
          <w:sz w:val="14"/>
          <w:szCs w:val="14"/>
          <w:color w:val="auto"/>
        </w:rPr>
      </w:pPr>
    </w:p>
    <w:p>
      <w:pPr>
        <w:ind w:left="412" w:hanging="412"/>
        <w:spacing w:after="0" w:line="236"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Restricted Stock Unit: vest on May 22, 2023 provided that the closing price of the Company’s common stock on such vesting date is not less than the closing price on August 27, 2020. The number of shares delivered on the vesting date is determined by the percentile ranking of MannKind total stockholder return (TSR) over the period from August 27, 2020 until May 22, 2023 related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176" w:lineRule="exact"/>
        <w:rPr>
          <w:rFonts w:ascii="Times New Roman" w:cs="Times New Roman" w:eastAsia="Times New Roman" w:hAnsi="Times New Roman"/>
          <w:sz w:val="14"/>
          <w:szCs w:val="14"/>
          <w:color w:val="auto"/>
        </w:rPr>
      </w:pPr>
    </w:p>
    <w:p>
      <w:pPr>
        <w:ind w:left="412" w:right="14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May 18, 2021.</w:t>
      </w:r>
    </w:p>
    <w:p>
      <w:pPr>
        <w:spacing w:after="0" w:line="162" w:lineRule="exact"/>
        <w:rPr>
          <w:rFonts w:ascii="Times New Roman" w:cs="Times New Roman" w:eastAsia="Times New Roman" w:hAnsi="Times New Roman"/>
          <w:sz w:val="14"/>
          <w:szCs w:val="14"/>
          <w:color w:val="auto"/>
        </w:rPr>
      </w:pPr>
    </w:p>
    <w:p>
      <w:pPr>
        <w:ind w:left="412" w:hanging="412"/>
        <w:spacing w:after="0" w:line="236"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Restricted Stock Unit: vest on May 17, 2024 provided that the closing price of the Company’s common stock on such vesting date is not less than the closing price on May 18, 2021. The number of shares delivered on the vesting date is determined by the percentile ranking of MannKind total stockholder return (TSR) over the period from May 18, 2021 until May 17, 2024 related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163"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August 24, 2017, which shall vest upon the achievement of certain corporate objectives.</w:t>
      </w:r>
    </w:p>
    <w:p>
      <w:pPr>
        <w:spacing w:after="0" w:line="3" w:lineRule="exact"/>
        <w:rPr>
          <w:rFonts w:ascii="Times New Roman" w:cs="Times New Roman" w:eastAsia="Times New Roman" w:hAnsi="Times New Roman"/>
          <w:sz w:val="14"/>
          <w:szCs w:val="14"/>
          <w:color w:val="auto"/>
        </w:rPr>
      </w:pPr>
    </w:p>
    <w:p>
      <w:pPr>
        <w:ind w:left="412" w:right="160" w:hanging="412"/>
        <w:spacing w:after="0" w:line="239"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16, 2012.</w:t>
      </w:r>
    </w:p>
    <w:p>
      <w:pPr>
        <w:spacing w:after="0" w:line="176"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23, 2013, which shall vest upon the achievement of certain corporate objectives.</w:t>
      </w:r>
    </w:p>
    <w:p>
      <w:pPr>
        <w:spacing w:after="0" w:line="203"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22, 2013.</w:t>
      </w:r>
    </w:p>
    <w:p>
      <w:pPr>
        <w:spacing w:after="0" w:line="149"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21, 2014.</w:t>
      </w:r>
    </w:p>
    <w:p>
      <w:pPr>
        <w:spacing w:after="0" w:line="162"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27, 2015.</w:t>
      </w:r>
    </w:p>
    <w:p>
      <w:pPr>
        <w:spacing w:after="0" w:line="162"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November 19, 2015.</w:t>
      </w:r>
    </w:p>
    <w:p>
      <w:pPr>
        <w:spacing w:after="0" w:line="149"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February 18, 2016.</w:t>
      </w:r>
    </w:p>
    <w:p>
      <w:pPr>
        <w:spacing w:after="0" w:line="162" w:lineRule="exact"/>
        <w:rPr>
          <w:rFonts w:ascii="Times New Roman" w:cs="Times New Roman" w:eastAsia="Times New Roman" w:hAnsi="Times New Roman"/>
          <w:sz w:val="14"/>
          <w:szCs w:val="14"/>
          <w:color w:val="auto"/>
        </w:rPr>
      </w:pPr>
    </w:p>
    <w:p>
      <w:pPr>
        <w:ind w:left="412" w:right="160" w:hanging="412"/>
        <w:spacing w:after="0" w:line="261"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17, 2012.</w:t>
      </w:r>
    </w:p>
    <w:p>
      <w:pPr>
        <w:spacing w:after="0" w:line="149"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17, 2012, which shall vest upon the achievement of certain corporate objectives.</w:t>
      </w:r>
    </w:p>
    <w:p>
      <w:pPr>
        <w:spacing w:after="0" w:line="203" w:lineRule="exact"/>
        <w:rPr>
          <w:rFonts w:ascii="Times New Roman" w:cs="Times New Roman" w:eastAsia="Times New Roman" w:hAnsi="Times New Roman"/>
          <w:sz w:val="14"/>
          <w:szCs w:val="14"/>
          <w:color w:val="auto"/>
        </w:rPr>
      </w:pPr>
    </w:p>
    <w:p>
      <w:pPr>
        <w:ind w:left="412" w:right="160" w:hanging="412"/>
        <w:spacing w:after="0" w:line="233" w:lineRule="auto"/>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February 16, 2017.</w:t>
      </w:r>
    </w:p>
    <w:p>
      <w:pPr>
        <w:ind w:left="412" w:hanging="412"/>
        <w:spacing w:after="0"/>
        <w:tabs>
          <w:tab w:leader="none" w:pos="4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February 16, 2017, which shall vest upon the achievement of certain corporate objectives.</w:t>
      </w:r>
    </w:p>
    <w:p>
      <w:pPr>
        <w:spacing w:after="0" w:line="1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4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exercise of options and vesting of stock by the named executive officers during the fiscal year ended December 31, 2021.</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8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73"/>
        </w:trPr>
        <w:tc>
          <w:tcPr>
            <w:tcW w:w="8540" w:type="dxa"/>
            <w:vAlign w:val="bottom"/>
            <w:gridSpan w:val="3"/>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102,250</w:t>
            </w: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Kocinsky</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B. Thomson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Stuart Tross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840" w:type="dxa"/>
            <w:vAlign w:val="bottom"/>
            <w:tcBorders>
              <w:bottom w:val="single" w:sz="8" w:color="auto"/>
            </w:tcBorders>
          </w:tcPr>
          <w:p>
            <w:pPr>
              <w:spacing w:after="0"/>
              <w:rPr>
                <w:sz w:val="11"/>
                <w:szCs w:val="11"/>
                <w:color w:val="auto"/>
              </w:rPr>
            </w:pPr>
          </w:p>
        </w:tc>
        <w:tc>
          <w:tcPr>
            <w:tcW w:w="6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20" w:hanging="412"/>
        <w:spacing w:after="0"/>
        <w:tabs>
          <w:tab w:leader="none" w:pos="4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acquired on vesting represent restricted stock awards that vested over a one-year period.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140" w:firstLine="416"/>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Mr. Michael Castagna, our Chief Executive Officer.</w:t>
      </w:r>
    </w:p>
    <w:p>
      <w:pPr>
        <w:spacing w:after="0" w:line="176"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In calculating the annual total compensation, we used the actual base salary in 2021, the actual cash short-term incentive compensation paid in 2022 for performance in 2021, the grant date fair value of the equity awards granted in 2021, and the value of all other compensation, contributions under the 401(k) plan and medical benefits. We identified the median employee by examining the 2021 total compensation for all individuals, excluding our CEO, who were employed by us on December 31, 2021. We included all employees, as all our employees are U.S.-based.</w:t>
      </w:r>
    </w:p>
    <w:p>
      <w:pPr>
        <w:spacing w:after="0" w:line="180"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The annual total compensation for 2021 was $144,613 for our median employee and $4,030,833 for Mr. Castagna. The resulting ratio of our CEO’s pay to the pay of our median employee for 2021 is approximately 27.9 to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Potential Payments</w:t>
      </w:r>
    </w:p>
    <w:p>
      <w:pPr>
        <w:spacing w:after="0" w:line="121"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We have entered into a severance agreement with Mr. Thomson, and change of control agreements with each named executive officer. The table below sets forth the estimated current value of payments and benefits to each of the named executive officers upon certain terminations or upon certain terminations in connection with a change of control, as described following the table below. The amounts shown assume that the triggering event occurred on December 31, 2021 and do not include other benefits earned during the term of the named executive officer’s employment that are available to all salaried employees, such as accrued vacation and benefits paid by insurance providers under life and disability policies.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314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0" w:type="dxa"/>
            <w:vAlign w:val="bottom"/>
          </w:tcPr>
          <w:p>
            <w:pPr>
              <w:spacing w:after="0"/>
              <w:rPr>
                <w:sz w:val="1"/>
                <w:szCs w:val="1"/>
                <w:color w:val="auto"/>
              </w:rPr>
            </w:pPr>
          </w:p>
        </w:tc>
      </w:tr>
      <w:tr>
        <w:trPr>
          <w:trHeight w:val="131"/>
        </w:trPr>
        <w:tc>
          <w:tcPr>
            <w:tcW w:w="18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640" w:type="dxa"/>
            <w:vAlign w:val="bottom"/>
            <w:tcBorders>
              <w:top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4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173"/>
        </w:trPr>
        <w:tc>
          <w:tcPr>
            <w:tcW w:w="1820" w:type="dxa"/>
            <w:vAlign w:val="bottom"/>
            <w:tcBorders>
              <w:bottom w:val="single" w:sz="8" w:color="CFF0FC"/>
            </w:tcBorders>
          </w:tcPr>
          <w:p>
            <w:pPr>
              <w:spacing w:after="0"/>
              <w:rPr>
                <w:sz w:val="15"/>
                <w:szCs w:val="15"/>
                <w:color w:val="auto"/>
              </w:rPr>
            </w:pPr>
          </w:p>
        </w:tc>
        <w:tc>
          <w:tcPr>
            <w:tcW w:w="628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15"/>
                <w:szCs w:val="15"/>
                <w:color w:val="auto"/>
              </w:rPr>
              <w:t>(1)</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Intrinsic value of accelerated unvested stock options</w:t>
            </w:r>
            <w:r>
              <w:rPr>
                <w:rFonts w:ascii="Times New Roman" w:cs="Times New Roman" w:eastAsia="Times New Roman" w:hAnsi="Times New Roman"/>
                <w:sz w:val="15"/>
                <w:szCs w:val="15"/>
                <w:color w:val="auto"/>
              </w:rPr>
              <w:t>(2)</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15"/>
                <w:szCs w:val="15"/>
                <w:color w:val="auto"/>
              </w:rPr>
              <w:t>(1)</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Intrinsic value of accelerated unvested stock options</w:t>
            </w:r>
            <w:r>
              <w:rPr>
                <w:rFonts w:ascii="Times New Roman" w:cs="Times New Roman" w:eastAsia="Times New Roman" w:hAnsi="Times New Roman"/>
                <w:sz w:val="15"/>
                <w:szCs w:val="15"/>
                <w:color w:val="auto"/>
              </w:rPr>
              <w:t>(2)</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Kocinsky</w:t>
            </w: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15"/>
                <w:szCs w:val="15"/>
                <w:color w:val="auto"/>
              </w:rPr>
              <w:t>(1)</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Intrinsic value of accelerated unvested stock options</w:t>
            </w:r>
            <w:r>
              <w:rPr>
                <w:rFonts w:ascii="Times New Roman" w:cs="Times New Roman" w:eastAsia="Times New Roman" w:hAnsi="Times New Roman"/>
                <w:sz w:val="15"/>
                <w:szCs w:val="15"/>
                <w:color w:val="auto"/>
              </w:rPr>
              <w:t>(2)</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David B. Thomson</w:t>
            </w: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1,291,249</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15"/>
                <w:szCs w:val="15"/>
                <w:color w:val="auto"/>
              </w:rPr>
              <w:t>(1)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Intrinsic value of accelerated unvested stock options</w:t>
            </w:r>
            <w:r>
              <w:rPr>
                <w:rFonts w:ascii="Times New Roman" w:cs="Times New Roman" w:eastAsia="Times New Roman" w:hAnsi="Times New Roman"/>
                <w:sz w:val="15"/>
                <w:szCs w:val="15"/>
                <w:color w:val="auto"/>
              </w:rPr>
              <w:t>(2)</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Value of extending exercisability term of stock options</w:t>
            </w:r>
            <w:r>
              <w:rPr>
                <w:rFonts w:ascii="Times New Roman" w:cs="Times New Roman" w:eastAsia="Times New Roman" w:hAnsi="Times New Roman"/>
                <w:sz w:val="15"/>
                <w:szCs w:val="15"/>
                <w:color w:val="auto"/>
              </w:rPr>
              <w:t>(3)</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1,336,700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Stuart Tross</w:t>
            </w: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15"/>
                <w:szCs w:val="15"/>
                <w:color w:val="auto"/>
              </w:rPr>
              <w:t>(1)</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Intrinsic value of accelerated unvested stock options</w:t>
            </w:r>
            <w:r>
              <w:rPr>
                <w:rFonts w:ascii="Times New Roman" w:cs="Times New Roman" w:eastAsia="Times New Roman" w:hAnsi="Times New Roman"/>
                <w:sz w:val="15"/>
                <w:szCs w:val="15"/>
                <w:color w:val="auto"/>
              </w:rPr>
              <w:t>(2)</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65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68" w:lineRule="exact"/>
        <w:rPr>
          <w:sz w:val="20"/>
          <w:szCs w:val="20"/>
          <w:color w:val="auto"/>
        </w:rPr>
      </w:pPr>
    </w:p>
    <w:p>
      <w:pPr>
        <w:ind w:left="420" w:right="60" w:hanging="412"/>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 of providing or paying for continuing medical and dental coverage for 18 months. The amounts for medical and dental insurance coverage are based on rates charged to our employees for post-employment coverage provided in accordance with the Consolidated Omnibus Reconciliation Act of 1985, or COBRA.</w:t>
      </w:r>
    </w:p>
    <w:p>
      <w:pPr>
        <w:spacing w:after="0" w:line="122" w:lineRule="exact"/>
        <w:rPr>
          <w:rFonts w:ascii="Times New Roman" w:cs="Times New Roman" w:eastAsia="Times New Roman" w:hAnsi="Times New Roman"/>
          <w:sz w:val="14"/>
          <w:szCs w:val="14"/>
          <w:color w:val="auto"/>
        </w:rPr>
      </w:pPr>
    </w:p>
    <w:p>
      <w:pPr>
        <w:ind w:left="420" w:right="60" w:hanging="412"/>
        <w:spacing w:after="0" w:line="236"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SEC rules, the intrinsic value of accelerated unvested stock options shown in the table above was calculated using the closing price of our common stock of $4.37 on December 31, 2021. The intrinsic value is the aggregate spread between $4.37 and the exercise price of the accelerated options, if less than $4.37. Accelerated options with exercise prices equal or greater than $4.37 have no intrinsic value. Represents estimated current value of payments and benefits payable upon termination without cause or resignation for good reason following a change of control. The terms of change of control agreements with our named executive officers are detailed under the heading “Change of Control Agreements” below.</w:t>
      </w:r>
    </w:p>
    <w:p>
      <w:pPr>
        <w:spacing w:after="0" w:line="136" w:lineRule="exact"/>
        <w:rPr>
          <w:rFonts w:ascii="Times New Roman" w:cs="Times New Roman" w:eastAsia="Times New Roman" w:hAnsi="Times New Roman"/>
          <w:sz w:val="14"/>
          <w:szCs w:val="14"/>
          <w:color w:val="auto"/>
        </w:rPr>
      </w:pPr>
    </w:p>
    <w:p>
      <w:pPr>
        <w:ind w:left="420" w:hanging="412"/>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named executive officer also has an extended exercise period ending on the earlier of 18 months following the triggering event or the end of the original term of the option. There is no fair value calculated for this extended exercise period.</w:t>
      </w:r>
    </w:p>
    <w:p>
      <w:pPr>
        <w:spacing w:after="0" w:line="122" w:lineRule="exact"/>
        <w:rPr>
          <w:rFonts w:ascii="Times New Roman" w:cs="Times New Roman" w:eastAsia="Times New Roman" w:hAnsi="Times New Roman"/>
          <w:sz w:val="14"/>
          <w:szCs w:val="14"/>
          <w:color w:val="auto"/>
        </w:rPr>
      </w:pPr>
    </w:p>
    <w:p>
      <w:pPr>
        <w:ind w:left="420" w:right="80" w:hanging="412"/>
        <w:spacing w:after="0" w:line="261" w:lineRule="auto"/>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current value of payments and benefits payable upon termination without cause or resignation for good reason following a change of control. The terms of change of control agreements with our named executive officers are detailed under the heading “Change of Control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-815975</wp:posOffset>
            </wp:positionV>
            <wp:extent cx="2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Agreements</w:t>
      </w:r>
    </w:p>
    <w:p>
      <w:pPr>
        <w:spacing w:after="0" w:line="121"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In October 2007, we entered into an executive severance agreement with Mr. Thomson and with other then-active executive officers, none of which are currently employed by the Company. This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68" w:lineRule="exact"/>
        <w:rPr>
          <w:sz w:val="20"/>
          <w:szCs w:val="20"/>
          <w:color w:val="auto"/>
        </w:rPr>
      </w:pPr>
    </w:p>
    <w:p>
      <w:pPr>
        <w:jc w:val="both"/>
        <w:ind w:right="80" w:firstLine="416"/>
        <w:spacing w:after="0" w:line="266" w:lineRule="auto"/>
        <w:rPr>
          <w:sz w:val="20"/>
          <w:szCs w:val="20"/>
          <w:color w:val="auto"/>
        </w:rPr>
      </w:pPr>
      <w:r>
        <w:rPr>
          <w:rFonts w:ascii="Times New Roman" w:cs="Times New Roman" w:eastAsia="Times New Roman" w:hAnsi="Times New Roman"/>
          <w:sz w:val="18"/>
          <w:szCs w:val="18"/>
          <w:color w:val="auto"/>
        </w:rPr>
        <w:t>The agreement provides that Mr. Thomson is an “at will” employee and that his employment with us may be terminated at any time by him or by us. Under the agreement, in the event we terminate Mr. Thomson’s employment without cause (as defined below) or he terminates his employment with us for good reason (as defined below), then he is generally entitled to receive the following:</w:t>
      </w:r>
    </w:p>
    <w:p>
      <w:pPr>
        <w:spacing w:after="0" w:line="68" w:lineRule="exact"/>
        <w:rPr>
          <w:sz w:val="20"/>
          <w:szCs w:val="20"/>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him and any accrued paid time-off to which he is entitled under our policy;</w:t>
      </w:r>
    </w:p>
    <w:p>
      <w:pPr>
        <w:spacing w:after="0" w:line="117" w:lineRule="exact"/>
        <w:rPr>
          <w:rFonts w:ascii="Times New Roman" w:cs="Times New Roman" w:eastAsia="Times New Roman" w:hAnsi="Times New Roman"/>
          <w:sz w:val="18"/>
          <w:szCs w:val="18"/>
          <w:color w:val="auto"/>
        </w:rPr>
      </w:pPr>
    </w:p>
    <w:p>
      <w:pPr>
        <w:ind w:left="740" w:right="460" w:hanging="368"/>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he executes and does not revoke a general release and settlement agreement, or release, in favor of us, then he will become entitled to receive:</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annual base salary on the date of termination for a period of 18 months following his termination, subject to certain limitations;</w:t>
      </w:r>
    </w:p>
    <w:p>
      <w:pPr>
        <w:spacing w:after="0" w:line="117" w:lineRule="exact"/>
        <w:rPr>
          <w:rFonts w:ascii="Times New Roman" w:cs="Times New Roman" w:eastAsia="Times New Roman" w:hAnsi="Times New Roman"/>
          <w:sz w:val="18"/>
          <w:szCs w:val="18"/>
          <w:color w:val="auto"/>
        </w:rPr>
      </w:pPr>
    </w:p>
    <w:p>
      <w:pPr>
        <w:ind w:left="740" w:right="340" w:hanging="368"/>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average annual bonus received by him for the three years prior to his termination (or the prior period up to three years during which he was one of our executive officers and received a bonus);</w:t>
      </w:r>
    </w:p>
    <w:p>
      <w:pPr>
        <w:spacing w:after="0" w:line="53"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he met the performance criteria for earning an annual bonus prior to his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jc w:val="both"/>
        <w:ind w:left="740" w:right="220" w:hanging="368"/>
        <w:spacing w:after="0" w:line="266"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he did not meet the performance criteria for earning an annual bonus prior to his termination, but the Board determines that all such criteria could have been satisfied if he remained employed for the full fiscal year, then a portion of his average annual bonus for the three years prior to his termination, based on the number of days worked during the year; and</w:t>
      </w:r>
    </w:p>
    <w:p>
      <w:pPr>
        <w:spacing w:after="0" w:line="67" w:lineRule="exact"/>
        <w:rPr>
          <w:rFonts w:ascii="Times New Roman" w:cs="Times New Roman" w:eastAsia="Times New Roman" w:hAnsi="Times New Roman"/>
          <w:sz w:val="18"/>
          <w:szCs w:val="18"/>
          <w:color w:val="auto"/>
        </w:rPr>
      </w:pPr>
    </w:p>
    <w:p>
      <w:pPr>
        <w:ind w:left="740" w:right="260" w:hanging="368"/>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and, under certain circumstances, life, disability and other insurance benefits for a period expiring on the earlier of 18 months following his termination or until he qualifies for related benefits from another employer.</w:t>
      </w:r>
    </w:p>
    <w:p>
      <w:pPr>
        <w:spacing w:after="0" w:line="162" w:lineRule="exact"/>
        <w:rPr>
          <w:sz w:val="20"/>
          <w:szCs w:val="20"/>
          <w:color w:val="auto"/>
        </w:rPr>
      </w:pPr>
    </w:p>
    <w:p>
      <w:pPr>
        <w:jc w:val="both"/>
        <w:ind w:right="100" w:firstLine="416"/>
        <w:spacing w:after="0" w:line="266" w:lineRule="auto"/>
        <w:rPr>
          <w:sz w:val="20"/>
          <w:szCs w:val="20"/>
          <w:color w:val="auto"/>
        </w:rPr>
      </w:pPr>
      <w:r>
        <w:rPr>
          <w:rFonts w:ascii="Times New Roman" w:cs="Times New Roman" w:eastAsia="Times New Roman" w:hAnsi="Times New Roman"/>
          <w:sz w:val="18"/>
          <w:szCs w:val="18"/>
          <w:color w:val="auto"/>
        </w:rPr>
        <w:t>In addition, the executive severance agreement provides that, on the condition that Mr. Thomson executes and does not revoke a release, each vested stock option held by him on the date of termination will be exercisable for a period ending on the earlier of 18 months following that date or the end of the original term of the option.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his agreement, Mr. Thomson may be terminated for cause if he, among other things:</w:t>
      </w:r>
    </w:p>
    <w:p>
      <w:pPr>
        <w:spacing w:after="0" w:line="117" w:lineRule="exact"/>
        <w:rPr>
          <w:sz w:val="20"/>
          <w:szCs w:val="20"/>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lawful duties or any lawful instruction of our Board of Directors or senior management;</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Mr. Thomson’s agreement, good reason includes, among other things:</w:t>
      </w:r>
    </w:p>
    <w:p>
      <w:pPr>
        <w:spacing w:after="0" w:line="117" w:lineRule="exact"/>
        <w:rPr>
          <w:sz w:val="20"/>
          <w:szCs w:val="20"/>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his annual base salary to a level below his salary as of October 10, 2007;</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his position, authority, duties or responsibilities with us, subject to certain limitations;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him to an office located more than 50 miles from his current residence and worksite</w:t>
      </w:r>
    </w:p>
    <w:p>
      <w:pPr>
        <w:spacing w:after="0" w:line="117"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executive severance agreement by us, on the condition that he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executive severance agreement by us.</w:t>
      </w:r>
    </w:p>
    <w:p>
      <w:pPr>
        <w:spacing w:after="0" w:line="225" w:lineRule="exact"/>
        <w:rPr>
          <w:sz w:val="20"/>
          <w:szCs w:val="20"/>
          <w:color w:val="auto"/>
        </w:rPr>
      </w:pPr>
    </w:p>
    <w:p>
      <w:pPr>
        <w:ind w:right="400" w:firstLine="416"/>
        <w:spacing w:after="0" w:line="282" w:lineRule="auto"/>
        <w:rPr>
          <w:sz w:val="20"/>
          <w:szCs w:val="20"/>
          <w:color w:val="auto"/>
        </w:rPr>
      </w:pPr>
      <w:r>
        <w:rPr>
          <w:rFonts w:ascii="Times New Roman" w:cs="Times New Roman" w:eastAsia="Times New Roman" w:hAnsi="Times New Roman"/>
          <w:sz w:val="18"/>
          <w:szCs w:val="18"/>
          <w:color w:val="auto"/>
        </w:rPr>
        <w:t>Under Mr. Thomson’s agreement, he must inform us if he intends to terminate his agreement for good reason. We have 30 days from the date we receive notice of his intent to terminate the agreement for good reason to cure the default.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Agreements</w:t>
      </w:r>
    </w:p>
    <w:p>
      <w:pPr>
        <w:spacing w:after="0" w:line="121"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Starting in April 2017, we entered into change of control agreements with each named executive officer. Each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agreements, a change of control will be deemed to occur upon:</w:t>
      </w:r>
    </w:p>
    <w:p>
      <w:pPr>
        <w:spacing w:after="0" w:line="117" w:lineRule="exact"/>
        <w:rPr>
          <w:sz w:val="20"/>
          <w:szCs w:val="20"/>
          <w:color w:val="auto"/>
        </w:rPr>
      </w:pPr>
    </w:p>
    <w:p>
      <w:pPr>
        <w:ind w:left="740" w:right="22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results in a person or group acquiring beneficial ownership of 50% or more of our voting stock, other than us or one of our employee benefit plans;</w:t>
      </w:r>
    </w:p>
    <w:p>
      <w:pPr>
        <w:spacing w:after="0" w:line="53" w:lineRule="exact"/>
        <w:rPr>
          <w:rFonts w:ascii="Times New Roman" w:cs="Times New Roman" w:eastAsia="Times New Roman" w:hAnsi="Times New Roman"/>
          <w:sz w:val="18"/>
          <w:szCs w:val="18"/>
          <w:color w:val="auto"/>
        </w:rPr>
      </w:pPr>
    </w:p>
    <w:p>
      <w:pPr>
        <w:ind w:left="740" w:right="6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reorganization of us in which our stockholders immediately prior to the transaction hold less than 50% of the voting power of the surviving entity following the transaction, subject to certain limitations;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we sell all or substantially all of our assets, subject to certain limitations;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w:t>
      </w:r>
    </w:p>
    <w:p>
      <w:pPr>
        <w:spacing w:after="0" w:line="117"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reorganization of our Board of Directors in which our incumbent directors (as defined in the agreements) cease for any reason to constitute a majority of the members of our Board.</w:t>
      </w:r>
    </w:p>
    <w:p>
      <w:pPr>
        <w:spacing w:after="0" w:line="162" w:lineRule="exact"/>
        <w:rPr>
          <w:sz w:val="20"/>
          <w:szCs w:val="20"/>
          <w:color w:val="auto"/>
        </w:rPr>
      </w:pPr>
    </w:p>
    <w:p>
      <w:pPr>
        <w:ind w:right="200" w:firstLine="416"/>
        <w:spacing w:after="0" w:line="257" w:lineRule="auto"/>
        <w:rPr>
          <w:sz w:val="20"/>
          <w:szCs w:val="20"/>
          <w:color w:val="auto"/>
        </w:rPr>
      </w:pPr>
      <w:r>
        <w:rPr>
          <w:rFonts w:ascii="Times New Roman" w:cs="Times New Roman" w:eastAsia="Times New Roman" w:hAnsi="Times New Roman"/>
          <w:sz w:val="18"/>
          <w:szCs w:val="18"/>
          <w:color w:val="auto"/>
        </w:rPr>
        <w:t>The agreements provide that in the event of a change of control, the employee is generally entitled to maintain the same position, authority and responsibilities held before the change of control, as well as the following compensation and benefits during the period ending on the earlier of two years following the change of control or the termination of his or her employment with us:</w:t>
      </w:r>
    </w:p>
    <w:p>
      <w:pPr>
        <w:spacing w:after="0" w:line="1" w:lineRule="exact"/>
        <w:rPr>
          <w:sz w:val="20"/>
          <w:szCs w:val="20"/>
          <w:color w:val="auto"/>
        </w:rPr>
      </w:pPr>
    </w:p>
    <w:p>
      <w:pPr>
        <w:ind w:left="740" w:hanging="368"/>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annual base salary in an amount equal or greater to his or her annual salary as of the date the change of control occurs;</w:t>
      </w:r>
    </w:p>
    <w:p>
      <w:pPr>
        <w:spacing w:after="0" w:line="9" w:lineRule="exact"/>
        <w:rPr>
          <w:rFonts w:ascii="Times New Roman" w:cs="Times New Roman" w:eastAsia="Times New Roman" w:hAnsi="Times New Roman"/>
          <w:sz w:val="18"/>
          <w:szCs w:val="18"/>
          <w:color w:val="auto"/>
        </w:rPr>
      </w:pPr>
    </w:p>
    <w:p>
      <w:pPr>
        <w:ind w:left="740" w:right="140" w:hanging="368"/>
        <w:spacing w:after="0" w:line="250"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in an amount equal to the average annual bonus received by him or her for the three years prior to his or her termination (or the prior period up to three years during which he was one of our executive officers and received a bonus);</w:t>
      </w:r>
    </w:p>
    <w:p>
      <w:pPr>
        <w:ind w:left="740" w:right="660" w:hanging="368"/>
        <w:spacing w:after="0" w:line="260"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other insurance, and any other benefits we may offer to our executives; and prompt reimbursement for all reasonable employment expenses incurred by him or her in accordance with our policies and procedures.</w:t>
      </w:r>
    </w:p>
    <w:p>
      <w:pPr>
        <w:spacing w:after="0" w:line="181"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Under the change of control agreements, we may terminate an executive with or without cause (as defined below) and the executive may terminate his or her employment with us for good reason (as defined below) or any reason at any time during the two-year period following a change of control. In the event we terminate an executive without cause or an executive terminates his or her employment with us for good reason, he or she is generally entitled to receive the following:</w:t>
      </w:r>
    </w:p>
    <w:p>
      <w:pPr>
        <w:spacing w:after="0" w:line="72" w:lineRule="exact"/>
        <w:rPr>
          <w:sz w:val="20"/>
          <w:szCs w:val="20"/>
          <w:color w:val="auto"/>
        </w:rPr>
      </w:pPr>
    </w:p>
    <w:p>
      <w:pPr>
        <w:ind w:left="740" w:hanging="368"/>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or her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the employee and any accrued paid time-off that the employee is entitled to under our policy;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the employee executes and does not revoke a release, then the employee will become entitled to received:</w:t>
      </w:r>
    </w:p>
    <w:p>
      <w:pPr>
        <w:spacing w:after="0" w:line="117"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employee’s annual base salary on the date of termination for a period of 18 months following his or her termination, subject to certain limitations;</w:t>
      </w:r>
    </w:p>
    <w:p>
      <w:pPr>
        <w:spacing w:after="0" w:line="53"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150% of his or her average annual bonus received by the employee for the three years prior to his or her termination (or the prior period up to three years during which the employee was one of our executive officers and received a bonus);</w:t>
      </w:r>
    </w:p>
    <w:p>
      <w:pPr>
        <w:spacing w:after="0" w:line="53"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employee met the performance criteria for earning an annual bonus prior to his or her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ind w:left="740" w:right="140" w:hanging="368"/>
        <w:spacing w:after="0" w:line="266"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did not meet the performance criteria for earning an annual bonus prior to his or her termination, but the Board determines that all such criteria could have been satisfied if the employee remained employed for the full fiscal year, then a portion of his or her average annual bonus for the three years prior to his or her termination, based on the number of days worked during the year; and</w:t>
      </w:r>
    </w:p>
    <w:p>
      <w:pPr>
        <w:spacing w:after="0" w:line="67" w:lineRule="exact"/>
        <w:rPr>
          <w:rFonts w:ascii="Times New Roman" w:cs="Times New Roman" w:eastAsia="Times New Roman" w:hAnsi="Times New Roman"/>
          <w:sz w:val="18"/>
          <w:szCs w:val="18"/>
          <w:color w:val="auto"/>
        </w:rPr>
      </w:pPr>
    </w:p>
    <w:p>
      <w:pPr>
        <w:ind w:left="740" w:right="100" w:hanging="368"/>
        <w:spacing w:after="0" w:line="312" w:lineRule="auto"/>
        <w:tabs>
          <w:tab w:leader="none" w:pos="7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condition the employee executes a release, health insurance and, under certain circumstances, life, disability and other insurance benefits for a period expiring on the earlier of 18 months following his or her termination or until he qualifies for related benefits from another employer.</w:t>
      </w:r>
    </w:p>
    <w:p>
      <w:pPr>
        <w:spacing w:after="0" w:line="140"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In addition, the agreements provide that, on the condition the employee executes and does not revoke a release, each equity award held by him or her as of the termination date will become fully vested and exercisable at any point during the term of the option, subject to certain limitations.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4" w:name="page45"/>
    <w:bookmarkEnd w:id="44"/>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Under the agreements, in the event we terminate an employee with cause or an employee terminates his or her employment with us without good reason, his or her agreement will terminate without any further obligation to either party.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of control agreements provide that an employee may be terminated for cause if he or she, among other things:</w:t>
      </w:r>
    </w:p>
    <w:p>
      <w:pPr>
        <w:spacing w:after="0" w:line="117" w:lineRule="exact"/>
        <w:rPr>
          <w:sz w:val="20"/>
          <w:szCs w:val="20"/>
          <w:color w:val="auto"/>
        </w:rPr>
      </w:pPr>
    </w:p>
    <w:p>
      <w:pPr>
        <w:ind w:left="740" w:right="680" w:hanging="368"/>
        <w:spacing w:after="0" w:line="282" w:lineRule="auto"/>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or her lawful duties or any lawful instruction of our Board of Directors or senior management;</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 before a change of control occurs.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agreements, good reason includes, among other things:</w:t>
      </w:r>
    </w:p>
    <w:p>
      <w:pPr>
        <w:spacing w:after="0" w:line="117" w:lineRule="exact"/>
        <w:rPr>
          <w:sz w:val="20"/>
          <w:szCs w:val="20"/>
          <w:color w:val="auto"/>
        </w:rPr>
      </w:pPr>
    </w:p>
    <w:p>
      <w:pPr>
        <w:ind w:left="740" w:hanging="368"/>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position, authority, duties or responsibilities with us;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the employee to an office located more than 50 miles from the employee’s current residence and worksite;</w:t>
      </w:r>
    </w:p>
    <w:p>
      <w:pPr>
        <w:spacing w:after="0" w:line="117"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change of control agreement by us, on the condition that the employee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change of control agreement by us.</w:t>
      </w:r>
    </w:p>
    <w:p>
      <w:pPr>
        <w:spacing w:after="0" w:line="225"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Under the change of control agreements, an employee must inform us if he or she intends to terminate his or her agreement for good reason. We have 30 days from the date we receive notice of the employee’s intent to terminate the agreement for good reason to cure the default.</w:t>
      </w:r>
    </w:p>
    <w:p>
      <w:pPr>
        <w:spacing w:after="0" w:line="162"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The executive severance agreements and the change of control agreements with Mr. Thomson provide that in the event such executive becomes entitled to benefits under both agreements, compensation payments and other benefits will be coordinated to ensure the executive is entitled to receive the benefits described above without duplicating coverage.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2021.</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20" w:type="dxa"/>
            <w:vAlign w:val="bottom"/>
            <w:gridSpan w:val="2"/>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620" w:type="dxa"/>
            <w:vAlign w:val="bottom"/>
            <w:gridSpan w:val="2"/>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73"/>
        </w:trPr>
        <w:tc>
          <w:tcPr>
            <w:tcW w:w="6520" w:type="dxa"/>
            <w:vAlign w:val="bottom"/>
            <w:gridSpan w:val="2"/>
            <w:vMerge w:val="continue"/>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Rights (#)(a)</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Rights ($)(b)</w:t>
            </w:r>
          </w:p>
        </w:tc>
        <w:tc>
          <w:tcPr>
            <w:tcW w:w="1620" w:type="dxa"/>
            <w:vAlign w:val="bottom"/>
            <w:gridSpan w:val="2"/>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(#)(c )</w:t>
            </w:r>
          </w:p>
        </w:tc>
        <w:tc>
          <w:tcPr>
            <w:tcW w:w="0" w:type="dxa"/>
            <w:vAlign w:val="bottom"/>
          </w:tcPr>
          <w:p>
            <w:pPr>
              <w:spacing w:after="0"/>
              <w:rPr>
                <w:sz w:val="1"/>
                <w:szCs w:val="1"/>
                <w:color w:val="auto"/>
              </w:rPr>
            </w:pPr>
          </w:p>
        </w:tc>
      </w:tr>
      <w:tr>
        <w:trPr>
          <w:trHeight w:val="223"/>
        </w:trPr>
        <w:tc>
          <w:tcPr>
            <w:tcW w:w="6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10,655,146</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6,436,801</w:t>
            </w:r>
          </w:p>
        </w:tc>
        <w:tc>
          <w:tcPr>
            <w:tcW w:w="3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15"/>
                <w:szCs w:val="15"/>
                <w:color w:val="auto"/>
              </w:rPr>
              <w:t>(2)</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20" w:right="80" w:hanging="412"/>
        <w:spacing w:after="0" w:line="180" w:lineRule="auto"/>
        <w:tabs>
          <w:tab w:leader="none" w:pos="420" w:val="left"/>
        </w:tabs>
        <w:numPr>
          <w:ilvl w:val="0"/>
          <w:numId w:val="4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Includes 5,344,810 shares available for issuance under the 2018 Plan and 1,091,991 shares available for purchase under our Employee Stock Purchase Plan. The shares available for issuance under the 2018 Plan was determined with a 300% payout assumption for Market Restricted Stock Units issued in 2020 and 100% payout assumption for Market Restricted Stock Units issued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165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99" w:lineRule="exact"/>
        <w:rPr>
          <w:sz w:val="20"/>
          <w:szCs w:val="20"/>
          <w:color w:val="auto"/>
        </w:rPr>
      </w:pPr>
    </w:p>
    <w:p>
      <w:pPr>
        <w:ind w:left="420" w:hanging="412"/>
        <w:spacing w:after="0"/>
        <w:tabs>
          <w:tab w:leader="none" w:pos="4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2021, we did not have any equity compensation plans that were not approved by our security holders.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right="12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into any filing of MannKind under the Securities Act or the Exchange Act, except to the extent MannKind specifically incorporates this report by reference.</w:t>
      </w:r>
    </w:p>
    <w:p>
      <w:pPr>
        <w:spacing w:after="0" w:line="160"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contained in this proxy statement. Based on this review and discussion, the Compensation Committee has recommended to our Board of Directors that the Compensation Discussion and Analysis be included in this proxy statement and incorporated into our Annual Report on Form 10-K for the fiscal year ended December 31, 2021.</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Kent Kresa, Compensation Committee Chair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A. Friedman, Compensation Committee Member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Anthony Hooper, Compensation Committee Member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S. Shannon, Compensation Committee Member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11, 2022 by: (i) each person, entity or group known to the Company to be the beneficial owner of more than 5% of the Company’s common stock; (ii) each director and nominee for director; (iii) each of the executive officers named in the Summary Compensation Table, who we refer to as the named executive officers; and (iv) all current executive officers and directors of the Company as a group. Unless otherwise indicated in the footnotes to the table below and subject to community property laws where applicable, we believe that each of the stockholders named in the table has sole voting and investment power with respect to the shares indicated as beneficially owned.</w:t>
      </w:r>
    </w:p>
    <w:p>
      <w:pPr>
        <w:spacing w:after="0" w:line="187" w:lineRule="exact"/>
        <w:rPr>
          <w:sz w:val="20"/>
          <w:szCs w:val="20"/>
          <w:color w:val="auto"/>
        </w:rPr>
      </w:pPr>
    </w:p>
    <w:p>
      <w:pPr>
        <w:ind w:right="120" w:firstLine="416"/>
        <w:spacing w:after="0" w:line="255" w:lineRule="auto"/>
        <w:rPr>
          <w:sz w:val="20"/>
          <w:szCs w:val="20"/>
          <w:color w:val="auto"/>
        </w:rPr>
      </w:pPr>
      <w:r>
        <w:rPr>
          <w:rFonts w:ascii="Times New Roman" w:cs="Times New Roman" w:eastAsia="Times New Roman" w:hAnsi="Times New Roman"/>
          <w:sz w:val="18"/>
          <w:szCs w:val="18"/>
          <w:color w:val="auto"/>
        </w:rPr>
        <w:t>Applicable percentages are based on 252,255,454 shares outstanding on March 11, 2022, adjusted as required by rules promulgated by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May 10, 2022, which is 60 days after March 11, 2022.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address for each person or entity listed in the table is c/o MannKind Corporation, 1 Casper Street, Danbury, Connecticut 06810.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Identity of Owner or Group</w:t>
            </w:r>
          </w:p>
        </w:tc>
        <w:tc>
          <w:tcPr>
            <w:tcW w:w="3600" w:type="dxa"/>
            <w:vAlign w:val="bottom"/>
            <w:gridSpan w:val="4"/>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155"/>
        </w:trPr>
        <w:tc>
          <w:tcPr>
            <w:tcW w:w="7640" w:type="dxa"/>
            <w:vAlign w:val="bottom"/>
          </w:tcPr>
          <w:p>
            <w:pPr>
              <w:spacing w:after="0"/>
              <w:rPr>
                <w:sz w:val="13"/>
                <w:szCs w:val="13"/>
                <w:color w:val="auto"/>
              </w:rPr>
            </w:pPr>
          </w:p>
        </w:tc>
        <w:tc>
          <w:tcPr>
            <w:tcW w:w="18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tcBorders>
              <w:top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200" w:type="dxa"/>
            <w:vAlign w:val="bottom"/>
          </w:tcPr>
          <w:p>
            <w:pPr>
              <w:spacing w:after="0"/>
              <w:rPr>
                <w:sz w:val="13"/>
                <w:szCs w:val="13"/>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Alfred E. Mann Family Foundation</w:t>
            </w:r>
            <w:r>
              <w:rPr>
                <w:rFonts w:ascii="Times New Roman" w:cs="Times New Roman" w:eastAsia="Times New Roman" w:hAnsi="Times New Roman"/>
                <w:sz w:val="15"/>
                <w:szCs w:val="15"/>
                <w:color w:val="auto"/>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16,772,854</w:t>
            </w:r>
          </w:p>
        </w:tc>
        <w:tc>
          <w:tcPr>
            <w:tcW w:w="28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Michael Castagna</w:t>
            </w:r>
            <w:r>
              <w:rPr>
                <w:rFonts w:ascii="Times New Roman" w:cs="Times New Roman" w:eastAsia="Times New Roman" w:hAnsi="Times New Roman"/>
                <w:sz w:val="15"/>
                <w:szCs w:val="15"/>
                <w:color w:val="auto"/>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1,806,029</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B. Binder</w:t>
            </w:r>
            <w:r>
              <w:rPr>
                <w:rFonts w:ascii="Times New Roman" w:cs="Times New Roman" w:eastAsia="Times New Roman" w:hAnsi="Times New Roman"/>
                <w:sz w:val="15"/>
                <w:szCs w:val="15"/>
                <w:color w:val="auto"/>
              </w:rPr>
              <w:t>(3)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533,321</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Joseph Kocinsky</w:t>
            </w:r>
            <w:r>
              <w:rPr>
                <w:rFonts w:ascii="Times New Roman" w:cs="Times New Roman" w:eastAsia="Times New Roman" w:hAnsi="Times New Roman"/>
                <w:sz w:val="15"/>
                <w:szCs w:val="15"/>
                <w:color w:val="auto"/>
              </w:rPr>
              <w:t>(4)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775,233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Thomson</w:t>
            </w:r>
            <w:r>
              <w:rPr>
                <w:rFonts w:ascii="Times New Roman" w:cs="Times New Roman" w:eastAsia="Times New Roman" w:hAnsi="Times New Roman"/>
                <w:sz w:val="15"/>
                <w:szCs w:val="15"/>
                <w:color w:val="auto"/>
              </w:rPr>
              <w:t>(5)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891,539</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Stuart A. Tross</w:t>
            </w:r>
            <w:r>
              <w:rPr>
                <w:rFonts w:ascii="Times New Roman" w:cs="Times New Roman" w:eastAsia="Times New Roman" w:hAnsi="Times New Roman"/>
                <w:sz w:val="15"/>
                <w:szCs w:val="15"/>
                <w:color w:val="auto"/>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717,748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Ronald Consiglio</w:t>
            </w:r>
            <w:r>
              <w:rPr>
                <w:rFonts w:ascii="Times New Roman" w:cs="Times New Roman" w:eastAsia="Times New Roman" w:hAnsi="Times New Roman"/>
                <w:sz w:val="15"/>
                <w:szCs w:val="15"/>
                <w:color w:val="auto"/>
              </w:rPr>
              <w:t>(7)</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144,569</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Michael Friedman</w:t>
            </w:r>
            <w:r>
              <w:rPr>
                <w:rFonts w:ascii="Times New Roman" w:cs="Times New Roman" w:eastAsia="Times New Roman" w:hAnsi="Times New Roman"/>
                <w:sz w:val="15"/>
                <w:szCs w:val="15"/>
                <w:color w:val="auto"/>
              </w:rPr>
              <w:t>(8)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Jennifer Grancio</w:t>
            </w:r>
            <w:r>
              <w:rPr>
                <w:rFonts w:ascii="Times New Roman" w:cs="Times New Roman" w:eastAsia="Times New Roman" w:hAnsi="Times New Roman"/>
                <w:sz w:val="15"/>
                <w:szCs w:val="15"/>
                <w:color w:val="auto"/>
              </w:rPr>
              <w:t>(9)</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Anthony Hooper</w:t>
            </w:r>
            <w:r>
              <w:rPr>
                <w:rFonts w:ascii="Times New Roman" w:cs="Times New Roman" w:eastAsia="Times New Roman" w:hAnsi="Times New Roman"/>
                <w:sz w:val="15"/>
                <w:szCs w:val="15"/>
                <w:color w:val="auto"/>
              </w:rPr>
              <w:t>(10)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Sabrina Kay</w:t>
            </w:r>
            <w:r>
              <w:rPr>
                <w:rFonts w:ascii="Times New Roman" w:cs="Times New Roman" w:eastAsia="Times New Roman" w:hAnsi="Times New Roman"/>
                <w:sz w:val="15"/>
                <w:szCs w:val="15"/>
                <w:color w:val="auto"/>
              </w:rPr>
              <w:t>(11)</w:t>
            </w: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Kent Kresa</w:t>
            </w:r>
            <w:r>
              <w:rPr>
                <w:rFonts w:ascii="Times New Roman" w:cs="Times New Roman" w:eastAsia="Times New Roman" w:hAnsi="Times New Roman"/>
                <w:sz w:val="15"/>
                <w:szCs w:val="15"/>
                <w:color w:val="auto"/>
              </w:rPr>
              <w:t>(12)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313,873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Mundkur</w:t>
            </w:r>
            <w:r>
              <w:rPr>
                <w:rFonts w:ascii="Times New Roman" w:cs="Times New Roman" w:eastAsia="Times New Roman" w:hAnsi="Times New Roman"/>
                <w:sz w:val="15"/>
                <w:szCs w:val="15"/>
                <w:color w:val="auto"/>
              </w:rPr>
              <w:t>(13)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27,675</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James S. Shannon</w:t>
            </w:r>
            <w:r>
              <w:rPr>
                <w:rFonts w:ascii="Times New Roman" w:cs="Times New Roman" w:eastAsia="Times New Roman" w:hAnsi="Times New Roman"/>
                <w:sz w:val="15"/>
                <w:szCs w:val="15"/>
                <w:color w:val="auto"/>
              </w:rPr>
              <w:t>(14)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(14 persons)</w:t>
            </w:r>
            <w:r>
              <w:rPr>
                <w:rFonts w:ascii="Times New Roman" w:cs="Times New Roman" w:eastAsia="Times New Roman" w:hAnsi="Times New Roman"/>
                <w:sz w:val="15"/>
                <w:szCs w:val="15"/>
                <w:b w:val="1"/>
                <w:bCs w:val="1"/>
                <w:color w:val="auto"/>
              </w:rPr>
              <w:t>(15)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5,715,100</w:t>
            </w: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w:t>
            </w:r>
          </w:p>
        </w:tc>
      </w:tr>
    </w:tbl>
    <w:p>
      <w:pPr>
        <w:spacing w:after="0" w:line="220"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65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84" w:lineRule="exact"/>
        <w:rPr>
          <w:sz w:val="20"/>
          <w:szCs w:val="20"/>
          <w:color w:val="auto"/>
        </w:rPr>
      </w:pPr>
    </w:p>
    <w:p>
      <w:pPr>
        <w:ind w:left="420" w:right="120" w:hanging="412"/>
        <w:spacing w:after="0" w:line="236" w:lineRule="auto"/>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8,921,647 shares held by Alfred E. Mann Family Foundation, (ii) 481,207 shares held by Mann Medical Research Organization and (iii) up to 7,370,000 shares issuable upon conversion of outstanding principal and accrued and unpaid interest thereon under a promissory note dated August 5, 2019 held by The Mann Group LLC (“The Mann Group”), at a conversion price of $2.50 per share. The Alfred E. Mann Family Foundation (the “Foundation”) is the sole member and manager of The Mann Group and the Mann Medical Research Organization. The address of The Mann Group, the Mann Medical Research Organization and the Foundation is 12744 San Fernando Road, Sylmar, CA 91342.</w:t>
      </w:r>
    </w:p>
    <w:p>
      <w:pPr>
        <w:spacing w:after="0" w:line="176"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46,583 shares that Mr. Castagna has the right to acquire within 60 days of March 11, 2022 pursuant to the exercise of outstanding options.</w:t>
      </w:r>
    </w:p>
    <w:p>
      <w:pPr>
        <w:spacing w:after="0" w:line="190"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18,667 shares that Mr. Binder has the right to acquire within 60 days of March 11, 2022 pursuant to the exercise of outstanding options.</w:t>
      </w:r>
    </w:p>
    <w:p>
      <w:pPr>
        <w:spacing w:after="0" w:line="203"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18,667 shares that Mr. Kocinsky has the right to acquire within 60 days of March 11, 2022 pursuant to the exercise of outstanding options.</w:t>
      </w:r>
    </w:p>
    <w:p>
      <w:pPr>
        <w:spacing w:after="0" w:line="3"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18,667 shares that Mr. Thomson has the right to acquire within 60 days of March 11, 2022 pursuant to the exercise of outstanding options.</w:t>
      </w:r>
    </w:p>
    <w:p>
      <w:pPr>
        <w:spacing w:after="0" w:line="187"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18,667 shares that Mr. Tross has the right to acquire within 60 days of March 11, 2022 pursuant to the exercise of outstanding options.</w:t>
      </w:r>
    </w:p>
    <w:p>
      <w:pPr>
        <w:spacing w:after="0" w:line="190"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Consiglio has no outstanding options or restricted stock units that will vest within 60 days of March 11, 2022.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8" w:name="page49"/>
    <w:bookmarkEnd w:id="48"/>
    <w:p>
      <w:pPr>
        <w:ind w:left="392" w:hanging="392"/>
        <w:spacing w:after="0"/>
        <w:tabs>
          <w:tab w:leader="none" w:pos="3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Friedman has no outstanding options or restricted stock units that will vest within 60 days of March 11, 2022.</w:t>
      </w:r>
    </w:p>
    <w:p>
      <w:pPr>
        <w:spacing w:after="0" w:line="190"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Grancio has no outstanding options or restricted stock units that will vest within 60 days of March 11, 2022.</w:t>
      </w:r>
    </w:p>
    <w:p>
      <w:pPr>
        <w:spacing w:after="0" w:line="203"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Hooper has no outstanding options or restricted stock units that will vest within 60 days of March 11, 2022.</w:t>
      </w:r>
    </w:p>
    <w:p>
      <w:pPr>
        <w:spacing w:after="0" w:line="203" w:lineRule="exact"/>
        <w:rPr>
          <w:rFonts w:ascii="Times New Roman" w:cs="Times New Roman" w:eastAsia="Times New Roman" w:hAnsi="Times New Roman"/>
          <w:sz w:val="14"/>
          <w:szCs w:val="14"/>
          <w:color w:val="auto"/>
        </w:rPr>
      </w:pPr>
    </w:p>
    <w:p>
      <w:pPr>
        <w:ind w:left="392" w:hanging="392"/>
        <w:spacing w:after="0"/>
        <w:tabs>
          <w:tab w:leader="none" w:pos="3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Kay has no outstanding options or restricted stock units that will vest within 60 days of March 11, 2022.</w:t>
      </w:r>
    </w:p>
    <w:p>
      <w:pPr>
        <w:spacing w:after="0" w:line="190" w:lineRule="exact"/>
        <w:rPr>
          <w:rFonts w:ascii="Times New Roman" w:cs="Times New Roman" w:eastAsia="Times New Roman" w:hAnsi="Times New Roman"/>
          <w:sz w:val="14"/>
          <w:szCs w:val="14"/>
          <w:color w:val="auto"/>
        </w:rPr>
      </w:pPr>
    </w:p>
    <w:p>
      <w:pPr>
        <w:ind w:left="472" w:hanging="472"/>
        <w:spacing w:after="0"/>
        <w:tabs>
          <w:tab w:leader="none" w:pos="47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Kresa has no outstanding options or restricted stock units that will vest within 60 days of March 11, 2022.</w:t>
      </w:r>
    </w:p>
    <w:p>
      <w:pPr>
        <w:spacing w:after="0" w:line="298" w:lineRule="exact"/>
        <w:rPr>
          <w:rFonts w:ascii="Times New Roman" w:cs="Times New Roman" w:eastAsia="Times New Roman" w:hAnsi="Times New Roman"/>
          <w:sz w:val="14"/>
          <w:szCs w:val="14"/>
          <w:color w:val="auto"/>
        </w:rPr>
      </w:pPr>
    </w:p>
    <w:p>
      <w:pPr>
        <w:ind w:left="392" w:hanging="392"/>
        <w:spacing w:after="0"/>
        <w:tabs>
          <w:tab w:leader="none" w:pos="3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Mundkur has no outstanding options or restricted stock units that will vest within 60 days of March 11, 2022.</w:t>
      </w:r>
    </w:p>
    <w:p>
      <w:pPr>
        <w:spacing w:after="0" w:line="203"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Shannon has no outstanding options or restricted stock units that will vest within 60 days of March 11, 2022.</w:t>
      </w:r>
    </w:p>
    <w:p>
      <w:pPr>
        <w:spacing w:after="0" w:line="190" w:lineRule="exact"/>
        <w:rPr>
          <w:rFonts w:ascii="Times New Roman" w:cs="Times New Roman" w:eastAsia="Times New Roman" w:hAnsi="Times New Roman"/>
          <w:sz w:val="14"/>
          <w:szCs w:val="14"/>
          <w:color w:val="auto"/>
        </w:rPr>
      </w:pPr>
    </w:p>
    <w:p>
      <w:pPr>
        <w:ind w:left="412" w:hanging="412"/>
        <w:spacing w:after="0"/>
        <w:tabs>
          <w:tab w:leader="none" w:pos="4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shares described in notes (2) through (14) above, as well as 109,690 shares held by another executive officer.</w:t>
      </w:r>
    </w:p>
    <w:p>
      <w:pPr>
        <w:spacing w:after="0" w:line="208"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1"/>
          </w:cols>
          <w:pgMar w:left="328" w:top="549" w:right="1440"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MannKind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direct your written request to MannKind Corporation, Investor Relations, 1 Casper Street, Danbury, Connecticut 06810 or contact David Thomson at (818) 661-5000. In addition, we will promptly deliver, upon written or oral request to the address or telephone number above, a separate copy of the Notice of Internet Availability of Proxy Materials to a stockholder at a shared address to which a single copy of the documents was delivered. Stockholders who currently receive multiple copies of the Notices of Internet Availability of Proxy Materials at their address and would like to request “householding” of their communications should contact their broker.</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2021, FILED WITH THE SEC ON FEBRUARY 24, 2022, IS AVAILABLE WITHOUT CHARGE UPON WRITTEN REQUEST TO: MANNKIND CORPORATION, INVESTOR RELATIONS, 1 CASPER STREET, DANBURY, CONNECTICUT 06810.</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right="240" w:firstLine="416"/>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wp:posOffset>
            </wp:positionV>
            <wp:extent cx="1611630" cy="317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1163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B. Thomson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74865" cy="72053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7205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363220</wp:posOffset>
            </wp:positionV>
            <wp:extent cx="5031740" cy="5974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031740" cy="59747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lvl w:ilvl="1">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amp;"/>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Roman"/>
      <w:start w:val="2"/>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2"/>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2"/>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2"/>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2022-03-30T08:07:20Z</dcterms:created>
  <dcterms:modified xsi:type="dcterms:W3CDTF">2022-03-30T08:07:20Z</dcterms:modified>
</cp:coreProperties>
</file>