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267970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UNITED STATES SECURITIES AND EXCHANGE COMMISSION</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ANNUAL REPORT PURSUANT TO SECTION 13 OR 15(d) OF THE SECURITIES EXCHANGE ACT OF 1934</w:t>
      </w:r>
    </w:p>
    <w:p>
      <w:pPr>
        <w:spacing w:after="0" w:line="111"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2014</w:t>
      </w:r>
    </w:p>
    <w:p>
      <w:pPr>
        <w:spacing w:after="0" w:line="9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75" w:lineRule="exact"/>
        <w:rPr>
          <w:sz w:val="24"/>
          <w:szCs w:val="24"/>
          <w:color w:val="auto"/>
        </w:rPr>
      </w:pPr>
    </w:p>
    <w:p>
      <w:pPr>
        <w:ind w:left="460" w:right="440" w:hanging="452"/>
        <w:spacing w:after="0" w:line="262" w:lineRule="auto"/>
        <w:tabs>
          <w:tab w:leader="none" w:pos="46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ectPr>
          <w:pgSz w:w="11900" w:h="16838" w:orient="portrait"/>
          <w:cols w:equalWidth="0" w:num="1">
            <w:col w:w="11400"/>
          </w:cols>
          <w:pgMar w:left="240" w:top="226" w:right="259" w:bottom="1440" w:gutter="0" w:footer="0" w:header="0"/>
        </w:sectPr>
      </w:pPr>
    </w:p>
    <w:p>
      <w:pPr>
        <w:spacing w:after="0" w:line="30"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to</w:t>
      </w:r>
    </w:p>
    <w:p>
      <w:pPr>
        <w:spacing w:after="0" w:line="113" w:lineRule="exact"/>
        <w:rPr>
          <w:sz w:val="24"/>
          <w:szCs w:val="24"/>
          <w:color w:val="auto"/>
        </w:rPr>
      </w:pPr>
    </w:p>
    <w:p>
      <w:pPr>
        <w:sectPr>
          <w:pgSz w:w="11900" w:h="16838" w:orient="portrait"/>
          <w:cols w:equalWidth="0" w:num="2">
            <w:col w:w="2980" w:space="720"/>
            <w:col w:w="7700"/>
          </w:cols>
          <w:pgMar w:left="240" w:top="226" w:right="25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Commission file number: 000-50865</w:t>
      </w:r>
    </w:p>
    <w:p>
      <w:pPr>
        <w:sectPr>
          <w:pgSz w:w="11900" w:h="16838" w:orient="portrait"/>
          <w:cols w:equalWidth="0" w:num="1">
            <w:col w:w="11400"/>
          </w:cols>
          <w:pgMar w:left="240" w:top="226" w:right="259" w:bottom="1440" w:gutter="0" w:footer="0" w:header="0"/>
          <w:type w:val="continuous"/>
        </w:sectPr>
      </w:pPr>
    </w:p>
    <w:p>
      <w:pPr>
        <w:spacing w:after="0" w:line="7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MannKind Corporation</w:t>
      </w:r>
    </w:p>
    <w:p>
      <w:pPr>
        <w:spacing w:after="0" w:line="5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i w:val="1"/>
          <w:iCs w:val="1"/>
          <w:color w:val="auto"/>
        </w:rPr>
        <w:t>(Exact name of registrant as specified in its charter)</w:t>
      </w:r>
    </w:p>
    <w:p>
      <w:pPr>
        <w:spacing w:after="0" w:line="52" w:lineRule="exact"/>
        <w:rPr>
          <w:sz w:val="24"/>
          <w:szCs w:val="24"/>
          <w:color w:val="auto"/>
        </w:rPr>
      </w:pPr>
    </w:p>
    <w:tbl>
      <w:tblPr>
        <w:tblLayout w:type="fixed"/>
        <w:tblInd w:w="120" w:type="dxa"/>
        <w:tblCellMar>
          <w:top w:w="0" w:type="dxa"/>
          <w:left w:w="0" w:type="dxa"/>
          <w:bottom w:w="0" w:type="dxa"/>
          <w:right w:w="0" w:type="dxa"/>
        </w:tblCellMar>
      </w:tblPr>
      <w:tr>
        <w:trPr>
          <w:trHeight w:val="218"/>
        </w:trPr>
        <w:tc>
          <w:tcPr>
            <w:tcW w:w="2340" w:type="dxa"/>
            <w:vAlign w:val="bottom"/>
          </w:tcPr>
          <w:p>
            <w:pPr>
              <w:spacing w:after="0"/>
              <w:rPr>
                <w:sz w:val="18"/>
                <w:szCs w:val="18"/>
                <w:color w:val="auto"/>
              </w:rPr>
            </w:pPr>
          </w:p>
        </w:tc>
        <w:tc>
          <w:tcPr>
            <w:tcW w:w="2300" w:type="dxa"/>
            <w:vAlign w:val="bottom"/>
            <w:gridSpan w:val="2"/>
          </w:tcPr>
          <w:p>
            <w:pPr>
              <w:jc w:val="center"/>
              <w:ind w:right="129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600" w:type="dxa"/>
            <w:vAlign w:val="bottom"/>
            <w:gridSpan w:val="3"/>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13-3607736</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49"/>
        </w:trPr>
        <w:tc>
          <w:tcPr>
            <w:tcW w:w="4640" w:type="dxa"/>
            <w:vAlign w:val="bottom"/>
            <w:gridSpan w:val="3"/>
          </w:tcPr>
          <w:p>
            <w:pPr>
              <w:jc w:val="center"/>
              <w:ind w:left="880"/>
              <w:spacing w:after="0" w:line="149" w:lineRule="exact"/>
              <w:rPr>
                <w:sz w:val="20"/>
                <w:szCs w:val="20"/>
                <w:color w:val="auto"/>
              </w:rPr>
            </w:pPr>
            <w:r>
              <w:rPr>
                <w:rFonts w:ascii="Times New Roman" w:cs="Times New Roman" w:eastAsia="Times New Roman" w:hAnsi="Times New Roman"/>
                <w:sz w:val="14"/>
                <w:szCs w:val="14"/>
                <w:i w:val="1"/>
                <w:iCs w:val="1"/>
                <w:color w:val="auto"/>
                <w:w w:val="97"/>
              </w:rPr>
              <w:t>(State or other jurisdiction of</w:t>
            </w:r>
          </w:p>
        </w:tc>
        <w:tc>
          <w:tcPr>
            <w:tcW w:w="2520" w:type="dxa"/>
            <w:vAlign w:val="bottom"/>
          </w:tcPr>
          <w:p>
            <w:pPr>
              <w:spacing w:after="0"/>
              <w:rPr>
                <w:sz w:val="12"/>
                <w:szCs w:val="12"/>
                <w:color w:val="auto"/>
              </w:rPr>
            </w:pPr>
          </w:p>
        </w:tc>
        <w:tc>
          <w:tcPr>
            <w:tcW w:w="2080" w:type="dxa"/>
            <w:vAlign w:val="bottom"/>
            <w:gridSpan w:val="2"/>
          </w:tcPr>
          <w:p>
            <w:pPr>
              <w:jc w:val="center"/>
              <w:ind w:left="748"/>
              <w:spacing w:after="0" w:line="149" w:lineRule="exact"/>
              <w:rPr>
                <w:sz w:val="20"/>
                <w:szCs w:val="20"/>
                <w:color w:val="auto"/>
              </w:rPr>
            </w:pPr>
            <w:r>
              <w:rPr>
                <w:rFonts w:ascii="Times New Roman" w:cs="Times New Roman" w:eastAsia="Times New Roman" w:hAnsi="Times New Roman"/>
                <w:sz w:val="14"/>
                <w:szCs w:val="14"/>
                <w:i w:val="1"/>
                <w:iCs w:val="1"/>
                <w:color w:val="auto"/>
                <w:w w:val="96"/>
              </w:rPr>
              <w:t>(I.R.S. Employer</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6"/>
        </w:trPr>
        <w:tc>
          <w:tcPr>
            <w:tcW w:w="4640" w:type="dxa"/>
            <w:vAlign w:val="bottom"/>
            <w:gridSpan w:val="3"/>
          </w:tcPr>
          <w:p>
            <w:pPr>
              <w:jc w:val="center"/>
              <w:ind w:left="880"/>
              <w:spacing w:after="0"/>
              <w:rPr>
                <w:sz w:val="20"/>
                <w:szCs w:val="20"/>
                <w:color w:val="auto"/>
              </w:rPr>
            </w:pPr>
            <w:r>
              <w:rPr>
                <w:rFonts w:ascii="Times New Roman" w:cs="Times New Roman" w:eastAsia="Times New Roman" w:hAnsi="Times New Roman"/>
                <w:sz w:val="14"/>
                <w:szCs w:val="14"/>
                <w:i w:val="1"/>
                <w:iCs w:val="1"/>
                <w:color w:val="auto"/>
                <w:w w:val="96"/>
              </w:rPr>
              <w:t>incorporation or organization)</w:t>
            </w:r>
          </w:p>
        </w:tc>
        <w:tc>
          <w:tcPr>
            <w:tcW w:w="2520" w:type="dxa"/>
            <w:vAlign w:val="bottom"/>
          </w:tcPr>
          <w:p>
            <w:pPr>
              <w:spacing w:after="0"/>
              <w:rPr>
                <w:sz w:val="15"/>
                <w:szCs w:val="15"/>
                <w:color w:val="auto"/>
              </w:rPr>
            </w:pPr>
          </w:p>
        </w:tc>
        <w:tc>
          <w:tcPr>
            <w:tcW w:w="2080" w:type="dxa"/>
            <w:vAlign w:val="bottom"/>
            <w:gridSpan w:val="2"/>
          </w:tcPr>
          <w:p>
            <w:pPr>
              <w:jc w:val="center"/>
              <w:ind w:left="768"/>
              <w:spacing w:after="0"/>
              <w:rPr>
                <w:sz w:val="20"/>
                <w:szCs w:val="20"/>
                <w:color w:val="auto"/>
              </w:rPr>
            </w:pPr>
            <w:r>
              <w:rPr>
                <w:rFonts w:ascii="Times New Roman" w:cs="Times New Roman" w:eastAsia="Times New Roman" w:hAnsi="Times New Roman"/>
                <w:sz w:val="14"/>
                <w:szCs w:val="14"/>
                <w:i w:val="1"/>
                <w:iCs w:val="1"/>
                <w:color w:val="auto"/>
                <w:w w:val="96"/>
              </w:rPr>
              <w:t>Identification No.)</w:t>
            </w: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08"/>
        </w:trPr>
        <w:tc>
          <w:tcPr>
            <w:tcW w:w="4640" w:type="dxa"/>
            <w:vAlign w:val="bottom"/>
            <w:gridSpan w:val="3"/>
          </w:tcPr>
          <w:p>
            <w:pPr>
              <w:jc w:val="center"/>
              <w:ind w:left="880"/>
              <w:spacing w:after="0"/>
              <w:rPr>
                <w:sz w:val="20"/>
                <w:szCs w:val="20"/>
                <w:color w:val="auto"/>
              </w:rPr>
            </w:pPr>
            <w:r>
              <w:rPr>
                <w:rFonts w:ascii="Times New Roman" w:cs="Times New Roman" w:eastAsia="Times New Roman" w:hAnsi="Times New Roman"/>
                <w:sz w:val="18"/>
                <w:szCs w:val="18"/>
                <w:b w:val="1"/>
                <w:bCs w:val="1"/>
                <w:color w:val="auto"/>
                <w:w w:val="97"/>
              </w:rPr>
              <w:t>28903 North Avenue Paine</w:t>
            </w:r>
          </w:p>
        </w:tc>
        <w:tc>
          <w:tcPr>
            <w:tcW w:w="25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1"/>
        </w:trPr>
        <w:tc>
          <w:tcPr>
            <w:tcW w:w="4640" w:type="dxa"/>
            <w:vAlign w:val="bottom"/>
            <w:gridSpan w:val="3"/>
          </w:tcPr>
          <w:p>
            <w:pPr>
              <w:jc w:val="center"/>
              <w:ind w:left="880"/>
              <w:spacing w:after="0"/>
              <w:rPr>
                <w:sz w:val="20"/>
                <w:szCs w:val="20"/>
                <w:color w:val="auto"/>
              </w:rPr>
            </w:pPr>
            <w:r>
              <w:rPr>
                <w:rFonts w:ascii="Times New Roman" w:cs="Times New Roman" w:eastAsia="Times New Roman" w:hAnsi="Times New Roman"/>
                <w:sz w:val="18"/>
                <w:szCs w:val="18"/>
                <w:b w:val="1"/>
                <w:bCs w:val="1"/>
                <w:color w:val="auto"/>
                <w:w w:val="95"/>
              </w:rPr>
              <w:t>Valencia, California</w:t>
            </w:r>
          </w:p>
        </w:tc>
        <w:tc>
          <w:tcPr>
            <w:tcW w:w="4600" w:type="dxa"/>
            <w:vAlign w:val="bottom"/>
            <w:gridSpan w:val="3"/>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91355</w:t>
            </w: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76"/>
        </w:trPr>
        <w:tc>
          <w:tcPr>
            <w:tcW w:w="4640" w:type="dxa"/>
            <w:vAlign w:val="bottom"/>
            <w:gridSpan w:val="3"/>
          </w:tcPr>
          <w:p>
            <w:pPr>
              <w:jc w:val="center"/>
              <w:ind w:left="880"/>
              <w:spacing w:after="0"/>
              <w:rPr>
                <w:sz w:val="20"/>
                <w:szCs w:val="20"/>
                <w:color w:val="auto"/>
              </w:rPr>
            </w:pPr>
            <w:r>
              <w:rPr>
                <w:rFonts w:ascii="Times New Roman" w:cs="Times New Roman" w:eastAsia="Times New Roman" w:hAnsi="Times New Roman"/>
                <w:sz w:val="14"/>
                <w:szCs w:val="14"/>
                <w:i w:val="1"/>
                <w:iCs w:val="1"/>
                <w:color w:val="auto"/>
                <w:w w:val="96"/>
              </w:rPr>
              <w:t>(Address of principal executive offices)</w:t>
            </w:r>
          </w:p>
        </w:tc>
        <w:tc>
          <w:tcPr>
            <w:tcW w:w="2520" w:type="dxa"/>
            <w:vAlign w:val="bottom"/>
          </w:tcPr>
          <w:p>
            <w:pPr>
              <w:spacing w:after="0"/>
              <w:rPr>
                <w:sz w:val="15"/>
                <w:szCs w:val="15"/>
                <w:color w:val="auto"/>
              </w:rPr>
            </w:pPr>
          </w:p>
        </w:tc>
        <w:tc>
          <w:tcPr>
            <w:tcW w:w="2080" w:type="dxa"/>
            <w:vAlign w:val="bottom"/>
            <w:gridSpan w:val="2"/>
          </w:tcPr>
          <w:p>
            <w:pPr>
              <w:jc w:val="center"/>
              <w:ind w:left="768"/>
              <w:spacing w:after="0"/>
              <w:rPr>
                <w:sz w:val="20"/>
                <w:szCs w:val="20"/>
                <w:color w:val="auto"/>
              </w:rPr>
            </w:pPr>
            <w:r>
              <w:rPr>
                <w:rFonts w:ascii="Times New Roman" w:cs="Times New Roman" w:eastAsia="Times New Roman" w:hAnsi="Times New Roman"/>
                <w:sz w:val="14"/>
                <w:szCs w:val="14"/>
                <w:i w:val="1"/>
                <w:iCs w:val="1"/>
                <w:color w:val="auto"/>
                <w:w w:val="98"/>
              </w:rPr>
              <w:t>(Zip Code)</w:t>
            </w: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68"/>
        </w:trPr>
        <w:tc>
          <w:tcPr>
            <w:tcW w:w="23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5300" w:type="dxa"/>
            <w:vAlign w:val="bottom"/>
            <w:gridSpan w:val="3"/>
          </w:tcPr>
          <w:p>
            <w:pPr>
              <w:jc w:val="center"/>
              <w:ind w:right="308"/>
              <w:spacing w:after="0"/>
              <w:rPr>
                <w:sz w:val="20"/>
                <w:szCs w:val="20"/>
                <w:color w:val="auto"/>
              </w:rPr>
            </w:pPr>
            <w:r>
              <w:rPr>
                <w:rFonts w:ascii="Times New Roman" w:cs="Times New Roman" w:eastAsia="Times New Roman" w:hAnsi="Times New Roman"/>
                <w:sz w:val="18"/>
                <w:szCs w:val="18"/>
                <w:b w:val="1"/>
                <w:bCs w:val="1"/>
                <w:color w:val="auto"/>
                <w:w w:val="96"/>
              </w:rPr>
              <w:t>Registrant’s telephone number, including area code</w:t>
            </w:r>
          </w:p>
        </w:tc>
        <w:tc>
          <w:tcPr>
            <w:tcW w:w="8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30"/>
        </w:trPr>
        <w:tc>
          <w:tcPr>
            <w:tcW w:w="2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520" w:type="dxa"/>
            <w:vAlign w:val="bottom"/>
          </w:tcPr>
          <w:p>
            <w:pPr>
              <w:jc w:val="center"/>
              <w:ind w:right="536"/>
              <w:spacing w:after="0"/>
              <w:rPr>
                <w:sz w:val="20"/>
                <w:szCs w:val="20"/>
                <w:color w:val="auto"/>
              </w:rPr>
            </w:pPr>
            <w:r>
              <w:rPr>
                <w:rFonts w:ascii="Times New Roman" w:cs="Times New Roman" w:eastAsia="Times New Roman" w:hAnsi="Times New Roman"/>
                <w:sz w:val="18"/>
                <w:szCs w:val="18"/>
                <w:b w:val="1"/>
                <w:bCs w:val="1"/>
                <w:color w:val="auto"/>
                <w:w w:val="97"/>
              </w:rPr>
              <w:t>(661) 775-5300</w:t>
            </w:r>
          </w:p>
        </w:tc>
        <w:tc>
          <w:tcPr>
            <w:tcW w:w="1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97"/>
        </w:trPr>
        <w:tc>
          <w:tcPr>
            <w:tcW w:w="2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300" w:type="dxa"/>
            <w:vAlign w:val="bottom"/>
            <w:gridSpan w:val="3"/>
          </w:tcPr>
          <w:p>
            <w:pPr>
              <w:jc w:val="center"/>
              <w:ind w:right="328"/>
              <w:spacing w:after="0"/>
              <w:rPr>
                <w:sz w:val="20"/>
                <w:szCs w:val="20"/>
                <w:color w:val="auto"/>
              </w:rPr>
            </w:pPr>
            <w:r>
              <w:rPr>
                <w:rFonts w:ascii="Times New Roman" w:cs="Times New Roman" w:eastAsia="Times New Roman" w:hAnsi="Times New Roman"/>
                <w:sz w:val="18"/>
                <w:szCs w:val="18"/>
                <w:b w:val="1"/>
                <w:bCs w:val="1"/>
                <w:color w:val="auto"/>
                <w:w w:val="97"/>
              </w:rPr>
              <w:t>Securities registered pursuant to Section 12(b) of the Act:</w:t>
            </w: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2"/>
        </w:trPr>
        <w:tc>
          <w:tcPr>
            <w:tcW w:w="2340" w:type="dxa"/>
            <w:vAlign w:val="bottom"/>
          </w:tcPr>
          <w:p>
            <w:pPr>
              <w:spacing w:after="0"/>
              <w:rPr>
                <w:sz w:val="20"/>
                <w:szCs w:val="20"/>
                <w:color w:val="auto"/>
              </w:rPr>
            </w:pPr>
          </w:p>
        </w:tc>
        <w:tc>
          <w:tcPr>
            <w:tcW w:w="23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Title of Class</w:t>
            </w:r>
          </w:p>
        </w:tc>
        <w:tc>
          <w:tcPr>
            <w:tcW w:w="2520" w:type="dxa"/>
            <w:vAlign w:val="bottom"/>
          </w:tcPr>
          <w:p>
            <w:pPr>
              <w:spacing w:after="0"/>
              <w:rPr>
                <w:sz w:val="20"/>
                <w:szCs w:val="20"/>
                <w:color w:val="auto"/>
              </w:rPr>
            </w:pPr>
          </w:p>
        </w:tc>
        <w:tc>
          <w:tcPr>
            <w:tcW w:w="282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6"/>
              </w:rPr>
              <w:t>Name of Each Exchange on Which Registered</w:t>
            </w:r>
          </w:p>
        </w:tc>
      </w:tr>
      <w:tr>
        <w:trPr>
          <w:trHeight w:val="222"/>
        </w:trPr>
        <w:tc>
          <w:tcPr>
            <w:tcW w:w="2340" w:type="dxa"/>
            <w:vAlign w:val="bottom"/>
          </w:tcPr>
          <w:p>
            <w:pPr>
              <w:ind w:left="1260"/>
              <w:spacing w:after="0"/>
              <w:rPr>
                <w:sz w:val="20"/>
                <w:szCs w:val="20"/>
                <w:color w:val="auto"/>
              </w:rPr>
            </w:pPr>
            <w:r>
              <w:rPr>
                <w:rFonts w:ascii="Times New Roman" w:cs="Times New Roman" w:eastAsia="Times New Roman" w:hAnsi="Times New Roman"/>
                <w:sz w:val="18"/>
                <w:szCs w:val="18"/>
                <w:color w:val="auto"/>
                <w:w w:val="90"/>
              </w:rPr>
              <w:t>Common Stock,</w:t>
            </w:r>
          </w:p>
        </w:tc>
        <w:tc>
          <w:tcPr>
            <w:tcW w:w="80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w w:val="99"/>
              </w:rPr>
              <w:t>par value</w:t>
            </w:r>
          </w:p>
        </w:tc>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$0.01 per share</w:t>
            </w:r>
          </w:p>
        </w:tc>
        <w:tc>
          <w:tcPr>
            <w:tcW w:w="2520" w:type="dxa"/>
            <w:vAlign w:val="bottom"/>
          </w:tcPr>
          <w:p>
            <w:pPr>
              <w:spacing w:after="0"/>
              <w:rPr>
                <w:sz w:val="19"/>
                <w:szCs w:val="19"/>
                <w:color w:val="auto"/>
              </w:rPr>
            </w:pPr>
          </w:p>
        </w:tc>
        <w:tc>
          <w:tcPr>
            <w:tcW w:w="280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7"/>
              </w:rPr>
              <w:t>The NASDAQ Global Market</w:t>
            </w:r>
          </w:p>
        </w:tc>
        <w:tc>
          <w:tcPr>
            <w:tcW w:w="20" w:type="dxa"/>
            <w:vAlign w:val="bottom"/>
          </w:tcPr>
          <w:p>
            <w:pPr>
              <w:spacing w:after="0"/>
              <w:rPr>
                <w:sz w:val="19"/>
                <w:szCs w:val="19"/>
                <w:color w:val="auto"/>
              </w:rPr>
            </w:pPr>
          </w:p>
        </w:tc>
      </w:tr>
      <w:tr>
        <w:trPr>
          <w:trHeight w:val="268"/>
        </w:trPr>
        <w:tc>
          <w:tcPr>
            <w:tcW w:w="23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5300" w:type="dxa"/>
            <w:vAlign w:val="bottom"/>
            <w:gridSpan w:val="3"/>
          </w:tcPr>
          <w:p>
            <w:pPr>
              <w:jc w:val="center"/>
              <w:ind w:right="308"/>
              <w:spacing w:after="0"/>
              <w:rPr>
                <w:sz w:val="20"/>
                <w:szCs w:val="20"/>
                <w:color w:val="auto"/>
              </w:rPr>
            </w:pPr>
            <w:r>
              <w:rPr>
                <w:rFonts w:ascii="Times New Roman" w:cs="Times New Roman" w:eastAsia="Times New Roman" w:hAnsi="Times New Roman"/>
                <w:sz w:val="18"/>
                <w:szCs w:val="18"/>
                <w:b w:val="1"/>
                <w:bCs w:val="1"/>
                <w:color w:val="auto"/>
                <w:w w:val="97"/>
              </w:rPr>
              <w:t>Securities registered pursuant to Section 12(g) of the Act:</w:t>
            </w:r>
          </w:p>
        </w:tc>
        <w:tc>
          <w:tcPr>
            <w:tcW w:w="8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18"/>
        </w:trPr>
        <w:tc>
          <w:tcPr>
            <w:tcW w:w="2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800" w:type="dxa"/>
            <w:vAlign w:val="bottom"/>
            <w:gridSpan w:val="2"/>
          </w:tcPr>
          <w:p>
            <w:pPr>
              <w:jc w:val="center"/>
              <w:ind w:right="1828"/>
              <w:spacing w:after="0"/>
              <w:rPr>
                <w:sz w:val="20"/>
                <w:szCs w:val="20"/>
                <w:color w:val="auto"/>
              </w:rPr>
            </w:pPr>
            <w:r>
              <w:rPr>
                <w:rFonts w:ascii="Times New Roman" w:cs="Times New Roman" w:eastAsia="Times New Roman" w:hAnsi="Times New Roman"/>
                <w:sz w:val="18"/>
                <w:szCs w:val="18"/>
                <w:b w:val="1"/>
                <w:bCs w:val="1"/>
                <w:color w:val="auto"/>
                <w:w w:val="94"/>
              </w:rPr>
              <w:t>None</w:t>
            </w: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76"/>
        </w:trPr>
        <w:tc>
          <w:tcPr>
            <w:tcW w:w="2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3800" w:type="dxa"/>
            <w:vAlign w:val="bottom"/>
            <w:gridSpan w:val="2"/>
          </w:tcPr>
          <w:p>
            <w:pPr>
              <w:jc w:val="center"/>
              <w:ind w:right="1808"/>
              <w:spacing w:after="0"/>
              <w:rPr>
                <w:sz w:val="20"/>
                <w:szCs w:val="20"/>
                <w:color w:val="auto"/>
              </w:rPr>
            </w:pPr>
            <w:r>
              <w:rPr>
                <w:rFonts w:ascii="Times New Roman" w:cs="Times New Roman" w:eastAsia="Times New Roman" w:hAnsi="Times New Roman"/>
                <w:sz w:val="14"/>
                <w:szCs w:val="14"/>
                <w:i w:val="1"/>
                <w:iCs w:val="1"/>
                <w:color w:val="auto"/>
                <w:w w:val="95"/>
              </w:rPr>
              <w:t>(Title of Class)</w:t>
            </w: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02"/>
        </w:trPr>
        <w:tc>
          <w:tcPr>
            <w:tcW w:w="8440" w:type="dxa"/>
            <w:vAlign w:val="bottom"/>
            <w:gridSpan w:val="5"/>
          </w:tcPr>
          <w:p>
            <w:pPr>
              <w:spacing w:after="0"/>
              <w:rPr>
                <w:sz w:val="20"/>
                <w:szCs w:val="20"/>
                <w:color w:val="auto"/>
              </w:rPr>
            </w:pPr>
            <w:r>
              <w:rPr>
                <w:rFonts w:ascii="Times New Roman" w:cs="Times New Roman" w:eastAsia="Times New Roman" w:hAnsi="Times New Roman"/>
                <w:sz w:val="18"/>
                <w:szCs w:val="18"/>
                <w:color w:val="auto"/>
                <w:w w:val="99"/>
              </w:rPr>
              <w:t>Indicate by check mark if the registrant is a well-known seasoned issuer, as defined in Rule 405 of the Securities Act.</w:t>
            </w:r>
          </w:p>
        </w:tc>
        <w:tc>
          <w:tcPr>
            <w:tcW w:w="800" w:type="dxa"/>
            <w:vAlign w:val="bottom"/>
          </w:tcPr>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p>
        </w:tc>
        <w:tc>
          <w:tcPr>
            <w:tcW w:w="740" w:type="dxa"/>
            <w:vAlign w:val="bottom"/>
            <w:gridSpan w:val="2"/>
          </w:tcPr>
          <w:p>
            <w:pPr>
              <w:ind w:left="120"/>
              <w:spacing w:after="0" w:line="207" w:lineRule="exact"/>
              <w:rPr>
                <w:sz w:val="20"/>
                <w:szCs w:val="20"/>
                <w:color w:val="auto"/>
              </w:rPr>
            </w:pP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tc>
      </w:tr>
      <w:tr>
        <w:trPr>
          <w:trHeight w:val="297"/>
        </w:trPr>
        <w:tc>
          <w:tcPr>
            <w:tcW w:w="8440" w:type="dxa"/>
            <w:vAlign w:val="bottom"/>
            <w:gridSpan w:val="5"/>
          </w:tcPr>
          <w:p>
            <w:pPr>
              <w:spacing w:after="0"/>
              <w:rPr>
                <w:sz w:val="20"/>
                <w:szCs w:val="20"/>
                <w:color w:val="auto"/>
              </w:rPr>
            </w:pPr>
            <w:r>
              <w:rPr>
                <w:rFonts w:ascii="Times New Roman" w:cs="Times New Roman" w:eastAsia="Times New Roman" w:hAnsi="Times New Roman"/>
                <w:sz w:val="18"/>
                <w:szCs w:val="18"/>
                <w:color w:val="auto"/>
                <w:w w:val="97"/>
              </w:rPr>
              <w:t>Indicate by check mark if the registrant is not required to file reports pursuant to Section 13 or Section 15(d) of the Act.</w:t>
            </w:r>
          </w:p>
        </w:tc>
        <w:tc>
          <w:tcPr>
            <w:tcW w:w="800" w:type="dxa"/>
            <w:vAlign w:val="bottom"/>
          </w:tcPr>
          <w:p>
            <w:pPr>
              <w:ind w:left="180"/>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p>
        </w:tc>
        <w:tc>
          <w:tcPr>
            <w:tcW w:w="740" w:type="dxa"/>
            <w:vAlign w:val="bottom"/>
            <w:gridSpan w:val="2"/>
          </w:tcPr>
          <w:p>
            <w:pPr>
              <w:ind w:left="280"/>
              <w:spacing w:after="0" w:line="207" w:lineRule="exact"/>
              <w:rPr>
                <w:sz w:val="20"/>
                <w:szCs w:val="20"/>
                <w:color w:val="auto"/>
              </w:rPr>
            </w:pPr>
            <w:r>
              <w:rPr>
                <w:rFonts w:ascii="Times New Roman" w:cs="Times New Roman" w:eastAsia="Times New Roman" w:hAnsi="Times New Roman"/>
                <w:sz w:val="18"/>
                <w:szCs w:val="18"/>
                <w:color w:val="auto"/>
                <w:w w:val="98"/>
              </w:rPr>
              <w:t xml:space="preserve">No </w:t>
            </w:r>
            <w:r>
              <w:rPr>
                <w:rFonts w:ascii="MS PGothic" w:cs="MS PGothic" w:eastAsia="MS PGothic" w:hAnsi="MS PGothic"/>
                <w:sz w:val="18"/>
                <w:szCs w:val="18"/>
                <w:color w:val="auto"/>
                <w:w w:val="98"/>
              </w:rPr>
              <w:t>☑</w:t>
            </w:r>
          </w:p>
        </w:tc>
      </w:tr>
    </w:tbl>
    <w:p>
      <w:pPr>
        <w:spacing w:after="0" w:line="49" w:lineRule="exact"/>
        <w:rPr>
          <w:sz w:val="24"/>
          <w:szCs w:val="24"/>
          <w:color w:val="auto"/>
        </w:rPr>
      </w:pPr>
    </w:p>
    <w:p>
      <w:pPr>
        <w:jc w:val="both"/>
        <w:ind w:right="100" w:firstLine="114"/>
        <w:spacing w:after="0" w:line="22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49" w:lineRule="exact"/>
        <w:rPr>
          <w:sz w:val="24"/>
          <w:szCs w:val="24"/>
          <w:color w:val="auto"/>
        </w:rPr>
      </w:pPr>
    </w:p>
    <w:p>
      <w:pPr>
        <w:jc w:val="both"/>
        <w:ind w:firstLine="114"/>
        <w:spacing w:after="0" w:line="22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49" w:lineRule="exact"/>
        <w:rPr>
          <w:sz w:val="24"/>
          <w:szCs w:val="24"/>
          <w:color w:val="auto"/>
        </w:rPr>
      </w:pPr>
    </w:p>
    <w:p>
      <w:pPr>
        <w:ind w:right="20" w:firstLine="114"/>
        <w:spacing w:after="0" w:line="289" w:lineRule="auto"/>
        <w:rPr>
          <w:sz w:val="20"/>
          <w:szCs w:val="20"/>
          <w:color w:val="auto"/>
        </w:rPr>
      </w:pPr>
      <w:r>
        <w:rPr>
          <w:rFonts w:ascii="Times New Roman" w:cs="Times New Roman" w:eastAsia="Times New Roman" w:hAnsi="Times New Roman"/>
          <w:sz w:val="16"/>
          <w:szCs w:val="16"/>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w:t>
      </w:r>
    </w:p>
    <w:p>
      <w:pPr>
        <w:spacing w:after="0" w:line="1" w:lineRule="exact"/>
        <w:rPr>
          <w:sz w:val="24"/>
          <w:szCs w:val="24"/>
          <w:color w:val="auto"/>
        </w:rPr>
      </w:pPr>
    </w:p>
    <w:p>
      <w:pPr>
        <w:ind w:left="360" w:hanging="352"/>
        <w:spacing w:after="0" w:line="207" w:lineRule="exact"/>
        <w:tabs>
          <w:tab w:leader="none" w:pos="360" w:val="left"/>
        </w:tabs>
        <w:numPr>
          <w:ilvl w:val="0"/>
          <w:numId w:val="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78" w:lineRule="exact"/>
        <w:rPr>
          <w:sz w:val="24"/>
          <w:szCs w:val="24"/>
          <w:color w:val="auto"/>
        </w:rPr>
      </w:pPr>
    </w:p>
    <w:p>
      <w:pPr>
        <w:ind w:right="280" w:firstLine="114"/>
        <w:spacing w:after="0" w:line="275"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00"/>
          </w:cols>
          <w:pgMar w:left="240" w:top="226" w:right="259" w:bottom="1440" w:gutter="0" w:footer="0" w:header="0"/>
          <w:type w:val="continuous"/>
        </w:sectPr>
      </w:pPr>
    </w:p>
    <w:p>
      <w:pPr>
        <w:spacing w:after="0" w:line="3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33"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53"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jc w:val="center"/>
        <w:spacing w:after="0" w:line="199"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53" w:lineRule="exact"/>
        <w:rPr>
          <w:sz w:val="20"/>
          <w:szCs w:val="20"/>
          <w:color w:val="auto"/>
        </w:rPr>
      </w:pPr>
      <w:r>
        <w:rPr>
          <w:rFonts w:ascii="MS PGothic" w:cs="MS PGothic" w:eastAsia="MS PGothic" w:hAnsi="MS PGothic"/>
          <w:sz w:val="16"/>
          <w:szCs w:val="16"/>
          <w:color w:val="auto"/>
        </w:rPr>
        <w:t>☐</w:t>
      </w:r>
    </w:p>
    <w:p>
      <w:pPr>
        <w:spacing w:after="0" w:line="379" w:lineRule="exact"/>
        <w:rPr>
          <w:sz w:val="24"/>
          <w:szCs w:val="24"/>
          <w:color w:val="auto"/>
        </w:rPr>
      </w:pPr>
    </w:p>
    <w:p>
      <w:pPr>
        <w:sectPr>
          <w:pgSz w:w="11900" w:h="16838" w:orient="portrait"/>
          <w:cols w:equalWidth="0" w:num="7">
            <w:col w:w="1580" w:space="100"/>
            <w:col w:w="400" w:space="720"/>
            <w:col w:w="1160" w:space="100"/>
            <w:col w:w="340" w:space="720"/>
            <w:col w:w="3260" w:space="420"/>
            <w:col w:w="1920" w:space="80"/>
            <w:col w:w="600"/>
          </w:cols>
          <w:pgMar w:left="240" w:top="226" w:right="259" w:bottom="1440" w:gutter="0" w:footer="0" w:header="0"/>
          <w:type w:val="continuous"/>
        </w:sectPr>
      </w:pPr>
    </w:p>
    <w:p>
      <w:pPr>
        <w:ind w:left="360"/>
        <w:spacing w:after="0"/>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Act).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Yes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No</w:t>
      </w:r>
    </w:p>
    <w:p>
      <w:pPr>
        <w:spacing w:after="0" w:line="90" w:lineRule="exact"/>
        <w:rPr>
          <w:sz w:val="24"/>
          <w:szCs w:val="24"/>
          <w:color w:val="auto"/>
        </w:rPr>
      </w:pPr>
    </w:p>
    <w:p>
      <w:pPr>
        <w:sectPr>
          <w:pgSz w:w="11900" w:h="16838" w:orient="portrait"/>
          <w:cols w:equalWidth="0" w:num="3">
            <w:col w:w="7580" w:space="160"/>
            <w:col w:w="260" w:space="600"/>
            <w:col w:w="2800"/>
          </w:cols>
          <w:pgMar w:left="240" w:top="226" w:right="259" w:bottom="1440" w:gutter="0" w:footer="0" w:header="0"/>
          <w:type w:val="continuous"/>
        </w:sectPr>
      </w:pPr>
    </w:p>
    <w:p>
      <w:pPr>
        <w:ind w:right="280" w:firstLine="342"/>
        <w:spacing w:after="0" w:line="275" w:lineRule="auto"/>
        <w:rPr>
          <w:sz w:val="20"/>
          <w:szCs w:val="20"/>
          <w:color w:val="auto"/>
        </w:rPr>
      </w:pPr>
      <w:r>
        <w:rPr>
          <w:rFonts w:ascii="Times New Roman" w:cs="Times New Roman" w:eastAsia="Times New Roman" w:hAnsi="Times New Roman"/>
          <w:sz w:val="18"/>
          <w:szCs w:val="18"/>
          <w:color w:val="auto"/>
        </w:rPr>
        <w:t>As of June 30, 2014, the aggregate market value of the voting stock held by non-affiliates of the registrant, computed by reference to the last sale price of such stock as of such date on the NASDAQ Global Market, was approximately $2,616,079,653.</w:t>
      </w:r>
    </w:p>
    <w:p>
      <w:pPr>
        <w:spacing w:after="0" w:line="39" w:lineRule="exact"/>
        <w:rPr>
          <w:sz w:val="24"/>
          <w:szCs w:val="24"/>
          <w:color w:val="auto"/>
        </w:rPr>
      </w:pPr>
    </w:p>
    <w:p>
      <w:pPr>
        <w:ind w:left="360"/>
        <w:spacing w:after="0"/>
        <w:rPr>
          <w:sz w:val="20"/>
          <w:szCs w:val="20"/>
          <w:color w:val="auto"/>
        </w:rPr>
      </w:pPr>
      <w:r>
        <w:rPr>
          <w:rFonts w:ascii="Times New Roman" w:cs="Times New Roman" w:eastAsia="Times New Roman" w:hAnsi="Times New Roman"/>
          <w:sz w:val="18"/>
          <w:szCs w:val="18"/>
          <w:color w:val="auto"/>
        </w:rPr>
        <w:t>As of February 23, 2015, there were 408,837,603 shares of the registrant’s Common Stock outstanding.</w:t>
      </w:r>
    </w:p>
    <w:p>
      <w:pPr>
        <w:spacing w:after="0" w:line="88"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92" w:lineRule="exact"/>
        <w:rPr>
          <w:sz w:val="24"/>
          <w:szCs w:val="24"/>
          <w:color w:val="auto"/>
        </w:rPr>
      </w:pPr>
    </w:p>
    <w:p>
      <w:pPr>
        <w:ind w:right="100" w:firstLine="114"/>
        <w:spacing w:after="0" w:line="262" w:lineRule="auto"/>
        <w:rPr>
          <w:sz w:val="20"/>
          <w:szCs w:val="20"/>
          <w:color w:val="auto"/>
        </w:rPr>
      </w:pPr>
      <w:r>
        <w:rPr>
          <w:rFonts w:ascii="Times New Roman" w:cs="Times New Roman" w:eastAsia="Times New Roman" w:hAnsi="Times New Roman"/>
          <w:sz w:val="18"/>
          <w:szCs w:val="18"/>
          <w:color w:val="auto"/>
        </w:rPr>
        <w:t>Portions of the registrant’s definitive Proxy Statement, or the Proxy Statement, for the 2015 Annual Meeting of Stockholders to be filed with the Securities and Exchange Commission pursuant to Regulation 14A not later than 120 days after the end of the fiscal year covered by this Form 10-K, are incorporated by reference in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84455</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226" w:right="259" w:bottom="1440" w:gutter="0" w:footer="0" w:header="0"/>
          <w:type w:val="continuous"/>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0" w:type="dxa"/>
            <w:vAlign w:val="bottom"/>
            <w:gridSpan w:val="22"/>
          </w:tcPr>
          <w:p>
            <w:pPr>
              <w:jc w:val="center"/>
              <w:ind w:right="3860"/>
              <w:spacing w:after="0"/>
              <w:rPr>
                <w:sz w:val="20"/>
                <w:szCs w:val="20"/>
                <w:color w:val="auto"/>
              </w:rPr>
            </w:pPr>
            <w:r>
              <w:rPr>
                <w:rFonts w:ascii="Times New Roman" w:cs="Times New Roman" w:eastAsia="Times New Roman" w:hAnsi="Times New Roman"/>
                <w:sz w:val="18"/>
                <w:szCs w:val="18"/>
                <w:b w:val="1"/>
                <w:bCs w:val="1"/>
                <w:color w:val="auto"/>
                <w:w w:val="97"/>
              </w:rPr>
              <w:t>MANNKIND CORPORATION</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40" w:type="dxa"/>
            <w:vAlign w:val="bottom"/>
            <w:gridSpan w:val="21"/>
          </w:tcPr>
          <w:p>
            <w:pPr>
              <w:jc w:val="center"/>
              <w:ind w:right="4200"/>
              <w:spacing w:after="0"/>
              <w:rPr>
                <w:sz w:val="20"/>
                <w:szCs w:val="20"/>
                <w:color w:val="auto"/>
              </w:rPr>
            </w:pPr>
            <w:r>
              <w:rPr>
                <w:rFonts w:ascii="Times New Roman" w:cs="Times New Roman" w:eastAsia="Times New Roman" w:hAnsi="Times New Roman"/>
                <w:sz w:val="18"/>
                <w:szCs w:val="18"/>
                <w:b w:val="1"/>
                <w:bCs w:val="1"/>
                <w:color w:val="auto"/>
                <w:w w:val="97"/>
              </w:rPr>
              <w:t>Annual Report on Form 10-K</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700" w:type="dxa"/>
            <w:vAlign w:val="bottom"/>
            <w:gridSpan w:val="24"/>
          </w:tcPr>
          <w:p>
            <w:pPr>
              <w:jc w:val="center"/>
              <w:ind w:right="2960"/>
              <w:spacing w:after="0"/>
              <w:rPr>
                <w:sz w:val="20"/>
                <w:szCs w:val="20"/>
                <w:color w:val="auto"/>
              </w:rPr>
            </w:pPr>
            <w:r>
              <w:rPr>
                <w:rFonts w:ascii="Times New Roman" w:cs="Times New Roman" w:eastAsia="Times New Roman" w:hAnsi="Times New Roman"/>
                <w:sz w:val="18"/>
                <w:szCs w:val="18"/>
                <w:b w:val="1"/>
                <w:bCs w:val="1"/>
                <w:color w:val="auto"/>
                <w:w w:val="96"/>
              </w:rPr>
              <w:t>For the Fiscal Year Ended December 31, 2014</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40" w:type="dxa"/>
            <w:vAlign w:val="bottom"/>
            <w:gridSpan w:val="21"/>
          </w:tcPr>
          <w:p>
            <w:pPr>
              <w:jc w:val="center"/>
              <w:ind w:right="4200"/>
              <w:spacing w:after="0"/>
              <w:rPr>
                <w:sz w:val="20"/>
                <w:szCs w:val="20"/>
                <w:color w:val="auto"/>
              </w:rPr>
            </w:pPr>
            <w:r>
              <w:rPr>
                <w:rFonts w:ascii="Times New Roman" w:cs="Times New Roman" w:eastAsia="Times New Roman" w:hAnsi="Times New Roman"/>
                <w:sz w:val="18"/>
                <w:szCs w:val="18"/>
                <w:b w:val="1"/>
                <w:bCs w:val="1"/>
                <w:color w:val="auto"/>
                <w:w w:val="96"/>
              </w:rPr>
              <w:t>TABLE OF CONTENTS</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80" w:type="dxa"/>
            <w:vAlign w:val="bottom"/>
            <w:gridSpan w:val="14"/>
            <w:vMerge w:val="restart"/>
          </w:tcPr>
          <w:p>
            <w:pPr>
              <w:jc w:val="center"/>
              <w:ind w:right="4620"/>
              <w:spacing w:after="0"/>
              <w:rPr>
                <w:rFonts w:ascii="Times New Roman" w:cs="Times New Roman" w:eastAsia="Times New Roman" w:hAnsi="Times New Roman"/>
                <w:sz w:val="18"/>
                <w:szCs w:val="18"/>
                <w:b w:val="1"/>
                <w:bCs w:val="1"/>
                <w:color w:val="0000EE"/>
                <w:w w:val="95"/>
              </w:rPr>
            </w:pPr>
            <w:hyperlink w:anchor="page3">
              <w:r>
                <w:rPr>
                  <w:rFonts w:ascii="Times New Roman" w:cs="Times New Roman" w:eastAsia="Times New Roman" w:hAnsi="Times New Roman"/>
                  <w:sz w:val="18"/>
                  <w:szCs w:val="18"/>
                  <w:b w:val="1"/>
                  <w:bCs w:val="1"/>
                  <w:color w:val="0000EE"/>
                  <w:w w:val="95"/>
                </w:rPr>
                <w:t>PART I</w:t>
              </w:r>
            </w:hyperlink>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0"/>
              </w:rPr>
              <w:t>Page</w:t>
            </w:r>
          </w:p>
        </w:tc>
        <w:tc>
          <w:tcPr>
            <w:tcW w:w="0" w:type="dxa"/>
            <w:vAlign w:val="bottom"/>
          </w:tcPr>
          <w:p>
            <w:pPr>
              <w:spacing w:after="0"/>
              <w:rPr>
                <w:sz w:val="1"/>
                <w:szCs w:val="1"/>
                <w:color w:val="auto"/>
              </w:rPr>
            </w:pPr>
          </w:p>
        </w:tc>
      </w:tr>
      <w:tr>
        <w:trPr>
          <w:trHeight w:val="156"/>
        </w:trPr>
        <w:tc>
          <w:tcPr>
            <w:tcW w:w="7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80" w:type="dxa"/>
            <w:vAlign w:val="bottom"/>
            <w:gridSpan w:val="14"/>
            <w:vMerge w:val="continue"/>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340" w:type="dxa"/>
            <w:vAlign w:val="bottom"/>
            <w:gridSpan w:val="2"/>
          </w:tcPr>
          <w:p>
            <w:pPr>
              <w:ind w:left="180"/>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4460" w:type="dxa"/>
            <w:vAlign w:val="bottom"/>
            <w:gridSpan w:val="19"/>
          </w:tcPr>
          <w:p>
            <w:pPr>
              <w:spacing w:after="0" w:line="196" w:lineRule="exact"/>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Business</w:t>
              </w:r>
            </w:hyperlink>
          </w:p>
        </w:tc>
        <w:tc>
          <w:tcPr>
            <w:tcW w:w="580" w:type="dxa"/>
            <w:vAlign w:val="bottom"/>
            <w:tcBorders>
              <w:top w:val="single" w:sz="8" w:color="0000EE"/>
            </w:tcBorders>
            <w:gridSpan w:val="3"/>
          </w:tcPr>
          <w:p>
            <w:pPr>
              <w:spacing w:after="0"/>
              <w:rPr>
                <w:sz w:val="17"/>
                <w:szCs w:val="17"/>
                <w:color w:val="auto"/>
              </w:rPr>
            </w:pPr>
          </w:p>
        </w:tc>
        <w:tc>
          <w:tcPr>
            <w:tcW w:w="4660" w:type="dxa"/>
            <w:vAlign w:val="bottom"/>
            <w:gridSpan w:val="10"/>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40" w:type="dxa"/>
            <w:vAlign w:val="bottom"/>
            <w:gridSpan w:val="2"/>
          </w:tcPr>
          <w:p>
            <w:pPr>
              <w:ind w:left="180"/>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700" w:type="dxa"/>
            <w:vAlign w:val="bottom"/>
            <w:gridSpan w:val="32"/>
          </w:tcPr>
          <w:p>
            <w:pPr>
              <w:spacing w:after="0" w:line="196" w:lineRule="exact"/>
              <w:rPr>
                <w:rFonts w:ascii="Times New Roman" w:cs="Times New Roman" w:eastAsia="Times New Roman" w:hAnsi="Times New Roman"/>
                <w:sz w:val="18"/>
                <w:szCs w:val="18"/>
                <w:color w:val="0000EE"/>
              </w:rPr>
            </w:pPr>
            <w:hyperlink w:anchor="page16">
              <w:r>
                <w:rPr>
                  <w:rFonts w:ascii="Times New Roman" w:cs="Times New Roman" w:eastAsia="Times New Roman" w:hAnsi="Times New Roman"/>
                  <w:sz w:val="18"/>
                  <w:szCs w:val="18"/>
                  <w:color w:val="0000EE"/>
                </w:rPr>
                <w:t>Risk Factors</w:t>
              </w:r>
            </w:hyperlink>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40" w:type="dxa"/>
            <w:vAlign w:val="bottom"/>
            <w:gridSpan w:val="2"/>
          </w:tcPr>
          <w:p>
            <w:pPr>
              <w:ind w:left="180"/>
              <w:spacing w:after="0" w:line="196" w:lineRule="exact"/>
              <w:rPr>
                <w:sz w:val="20"/>
                <w:szCs w:val="20"/>
                <w:color w:val="auto"/>
              </w:rPr>
            </w:pPr>
            <w:r>
              <w:rPr>
                <w:rFonts w:ascii="Times New Roman" w:cs="Times New Roman" w:eastAsia="Times New Roman" w:hAnsi="Times New Roman"/>
                <w:sz w:val="18"/>
                <w:szCs w:val="18"/>
                <w:color w:val="auto"/>
              </w:rPr>
              <w:t>Item 1B.</w:t>
            </w:r>
          </w:p>
        </w:tc>
        <w:tc>
          <w:tcPr>
            <w:tcW w:w="9700" w:type="dxa"/>
            <w:vAlign w:val="bottom"/>
            <w:gridSpan w:val="32"/>
          </w:tcPr>
          <w:p>
            <w:pPr>
              <w:spacing w:after="0" w:line="196" w:lineRule="exact"/>
              <w:rPr>
                <w:rFonts w:ascii="Times New Roman" w:cs="Times New Roman" w:eastAsia="Times New Roman" w:hAnsi="Times New Roman"/>
                <w:sz w:val="18"/>
                <w:szCs w:val="18"/>
                <w:color w:val="0000EE"/>
              </w:rPr>
            </w:pPr>
            <w:hyperlink w:anchor="page40">
              <w:r>
                <w:rPr>
                  <w:rFonts w:ascii="Times New Roman" w:cs="Times New Roman" w:eastAsia="Times New Roman" w:hAnsi="Times New Roman"/>
                  <w:sz w:val="18"/>
                  <w:szCs w:val="18"/>
                  <w:color w:val="0000EE"/>
                </w:rPr>
                <w:t>Unresolved Staff Comments</w:t>
              </w:r>
            </w:hyperlink>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196"/>
        </w:trPr>
        <w:tc>
          <w:tcPr>
            <w:tcW w:w="1340" w:type="dxa"/>
            <w:vAlign w:val="bottom"/>
            <w:gridSpan w:val="2"/>
          </w:tcPr>
          <w:p>
            <w:pPr>
              <w:ind w:left="180"/>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72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5"/>
              </w:rPr>
            </w:pPr>
            <w:hyperlink w:anchor="page40">
              <w:r>
                <w:rPr>
                  <w:rFonts w:ascii="Times New Roman" w:cs="Times New Roman" w:eastAsia="Times New Roman" w:hAnsi="Times New Roman"/>
                  <w:sz w:val="18"/>
                  <w:szCs w:val="18"/>
                  <w:color w:val="0000EE"/>
                  <w:w w:val="95"/>
                </w:rPr>
                <w:t>Properties</w:t>
              </w:r>
            </w:hyperlink>
          </w:p>
        </w:tc>
        <w:tc>
          <w:tcPr>
            <w:tcW w:w="1280" w:type="dxa"/>
            <w:vAlign w:val="bottom"/>
            <w:tcBorders>
              <w:top w:val="single" w:sz="8" w:color="0000EE"/>
            </w:tcBorders>
            <w:gridSpan w:val="6"/>
          </w:tcPr>
          <w:p>
            <w:pPr>
              <w:spacing w:after="0"/>
              <w:rPr>
                <w:sz w:val="17"/>
                <w:szCs w:val="17"/>
                <w:color w:val="auto"/>
              </w:rPr>
            </w:pPr>
          </w:p>
        </w:tc>
        <w:tc>
          <w:tcPr>
            <w:tcW w:w="7700" w:type="dxa"/>
            <w:vAlign w:val="bottom"/>
            <w:gridSpan w:val="2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196"/>
        </w:trPr>
        <w:tc>
          <w:tcPr>
            <w:tcW w:w="1340" w:type="dxa"/>
            <w:vAlign w:val="bottom"/>
            <w:gridSpan w:val="2"/>
          </w:tcPr>
          <w:p>
            <w:pPr>
              <w:ind w:left="180"/>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700" w:type="dxa"/>
            <w:vAlign w:val="bottom"/>
            <w:gridSpan w:val="32"/>
          </w:tcPr>
          <w:p>
            <w:pPr>
              <w:spacing w:after="0" w:line="196" w:lineRule="exact"/>
              <w:rPr>
                <w:rFonts w:ascii="Times New Roman" w:cs="Times New Roman" w:eastAsia="Times New Roman" w:hAnsi="Times New Roman"/>
                <w:sz w:val="18"/>
                <w:szCs w:val="18"/>
                <w:color w:val="0000EE"/>
              </w:rPr>
            </w:pPr>
            <w:hyperlink w:anchor="page40">
              <w:r>
                <w:rPr>
                  <w:rFonts w:ascii="Times New Roman" w:cs="Times New Roman" w:eastAsia="Times New Roman" w:hAnsi="Times New Roman"/>
                  <w:sz w:val="18"/>
                  <w:szCs w:val="18"/>
                  <w:color w:val="0000EE"/>
                </w:rPr>
                <w:t>Legal Proceedings</w:t>
              </w:r>
            </w:hyperlink>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00" w:type="dxa"/>
            <w:vAlign w:val="bottom"/>
            <w:tcBorders>
              <w:right w:val="single" w:sz="8" w:color="0000EE"/>
            </w:tcBorders>
            <w:gridSpan w:val="4"/>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40" w:type="dxa"/>
            <w:vAlign w:val="bottom"/>
            <w:gridSpan w:val="2"/>
          </w:tcPr>
          <w:p>
            <w:pPr>
              <w:ind w:left="180"/>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700" w:type="dxa"/>
            <w:vAlign w:val="bottom"/>
            <w:gridSpan w:val="32"/>
          </w:tcPr>
          <w:p>
            <w:pPr>
              <w:spacing w:after="0" w:line="196" w:lineRule="exact"/>
              <w:rPr>
                <w:rFonts w:ascii="Times New Roman" w:cs="Times New Roman" w:eastAsia="Times New Roman" w:hAnsi="Times New Roman"/>
                <w:sz w:val="18"/>
                <w:szCs w:val="18"/>
                <w:color w:val="0000EE"/>
              </w:rPr>
            </w:pPr>
            <w:hyperlink w:anchor="page40">
              <w:r>
                <w:rPr>
                  <w:rFonts w:ascii="Times New Roman" w:cs="Times New Roman" w:eastAsia="Times New Roman" w:hAnsi="Times New Roman"/>
                  <w:sz w:val="18"/>
                  <w:szCs w:val="18"/>
                  <w:color w:val="0000EE"/>
                </w:rPr>
                <w:t>Mine Safety Disclosures</w:t>
              </w:r>
            </w:hyperlink>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304"/>
        </w:trPr>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80" w:type="dxa"/>
            <w:vAlign w:val="bottom"/>
            <w:gridSpan w:val="14"/>
          </w:tcPr>
          <w:p>
            <w:pPr>
              <w:jc w:val="center"/>
              <w:ind w:right="4640"/>
              <w:spacing w:after="0"/>
              <w:rPr>
                <w:rFonts w:ascii="Times New Roman" w:cs="Times New Roman" w:eastAsia="Times New Roman" w:hAnsi="Times New Roman"/>
                <w:sz w:val="18"/>
                <w:szCs w:val="18"/>
                <w:b w:val="1"/>
                <w:bCs w:val="1"/>
                <w:color w:val="0000EE"/>
                <w:w w:val="94"/>
              </w:rPr>
            </w:pPr>
            <w:hyperlink w:anchor="page41">
              <w:r>
                <w:rPr>
                  <w:rFonts w:ascii="Times New Roman" w:cs="Times New Roman" w:eastAsia="Times New Roman" w:hAnsi="Times New Roman"/>
                  <w:sz w:val="18"/>
                  <w:szCs w:val="18"/>
                  <w:b w:val="1"/>
                  <w:bCs w:val="1"/>
                  <w:color w:val="0000EE"/>
                  <w:w w:val="94"/>
                </w:rPr>
                <w:t>PART II</w:t>
              </w:r>
            </w:hyperlink>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0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40" w:type="dxa"/>
            <w:vAlign w:val="bottom"/>
            <w:gridSpan w:val="2"/>
          </w:tcPr>
          <w:p>
            <w:pPr>
              <w:ind w:left="180"/>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9700" w:type="dxa"/>
            <w:vAlign w:val="bottom"/>
            <w:gridSpan w:val="32"/>
          </w:tcPr>
          <w:p>
            <w:pPr>
              <w:spacing w:after="0" w:line="196" w:lineRule="exact"/>
              <w:rPr>
                <w:rFonts w:ascii="Times New Roman" w:cs="Times New Roman" w:eastAsia="Times New Roman" w:hAnsi="Times New Roman"/>
                <w:sz w:val="18"/>
                <w:szCs w:val="18"/>
                <w:color w:val="0000EE"/>
              </w:rPr>
            </w:pPr>
            <w:hyperlink w:anchor="page41">
              <w:r>
                <w:rPr>
                  <w:rFonts w:ascii="Times New Roman" w:cs="Times New Roman" w:eastAsia="Times New Roman" w:hAnsi="Times New Roman"/>
                  <w:sz w:val="18"/>
                  <w:szCs w:val="18"/>
                  <w:color w:val="0000EE"/>
                </w:rPr>
                <w:t>Market for the Registrant’s Common Equity, Related Stockholder Matters and Issuer Purchases of Equity Securities</w:t>
              </w:r>
            </w:hyperlink>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196"/>
        </w:trPr>
        <w:tc>
          <w:tcPr>
            <w:tcW w:w="1340" w:type="dxa"/>
            <w:vAlign w:val="bottom"/>
            <w:gridSpan w:val="2"/>
          </w:tcPr>
          <w:p>
            <w:pPr>
              <w:ind w:left="180"/>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168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7"/>
              </w:rPr>
            </w:pPr>
            <w:hyperlink w:anchor="page43">
              <w:r>
                <w:rPr>
                  <w:rFonts w:ascii="Times New Roman" w:cs="Times New Roman" w:eastAsia="Times New Roman" w:hAnsi="Times New Roman"/>
                  <w:sz w:val="18"/>
                  <w:szCs w:val="18"/>
                  <w:color w:val="0000EE"/>
                  <w:w w:val="97"/>
                </w:rPr>
                <w:t>Selected Financial Data</w:t>
              </w:r>
            </w:hyperlink>
          </w:p>
        </w:tc>
        <w:tc>
          <w:tcPr>
            <w:tcW w:w="6460" w:type="dxa"/>
            <w:vAlign w:val="bottom"/>
            <w:tcBorders>
              <w:top w:val="single" w:sz="8" w:color="0000EE"/>
            </w:tcBorders>
            <w:gridSpan w:val="26"/>
          </w:tcPr>
          <w:p>
            <w:pPr>
              <w:spacing w:after="0"/>
              <w:rPr>
                <w:sz w:val="17"/>
                <w:szCs w:val="17"/>
                <w:color w:val="auto"/>
              </w:rPr>
            </w:pPr>
          </w:p>
        </w:tc>
        <w:tc>
          <w:tcPr>
            <w:tcW w:w="156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196"/>
        </w:trPr>
        <w:tc>
          <w:tcPr>
            <w:tcW w:w="1340" w:type="dxa"/>
            <w:vAlign w:val="bottom"/>
            <w:gridSpan w:val="2"/>
          </w:tcPr>
          <w:p>
            <w:pPr>
              <w:ind w:left="180"/>
              <w:spacing w:after="0" w:line="196" w:lineRule="exact"/>
              <w:rPr>
                <w:sz w:val="20"/>
                <w:szCs w:val="20"/>
                <w:color w:val="auto"/>
              </w:rPr>
            </w:pPr>
            <w:r>
              <w:rPr>
                <w:rFonts w:ascii="Times New Roman" w:cs="Times New Roman" w:eastAsia="Times New Roman" w:hAnsi="Times New Roman"/>
                <w:sz w:val="18"/>
                <w:szCs w:val="18"/>
                <w:color w:val="auto"/>
              </w:rPr>
              <w:t>Item 7.</w:t>
            </w:r>
          </w:p>
        </w:tc>
        <w:tc>
          <w:tcPr>
            <w:tcW w:w="9700" w:type="dxa"/>
            <w:vAlign w:val="bottom"/>
            <w:gridSpan w:val="32"/>
          </w:tcPr>
          <w:p>
            <w:pPr>
              <w:spacing w:after="0" w:line="196" w:lineRule="exact"/>
              <w:rPr>
                <w:rFonts w:ascii="Times New Roman" w:cs="Times New Roman" w:eastAsia="Times New Roman" w:hAnsi="Times New Roman"/>
                <w:sz w:val="18"/>
                <w:szCs w:val="18"/>
                <w:color w:val="0000EE"/>
              </w:rPr>
            </w:pPr>
            <w:hyperlink w:anchor="page43">
              <w:r>
                <w:rPr>
                  <w:rFonts w:ascii="Times New Roman" w:cs="Times New Roman" w:eastAsia="Times New Roman" w:hAnsi="Times New Roman"/>
                  <w:sz w:val="18"/>
                  <w:szCs w:val="18"/>
                  <w:color w:val="0000EE"/>
                </w:rPr>
                <w:t>Management’s Discussion and Analysis of Financial Condition and Results of Operations</w:t>
              </w:r>
            </w:hyperlink>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196"/>
        </w:trPr>
        <w:tc>
          <w:tcPr>
            <w:tcW w:w="1340" w:type="dxa"/>
            <w:vAlign w:val="bottom"/>
            <w:gridSpan w:val="2"/>
          </w:tcPr>
          <w:p>
            <w:pPr>
              <w:ind w:left="180"/>
              <w:spacing w:after="0" w:line="196" w:lineRule="exact"/>
              <w:rPr>
                <w:sz w:val="20"/>
                <w:szCs w:val="20"/>
                <w:color w:val="auto"/>
              </w:rPr>
            </w:pPr>
            <w:r>
              <w:rPr>
                <w:rFonts w:ascii="Times New Roman" w:cs="Times New Roman" w:eastAsia="Times New Roman" w:hAnsi="Times New Roman"/>
                <w:sz w:val="18"/>
                <w:szCs w:val="18"/>
                <w:color w:val="auto"/>
              </w:rPr>
              <w:t>Item 7A.</w:t>
            </w:r>
          </w:p>
        </w:tc>
        <w:tc>
          <w:tcPr>
            <w:tcW w:w="4260" w:type="dxa"/>
            <w:vAlign w:val="bottom"/>
            <w:tcBorders>
              <w:top w:val="single" w:sz="8" w:color="0000EE"/>
              <w:bottom w:val="single" w:sz="8" w:color="0000EE"/>
            </w:tcBorders>
            <w:gridSpan w:val="15"/>
          </w:tcPr>
          <w:p>
            <w:pPr>
              <w:spacing w:after="0" w:line="196" w:lineRule="exact"/>
              <w:rPr>
                <w:rFonts w:ascii="Times New Roman" w:cs="Times New Roman" w:eastAsia="Times New Roman" w:hAnsi="Times New Roman"/>
                <w:sz w:val="18"/>
                <w:szCs w:val="18"/>
                <w:color w:val="0000EE"/>
                <w:w w:val="97"/>
              </w:rPr>
            </w:pPr>
            <w:hyperlink w:anchor="page55">
              <w:r>
                <w:rPr>
                  <w:rFonts w:ascii="Times New Roman" w:cs="Times New Roman" w:eastAsia="Times New Roman" w:hAnsi="Times New Roman"/>
                  <w:sz w:val="18"/>
                  <w:szCs w:val="18"/>
                  <w:color w:val="0000EE"/>
                  <w:w w:val="97"/>
                </w:rPr>
                <w:t>Quantitative and Qualitative Disclosures About Market Risk</w:t>
              </w:r>
            </w:hyperlink>
          </w:p>
        </w:tc>
        <w:tc>
          <w:tcPr>
            <w:tcW w:w="2040" w:type="dxa"/>
            <w:vAlign w:val="bottom"/>
            <w:tcBorders>
              <w:top w:val="single" w:sz="8" w:color="0000EE"/>
            </w:tcBorders>
            <w:gridSpan w:val="13"/>
          </w:tcPr>
          <w:p>
            <w:pPr>
              <w:spacing w:after="0"/>
              <w:rPr>
                <w:sz w:val="17"/>
                <w:szCs w:val="17"/>
                <w:color w:val="auto"/>
              </w:rPr>
            </w:pPr>
          </w:p>
        </w:tc>
        <w:tc>
          <w:tcPr>
            <w:tcW w:w="3400" w:type="dxa"/>
            <w:vAlign w:val="bottom"/>
            <w:gridSpan w:val="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196"/>
        </w:trPr>
        <w:tc>
          <w:tcPr>
            <w:tcW w:w="1340" w:type="dxa"/>
            <w:vAlign w:val="bottom"/>
            <w:gridSpan w:val="2"/>
          </w:tcPr>
          <w:p>
            <w:pPr>
              <w:ind w:left="180"/>
              <w:spacing w:after="0" w:line="196" w:lineRule="exact"/>
              <w:rPr>
                <w:sz w:val="20"/>
                <w:szCs w:val="20"/>
                <w:color w:val="auto"/>
              </w:rPr>
            </w:pPr>
            <w:r>
              <w:rPr>
                <w:rFonts w:ascii="Times New Roman" w:cs="Times New Roman" w:eastAsia="Times New Roman" w:hAnsi="Times New Roman"/>
                <w:sz w:val="18"/>
                <w:szCs w:val="18"/>
                <w:color w:val="auto"/>
              </w:rPr>
              <w:t>Item 8.</w:t>
            </w:r>
          </w:p>
        </w:tc>
        <w:tc>
          <w:tcPr>
            <w:tcW w:w="326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7"/>
              </w:rPr>
            </w:pPr>
            <w:hyperlink w:anchor="page55">
              <w:r>
                <w:rPr>
                  <w:rFonts w:ascii="Times New Roman" w:cs="Times New Roman" w:eastAsia="Times New Roman" w:hAnsi="Times New Roman"/>
                  <w:sz w:val="18"/>
                  <w:szCs w:val="18"/>
                  <w:color w:val="0000EE"/>
                  <w:w w:val="97"/>
                </w:rPr>
                <w:t>Financial Statements and Supplementary Data</w:t>
              </w:r>
            </w:hyperlink>
          </w:p>
        </w:tc>
        <w:tc>
          <w:tcPr>
            <w:tcW w:w="6440" w:type="dxa"/>
            <w:vAlign w:val="bottom"/>
            <w:gridSpan w:val="21"/>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700" w:type="dxa"/>
            <w:vAlign w:val="bottom"/>
            <w:gridSpan w:val="32"/>
          </w:tcPr>
          <w:p>
            <w:pPr>
              <w:spacing w:after="0" w:line="196" w:lineRule="exact"/>
              <w:rPr>
                <w:rFonts w:ascii="Times New Roman" w:cs="Times New Roman" w:eastAsia="Times New Roman" w:hAnsi="Times New Roman"/>
                <w:sz w:val="18"/>
                <w:szCs w:val="18"/>
                <w:color w:val="0000EE"/>
              </w:rPr>
            </w:pPr>
            <w:hyperlink w:anchor="page66">
              <w:r>
                <w:rPr>
                  <w:rFonts w:ascii="Times New Roman" w:cs="Times New Roman" w:eastAsia="Times New Roman" w:hAnsi="Times New Roman"/>
                  <w:sz w:val="18"/>
                  <w:szCs w:val="18"/>
                  <w:color w:val="0000EE"/>
                </w:rPr>
                <w:t>REPORT OF INDEPENDENT REGISTERED PUBLIC ACCOUNTING FIRM</w:t>
              </w:r>
            </w:hyperlink>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660" w:type="dxa"/>
            <w:vAlign w:val="bottom"/>
            <w:tcBorders>
              <w:top w:val="single" w:sz="8" w:color="0000EE"/>
            </w:tcBorders>
            <w:gridSpan w:val="27"/>
          </w:tcPr>
          <w:p>
            <w:pPr>
              <w:spacing w:after="0" w:line="196" w:lineRule="exact"/>
              <w:rPr>
                <w:rFonts w:ascii="Times New Roman" w:cs="Times New Roman" w:eastAsia="Times New Roman" w:hAnsi="Times New Roman"/>
                <w:sz w:val="18"/>
                <w:szCs w:val="18"/>
                <w:color w:val="0000EE"/>
              </w:rPr>
            </w:pPr>
            <w:hyperlink w:anchor="page67">
              <w:r>
                <w:rPr>
                  <w:rFonts w:ascii="Times New Roman" w:cs="Times New Roman" w:eastAsia="Times New Roman" w:hAnsi="Times New Roman"/>
                  <w:sz w:val="18"/>
                  <w:szCs w:val="18"/>
                  <w:color w:val="0000EE"/>
                </w:rPr>
                <w:t>CONSOLIDATED BALANCE SHEETS</w:t>
              </w:r>
            </w:hyperlink>
          </w:p>
        </w:tc>
        <w:tc>
          <w:tcPr>
            <w:tcW w:w="4040" w:type="dxa"/>
            <w:vAlign w:val="bottom"/>
            <w:gridSpan w:val="5"/>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00" w:type="dxa"/>
            <w:vAlign w:val="bottom"/>
            <w:tcBorders>
              <w:right w:val="single" w:sz="8" w:color="0000EE"/>
            </w:tcBorders>
            <w:gridSpan w:val="4"/>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88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5"/>
              </w:rPr>
            </w:pPr>
            <w:hyperlink w:anchor="page68">
              <w:r>
                <w:rPr>
                  <w:rFonts w:ascii="Times New Roman" w:cs="Times New Roman" w:eastAsia="Times New Roman" w:hAnsi="Times New Roman"/>
                  <w:sz w:val="18"/>
                  <w:szCs w:val="18"/>
                  <w:color w:val="0000EE"/>
                  <w:w w:val="95"/>
                </w:rPr>
                <w:t>CONSOLIDATED STATEMENTS OF OPERATIONS</w:t>
              </w:r>
            </w:hyperlink>
          </w:p>
        </w:tc>
        <w:tc>
          <w:tcPr>
            <w:tcW w:w="5820" w:type="dxa"/>
            <w:vAlign w:val="bottom"/>
            <w:gridSpan w:val="20"/>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76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6"/>
              </w:rPr>
            </w:pPr>
            <w:hyperlink w:anchor="page69">
              <w:r>
                <w:rPr>
                  <w:rFonts w:ascii="Times New Roman" w:cs="Times New Roman" w:eastAsia="Times New Roman" w:hAnsi="Times New Roman"/>
                  <w:sz w:val="18"/>
                  <w:szCs w:val="18"/>
                  <w:color w:val="0000EE"/>
                  <w:w w:val="96"/>
                </w:rPr>
                <w:t>CONSOLIDATED STATEMENTS OF COMPREHENSIVE LOSS</w:t>
              </w:r>
            </w:hyperlink>
          </w:p>
        </w:tc>
        <w:tc>
          <w:tcPr>
            <w:tcW w:w="4940" w:type="dxa"/>
            <w:vAlign w:val="bottom"/>
            <w:gridSpan w:val="1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700" w:type="dxa"/>
            <w:vAlign w:val="bottom"/>
            <w:gridSpan w:val="32"/>
          </w:tcPr>
          <w:p>
            <w:pPr>
              <w:spacing w:after="0" w:line="196" w:lineRule="exact"/>
              <w:rPr>
                <w:rFonts w:ascii="Times New Roman" w:cs="Times New Roman" w:eastAsia="Times New Roman" w:hAnsi="Times New Roman"/>
                <w:sz w:val="18"/>
                <w:szCs w:val="18"/>
                <w:color w:val="0000EE"/>
              </w:rPr>
            </w:pPr>
            <w:hyperlink w:anchor="page70">
              <w:r>
                <w:rPr>
                  <w:rFonts w:ascii="Times New Roman" w:cs="Times New Roman" w:eastAsia="Times New Roman" w:hAnsi="Times New Roman"/>
                  <w:sz w:val="18"/>
                  <w:szCs w:val="18"/>
                  <w:color w:val="0000EE"/>
                </w:rPr>
                <w:t>CONSOLIDATED STATEMENTS OF STOCKHOLDERS’ DEFICIT</w:t>
              </w:r>
            </w:hyperlink>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920" w:type="dxa"/>
            <w:vAlign w:val="bottom"/>
            <w:tcBorders>
              <w:top w:val="single" w:sz="8" w:color="0000EE"/>
              <w:bottom w:val="single" w:sz="8" w:color="0000EE"/>
            </w:tcBorders>
            <w:gridSpan w:val="13"/>
          </w:tcPr>
          <w:p>
            <w:pPr>
              <w:spacing w:after="0" w:line="196" w:lineRule="exact"/>
              <w:rPr>
                <w:rFonts w:ascii="Times New Roman" w:cs="Times New Roman" w:eastAsia="Times New Roman" w:hAnsi="Times New Roman"/>
                <w:sz w:val="18"/>
                <w:szCs w:val="18"/>
                <w:color w:val="0000EE"/>
                <w:w w:val="96"/>
              </w:rPr>
            </w:pPr>
            <w:hyperlink w:anchor="page71">
              <w:r>
                <w:rPr>
                  <w:rFonts w:ascii="Times New Roman" w:cs="Times New Roman" w:eastAsia="Times New Roman" w:hAnsi="Times New Roman"/>
                  <w:sz w:val="18"/>
                  <w:szCs w:val="18"/>
                  <w:color w:val="0000EE"/>
                  <w:w w:val="96"/>
                </w:rPr>
                <w:t>CONSOLIDATED STATEMENTS OF CASH FLOWS</w:t>
              </w:r>
            </w:hyperlink>
          </w:p>
        </w:tc>
        <w:tc>
          <w:tcPr>
            <w:tcW w:w="1040" w:type="dxa"/>
            <w:vAlign w:val="bottom"/>
            <w:tcBorders>
              <w:top w:val="single" w:sz="8" w:color="0000EE"/>
            </w:tcBorders>
            <w:gridSpan w:val="8"/>
          </w:tcPr>
          <w:p>
            <w:pPr>
              <w:spacing w:after="0"/>
              <w:rPr>
                <w:sz w:val="17"/>
                <w:szCs w:val="17"/>
                <w:color w:val="auto"/>
              </w:rPr>
            </w:pPr>
          </w:p>
        </w:tc>
        <w:tc>
          <w:tcPr>
            <w:tcW w:w="4740" w:type="dxa"/>
            <w:vAlign w:val="bottom"/>
            <w:gridSpan w:val="11"/>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700" w:type="dxa"/>
            <w:vAlign w:val="bottom"/>
            <w:gridSpan w:val="32"/>
          </w:tcPr>
          <w:p>
            <w:pPr>
              <w:spacing w:after="0" w:line="196" w:lineRule="exact"/>
              <w:rPr>
                <w:rFonts w:ascii="Times New Roman" w:cs="Times New Roman" w:eastAsia="Times New Roman" w:hAnsi="Times New Roman"/>
                <w:sz w:val="18"/>
                <w:szCs w:val="18"/>
                <w:color w:val="0000EE"/>
              </w:rPr>
            </w:pPr>
            <w:hyperlink w:anchor="page72">
              <w:r>
                <w:rPr>
                  <w:rFonts w:ascii="Times New Roman" w:cs="Times New Roman" w:eastAsia="Times New Roman" w:hAnsi="Times New Roman"/>
                  <w:sz w:val="18"/>
                  <w:szCs w:val="18"/>
                  <w:color w:val="0000EE"/>
                </w:rPr>
                <w:t>NOTES TO CONSOLIDATED FINANCIAL STATEMENTS</w:t>
              </w:r>
            </w:hyperlink>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00" w:type="dxa"/>
            <w:vAlign w:val="bottom"/>
            <w:tcBorders>
              <w:right w:val="single" w:sz="8" w:color="0000EE"/>
            </w:tcBorders>
            <w:gridSpan w:val="4"/>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100" w:type="dxa"/>
            <w:vAlign w:val="bottom"/>
            <w:gridSpan w:val="4"/>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40" w:type="dxa"/>
            <w:vAlign w:val="bottom"/>
            <w:gridSpan w:val="2"/>
          </w:tcPr>
          <w:p>
            <w:pPr>
              <w:ind w:left="180"/>
              <w:spacing w:after="0" w:line="196" w:lineRule="exact"/>
              <w:rPr>
                <w:sz w:val="20"/>
                <w:szCs w:val="20"/>
                <w:color w:val="auto"/>
              </w:rPr>
            </w:pPr>
            <w:r>
              <w:rPr>
                <w:rFonts w:ascii="Times New Roman" w:cs="Times New Roman" w:eastAsia="Times New Roman" w:hAnsi="Times New Roman"/>
                <w:sz w:val="18"/>
                <w:szCs w:val="18"/>
                <w:color w:val="auto"/>
              </w:rPr>
              <w:t>Item 9.</w:t>
            </w:r>
          </w:p>
        </w:tc>
        <w:tc>
          <w:tcPr>
            <w:tcW w:w="6360" w:type="dxa"/>
            <w:vAlign w:val="bottom"/>
            <w:tcBorders>
              <w:bottom w:val="single" w:sz="8" w:color="0000EE"/>
            </w:tcBorders>
            <w:gridSpan w:val="29"/>
          </w:tcPr>
          <w:p>
            <w:pPr>
              <w:spacing w:after="0" w:line="196" w:lineRule="exact"/>
              <w:rPr>
                <w:rFonts w:ascii="Times New Roman" w:cs="Times New Roman" w:eastAsia="Times New Roman" w:hAnsi="Times New Roman"/>
                <w:sz w:val="18"/>
                <w:szCs w:val="18"/>
                <w:color w:val="0000EE"/>
                <w:w w:val="97"/>
              </w:rPr>
            </w:pPr>
            <w:hyperlink w:anchor="page56">
              <w:r>
                <w:rPr>
                  <w:rFonts w:ascii="Times New Roman" w:cs="Times New Roman" w:eastAsia="Times New Roman" w:hAnsi="Times New Roman"/>
                  <w:sz w:val="18"/>
                  <w:szCs w:val="18"/>
                  <w:color w:val="0000EE"/>
                  <w:w w:val="97"/>
                </w:rPr>
                <w:t>Changes in and Disagreements With Accountants on Accounting and Financial Disclosure</w:t>
              </w:r>
            </w:hyperlink>
          </w:p>
        </w:tc>
        <w:tc>
          <w:tcPr>
            <w:tcW w:w="3340" w:type="dxa"/>
            <w:vAlign w:val="bottom"/>
            <w:gridSpan w:val="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196"/>
        </w:trPr>
        <w:tc>
          <w:tcPr>
            <w:tcW w:w="1340" w:type="dxa"/>
            <w:vAlign w:val="bottom"/>
            <w:gridSpan w:val="2"/>
          </w:tcPr>
          <w:p>
            <w:pPr>
              <w:ind w:left="180"/>
              <w:spacing w:after="0" w:line="196" w:lineRule="exact"/>
              <w:rPr>
                <w:sz w:val="20"/>
                <w:szCs w:val="20"/>
                <w:color w:val="auto"/>
              </w:rPr>
            </w:pPr>
            <w:r>
              <w:rPr>
                <w:rFonts w:ascii="Times New Roman" w:cs="Times New Roman" w:eastAsia="Times New Roman" w:hAnsi="Times New Roman"/>
                <w:sz w:val="18"/>
                <w:szCs w:val="18"/>
                <w:color w:val="auto"/>
              </w:rPr>
              <w:t>Item 9A.</w:t>
            </w:r>
          </w:p>
        </w:tc>
        <w:tc>
          <w:tcPr>
            <w:tcW w:w="174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7"/>
              </w:rPr>
            </w:pPr>
            <w:hyperlink w:anchor="page56">
              <w:r>
                <w:rPr>
                  <w:rFonts w:ascii="Times New Roman" w:cs="Times New Roman" w:eastAsia="Times New Roman" w:hAnsi="Times New Roman"/>
                  <w:sz w:val="18"/>
                  <w:szCs w:val="18"/>
                  <w:color w:val="0000EE"/>
                  <w:w w:val="97"/>
                </w:rPr>
                <w:t>Controls and Procedures</w:t>
              </w:r>
            </w:hyperlink>
          </w:p>
        </w:tc>
        <w:tc>
          <w:tcPr>
            <w:tcW w:w="7960" w:type="dxa"/>
            <w:vAlign w:val="bottom"/>
            <w:gridSpan w:val="26"/>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196"/>
        </w:trPr>
        <w:tc>
          <w:tcPr>
            <w:tcW w:w="1340" w:type="dxa"/>
            <w:vAlign w:val="bottom"/>
            <w:gridSpan w:val="2"/>
          </w:tcPr>
          <w:p>
            <w:pPr>
              <w:ind w:left="180"/>
              <w:spacing w:after="0" w:line="196" w:lineRule="exact"/>
              <w:rPr>
                <w:sz w:val="20"/>
                <w:szCs w:val="20"/>
                <w:color w:val="auto"/>
              </w:rPr>
            </w:pPr>
            <w:r>
              <w:rPr>
                <w:rFonts w:ascii="Times New Roman" w:cs="Times New Roman" w:eastAsia="Times New Roman" w:hAnsi="Times New Roman"/>
                <w:sz w:val="18"/>
                <w:szCs w:val="18"/>
                <w:color w:val="auto"/>
              </w:rPr>
              <w:t>Item 9B.</w:t>
            </w:r>
          </w:p>
        </w:tc>
        <w:tc>
          <w:tcPr>
            <w:tcW w:w="9700" w:type="dxa"/>
            <w:vAlign w:val="bottom"/>
            <w:gridSpan w:val="32"/>
          </w:tcPr>
          <w:p>
            <w:pPr>
              <w:spacing w:after="0" w:line="196" w:lineRule="exact"/>
              <w:rPr>
                <w:rFonts w:ascii="Times New Roman" w:cs="Times New Roman" w:eastAsia="Times New Roman" w:hAnsi="Times New Roman"/>
                <w:sz w:val="18"/>
                <w:szCs w:val="18"/>
                <w:color w:val="0000EE"/>
              </w:rPr>
            </w:pPr>
            <w:hyperlink w:anchor="page58">
              <w:r>
                <w:rPr>
                  <w:rFonts w:ascii="Times New Roman" w:cs="Times New Roman" w:eastAsia="Times New Roman" w:hAnsi="Times New Roman"/>
                  <w:sz w:val="18"/>
                  <w:szCs w:val="18"/>
                  <w:color w:val="0000EE"/>
                </w:rPr>
                <w:t>Other Information</w:t>
              </w:r>
            </w:hyperlink>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304"/>
        </w:trPr>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Borders>
              <w:bottom w:val="single" w:sz="8" w:color="0000EE"/>
            </w:tcBorders>
            <w:gridSpan w:val="8"/>
          </w:tcPr>
          <w:p>
            <w:pPr>
              <w:jc w:val="center"/>
              <w:ind w:right="20"/>
              <w:spacing w:after="0"/>
              <w:rPr>
                <w:rFonts w:ascii="Times New Roman" w:cs="Times New Roman" w:eastAsia="Times New Roman" w:hAnsi="Times New Roman"/>
                <w:sz w:val="18"/>
                <w:szCs w:val="18"/>
                <w:b w:val="1"/>
                <w:bCs w:val="1"/>
                <w:color w:val="0000EE"/>
                <w:w w:val="93"/>
              </w:rPr>
            </w:pPr>
            <w:hyperlink w:anchor="page58">
              <w:r>
                <w:rPr>
                  <w:rFonts w:ascii="Times New Roman" w:cs="Times New Roman" w:eastAsia="Times New Roman" w:hAnsi="Times New Roman"/>
                  <w:sz w:val="18"/>
                  <w:szCs w:val="18"/>
                  <w:b w:val="1"/>
                  <w:bCs w:val="1"/>
                  <w:color w:val="0000EE"/>
                  <w:w w:val="93"/>
                </w:rPr>
                <w:t>PART III</w:t>
              </w:r>
            </w:hyperlink>
          </w:p>
        </w:tc>
        <w:tc>
          <w:tcPr>
            <w:tcW w:w="4580" w:type="dxa"/>
            <w:vAlign w:val="bottom"/>
            <w:gridSpan w:val="7"/>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40" w:type="dxa"/>
            <w:vAlign w:val="bottom"/>
            <w:gridSpan w:val="2"/>
          </w:tcPr>
          <w:p>
            <w:pPr>
              <w:ind w:left="180"/>
              <w:spacing w:after="0" w:line="196" w:lineRule="exact"/>
              <w:rPr>
                <w:sz w:val="20"/>
                <w:szCs w:val="20"/>
                <w:color w:val="auto"/>
              </w:rPr>
            </w:pPr>
            <w:r>
              <w:rPr>
                <w:rFonts w:ascii="Times New Roman" w:cs="Times New Roman" w:eastAsia="Times New Roman" w:hAnsi="Times New Roman"/>
                <w:sz w:val="18"/>
                <w:szCs w:val="18"/>
                <w:color w:val="auto"/>
              </w:rPr>
              <w:t>Item 10.</w:t>
            </w:r>
          </w:p>
        </w:tc>
        <w:tc>
          <w:tcPr>
            <w:tcW w:w="400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7"/>
              </w:rPr>
            </w:pPr>
            <w:hyperlink w:anchor="page58">
              <w:r>
                <w:rPr>
                  <w:rFonts w:ascii="Times New Roman" w:cs="Times New Roman" w:eastAsia="Times New Roman" w:hAnsi="Times New Roman"/>
                  <w:sz w:val="18"/>
                  <w:szCs w:val="18"/>
                  <w:color w:val="0000EE"/>
                  <w:w w:val="97"/>
                </w:rPr>
                <w:t>Directors, Executive Officers and Corporate Governance</w:t>
              </w:r>
            </w:hyperlink>
          </w:p>
        </w:tc>
        <w:tc>
          <w:tcPr>
            <w:tcW w:w="5700" w:type="dxa"/>
            <w:vAlign w:val="bottom"/>
            <w:gridSpan w:val="18"/>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196"/>
        </w:trPr>
        <w:tc>
          <w:tcPr>
            <w:tcW w:w="1340" w:type="dxa"/>
            <w:vAlign w:val="bottom"/>
            <w:gridSpan w:val="2"/>
          </w:tcPr>
          <w:p>
            <w:pPr>
              <w:ind w:left="180"/>
              <w:spacing w:after="0" w:line="196" w:lineRule="exact"/>
              <w:rPr>
                <w:sz w:val="20"/>
                <w:szCs w:val="20"/>
                <w:color w:val="auto"/>
              </w:rPr>
            </w:pPr>
            <w:r>
              <w:rPr>
                <w:rFonts w:ascii="Times New Roman" w:cs="Times New Roman" w:eastAsia="Times New Roman" w:hAnsi="Times New Roman"/>
                <w:sz w:val="18"/>
                <w:szCs w:val="18"/>
                <w:color w:val="auto"/>
              </w:rPr>
              <w:t>Item 11.</w:t>
            </w:r>
          </w:p>
        </w:tc>
        <w:tc>
          <w:tcPr>
            <w:tcW w:w="9700" w:type="dxa"/>
            <w:vAlign w:val="bottom"/>
            <w:gridSpan w:val="32"/>
          </w:tcPr>
          <w:p>
            <w:pPr>
              <w:spacing w:after="0" w:line="196" w:lineRule="exact"/>
              <w:rPr>
                <w:rFonts w:ascii="Times New Roman" w:cs="Times New Roman" w:eastAsia="Times New Roman" w:hAnsi="Times New Roman"/>
                <w:sz w:val="18"/>
                <w:szCs w:val="18"/>
                <w:color w:val="0000EE"/>
              </w:rPr>
            </w:pPr>
            <w:hyperlink w:anchor="page58">
              <w:r>
                <w:rPr>
                  <w:rFonts w:ascii="Times New Roman" w:cs="Times New Roman" w:eastAsia="Times New Roman" w:hAnsi="Times New Roman"/>
                  <w:sz w:val="18"/>
                  <w:szCs w:val="18"/>
                  <w:color w:val="0000EE"/>
                </w:rPr>
                <w:t>Executive Compensation</w:t>
              </w:r>
            </w:hyperlink>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760" w:type="dxa"/>
            <w:vAlign w:val="bottom"/>
            <w:gridSpan w:val="7"/>
            <w:shd w:val="clear" w:color="auto" w:fill="0000EE"/>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gridSpan w:val="8"/>
          </w:tcPr>
          <w:p>
            <w:pPr>
              <w:spacing w:after="0" w:line="20" w:lineRule="exact"/>
              <w:rPr>
                <w:sz w:val="1"/>
                <w:szCs w:val="1"/>
                <w:color w:val="auto"/>
              </w:rPr>
            </w:pPr>
          </w:p>
        </w:tc>
        <w:tc>
          <w:tcPr>
            <w:tcW w:w="680" w:type="dxa"/>
            <w:vAlign w:val="bottom"/>
            <w:gridSpan w:val="6"/>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0" w:type="dxa"/>
            <w:vAlign w:val="bottom"/>
            <w:gridSpan w:val="4"/>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40" w:type="dxa"/>
            <w:vAlign w:val="bottom"/>
            <w:gridSpan w:val="2"/>
          </w:tcPr>
          <w:p>
            <w:pPr>
              <w:ind w:left="180"/>
              <w:spacing w:after="0" w:line="196" w:lineRule="exact"/>
              <w:rPr>
                <w:sz w:val="20"/>
                <w:szCs w:val="20"/>
                <w:color w:val="auto"/>
              </w:rPr>
            </w:pPr>
            <w:r>
              <w:rPr>
                <w:rFonts w:ascii="Times New Roman" w:cs="Times New Roman" w:eastAsia="Times New Roman" w:hAnsi="Times New Roman"/>
                <w:sz w:val="18"/>
                <w:szCs w:val="18"/>
                <w:color w:val="auto"/>
              </w:rPr>
              <w:t>Item 12.</w:t>
            </w:r>
          </w:p>
        </w:tc>
        <w:tc>
          <w:tcPr>
            <w:tcW w:w="7120" w:type="dxa"/>
            <w:vAlign w:val="bottom"/>
            <w:tcBorders>
              <w:bottom w:val="single" w:sz="8" w:color="0000EE"/>
            </w:tcBorders>
            <w:gridSpan w:val="30"/>
          </w:tcPr>
          <w:p>
            <w:pPr>
              <w:spacing w:after="0" w:line="196" w:lineRule="exact"/>
              <w:rPr>
                <w:rFonts w:ascii="Times New Roman" w:cs="Times New Roman" w:eastAsia="Times New Roman" w:hAnsi="Times New Roman"/>
                <w:sz w:val="18"/>
                <w:szCs w:val="18"/>
                <w:color w:val="0000EE"/>
                <w:w w:val="97"/>
              </w:rPr>
            </w:pPr>
            <w:hyperlink w:anchor="page58">
              <w:r>
                <w:rPr>
                  <w:rFonts w:ascii="Times New Roman" w:cs="Times New Roman" w:eastAsia="Times New Roman" w:hAnsi="Times New Roman"/>
                  <w:sz w:val="18"/>
                  <w:szCs w:val="18"/>
                  <w:color w:val="0000EE"/>
                  <w:w w:val="97"/>
                </w:rPr>
                <w:t>Security Ownership of Certain Beneficial Owners and Management and Related Stockholder Matters</w:t>
              </w:r>
            </w:hyperlink>
          </w:p>
        </w:tc>
        <w:tc>
          <w:tcPr>
            <w:tcW w:w="2580" w:type="dxa"/>
            <w:vAlign w:val="bottom"/>
            <w:gridSpan w:val="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196"/>
        </w:trPr>
        <w:tc>
          <w:tcPr>
            <w:tcW w:w="1340" w:type="dxa"/>
            <w:vAlign w:val="bottom"/>
            <w:gridSpan w:val="2"/>
          </w:tcPr>
          <w:p>
            <w:pPr>
              <w:ind w:left="180"/>
              <w:spacing w:after="0" w:line="196" w:lineRule="exact"/>
              <w:rPr>
                <w:sz w:val="20"/>
                <w:szCs w:val="20"/>
                <w:color w:val="auto"/>
              </w:rPr>
            </w:pPr>
            <w:r>
              <w:rPr>
                <w:rFonts w:ascii="Times New Roman" w:cs="Times New Roman" w:eastAsia="Times New Roman" w:hAnsi="Times New Roman"/>
                <w:sz w:val="18"/>
                <w:szCs w:val="18"/>
                <w:color w:val="auto"/>
              </w:rPr>
              <w:t>Item 13.</w:t>
            </w:r>
          </w:p>
        </w:tc>
        <w:tc>
          <w:tcPr>
            <w:tcW w:w="9700" w:type="dxa"/>
            <w:vAlign w:val="bottom"/>
            <w:gridSpan w:val="32"/>
          </w:tcPr>
          <w:p>
            <w:pPr>
              <w:spacing w:after="0" w:line="196" w:lineRule="exact"/>
              <w:rPr>
                <w:rFonts w:ascii="Times New Roman" w:cs="Times New Roman" w:eastAsia="Times New Roman" w:hAnsi="Times New Roman"/>
                <w:sz w:val="18"/>
                <w:szCs w:val="18"/>
                <w:color w:val="0000EE"/>
              </w:rPr>
            </w:pPr>
            <w:hyperlink w:anchor="page58">
              <w:r>
                <w:rPr>
                  <w:rFonts w:ascii="Times New Roman" w:cs="Times New Roman" w:eastAsia="Times New Roman" w:hAnsi="Times New Roman"/>
                  <w:sz w:val="18"/>
                  <w:szCs w:val="18"/>
                  <w:color w:val="0000EE"/>
                </w:rPr>
                <w:t>Certain Relationships and Related Transactions, and Director Independence</w:t>
              </w:r>
            </w:hyperlink>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196"/>
        </w:trPr>
        <w:tc>
          <w:tcPr>
            <w:tcW w:w="1340" w:type="dxa"/>
            <w:vAlign w:val="bottom"/>
            <w:gridSpan w:val="2"/>
          </w:tcPr>
          <w:p>
            <w:pPr>
              <w:ind w:left="180"/>
              <w:spacing w:after="0" w:line="196" w:lineRule="exact"/>
              <w:rPr>
                <w:sz w:val="20"/>
                <w:szCs w:val="20"/>
                <w:color w:val="auto"/>
              </w:rPr>
            </w:pPr>
            <w:r>
              <w:rPr>
                <w:rFonts w:ascii="Times New Roman" w:cs="Times New Roman" w:eastAsia="Times New Roman" w:hAnsi="Times New Roman"/>
                <w:sz w:val="18"/>
                <w:szCs w:val="18"/>
                <w:color w:val="auto"/>
              </w:rPr>
              <w:t>Item 14.</w:t>
            </w:r>
          </w:p>
        </w:tc>
        <w:tc>
          <w:tcPr>
            <w:tcW w:w="5320" w:type="dxa"/>
            <w:vAlign w:val="bottom"/>
            <w:tcBorders>
              <w:top w:val="single" w:sz="8" w:color="0000EE"/>
            </w:tcBorders>
            <w:gridSpan w:val="26"/>
          </w:tcPr>
          <w:p>
            <w:pPr>
              <w:spacing w:after="0" w:line="196" w:lineRule="exact"/>
              <w:rPr>
                <w:rFonts w:ascii="Times New Roman" w:cs="Times New Roman" w:eastAsia="Times New Roman" w:hAnsi="Times New Roman"/>
                <w:sz w:val="18"/>
                <w:szCs w:val="18"/>
                <w:color w:val="0000EE"/>
              </w:rPr>
            </w:pPr>
            <w:hyperlink w:anchor="page58">
              <w:r>
                <w:rPr>
                  <w:rFonts w:ascii="Times New Roman" w:cs="Times New Roman" w:eastAsia="Times New Roman" w:hAnsi="Times New Roman"/>
                  <w:sz w:val="18"/>
                  <w:szCs w:val="18"/>
                  <w:color w:val="0000EE"/>
                </w:rPr>
                <w:t>Principal Accounting Fees and Services</w:t>
              </w:r>
            </w:hyperlink>
          </w:p>
        </w:tc>
        <w:tc>
          <w:tcPr>
            <w:tcW w:w="4380" w:type="dxa"/>
            <w:vAlign w:val="bottom"/>
            <w:gridSpan w:val="6"/>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304"/>
        </w:trPr>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Borders>
              <w:bottom w:val="single" w:sz="8" w:color="0000EE"/>
            </w:tcBorders>
            <w:gridSpan w:val="6"/>
          </w:tcPr>
          <w:p>
            <w:pPr>
              <w:jc w:val="center"/>
              <w:spacing w:after="0"/>
              <w:rPr>
                <w:rFonts w:ascii="Times New Roman" w:cs="Times New Roman" w:eastAsia="Times New Roman" w:hAnsi="Times New Roman"/>
                <w:sz w:val="18"/>
                <w:szCs w:val="18"/>
                <w:b w:val="1"/>
                <w:bCs w:val="1"/>
                <w:color w:val="0000EE"/>
                <w:w w:val="92"/>
              </w:rPr>
            </w:pPr>
            <w:hyperlink w:anchor="page59">
              <w:r>
                <w:rPr>
                  <w:rFonts w:ascii="Times New Roman" w:cs="Times New Roman" w:eastAsia="Times New Roman" w:hAnsi="Times New Roman"/>
                  <w:sz w:val="18"/>
                  <w:szCs w:val="18"/>
                  <w:b w:val="1"/>
                  <w:bCs w:val="1"/>
                  <w:color w:val="0000EE"/>
                  <w:w w:val="92"/>
                </w:rPr>
                <w:t>PART IV</w:t>
              </w:r>
            </w:hyperlink>
          </w:p>
        </w:tc>
        <w:tc>
          <w:tcPr>
            <w:tcW w:w="4600" w:type="dxa"/>
            <w:vAlign w:val="bottom"/>
            <w:gridSpan w:val="8"/>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40" w:type="dxa"/>
            <w:vAlign w:val="bottom"/>
            <w:gridSpan w:val="2"/>
          </w:tcPr>
          <w:p>
            <w:pPr>
              <w:ind w:left="180"/>
              <w:spacing w:after="0" w:line="196" w:lineRule="exact"/>
              <w:rPr>
                <w:sz w:val="20"/>
                <w:szCs w:val="20"/>
                <w:color w:val="auto"/>
              </w:rPr>
            </w:pPr>
            <w:r>
              <w:rPr>
                <w:rFonts w:ascii="Times New Roman" w:cs="Times New Roman" w:eastAsia="Times New Roman" w:hAnsi="Times New Roman"/>
                <w:sz w:val="18"/>
                <w:szCs w:val="18"/>
                <w:color w:val="auto"/>
              </w:rPr>
              <w:t>Item 15.</w:t>
            </w:r>
          </w:p>
        </w:tc>
        <w:tc>
          <w:tcPr>
            <w:tcW w:w="9700" w:type="dxa"/>
            <w:vAlign w:val="bottom"/>
            <w:gridSpan w:val="32"/>
          </w:tcPr>
          <w:p>
            <w:pPr>
              <w:spacing w:after="0" w:line="196" w:lineRule="exact"/>
              <w:rPr>
                <w:rFonts w:ascii="Times New Roman" w:cs="Times New Roman" w:eastAsia="Times New Roman" w:hAnsi="Times New Roman"/>
                <w:sz w:val="18"/>
                <w:szCs w:val="18"/>
                <w:color w:val="0000EE"/>
              </w:rPr>
            </w:pPr>
            <w:hyperlink w:anchor="page59">
              <w:r>
                <w:rPr>
                  <w:rFonts w:ascii="Times New Roman" w:cs="Times New Roman" w:eastAsia="Times New Roman" w:hAnsi="Times New Roman"/>
                  <w:sz w:val="18"/>
                  <w:szCs w:val="18"/>
                  <w:color w:val="0000EE"/>
                </w:rPr>
                <w:t>Exhibits. Financial Statement Schedules</w:t>
              </w:r>
            </w:hyperlink>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196"/>
        </w:trPr>
        <w:tc>
          <w:tcPr>
            <w:tcW w:w="1340" w:type="dxa"/>
            <w:vAlign w:val="bottom"/>
            <w:gridSpan w:val="2"/>
          </w:tcPr>
          <w:p>
            <w:pPr>
              <w:spacing w:after="0" w:line="196" w:lineRule="exact"/>
              <w:rPr>
                <w:rFonts w:ascii="Times New Roman" w:cs="Times New Roman" w:eastAsia="Times New Roman" w:hAnsi="Times New Roman"/>
                <w:sz w:val="18"/>
                <w:szCs w:val="18"/>
                <w:color w:val="0000EE"/>
              </w:rPr>
            </w:pPr>
            <w:hyperlink w:anchor="page64">
              <w:r>
                <w:rPr>
                  <w:rFonts w:ascii="Times New Roman" w:cs="Times New Roman" w:eastAsia="Times New Roman" w:hAnsi="Times New Roman"/>
                  <w:sz w:val="18"/>
                  <w:szCs w:val="18"/>
                  <w:color w:val="0000EE"/>
                </w:rPr>
                <w:t>Signatures</w:t>
              </w:r>
            </w:hyperlink>
          </w:p>
        </w:tc>
        <w:tc>
          <w:tcPr>
            <w:tcW w:w="6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8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0"/>
        </w:trPr>
        <w:tc>
          <w:tcPr>
            <w:tcW w:w="74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20"/>
          </w:cols>
          <w:pgMar w:left="240" w:top="455" w:right="339"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92" w:lineRule="exact"/>
        <w:rPr>
          <w:sz w:val="20"/>
          <w:szCs w:val="20"/>
          <w:color w:val="auto"/>
        </w:rPr>
      </w:pPr>
    </w:p>
    <w:p>
      <w:pPr>
        <w:ind w:firstLine="228"/>
        <w:spacing w:after="0" w:line="286" w:lineRule="auto"/>
        <w:rPr>
          <w:sz w:val="20"/>
          <w:szCs w:val="20"/>
          <w:color w:val="auto"/>
        </w:rPr>
      </w:pPr>
      <w:r>
        <w:rPr>
          <w:rFonts w:ascii="Times New Roman" w:cs="Times New Roman" w:eastAsia="Times New Roman" w:hAnsi="Times New Roman"/>
          <w:sz w:val="16"/>
          <w:szCs w:val="16"/>
          <w:color w:val="auto"/>
        </w:rPr>
        <w:t>Statements in this report that are not strictly historical in nature are “forward-looking statements” within the meaning of the federal securities laws made pursuant to the safe harbor provisions of the Private Securities Litigation Reform Act of 1995. In some cases, you can identify forward-looking statements by terms such as “anticipate,” “believe,” “could,” “estimate,” “expect,” “goal,” “intend,” “may,” “plan,” “potential,” “predict,” “project,” “should,” “will,” “would,” and similar expressions intended to identify forward-looking statements, though not all forward-looking statements contain these identifying words. These statements may include, but are not limited to, statements regarding: our and our marketing partner’s ability to successfully market, commercialize and achieve market acceptance for AFREZZA or any other product candidates or therapies that we may develop; our ability to manufacture sufficient quantities of AFREZZA and obtain insulin supply as needed; our estimates for future performance; our estimates regarding anticipated operating losses, future revenues, capital requirements and our needs for additional financing; our and our marketing partner’s plans to expand manufacturing capacity to meet global demand for AFREZZA, including with respect to the construction and qualification of an additional manufacturing facility; the progress or success of our research, development and clinical programs, including the application for and receipt of regulatory clearances and approvals; our ability to protect our intellectual property and operate our business without infringing upon the intellectual property rights of others; and scientific studies and the conclusions we draw from them. These statements are only predictions or conclusions based on current information and expectations and involve a number of risks and uncertainties. The underlying information and expectations are likely to change over time. Actual events or results may differ materially from those projected in the forward-looking statements due to various factors, including, but not limited to, those set forth under the caption “Risk Factors” and elsewhere in this report. Except as required by law, we undertake no obligation to publicly update or revise any forward-looking statements, whether as a result of new information, future events or otherwise.</w:t>
      </w:r>
    </w:p>
    <w:p>
      <w:pPr>
        <w:spacing w:after="0" w:line="253" w:lineRule="exact"/>
        <w:rPr>
          <w:sz w:val="20"/>
          <w:szCs w:val="20"/>
          <w:color w:val="auto"/>
        </w:rPr>
      </w:pPr>
    </w:p>
    <w:p>
      <w:pPr>
        <w:ind w:firstLine="228"/>
        <w:spacing w:after="0" w:line="262" w:lineRule="auto"/>
        <w:rPr>
          <w:sz w:val="20"/>
          <w:szCs w:val="20"/>
          <w:color w:val="auto"/>
        </w:rPr>
      </w:pPr>
      <w:r>
        <w:rPr>
          <w:rFonts w:ascii="Times New Roman" w:cs="Times New Roman" w:eastAsia="Times New Roman" w:hAnsi="Times New Roman"/>
          <w:sz w:val="18"/>
          <w:szCs w:val="18"/>
          <w:color w:val="auto"/>
        </w:rPr>
        <w:t>AFREZZA</w:t>
      </w:r>
      <w:r>
        <w:rPr>
          <w:rFonts w:ascii="Times New Roman" w:cs="Times New Roman" w:eastAsia="Times New Roman" w:hAnsi="Times New Roman"/>
          <w:sz w:val="11"/>
          <w:szCs w:val="11"/>
          <w:color w:val="auto"/>
        </w:rPr>
        <w:t>®</w:t>
      </w:r>
      <w:r>
        <w:rPr>
          <w:rFonts w:ascii="Times New Roman" w:cs="Times New Roman" w:eastAsia="Times New Roman" w:hAnsi="Times New Roman"/>
          <w:sz w:val="18"/>
          <w:szCs w:val="18"/>
          <w:color w:val="auto"/>
        </w:rPr>
        <w:t>, MedTone</w:t>
      </w:r>
      <w:r>
        <w:rPr>
          <w:rFonts w:ascii="Times New Roman" w:cs="Times New Roman" w:eastAsia="Times New Roman" w:hAnsi="Times New Roman"/>
          <w:sz w:val="11"/>
          <w:szCs w:val="11"/>
          <w:color w:val="auto"/>
        </w:rPr>
        <w:t>®</w:t>
      </w:r>
      <w:r>
        <w:rPr>
          <w:rFonts w:ascii="Times New Roman" w:cs="Times New Roman" w:eastAsia="Times New Roman" w:hAnsi="Times New Roman"/>
          <w:sz w:val="18"/>
          <w:szCs w:val="18"/>
          <w:color w:val="auto"/>
        </w:rPr>
        <w:t>, Dreamboat</w:t>
      </w:r>
      <w:r>
        <w:rPr>
          <w:rFonts w:ascii="Times New Roman" w:cs="Times New Roman" w:eastAsia="Times New Roman" w:hAnsi="Times New Roman"/>
          <w:sz w:val="11"/>
          <w:szCs w:val="11"/>
          <w:color w:val="auto"/>
        </w:rPr>
        <w:t>®</w:t>
      </w:r>
      <w:r>
        <w:rPr>
          <w:rFonts w:ascii="Times New Roman" w:cs="Times New Roman" w:eastAsia="Times New Roman" w:hAnsi="Times New Roman"/>
          <w:sz w:val="18"/>
          <w:szCs w:val="18"/>
          <w:color w:val="auto"/>
        </w:rPr>
        <w:t xml:space="preserve"> and Technosphere</w:t>
      </w:r>
      <w:r>
        <w:rPr>
          <w:rFonts w:ascii="Times New Roman" w:cs="Times New Roman" w:eastAsia="Times New Roman" w:hAnsi="Times New Roman"/>
          <w:sz w:val="11"/>
          <w:szCs w:val="11"/>
          <w:color w:val="auto"/>
        </w:rPr>
        <w:t>®</w:t>
      </w:r>
      <w:r>
        <w:rPr>
          <w:rFonts w:ascii="Times New Roman" w:cs="Times New Roman" w:eastAsia="Times New Roman" w:hAnsi="Times New Roman"/>
          <w:sz w:val="18"/>
          <w:szCs w:val="18"/>
          <w:color w:val="auto"/>
        </w:rPr>
        <w:t xml:space="preserve"> are our trademarks in the United States. We have also applied for or have registered company trademarks in other jurisdictions, including Europe and Japan. This document also contains trademarks and service marks of other companies that are the property of their respective owners.</w:t>
      </w: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Business</w:t>
      </w:r>
    </w:p>
    <w:p>
      <w:pPr>
        <w:spacing w:after="0" w:line="9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Unless the context requires otherwise, the words “MannKind,” “we,” “company,” “us” and “our” refer to MannKind Corporation and its subsidiaries.</w:t>
      </w:r>
    </w:p>
    <w:p>
      <w:pPr>
        <w:spacing w:after="0" w:line="90" w:lineRule="exact"/>
        <w:rPr>
          <w:sz w:val="20"/>
          <w:szCs w:val="20"/>
          <w:color w:val="auto"/>
        </w:rPr>
      </w:pPr>
    </w:p>
    <w:p>
      <w:pPr>
        <w:ind w:right="80" w:firstLine="228"/>
        <w:spacing w:after="0" w:line="256" w:lineRule="auto"/>
        <w:rPr>
          <w:sz w:val="20"/>
          <w:szCs w:val="20"/>
          <w:color w:val="auto"/>
        </w:rPr>
      </w:pPr>
      <w:r>
        <w:rPr>
          <w:rFonts w:ascii="Times New Roman" w:cs="Times New Roman" w:eastAsia="Times New Roman" w:hAnsi="Times New Roman"/>
          <w:sz w:val="18"/>
          <w:szCs w:val="18"/>
          <w:color w:val="auto"/>
        </w:rPr>
        <w:t>MannKind Corporation is a biopharmaceutical company focused on the discovery and development of therapeutic products for diseases such as diabetes. Our only approved product, AFREZZA, is a rapid-acting inhaled insulin that was approved by the U.S. Food and Drug Administration (the “FDA”) on June 27, 2014 to improve glycemic control in adult patients with diabetes. According to the Centers for Disease Control and Prevention, in the United States in 2012, approximately 29.1 million people had diabetes. Globally, the International Diabetes Federation has estimated that approximately 387.0 million people had diabetes in 2014 and approximately 592.0 million people will have diabetes by 2035.</w:t>
      </w:r>
    </w:p>
    <w:p>
      <w:pPr>
        <w:spacing w:after="0" w:line="58" w:lineRule="exact"/>
        <w:rPr>
          <w:sz w:val="20"/>
          <w:szCs w:val="20"/>
          <w:color w:val="auto"/>
        </w:rPr>
      </w:pPr>
    </w:p>
    <w:p>
      <w:pPr>
        <w:ind w:right="100" w:firstLine="228"/>
        <w:spacing w:after="0" w:line="262" w:lineRule="auto"/>
        <w:rPr>
          <w:sz w:val="20"/>
          <w:szCs w:val="20"/>
          <w:color w:val="auto"/>
        </w:rPr>
      </w:pPr>
      <w:r>
        <w:rPr>
          <w:rFonts w:ascii="Times New Roman" w:cs="Times New Roman" w:eastAsia="Times New Roman" w:hAnsi="Times New Roman"/>
          <w:sz w:val="18"/>
          <w:szCs w:val="18"/>
          <w:color w:val="auto"/>
        </w:rPr>
        <w:t>AFREZZA is a rapid-acting, inhaled insulin used to control high blood sugar in adults with type 1 and type 2 diabetes. The product consists of a dry formulation of human insulin delivered from a small and portable inhaler. Administered at the beginning of a meal, AFREZZA dissolves rapidly upon inhalation to the lung and delivers insulin quickly to the bloodstream. Peak insulin levels are achieved within 12–15 minutes of administration.</w:t>
      </w:r>
    </w:p>
    <w:p>
      <w:pPr>
        <w:spacing w:after="0" w:line="51" w:lineRule="exact"/>
        <w:rPr>
          <w:sz w:val="20"/>
          <w:szCs w:val="20"/>
          <w:color w:val="auto"/>
        </w:rPr>
      </w:pPr>
    </w:p>
    <w:p>
      <w:pPr>
        <w:ind w:right="160" w:firstLine="228"/>
        <w:spacing w:after="0" w:line="258" w:lineRule="auto"/>
        <w:rPr>
          <w:sz w:val="20"/>
          <w:szCs w:val="20"/>
          <w:color w:val="auto"/>
        </w:rPr>
      </w:pPr>
      <w:r>
        <w:rPr>
          <w:rFonts w:ascii="Times New Roman" w:cs="Times New Roman" w:eastAsia="Times New Roman" w:hAnsi="Times New Roman"/>
          <w:sz w:val="18"/>
          <w:szCs w:val="18"/>
          <w:color w:val="auto"/>
        </w:rPr>
        <w:t>On August 11, 2014, we executed a license and collaboration agreement (the “Sanofi License Agreement”) with Sanofi-Aventis Deutschland GmbH (which subsequently assigned its rights and obligations under the agreement to Sanofi-Aventis U.S. LLC (“Sanofi”)), pursuant to which Sanofi is responsible for global commercial, regulatory and development activities for AFREZZA. The Sanofi License Agreement became effective on September 23, 2014. We manufacture AFREZZA at our manufacturing facility in Danbury,</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00"/>
          </w:cols>
          <w:pgMar w:left="240" w:top="455" w:right="25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00"/>
        <w:spacing w:after="0" w:line="275" w:lineRule="auto"/>
        <w:rPr>
          <w:sz w:val="20"/>
          <w:szCs w:val="20"/>
          <w:color w:val="auto"/>
        </w:rPr>
      </w:pPr>
      <w:r>
        <w:rPr>
          <w:rFonts w:ascii="Times New Roman" w:cs="Times New Roman" w:eastAsia="Times New Roman" w:hAnsi="Times New Roman"/>
          <w:sz w:val="18"/>
          <w:szCs w:val="18"/>
          <w:color w:val="auto"/>
        </w:rPr>
        <w:t>Connecticut to supply Sanofi’s demand for the product. In addition, we and Sanofi are planning to collaborate to expand manufacturing capacity to meet global demand as necessary.</w:t>
      </w:r>
    </w:p>
    <w:p>
      <w:pPr>
        <w:spacing w:after="0" w:line="39" w:lineRule="exact"/>
        <w:rPr>
          <w:sz w:val="20"/>
          <w:szCs w:val="20"/>
          <w:color w:val="auto"/>
        </w:rPr>
      </w:pPr>
    </w:p>
    <w:p>
      <w:pPr>
        <w:ind w:firstLine="228"/>
        <w:spacing w:after="0" w:line="253" w:lineRule="auto"/>
        <w:rPr>
          <w:sz w:val="20"/>
          <w:szCs w:val="20"/>
          <w:color w:val="auto"/>
        </w:rPr>
      </w:pPr>
      <w:r>
        <w:rPr>
          <w:rFonts w:ascii="Times New Roman" w:cs="Times New Roman" w:eastAsia="Times New Roman" w:hAnsi="Times New Roman"/>
          <w:sz w:val="18"/>
          <w:szCs w:val="18"/>
          <w:color w:val="auto"/>
        </w:rPr>
        <w:t>Under the Sanofi License Agreement, Sanofi paid us an up-front cash payment of $150.0 million in the third quarter of 2014. As of December 31, 2014, we have earned an additional $50.0 million in milestone payments in connection with the satisfaction of specified manufacturing milestones. We are also eligible to receive up to $725.0 million in additional milestone payments under the Sanofi License Agreement if certain development, regulatory and sales milestones are achieved. In addition, worldwide profits and losses, which are determined based on the difference between the net sales of AFREZZA and the costs and expenses incurred by us and Sanofi that are specifically attributable or related to the development, regulatory filings, manufacturing, or commercialization of AFREZZA, will be shared 65% by Sanofi and 35% by us. In connection with the Sanofi License Agreement, an affiliate of Sanofi provided us with a secured loan facility (the “Sanofi Loan Facility”) of up to $175.0 million to fund our share of net losses under the Sanofi License Agreement. As a result of the loss share provision, and because we do not have the ability to estimate the amount of costs that would potentially be incurred related to the Sanofi License Agreement, the amount of up-front cash payment that could be recognized, as revenue is not fixed or determinable.</w:t>
      </w:r>
    </w:p>
    <w:p>
      <w:pPr>
        <w:spacing w:after="0" w:line="6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As part of the approval of AFREZZA, the FDA required us to conduct the following post-marketing studies:</w:t>
      </w:r>
    </w:p>
    <w:p>
      <w:pPr>
        <w:spacing w:after="0" w:line="90" w:lineRule="exact"/>
        <w:rPr>
          <w:sz w:val="20"/>
          <w:szCs w:val="20"/>
          <w:color w:val="auto"/>
        </w:rPr>
      </w:pPr>
    </w:p>
    <w:p>
      <w:pPr>
        <w:ind w:left="440" w:hanging="216"/>
        <w:spacing w:after="0" w:line="275" w:lineRule="auto"/>
        <w:tabs>
          <w:tab w:leader="none" w:pos="4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dose-ranging pharmacokinetic (PK)-pharmacodynamic (PD) glucose-clamp trial to characterize the dose-response of AFREZZA relative to subcutaneous insulin in patients with type 1 diabetes;</w:t>
      </w:r>
    </w:p>
    <w:p>
      <w:pPr>
        <w:spacing w:after="0" w:line="38" w:lineRule="exact"/>
        <w:rPr>
          <w:rFonts w:ascii="Times New Roman" w:cs="Times New Roman" w:eastAsia="Times New Roman" w:hAnsi="Times New Roman"/>
          <w:sz w:val="18"/>
          <w:szCs w:val="18"/>
          <w:color w:val="auto"/>
        </w:rPr>
      </w:pPr>
    </w:p>
    <w:p>
      <w:pPr>
        <w:ind w:left="440" w:hanging="216"/>
        <w:spacing w:after="0"/>
        <w:tabs>
          <w:tab w:leader="none" w:pos="4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PK-PD glucose-clamp trial to characterize within-subject variability;</w:t>
      </w:r>
    </w:p>
    <w:p>
      <w:pPr>
        <w:spacing w:after="0" w:line="90" w:lineRule="exact"/>
        <w:rPr>
          <w:rFonts w:ascii="Times New Roman" w:cs="Times New Roman" w:eastAsia="Times New Roman" w:hAnsi="Times New Roman"/>
          <w:sz w:val="18"/>
          <w:szCs w:val="18"/>
          <w:color w:val="auto"/>
        </w:rPr>
      </w:pPr>
    </w:p>
    <w:p>
      <w:pPr>
        <w:ind w:left="440" w:right="260" w:hanging="216"/>
        <w:spacing w:after="0" w:line="310" w:lineRule="auto"/>
        <w:tabs>
          <w:tab w:leader="none" w:pos="4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open-label PK and multiple-dose safety and tolerability dose-titration trial of AFREZZA in pediatric patients ages 4 to 17 years with type 1 diabetes, followed by a prospective, open-label, randomized, controlled trial comparing the efficacy and safety of prandial AFREZZA to prandial subcutaneous insulin aspart used in combination with subcutaneous basal insulin in pediatric patients 4 to 17 years old with type 1 or type 2 diabetes; and</w:t>
      </w:r>
    </w:p>
    <w:p>
      <w:pPr>
        <w:spacing w:after="0" w:line="16" w:lineRule="exact"/>
        <w:rPr>
          <w:rFonts w:ascii="Times New Roman" w:cs="Times New Roman" w:eastAsia="Times New Roman" w:hAnsi="Times New Roman"/>
          <w:sz w:val="16"/>
          <w:szCs w:val="16"/>
          <w:color w:val="auto"/>
        </w:rPr>
      </w:pPr>
    </w:p>
    <w:p>
      <w:pPr>
        <w:ind w:left="440" w:right="280" w:hanging="216"/>
        <w:spacing w:after="0" w:line="275" w:lineRule="auto"/>
        <w:tabs>
          <w:tab w:leader="none" w:pos="4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five-year, randomized, controlled trial in 8,000-10,000 patients with type 2 diabetes to assess the potential serious risk of pulmonary malignancy with AFREZZA use.</w:t>
      </w:r>
    </w:p>
    <w:p>
      <w:pPr>
        <w:spacing w:after="0" w:line="39" w:lineRule="exact"/>
        <w:rPr>
          <w:sz w:val="20"/>
          <w:szCs w:val="20"/>
          <w:color w:val="auto"/>
        </w:rPr>
      </w:pPr>
    </w:p>
    <w:p>
      <w:pPr>
        <w:ind w:right="60" w:firstLine="228"/>
        <w:spacing w:after="0" w:line="262" w:lineRule="auto"/>
        <w:rPr>
          <w:sz w:val="20"/>
          <w:szCs w:val="20"/>
          <w:color w:val="auto"/>
        </w:rPr>
      </w:pPr>
      <w:r>
        <w:rPr>
          <w:rFonts w:ascii="Times New Roman" w:cs="Times New Roman" w:eastAsia="Times New Roman" w:hAnsi="Times New Roman"/>
          <w:sz w:val="18"/>
          <w:szCs w:val="18"/>
          <w:color w:val="auto"/>
        </w:rPr>
        <w:t>Pursuant to the Sanofi License Agreement, we transferred the approved new drug application (“NDA”) for AFREZZA to Sanofi following the closing of the transaction. The obligation for conducting these required post-marketing studies now rests with Sanofi, as does the responsibility to conduct other clinical studies as may be required to obtain regulatory approval in other countries or for marketing purposes.</w:t>
      </w:r>
    </w:p>
    <w:p>
      <w:pPr>
        <w:spacing w:after="0" w:line="51" w:lineRule="exact"/>
        <w:rPr>
          <w:sz w:val="20"/>
          <w:szCs w:val="20"/>
          <w:color w:val="auto"/>
        </w:rPr>
      </w:pPr>
    </w:p>
    <w:p>
      <w:pPr>
        <w:ind w:right="1540" w:firstLine="228"/>
        <w:spacing w:after="0" w:line="391" w:lineRule="auto"/>
        <w:rPr>
          <w:sz w:val="20"/>
          <w:szCs w:val="20"/>
          <w:color w:val="auto"/>
        </w:rPr>
      </w:pPr>
      <w:r>
        <w:rPr>
          <w:rFonts w:ascii="Times New Roman" w:cs="Times New Roman" w:eastAsia="Times New Roman" w:hAnsi="Times New Roman"/>
          <w:sz w:val="18"/>
          <w:szCs w:val="18"/>
          <w:color w:val="auto"/>
        </w:rPr>
        <w:t xml:space="preserve">On February 3, 2015, we and Sanofi announced that AFREZZA had become available by prescription in United States retail pharmacies. </w:t>
      </w:r>
      <w:r>
        <w:rPr>
          <w:rFonts w:ascii="Times New Roman" w:cs="Times New Roman" w:eastAsia="Times New Roman" w:hAnsi="Times New Roman"/>
          <w:sz w:val="18"/>
          <w:szCs w:val="18"/>
          <w:b w:val="1"/>
          <w:bCs w:val="1"/>
          <w:color w:val="auto"/>
        </w:rPr>
        <w:t>Manufacturing and Supply</w:t>
      </w:r>
    </w:p>
    <w:p>
      <w:pPr>
        <w:spacing w:after="0" w:line="1" w:lineRule="exact"/>
        <w:rPr>
          <w:sz w:val="20"/>
          <w:szCs w:val="20"/>
          <w:color w:val="auto"/>
        </w:rPr>
      </w:pPr>
    </w:p>
    <w:p>
      <w:pPr>
        <w:ind w:right="40" w:firstLine="228"/>
        <w:spacing w:after="0" w:line="256" w:lineRule="auto"/>
        <w:rPr>
          <w:sz w:val="20"/>
          <w:szCs w:val="20"/>
          <w:color w:val="auto"/>
        </w:rPr>
      </w:pPr>
      <w:r>
        <w:rPr>
          <w:rFonts w:ascii="Times New Roman" w:cs="Times New Roman" w:eastAsia="Times New Roman" w:hAnsi="Times New Roman"/>
          <w:sz w:val="18"/>
          <w:szCs w:val="18"/>
          <w:color w:val="auto"/>
        </w:rPr>
        <w:t>Our primary role in our collaboration with Sanofi is to manufacture AFREZZA to meet Sanofi’s commercial demand as well as its requirements for ongoing clinical studies of AFREZZA. We manufacture AFREZZA in our Danbury, Connecticut facility, where we formulate the AFREZZA inhalation powder, fill it into plastic cartridges and then blister package the cartridges and seal the blister cards inside a foil overwrap. These overwraps are then packaged into cartons along with inhalers and printed material by a third-party packager. The cartridges and inhalers are manufactured for us by a third-party plastic-molding company; the cartridges are delivered to our Connecticut facility whereas the inhalers are shipped directly to the packaging contractor.</w:t>
      </w:r>
    </w:p>
    <w:p>
      <w:pPr>
        <w:spacing w:after="0" w:line="58" w:lineRule="exact"/>
        <w:rPr>
          <w:sz w:val="20"/>
          <w:szCs w:val="20"/>
          <w:color w:val="auto"/>
        </w:rPr>
      </w:pPr>
    </w:p>
    <w:p>
      <w:pPr>
        <w:ind w:right="40" w:firstLine="228"/>
        <w:spacing w:after="0" w:line="262" w:lineRule="auto"/>
        <w:rPr>
          <w:sz w:val="20"/>
          <w:szCs w:val="20"/>
          <w:color w:val="auto"/>
        </w:rPr>
      </w:pPr>
      <w:r>
        <w:rPr>
          <w:rFonts w:ascii="Times New Roman" w:cs="Times New Roman" w:eastAsia="Times New Roman" w:hAnsi="Times New Roman"/>
          <w:sz w:val="18"/>
          <w:szCs w:val="18"/>
          <w:color w:val="auto"/>
        </w:rPr>
        <w:t>The quality management systems of our Connecticut facility were certified to be in conformance with the ISO 13485 and ISO 9001 standards. Our facility has been inspected twice by the FDA, once for a pre-approval inspection in the fall of 2009 and once for a regular inspection in May 2013. The FDA is expected to conduct additional inspections of our facility.</w:t>
      </w:r>
    </w:p>
    <w:p>
      <w:pPr>
        <w:spacing w:after="0" w:line="51" w:lineRule="exact"/>
        <w:rPr>
          <w:sz w:val="20"/>
          <w:szCs w:val="20"/>
          <w:color w:val="auto"/>
        </w:rPr>
      </w:pPr>
    </w:p>
    <w:p>
      <w:pPr>
        <w:ind w:right="400" w:firstLine="228"/>
        <w:spacing w:after="0" w:line="275" w:lineRule="auto"/>
        <w:rPr>
          <w:sz w:val="20"/>
          <w:szCs w:val="20"/>
          <w:color w:val="auto"/>
        </w:rPr>
      </w:pPr>
      <w:r>
        <w:rPr>
          <w:rFonts w:ascii="Times New Roman" w:cs="Times New Roman" w:eastAsia="Times New Roman" w:hAnsi="Times New Roman"/>
          <w:sz w:val="18"/>
          <w:szCs w:val="18"/>
          <w:color w:val="auto"/>
        </w:rPr>
        <w:t>We believe that our Connecticut facility has enough capacity to satisfy the initial commercial demand for AFREZZA. We are currently operating a single filling line with the capacity to process 100-120 million</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00"/>
          </w:cols>
          <w:pgMar w:left="240" w:top="455" w:right="25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cartridges per year, and have installed and preliminarily qualified two additional filling lines that will bring our annual fill/packing capacity to 300-360 million later this year. In addition, the facility includes expansion space to accommodate as many as 12 filling lines and other equipment, allowing production capacity to be increased based on the demand for AFREZZA over the next several years. Before the Connecticut facility reaches its maximum capacity, we and Sanofi expect to coordinate the construction and qualification of an additional manufacturing facility, which may be owned and operated by Sanofi.</w:t>
      </w:r>
    </w:p>
    <w:p>
      <w:pPr>
        <w:spacing w:after="0" w:line="55" w:lineRule="exact"/>
        <w:rPr>
          <w:sz w:val="20"/>
          <w:szCs w:val="20"/>
          <w:color w:val="auto"/>
        </w:rPr>
      </w:pPr>
    </w:p>
    <w:p>
      <w:pPr>
        <w:ind w:right="60" w:firstLine="228"/>
        <w:spacing w:after="0" w:line="252" w:lineRule="auto"/>
        <w:rPr>
          <w:sz w:val="20"/>
          <w:szCs w:val="20"/>
          <w:color w:val="auto"/>
        </w:rPr>
      </w:pPr>
      <w:r>
        <w:rPr>
          <w:rFonts w:ascii="Times New Roman" w:cs="Times New Roman" w:eastAsia="Times New Roman" w:hAnsi="Times New Roman"/>
          <w:sz w:val="18"/>
          <w:szCs w:val="18"/>
          <w:color w:val="auto"/>
        </w:rPr>
        <w:t>Currently, the only approved source of insulin for AFREZZA is manufactured by Amphastar France Pharmaceuticals S.A.S. (“Amphastar”). In April 2014, Amphastar acquired a manufacturing facility from N.V. Organon, a subsidiary of Merck &amp; Co., Inc., where we had previously obtained the insulin that we use to make AFREZZA. On July 31, 2014, we entered into a supply agreement with Amphastar (the “Insulin Supply Agreement”), pursuant to which we agreed to purchase certain annual minimum quantities of insulin for an aggregate total purchase price of approximately €120.1 million for calendar years 2015 through 2019. We also may purchase additional quantities of insulin over such annual minimum quantities at our option. Unless earlier terminated, the term of the Insulin Supply Agreement expires on December 31, 2019 and can be renewed for additional, successive two year terms upon 12 months written notice given prior to the end of the initial term or any additional two year term. We and Amphastar each have normal and customary termination rights, including termination for material breach that is not cured within a specific time frame or in the event of liquidation, bankruptcy or insolvency of the other party. In addition, we may terminate the Insulin Supply Agreement upon two years’ prior written notice to Amphastar without cause or upon 30 days prior written notice to Amphastar if a controlling regulatory authority withdraws approval for AFREZZA, provided, however, in the event of a termination pursuant to either of the latter two scenarios, the provisions of the Insulin Supply Agreement require us to pay the full amount of all unpaid purchase commitments due over the initial term within 60 calendar days of the effective date of such termination.</w:t>
      </w:r>
    </w:p>
    <w:p>
      <w:pPr>
        <w:spacing w:after="0" w:line="66" w:lineRule="exact"/>
        <w:rPr>
          <w:sz w:val="20"/>
          <w:szCs w:val="20"/>
          <w:color w:val="auto"/>
        </w:rPr>
      </w:pPr>
    </w:p>
    <w:p>
      <w:pPr>
        <w:ind w:right="20" w:firstLine="228"/>
        <w:spacing w:after="0" w:line="275" w:lineRule="auto"/>
        <w:rPr>
          <w:sz w:val="20"/>
          <w:szCs w:val="20"/>
          <w:color w:val="auto"/>
        </w:rPr>
      </w:pPr>
      <w:r>
        <w:rPr>
          <w:rFonts w:ascii="Times New Roman" w:cs="Times New Roman" w:eastAsia="Times New Roman" w:hAnsi="Times New Roman"/>
          <w:sz w:val="18"/>
          <w:szCs w:val="18"/>
          <w:color w:val="auto"/>
        </w:rPr>
        <w:t>In addition to our supply relationship with Amphastar, we are working with Sanofi to qualify insulin manufactured by Sanofi as an additional source of insulin for AFREZZA.</w:t>
      </w:r>
    </w:p>
    <w:p>
      <w:pPr>
        <w:spacing w:after="0" w:line="39" w:lineRule="exact"/>
        <w:rPr>
          <w:sz w:val="20"/>
          <w:szCs w:val="20"/>
          <w:color w:val="auto"/>
        </w:rPr>
      </w:pPr>
    </w:p>
    <w:p>
      <w:pPr>
        <w:ind w:right="140" w:firstLine="228"/>
        <w:spacing w:after="0" w:line="262" w:lineRule="auto"/>
        <w:rPr>
          <w:sz w:val="20"/>
          <w:szCs w:val="20"/>
          <w:color w:val="auto"/>
        </w:rPr>
      </w:pPr>
      <w:r>
        <w:rPr>
          <w:rFonts w:ascii="Times New Roman" w:cs="Times New Roman" w:eastAsia="Times New Roman" w:hAnsi="Times New Roman"/>
          <w:sz w:val="18"/>
          <w:szCs w:val="18"/>
          <w:color w:val="auto"/>
        </w:rPr>
        <w:t>We also own a quantity of bulk insulin that we acquired in June 2009 from Pfizer Manufacturing Frankfurt GmbH, a subsidiary of Pfizer Inc., as well as an option to purchase from Pfizer additional insulin inventory, in whole or in part, at a specified price, to the extent it remains available. The purchase price for this insulin was fully expensed at the time of the purchase. To date, none of this insulin has been qualified as a source of insulin for AFREZZA.</w:t>
      </w:r>
    </w:p>
    <w:p>
      <w:pPr>
        <w:spacing w:after="0" w:line="51" w:lineRule="exact"/>
        <w:rPr>
          <w:sz w:val="20"/>
          <w:szCs w:val="20"/>
          <w:color w:val="auto"/>
        </w:rPr>
      </w:pPr>
    </w:p>
    <w:p>
      <w:pPr>
        <w:ind w:right="160" w:firstLine="228"/>
        <w:spacing w:after="0" w:line="258" w:lineRule="auto"/>
        <w:rPr>
          <w:sz w:val="20"/>
          <w:szCs w:val="20"/>
          <w:color w:val="auto"/>
        </w:rPr>
      </w:pPr>
      <w:r>
        <w:rPr>
          <w:rFonts w:ascii="Times New Roman" w:cs="Times New Roman" w:eastAsia="Times New Roman" w:hAnsi="Times New Roman"/>
          <w:sz w:val="18"/>
          <w:szCs w:val="18"/>
          <w:color w:val="auto"/>
        </w:rPr>
        <w:t>Currently, we purchase the raw material from which we produce Technosphere particles (fumaryl diketopiperazine (“FDKP”)) from a major chemical manufacturer with facilities in Europe and North America. We also have the capability of manufacturing this chemical ourselves in our Danbury facility, where we recently completed pilot-scale development batches of FDKP produced using a more streamlined and less costly process compared to earlier campaigns. We intend to transfer this more efficient process to a contract manufacturer for production of registration and validation batches of FDKP.</w:t>
      </w:r>
    </w:p>
    <w:p>
      <w:pPr>
        <w:spacing w:after="0" w:line="55" w:lineRule="exact"/>
        <w:rPr>
          <w:sz w:val="20"/>
          <w:szCs w:val="20"/>
          <w:color w:val="auto"/>
        </w:rPr>
      </w:pPr>
    </w:p>
    <w:p>
      <w:pPr>
        <w:ind w:right="200" w:firstLine="228"/>
        <w:spacing w:after="0" w:line="275" w:lineRule="auto"/>
        <w:rPr>
          <w:sz w:val="20"/>
          <w:szCs w:val="20"/>
          <w:color w:val="auto"/>
        </w:rPr>
      </w:pPr>
      <w:r>
        <w:rPr>
          <w:rFonts w:ascii="Times New Roman" w:cs="Times New Roman" w:eastAsia="Times New Roman" w:hAnsi="Times New Roman"/>
          <w:sz w:val="18"/>
          <w:szCs w:val="18"/>
          <w:color w:val="auto"/>
        </w:rPr>
        <w:t>We have a three-year supply agreement with the contract manufacturer that produces our inhaler and the corresponding cartridges. As demand increases, we intend to qualify an additional vendor of plastic-molding contract manufacturing services.</w:t>
      </w:r>
    </w:p>
    <w:p>
      <w:pPr>
        <w:spacing w:after="0" w:line="39" w:lineRule="exact"/>
        <w:rPr>
          <w:sz w:val="20"/>
          <w:szCs w:val="20"/>
          <w:color w:val="auto"/>
        </w:rPr>
      </w:pPr>
    </w:p>
    <w:p>
      <w:pPr>
        <w:ind w:right="100" w:firstLine="228"/>
        <w:spacing w:after="0" w:line="275" w:lineRule="auto"/>
        <w:rPr>
          <w:sz w:val="20"/>
          <w:szCs w:val="20"/>
          <w:color w:val="auto"/>
        </w:rPr>
      </w:pPr>
      <w:r>
        <w:rPr>
          <w:rFonts w:ascii="Times New Roman" w:cs="Times New Roman" w:eastAsia="Times New Roman" w:hAnsi="Times New Roman"/>
          <w:sz w:val="18"/>
          <w:szCs w:val="18"/>
          <w:color w:val="auto"/>
        </w:rPr>
        <w:t>We also have a three-year agreement with the contractor that performs the final packaging of AFREZZA overwraps, inhalers and printed material into patient kits. As demand increases, we intend to qualify an additional vendor of packaging services.</w:t>
      </w:r>
    </w:p>
    <w:p>
      <w:pPr>
        <w:spacing w:after="0" w:line="39" w:lineRule="exact"/>
        <w:rPr>
          <w:sz w:val="20"/>
          <w:szCs w:val="20"/>
          <w:color w:val="auto"/>
        </w:rPr>
      </w:pPr>
    </w:p>
    <w:p>
      <w:pPr>
        <w:ind w:right="680" w:firstLine="228"/>
        <w:spacing w:after="0" w:line="275" w:lineRule="auto"/>
        <w:rPr>
          <w:sz w:val="20"/>
          <w:szCs w:val="20"/>
          <w:color w:val="auto"/>
        </w:rPr>
      </w:pPr>
      <w:r>
        <w:rPr>
          <w:rFonts w:ascii="Times New Roman" w:cs="Times New Roman" w:eastAsia="Times New Roman" w:hAnsi="Times New Roman"/>
          <w:sz w:val="18"/>
          <w:szCs w:val="18"/>
          <w:color w:val="auto"/>
        </w:rPr>
        <w:t>Our third-party suppliers are subject to extensive governmental regulation. We rely on our suppliers to comply with relevant regulatory requirements, including compliance with Quality System Regulations (“QSRs”).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Technosphere Formulation Technology</w:t>
      </w:r>
    </w:p>
    <w:p>
      <w:pPr>
        <w:spacing w:after="0" w:line="92" w:lineRule="exact"/>
        <w:rPr>
          <w:sz w:val="20"/>
          <w:szCs w:val="20"/>
          <w:color w:val="auto"/>
        </w:rPr>
      </w:pPr>
    </w:p>
    <w:p>
      <w:pPr>
        <w:ind w:right="280" w:firstLine="228"/>
        <w:spacing w:after="0" w:line="275" w:lineRule="auto"/>
        <w:rPr>
          <w:sz w:val="20"/>
          <w:szCs w:val="20"/>
          <w:color w:val="auto"/>
        </w:rPr>
      </w:pPr>
      <w:r>
        <w:rPr>
          <w:rFonts w:ascii="Times New Roman" w:cs="Times New Roman" w:eastAsia="Times New Roman" w:hAnsi="Times New Roman"/>
          <w:sz w:val="18"/>
          <w:szCs w:val="18"/>
          <w:color w:val="auto"/>
        </w:rPr>
        <w:t>AFREZZA utilizes our proprietary Technosphere formulation technology; however, the application of this technology is not limited to insulin delivery. We believe it represents a versatile drug delivery platform that may</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00"/>
          </w:cols>
          <w:pgMar w:left="240" w:top="455" w:right="25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allow the oral inhalation of a wide range of therapeutics. We have successfully prepared Technosphere formulations of anionic and cationic drugs, hydrophobic and hydrophilic drugs, proteins, peptides, and small molecules. Technosphere powders are based on our proprietary excipient, FDKP, which is a pH-sensitive organic molecule that self-assembles into small particles under acidic conditions. Certain drugs, such as insulin, can be loaded onto these particles by combining a solution of the drug with a suspension of Technosphere material, which is then dried to powder form. The resulting powder has a consistent and narrow range of particle sizes with good aerodynamic properties that enable them to fly efficiently deep into the lungs. Technosphere powders dissolve extremely fast after inhalation when the particles contact the moist lung surface with its neutral pH, releasing the drug molecules to diffuse across a thin layer of cells into the arterial circulation, bypassing the liver to provide excellent systemic exposure.</w:t>
      </w:r>
    </w:p>
    <w:p>
      <w:pPr>
        <w:spacing w:after="0" w:line="60" w:lineRule="exact"/>
        <w:rPr>
          <w:sz w:val="20"/>
          <w:szCs w:val="20"/>
          <w:color w:val="auto"/>
        </w:rPr>
      </w:pPr>
    </w:p>
    <w:p>
      <w:pPr>
        <w:ind w:right="100" w:firstLine="228"/>
        <w:spacing w:after="0" w:line="290" w:lineRule="auto"/>
        <w:rPr>
          <w:sz w:val="20"/>
          <w:szCs w:val="20"/>
          <w:color w:val="auto"/>
        </w:rPr>
      </w:pPr>
      <w:r>
        <w:rPr>
          <w:rFonts w:ascii="Times New Roman" w:cs="Times New Roman" w:eastAsia="Times New Roman" w:hAnsi="Times New Roman"/>
          <w:sz w:val="16"/>
          <w:szCs w:val="16"/>
          <w:color w:val="auto"/>
        </w:rPr>
        <w:t>We have also created an innovative line of breath-powered, dry powder inhalers. Our inhalers are easy to use, cost-effective and can be produced in both a reusable (chronic treatment) and a single-use (acute treatment) format. Both the reusable and single use inhaler formats use the same internal air-flow design. Being breath-powered, our inhalers require only the patient’s inhalation effort to deliver the powder. Patients are not required to activate the inhaler prior to use and no activation step with inhalation is required. To administer the inhalation powder, a patient loads a cartridge into our inhaler and inhales through the mouthpiece. Upon inhalation, the dry powder is lifted out of the cartridge and broken (or de-agglomerated) into small particles. The inhalers are engineered to produce an aggressive airstream to de-agglomerate the powder while keeping the powder moving slowly. This slow-moving powder effectively navigates the patient’s airways for delivery into the lung with minimal deposition at the back of the throat. Our inhalers show very little change in performance over a wide range of inhalation efforts and produce high bioavailability. In a handling study, pediatric subjects as young as four years old were readily able to use the inhaler.</w:t>
      </w:r>
    </w:p>
    <w:p>
      <w:pPr>
        <w:spacing w:after="0" w:line="31" w:lineRule="exact"/>
        <w:rPr>
          <w:sz w:val="20"/>
          <w:szCs w:val="20"/>
          <w:color w:val="auto"/>
        </w:rPr>
      </w:pPr>
    </w:p>
    <w:p>
      <w:pPr>
        <w:ind w:firstLine="228"/>
        <w:spacing w:after="0" w:line="255" w:lineRule="auto"/>
        <w:rPr>
          <w:sz w:val="20"/>
          <w:szCs w:val="20"/>
          <w:color w:val="auto"/>
        </w:rPr>
      </w:pPr>
      <w:r>
        <w:rPr>
          <w:rFonts w:ascii="Times New Roman" w:cs="Times New Roman" w:eastAsia="Times New Roman" w:hAnsi="Times New Roman"/>
          <w:sz w:val="18"/>
          <w:szCs w:val="18"/>
          <w:color w:val="auto"/>
        </w:rPr>
        <w:t>To aid in the development of our oral inhalation products, we have created a number of innovative development tools and techniques. For example, our BluHale technology is a novel inhalation profiling tool that uses miniature acoustic sensors to assess the drug delivery process at the level of an individual inhaler. This tool provides real-time insight into patient usage, device system performance and pharmacokinetic effects. We can combine this tool with other development tools, such as patient inhalation simulators and anatomically correct airway models, in order to integrate inhaler performance with formulation development right from the beginning of the development program. The result is a powder/inhaler combination product customized to the target patient population from the first clinical study.</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are the key elements of our strategy:</w:t>
      </w:r>
    </w:p>
    <w:p>
      <w:pPr>
        <w:spacing w:after="0" w:line="88" w:lineRule="exact"/>
        <w:rPr>
          <w:sz w:val="20"/>
          <w:szCs w:val="20"/>
          <w:color w:val="auto"/>
        </w:rPr>
      </w:pPr>
    </w:p>
    <w:p>
      <w:pPr>
        <w:ind w:right="40" w:firstLine="228"/>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Support the commercialization of AFREZZA. </w:t>
      </w:r>
      <w:r>
        <w:rPr>
          <w:rFonts w:ascii="Times New Roman" w:cs="Times New Roman" w:eastAsia="Times New Roman" w:hAnsi="Times New Roman"/>
          <w:sz w:val="18"/>
          <w:szCs w:val="18"/>
          <w:color w:val="auto"/>
        </w:rPr>
        <w:t>Our primary role in our collaboration with Sanofi for the commercialization of AFREZZA is to manufacture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supply AFREZZA as necessary based on the demand for the product in the United States and any other jurisdictions where Sanofi obtains regulatory approval. Through our participation in a joint committee and various working groups created as part of the alliance, we support Sanofi’s development and marketing activities, gain alignment on patent strategy and coordinate other activities with Sanofi.</w:t>
      </w:r>
    </w:p>
    <w:p>
      <w:pPr>
        <w:spacing w:after="0" w:line="52" w:lineRule="exact"/>
        <w:rPr>
          <w:sz w:val="20"/>
          <w:szCs w:val="20"/>
          <w:color w:val="auto"/>
        </w:rPr>
      </w:pPr>
    </w:p>
    <w:p>
      <w:pPr>
        <w:ind w:right="480" w:firstLine="228"/>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Capitalize on our proprietary Technosphere and inhaler technology for the delivery of active pharmaceutical ingredients. </w:t>
      </w:r>
      <w:r>
        <w:rPr>
          <w:rFonts w:ascii="Times New Roman" w:cs="Times New Roman" w:eastAsia="Times New Roman" w:hAnsi="Times New Roman"/>
          <w:sz w:val="18"/>
          <w:szCs w:val="18"/>
          <w:color w:val="auto"/>
        </w:rPr>
        <w:t>We believe that Technosphere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formulations of active pharmaceutical ingredients have the potential to demonstrate clinical advantages over existing therapeutic options in a variety of therapeutic areas. We are actively exploring opportunities to out-license our proprietary Technosphere formulation and device technologies. We are also evaluating several product opportunities that we would consider developing as internally funded efforts.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We rely on Sanofi to conduct all sales and marketing activities related to AFREZZA.</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00"/>
          </w:cols>
          <w:pgMar w:left="240" w:top="455" w:right="25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40" w:firstLine="228"/>
        <w:spacing w:after="0" w:line="310" w:lineRule="auto"/>
        <w:rPr>
          <w:sz w:val="20"/>
          <w:szCs w:val="20"/>
          <w:color w:val="auto"/>
        </w:rPr>
      </w:pPr>
      <w:r>
        <w:rPr>
          <w:rFonts w:ascii="Times New Roman" w:cs="Times New Roman" w:eastAsia="Times New Roman" w:hAnsi="Times New Roman"/>
          <w:sz w:val="16"/>
          <w:szCs w:val="16"/>
          <w:color w:val="auto"/>
        </w:rPr>
        <w:t>We depend on the success of Sanofi in performing under the Sanofi License Agreement, and we cannot be certain Sanofi will, devote sufficient resources to the commercialization of AFREZZA, or perform its obligations under the agreement. Any failure of Sanofi to perform its obligations or allocate sufficient resources to the commercialization of AFREZZA in a timely manner could materially harm our business, financial condition and results of operations.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92" w:lineRule="exact"/>
        <w:rPr>
          <w:sz w:val="20"/>
          <w:szCs w:val="20"/>
          <w:color w:val="auto"/>
        </w:rPr>
      </w:pPr>
    </w:p>
    <w:p>
      <w:pPr>
        <w:ind w:right="20" w:firstLine="228"/>
        <w:spacing w:after="0" w:line="256" w:lineRule="auto"/>
        <w:rPr>
          <w:sz w:val="20"/>
          <w:szCs w:val="20"/>
          <w:color w:val="auto"/>
        </w:rPr>
      </w:pPr>
      <w:r>
        <w:rPr>
          <w:rFonts w:ascii="Times New Roman" w:cs="Times New Roman" w:eastAsia="Times New Roman" w:hAnsi="Times New Roman"/>
          <w:sz w:val="18"/>
          <w:szCs w:val="18"/>
          <w:color w:val="auto"/>
        </w:rPr>
        <w:t>Our success will depend in large measure on our ability to obtain and enforce our intellectual property rights, effectively maintain our trade secrets and avoid infringing the proprietary rights of third parties. Our policy is to file patent applications on what we deem to be important technological developments that might relate to our product candidates or methods of using our product candidates and to seek intellectual property protection in the United States, Europe, Japan and selected other jurisdictions for all significant inventions. We have obtained, are seeking, and will continue to seek patent protection on the compositions of matter, methods and devices flowing from our research and development efforts.</w:t>
      </w:r>
    </w:p>
    <w:p>
      <w:pPr>
        <w:spacing w:after="0" w:line="58" w:lineRule="exact"/>
        <w:rPr>
          <w:sz w:val="20"/>
          <w:szCs w:val="20"/>
          <w:color w:val="auto"/>
        </w:rPr>
      </w:pPr>
    </w:p>
    <w:p>
      <w:pPr>
        <w:ind w:right="20" w:firstLine="228"/>
        <w:spacing w:after="0" w:line="254" w:lineRule="auto"/>
        <w:rPr>
          <w:sz w:val="20"/>
          <w:szCs w:val="20"/>
          <w:color w:val="auto"/>
        </w:rPr>
      </w:pPr>
      <w:r>
        <w:rPr>
          <w:rFonts w:ascii="Times New Roman" w:cs="Times New Roman" w:eastAsia="Times New Roman" w:hAnsi="Times New Roman"/>
          <w:sz w:val="18"/>
          <w:szCs w:val="18"/>
          <w:color w:val="auto"/>
        </w:rPr>
        <w:t>Our Technosphere drug delivery platform, including AFREZZA, enjoys patent protection relating to the particles, their manufacture, and their use for pulmonary delivery of drugs. We have additional patent coverage relating to the treatment of diabetes using AFREZZA. We have been granted patent coverage for the commercial version of our inhaler and cartridges. We have additional pending patent applications, and expect to file further applications, relating to the drug delivery platform, methods of manufacture, the AFREZZA product and its use, and other Technosphere-based products, inhalers and inhaler cartridges. Overall, AFREZZA is protected by over 292 issued patents, and we also have over 230 pending applications in the United States and selected jurisdictions around the world that may provide additional protection if and when they are allowed. These include composition and inhaler and cartridge patents providing protection for AFREZZA with various expiration dates, the longer-lived of which will not expire until 2032. In addition, we have certain method of treatment claims that have terms extending into 2026 and 2029.</w:t>
      </w:r>
    </w:p>
    <w:p>
      <w:pPr>
        <w:spacing w:after="0" w:line="57" w:lineRule="exact"/>
        <w:rPr>
          <w:sz w:val="20"/>
          <w:szCs w:val="20"/>
          <w:color w:val="auto"/>
        </w:rPr>
      </w:pPr>
    </w:p>
    <w:p>
      <w:pPr>
        <w:ind w:right="40" w:firstLine="228"/>
        <w:spacing w:after="0" w:line="258" w:lineRule="auto"/>
        <w:rPr>
          <w:sz w:val="20"/>
          <w:szCs w:val="20"/>
          <w:color w:val="auto"/>
        </w:rPr>
      </w:pPr>
      <w:r>
        <w:rPr>
          <w:rFonts w:ascii="Times New Roman" w:cs="Times New Roman" w:eastAsia="Times New Roman" w:hAnsi="Times New Roman"/>
          <w:sz w:val="18"/>
          <w:szCs w:val="18"/>
          <w:color w:val="auto"/>
        </w:rPr>
        <w:t>The field of pulmonary drug delivery is crowded and a substantial number of patents have been issued in these fields. In addition, because patent positions can be highly uncertain and frequently involve complex legal and factual questions, the breadth of claims obtained in any application or the enforceability of issued patents cannot be confidently predicted. Further, there can be substantial delays in commercializing pharmaceutical products, which can partially consume the statutory period of exclusivity through patents.</w:t>
      </w:r>
    </w:p>
    <w:p>
      <w:pPr>
        <w:spacing w:after="0" w:line="55" w:lineRule="exact"/>
        <w:rPr>
          <w:sz w:val="20"/>
          <w:szCs w:val="20"/>
          <w:color w:val="auto"/>
        </w:rPr>
      </w:pPr>
    </w:p>
    <w:p>
      <w:pPr>
        <w:ind w:right="100" w:firstLine="228"/>
        <w:spacing w:after="0" w:line="253" w:lineRule="auto"/>
        <w:rPr>
          <w:sz w:val="20"/>
          <w:szCs w:val="20"/>
          <w:color w:val="auto"/>
        </w:rPr>
      </w:pPr>
      <w:r>
        <w:rPr>
          <w:rFonts w:ascii="Times New Roman" w:cs="Times New Roman" w:eastAsia="Times New Roman" w:hAnsi="Times New Roman"/>
          <w:sz w:val="18"/>
          <w:szCs w:val="18"/>
          <w:color w:val="auto"/>
        </w:rPr>
        <w:t>In addition, the coverage claimed in a patent application can be significantly reduced before a patent is issued, either in the United States or abroad. Statutory differences in patentable subject matter may limit the protection we can obtain on some of our inventions outside of the United States. For example, methods of treating humans are not patentable in many countries outside of the United States. These and other issues may limit the patent protection we are able to secure internationally. Consequently, we do not know whether any of our pending or future patent applications will result in the issuance of patents or, to the extent patents have been issued or will be issued, whether these patents will be subjected to further proceedings limiting their scope, will provide significant proprietary protection or competitive advantage, or will be circumvented or invalidated. Furthermore, patents already issued to us or our pending applications may become subject to disputes that could be resolved against us. In addition, in certain countries, including the United States, applications are generally published 18 months after the application’s priority date. In any event, because publication of discoveries in scientific or patent literature often trails behind actual discoveries, we cannot be certain that we were the first inventor of the subject matter covered by our pending patent applications or that we were the first to file patent applications on such inventions.</w:t>
      </w:r>
    </w:p>
    <w:p>
      <w:pPr>
        <w:spacing w:after="0" w:line="60" w:lineRule="exact"/>
        <w:rPr>
          <w:sz w:val="20"/>
          <w:szCs w:val="20"/>
          <w:color w:val="auto"/>
        </w:rPr>
      </w:pPr>
    </w:p>
    <w:p>
      <w:pPr>
        <w:ind w:firstLine="228"/>
        <w:spacing w:after="0" w:line="256" w:lineRule="auto"/>
        <w:rPr>
          <w:sz w:val="20"/>
          <w:szCs w:val="20"/>
          <w:color w:val="auto"/>
        </w:rPr>
      </w:pPr>
      <w:r>
        <w:rPr>
          <w:rFonts w:ascii="Times New Roman" w:cs="Times New Roman" w:eastAsia="Times New Roman" w:hAnsi="Times New Roman"/>
          <w:sz w:val="18"/>
          <w:szCs w:val="18"/>
          <w:color w:val="auto"/>
        </w:rPr>
        <w:t>Although we own a number of domestic and foreign patents and patent applications relating to AFREZZA and our oral inhalation technologies, we have identified certain third-party patents having claims that may trigger an allegation of infringement by virtue of the commercial manufacture and sale of AFREZZA. We believe that AFREZZA does not infringe any valid claims of any patent owned by a third party. However, if a court were to determine that the manufacture or sale of AFREZZA were infringing any of these patent rights, we would have to establish with the court that these patents were invalid in order to avoid legal liability for infringement of these</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455" w:right="23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patents. Proving patent invalidity can be difficult because issued patents are presumed valid. Therefore, in the event that we are unable to prevail in an infringement or invalidity action we will either have to acquire the third-party patents outright or seek a royalty-bearing license. Royalty-bearing licenses effectively increase costs and therefore may materially affect product profitability. Furthermore, if the patent holder refuses to either assign or license us the infringed patents, it may be necessary to cease manufacturing the product entirely and/or design around the patents. In either event, our business would be harmed and our profitability could be materially adversely impacted. If third parties file patent applications, or are issued patents claiming technology also claimed by us in pending applications, we may be required to participate in interference proceedings in the United States Patent and Trademark Office (“USPTO”) to determine priority of invention. We may also be required to participate in interference proceedings involving our issued patents.</w:t>
      </w:r>
    </w:p>
    <w:p>
      <w:pPr>
        <w:spacing w:after="0" w:line="60" w:lineRule="exact"/>
        <w:rPr>
          <w:sz w:val="20"/>
          <w:szCs w:val="20"/>
          <w:color w:val="auto"/>
        </w:rPr>
      </w:pPr>
    </w:p>
    <w:p>
      <w:pPr>
        <w:ind w:right="140" w:firstLine="228"/>
        <w:spacing w:after="0" w:line="254" w:lineRule="auto"/>
        <w:rPr>
          <w:sz w:val="20"/>
          <w:szCs w:val="20"/>
          <w:color w:val="auto"/>
        </w:rPr>
      </w:pPr>
      <w:r>
        <w:rPr>
          <w:rFonts w:ascii="Times New Roman" w:cs="Times New Roman" w:eastAsia="Times New Roman" w:hAnsi="Times New Roman"/>
          <w:sz w:val="18"/>
          <w:szCs w:val="18"/>
          <w:color w:val="auto"/>
        </w:rPr>
        <w:t>We also rely on trade secrets and know-how, which are not protected by patents, to maintain our competitive position. We require our officers, employees, consultants and advisors to execute proprietary information and invention and assignment agreements upon commencement of their relationships with us. These agreements provide that all confidential information developed or made known to the individual during the course of our relationship must be kept confidential, except in specified circumstances. These agreements also provide that all inventions developed by the individual on behalf of us must be assigned to us and that the individual will cooperate with us in connection with securing patent protection on the invention if we wish to pursue such protection. There can be no assurance, however, that these agreements will provide meaningful protection for our inventions, trade secrets or other proprietary information in the event of unauthorized use or disclosure of such information.</w:t>
      </w:r>
    </w:p>
    <w:p>
      <w:pPr>
        <w:spacing w:after="0" w:line="60" w:lineRule="exact"/>
        <w:rPr>
          <w:sz w:val="20"/>
          <w:szCs w:val="20"/>
          <w:color w:val="auto"/>
        </w:rPr>
      </w:pPr>
    </w:p>
    <w:p>
      <w:pPr>
        <w:ind w:right="80" w:firstLine="228"/>
        <w:spacing w:after="0" w:line="255" w:lineRule="auto"/>
        <w:rPr>
          <w:sz w:val="20"/>
          <w:szCs w:val="20"/>
          <w:color w:val="auto"/>
        </w:rPr>
      </w:pPr>
      <w:r>
        <w:rPr>
          <w:rFonts w:ascii="Times New Roman" w:cs="Times New Roman" w:eastAsia="Times New Roman" w:hAnsi="Times New Roman"/>
          <w:sz w:val="18"/>
          <w:szCs w:val="18"/>
          <w:color w:val="auto"/>
        </w:rPr>
        <w:t>We also execute confidentiality agreements with outside collaborators. However, disputes may arise as to the ownership of proprietary rights to the extent that outside collaborators apply technological information to our projects that are developed independently by them or others, or apply our technology to outside projects, and there can be no assurance that any such disputes would be resolved in our favor. In addition, any of these parties may breach the agreements and disclose our confidential information or our competitors might learn of the information in some other way. If any trade secret, know-how or other technology not protected by a patent were to be disclosed to or independently developed by a competitor, our business, results of operations and financial condition could be adversely affected.</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92" w:lineRule="exact"/>
        <w:rPr>
          <w:sz w:val="20"/>
          <w:szCs w:val="20"/>
          <w:color w:val="auto"/>
        </w:rPr>
      </w:pPr>
    </w:p>
    <w:p>
      <w:pPr>
        <w:ind w:firstLine="228"/>
        <w:spacing w:after="0" w:line="256" w:lineRule="auto"/>
        <w:rPr>
          <w:sz w:val="20"/>
          <w:szCs w:val="20"/>
          <w:color w:val="auto"/>
        </w:rPr>
      </w:pPr>
      <w:r>
        <w:rPr>
          <w:rFonts w:ascii="Times New Roman" w:cs="Times New Roman" w:eastAsia="Times New Roman" w:hAnsi="Times New Roman"/>
          <w:sz w:val="18"/>
          <w:szCs w:val="18"/>
          <w:color w:val="auto"/>
        </w:rPr>
        <w:t>The pharmaceutical and biotechnology industries are highly competitive and characterized by rapidly evolving technology and intense research and development efforts. We expect to compete with companies, including major international pharmaceutical companies, and other institutions that have substantially greater financial, research and development, marketing and sales capabilities and have substantially greater experience in undertaking preclinical and clinical testing of products, obtaining regulatory approvals and marketing and selling biopharmaceutical products. We will face competition based on, among other things, product efficacy and safety, the timing and scope of regulatory approvals, product ease of use and price.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Diabetes Treatments</w:t>
      </w:r>
    </w:p>
    <w:p>
      <w:pPr>
        <w:spacing w:after="0" w:line="94" w:lineRule="exact"/>
        <w:rPr>
          <w:sz w:val="20"/>
          <w:szCs w:val="20"/>
          <w:color w:val="auto"/>
        </w:rPr>
      </w:pPr>
    </w:p>
    <w:p>
      <w:pPr>
        <w:ind w:right="120" w:firstLine="228"/>
        <w:spacing w:after="0" w:line="258" w:lineRule="auto"/>
        <w:rPr>
          <w:sz w:val="20"/>
          <w:szCs w:val="20"/>
          <w:color w:val="auto"/>
        </w:rPr>
      </w:pPr>
      <w:r>
        <w:rPr>
          <w:rFonts w:ascii="Times New Roman" w:cs="Times New Roman" w:eastAsia="Times New Roman" w:hAnsi="Times New Roman"/>
          <w:sz w:val="18"/>
          <w:szCs w:val="18"/>
          <w:color w:val="auto"/>
        </w:rPr>
        <w:t>We believe that AFREZZA has important competitive advantages in the delivery of insulin when compared with currently known alternatives. However, new drugs or further developments in alternative drug delivery methods may provide greater therapeutic benefits, or comparable benefits at lower cost, than AFREZZA. There can be no assurance that existing or new competitors will not introduce products or processes competitive with or superior to our product candidates.</w:t>
      </w:r>
    </w:p>
    <w:p>
      <w:pPr>
        <w:spacing w:after="0" w:line="55" w:lineRule="exact"/>
        <w:rPr>
          <w:sz w:val="20"/>
          <w:szCs w:val="20"/>
          <w:color w:val="auto"/>
        </w:rPr>
      </w:pPr>
    </w:p>
    <w:p>
      <w:pPr>
        <w:ind w:right="740" w:firstLine="228"/>
        <w:spacing w:after="0" w:line="391" w:lineRule="auto"/>
        <w:rPr>
          <w:sz w:val="20"/>
          <w:szCs w:val="20"/>
          <w:color w:val="auto"/>
        </w:rPr>
      </w:pPr>
      <w:r>
        <w:rPr>
          <w:rFonts w:ascii="Times New Roman" w:cs="Times New Roman" w:eastAsia="Times New Roman" w:hAnsi="Times New Roman"/>
          <w:sz w:val="18"/>
          <w:szCs w:val="18"/>
          <w:color w:val="auto"/>
        </w:rPr>
        <w:t xml:space="preserve">We have set forth below more detailed information about certain of our competitors. The following is based on information currently available to us. </w:t>
      </w:r>
      <w:r>
        <w:rPr>
          <w:rFonts w:ascii="Times New Roman" w:cs="Times New Roman" w:eastAsia="Times New Roman" w:hAnsi="Times New Roman"/>
          <w:sz w:val="18"/>
          <w:szCs w:val="18"/>
          <w:b w:val="1"/>
          <w:bCs w:val="1"/>
          <w:i w:val="1"/>
          <w:iCs w:val="1"/>
          <w:color w:val="auto"/>
        </w:rPr>
        <w:t>Rapid-acting (Injected) Insulin</w:t>
      </w:r>
    </w:p>
    <w:p>
      <w:pPr>
        <w:spacing w:after="0" w:line="1" w:lineRule="exact"/>
        <w:rPr>
          <w:sz w:val="20"/>
          <w:szCs w:val="20"/>
          <w:color w:val="auto"/>
        </w:rPr>
      </w:pPr>
    </w:p>
    <w:p>
      <w:pPr>
        <w:ind w:right="580" w:firstLine="228"/>
        <w:spacing w:after="0" w:line="275" w:lineRule="auto"/>
        <w:rPr>
          <w:sz w:val="20"/>
          <w:szCs w:val="20"/>
          <w:color w:val="auto"/>
        </w:rPr>
      </w:pPr>
      <w:r>
        <w:rPr>
          <w:rFonts w:ascii="Times New Roman" w:cs="Times New Roman" w:eastAsia="Times New Roman" w:hAnsi="Times New Roman"/>
          <w:sz w:val="18"/>
          <w:szCs w:val="18"/>
          <w:color w:val="auto"/>
        </w:rPr>
        <w:t>Currently, there is no approved insulin product that is absorbed into the bloodstream as rapidly as AFREZZA, i.e., reaching peak levels within 12 to 15 minutes after administration. There are several formulations of</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455" w:right="23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18"/>
          <w:szCs w:val="18"/>
          <w:color w:val="auto"/>
        </w:rPr>
        <w:t>“rapid-acting” insulin analogs that reach peak insulin levels within 45 to 90 minutes after injection. The principal products in this category are insulin lispro, which is marketed by Eli Lilly &amp; Company, or Lilly; insulin aspart, which is marketed by Novo Nordisk A/S, or Novo Nordisk; and insulin glulisine, which is marketed by Sanofi.</w:t>
      </w:r>
    </w:p>
    <w:p>
      <w:pPr>
        <w:spacing w:after="0" w:line="51" w:lineRule="exact"/>
        <w:rPr>
          <w:sz w:val="20"/>
          <w:szCs w:val="20"/>
          <w:color w:val="auto"/>
        </w:rPr>
      </w:pPr>
    </w:p>
    <w:p>
      <w:pPr>
        <w:ind w:firstLine="228"/>
        <w:spacing w:after="0" w:line="258" w:lineRule="auto"/>
        <w:rPr>
          <w:sz w:val="20"/>
          <w:szCs w:val="20"/>
          <w:color w:val="auto"/>
        </w:rPr>
      </w:pPr>
      <w:r>
        <w:rPr>
          <w:rFonts w:ascii="Times New Roman" w:cs="Times New Roman" w:eastAsia="Times New Roman" w:hAnsi="Times New Roman"/>
          <w:sz w:val="18"/>
          <w:szCs w:val="18"/>
          <w:color w:val="auto"/>
        </w:rPr>
        <w:t>Several insulin products in development are reported to have a time-action profile that is more rapid than that of the currently available rapid-acting insulin analogs. Halozyme Therapeutics, Inc. has conducted Phase 2 clinical studies to evaluate the safety and efficacy of a formulation of human insulin or an insulin analog that is co-administered with human hyaluronidase enzyme. This enzyme temporarily degrades a naturally occurring, space-filling substance that is a major component of normal tissues throughout the body, thereby facilitating the penetration and diffusion of insulin that is injected under the skin.</w:t>
      </w:r>
    </w:p>
    <w:p>
      <w:pPr>
        <w:spacing w:after="0" w:line="5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Novo Nordisk is conducting Phase 3 clinical studies of NN1218, an insulin analog that is intended to provide faster onset of action than aspart.</w:t>
      </w:r>
    </w:p>
    <w:p>
      <w:pPr>
        <w:spacing w:after="0" w:line="90" w:lineRule="exact"/>
        <w:rPr>
          <w:sz w:val="20"/>
          <w:szCs w:val="20"/>
          <w:color w:val="auto"/>
        </w:rPr>
      </w:pPr>
    </w:p>
    <w:p>
      <w:pPr>
        <w:ind w:right="320" w:firstLine="228"/>
        <w:spacing w:after="0" w:line="275" w:lineRule="auto"/>
        <w:rPr>
          <w:sz w:val="20"/>
          <w:szCs w:val="20"/>
          <w:color w:val="auto"/>
        </w:rPr>
      </w:pPr>
      <w:r>
        <w:rPr>
          <w:rFonts w:ascii="Times New Roman" w:cs="Times New Roman" w:eastAsia="Times New Roman" w:hAnsi="Times New Roman"/>
          <w:sz w:val="18"/>
          <w:szCs w:val="18"/>
          <w:color w:val="auto"/>
        </w:rPr>
        <w:t>Biodel, Inc. has conducted a Phase 2 clinical trial of BIOD-123, a formulation of human insulin with certain excipients that increase the rate of absorption following injection.</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Inhaled Insulin Delivery Systems</w:t>
      </w:r>
    </w:p>
    <w:p>
      <w:pPr>
        <w:spacing w:after="0" w:line="94" w:lineRule="exact"/>
        <w:rPr>
          <w:sz w:val="20"/>
          <w:szCs w:val="20"/>
          <w:color w:val="auto"/>
        </w:rPr>
      </w:pPr>
    </w:p>
    <w:p>
      <w:pPr>
        <w:ind w:right="20" w:firstLine="228"/>
        <w:spacing w:after="0" w:line="258" w:lineRule="auto"/>
        <w:rPr>
          <w:sz w:val="20"/>
          <w:szCs w:val="20"/>
          <w:color w:val="auto"/>
        </w:rPr>
      </w:pPr>
      <w:r>
        <w:rPr>
          <w:rFonts w:ascii="Times New Roman" w:cs="Times New Roman" w:eastAsia="Times New Roman" w:hAnsi="Times New Roman"/>
          <w:sz w:val="18"/>
          <w:szCs w:val="18"/>
          <w:color w:val="auto"/>
        </w:rPr>
        <w:t>In January 2006, Exubera</w:t>
      </w:r>
      <w:r>
        <w:rPr>
          <w:rFonts w:ascii="Times New Roman" w:cs="Times New Roman" w:eastAsia="Times New Roman" w:hAnsi="Times New Roman"/>
          <w:sz w:val="11"/>
          <w:szCs w:val="11"/>
          <w:color w:val="auto"/>
        </w:rPr>
        <w:t>®</w:t>
      </w:r>
      <w:r>
        <w:rPr>
          <w:rFonts w:ascii="Times New Roman" w:cs="Times New Roman" w:eastAsia="Times New Roman" w:hAnsi="Times New Roman"/>
          <w:sz w:val="18"/>
          <w:szCs w:val="18"/>
          <w:color w:val="auto"/>
        </w:rPr>
        <w:t>, developed by Pfizer in collaboration with Nektar Therapeutics, Inc., was approved for the treatment of adults with type 1 and type 2 diabetes. Exubera</w:t>
      </w:r>
      <w:r>
        <w:rPr>
          <w:rFonts w:ascii="Times New Roman" w:cs="Times New Roman" w:eastAsia="Times New Roman" w:hAnsi="Times New Roman"/>
          <w:sz w:val="11"/>
          <w:szCs w:val="11"/>
          <w:color w:val="auto"/>
        </w:rPr>
        <w:t>®</w:t>
      </w:r>
      <w:r>
        <w:rPr>
          <w:rFonts w:ascii="Times New Roman" w:cs="Times New Roman" w:eastAsia="Times New Roman" w:hAnsi="Times New Roman"/>
          <w:sz w:val="18"/>
          <w:szCs w:val="18"/>
          <w:color w:val="auto"/>
        </w:rPr>
        <w:t xml:space="preserve"> was slow to gain market acceptance and, in October 2007, Pfizer announced that it was discontinuing the product. In September 2008, we announced a collaboration agreement with Pfizer pursuant to which certain patients with a continuing medical need for inhaled insulin were transitioned to AFREZZA on a compassionate use basis. Pfizer subsequently withdrew the NDA for Exubera from the FDA.</w:t>
      </w:r>
    </w:p>
    <w:p>
      <w:pPr>
        <w:spacing w:after="0" w:line="55" w:lineRule="exact"/>
        <w:rPr>
          <w:sz w:val="20"/>
          <w:szCs w:val="20"/>
          <w:color w:val="auto"/>
        </w:rPr>
      </w:pPr>
    </w:p>
    <w:p>
      <w:pPr>
        <w:ind w:right="180" w:firstLine="228"/>
        <w:spacing w:after="0" w:line="275" w:lineRule="auto"/>
        <w:rPr>
          <w:sz w:val="20"/>
          <w:szCs w:val="20"/>
          <w:color w:val="auto"/>
        </w:rPr>
      </w:pPr>
      <w:r>
        <w:rPr>
          <w:rFonts w:ascii="Times New Roman" w:cs="Times New Roman" w:eastAsia="Times New Roman" w:hAnsi="Times New Roman"/>
          <w:sz w:val="18"/>
          <w:szCs w:val="18"/>
          <w:color w:val="auto"/>
        </w:rPr>
        <w:t>In January 2008, Novo Nordisk announced that it was halting development of its inhaled insulin product, having reached the conclusion that the product did not have adequate commercial potential.</w:t>
      </w:r>
    </w:p>
    <w:p>
      <w:pPr>
        <w:spacing w:after="0" w:line="39" w:lineRule="exact"/>
        <w:rPr>
          <w:sz w:val="20"/>
          <w:szCs w:val="20"/>
          <w:color w:val="auto"/>
        </w:rPr>
      </w:pPr>
    </w:p>
    <w:p>
      <w:pPr>
        <w:ind w:right="120" w:firstLine="228"/>
        <w:spacing w:after="0" w:line="262" w:lineRule="auto"/>
        <w:rPr>
          <w:sz w:val="20"/>
          <w:szCs w:val="20"/>
          <w:color w:val="auto"/>
        </w:rPr>
      </w:pPr>
      <w:r>
        <w:rPr>
          <w:rFonts w:ascii="Times New Roman" w:cs="Times New Roman" w:eastAsia="Times New Roman" w:hAnsi="Times New Roman"/>
          <w:sz w:val="18"/>
          <w:szCs w:val="18"/>
          <w:color w:val="auto"/>
        </w:rPr>
        <w:t>In March 2008, Lilly announced that it was terminating the development of its AIR</w:t>
      </w:r>
      <w:r>
        <w:rPr>
          <w:rFonts w:ascii="Times New Roman" w:cs="Times New Roman" w:eastAsia="Times New Roman" w:hAnsi="Times New Roman"/>
          <w:sz w:val="11"/>
          <w:szCs w:val="11"/>
          <w:color w:val="auto"/>
        </w:rPr>
        <w:t>®</w:t>
      </w:r>
      <w:r>
        <w:rPr>
          <w:rFonts w:ascii="Times New Roman" w:cs="Times New Roman" w:eastAsia="Times New Roman" w:hAnsi="Times New Roman"/>
          <w:sz w:val="18"/>
          <w:szCs w:val="18"/>
          <w:color w:val="auto"/>
        </w:rPr>
        <w:t xml:space="preserve"> inhaled insulin system. Lilly stated that this decision resulted from increasing uncertainties in the regulatory environment and after a thorough evaluation of the evolving commercial and clinical potential of its product compared to existing medical therapies.</w:t>
      </w:r>
    </w:p>
    <w:p>
      <w:pPr>
        <w:spacing w:after="0" w:line="51" w:lineRule="exact"/>
        <w:rPr>
          <w:sz w:val="20"/>
          <w:szCs w:val="20"/>
          <w:color w:val="auto"/>
        </w:rPr>
      </w:pPr>
    </w:p>
    <w:p>
      <w:pPr>
        <w:ind w:right="780" w:firstLine="228"/>
        <w:spacing w:after="0" w:line="275" w:lineRule="auto"/>
        <w:rPr>
          <w:sz w:val="20"/>
          <w:szCs w:val="20"/>
          <w:color w:val="auto"/>
        </w:rPr>
      </w:pPr>
      <w:r>
        <w:rPr>
          <w:rFonts w:ascii="Times New Roman" w:cs="Times New Roman" w:eastAsia="Times New Roman" w:hAnsi="Times New Roman"/>
          <w:sz w:val="18"/>
          <w:szCs w:val="18"/>
          <w:color w:val="auto"/>
        </w:rPr>
        <w:t>In August 2013, Dance Biopharm, Inc. announced that it had conducted a Phase 1/2 clinical study of an inhaled insulin product that utilizes a liquid formulation of human insulin, dispensed through a handheld electronic aerosol device.</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Non-insulin Medications</w:t>
      </w:r>
    </w:p>
    <w:p>
      <w:pPr>
        <w:spacing w:after="0" w:line="9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We expect that AFREZZA will compete with currently available non-insulin medication products for type 2 diabetes. These products include the following:</w:t>
      </w:r>
    </w:p>
    <w:p>
      <w:pPr>
        <w:spacing w:after="0" w:line="113" w:lineRule="exact"/>
        <w:rPr>
          <w:sz w:val="20"/>
          <w:szCs w:val="20"/>
          <w:color w:val="auto"/>
        </w:rPr>
      </w:pPr>
    </w:p>
    <w:p>
      <w:pPr>
        <w:ind w:left="440" w:right="300" w:hanging="216"/>
        <w:spacing w:after="0" w:line="275" w:lineRule="auto"/>
        <w:tabs>
          <w:tab w:leader="none" w:pos="4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GLP-1 agonists, such as exenatide or liraglutide, which mimic a naturally occurring hormone that stimulates the pancreas to secrete insulin when blood glucose levels are high.</w:t>
      </w:r>
    </w:p>
    <w:p>
      <w:pPr>
        <w:spacing w:after="0" w:line="38" w:lineRule="exact"/>
        <w:rPr>
          <w:rFonts w:ascii="Times New Roman" w:cs="Times New Roman" w:eastAsia="Times New Roman" w:hAnsi="Times New Roman"/>
          <w:sz w:val="18"/>
          <w:szCs w:val="18"/>
          <w:color w:val="auto"/>
        </w:rPr>
      </w:pPr>
    </w:p>
    <w:p>
      <w:pPr>
        <w:ind w:left="440" w:right="80" w:hanging="216"/>
        <w:spacing w:after="0" w:line="275" w:lineRule="auto"/>
        <w:tabs>
          <w:tab w:leader="none" w:pos="4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Inhibitors of dipeptidyl peptidase IV, such as sitagliptin or saxagliptin, are a class of drugs that work by blocking the enzyme that normally degrades GLP-1.</w:t>
      </w:r>
    </w:p>
    <w:p>
      <w:pPr>
        <w:spacing w:after="0" w:line="38" w:lineRule="exact"/>
        <w:rPr>
          <w:rFonts w:ascii="Times New Roman" w:cs="Times New Roman" w:eastAsia="Times New Roman" w:hAnsi="Times New Roman"/>
          <w:sz w:val="18"/>
          <w:szCs w:val="18"/>
          <w:color w:val="auto"/>
        </w:rPr>
      </w:pPr>
    </w:p>
    <w:p>
      <w:pPr>
        <w:ind w:left="440" w:hanging="216"/>
        <w:spacing w:after="0"/>
        <w:tabs>
          <w:tab w:leader="none" w:pos="4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Sulfonylureas and meglitinides, which are classes of drugs that act on the pancreatic cells to stimulate the secretion of insulin.</w:t>
      </w:r>
    </w:p>
    <w:p>
      <w:pPr>
        <w:spacing w:after="0" w:line="90" w:lineRule="exact"/>
        <w:rPr>
          <w:rFonts w:ascii="Times New Roman" w:cs="Times New Roman" w:eastAsia="Times New Roman" w:hAnsi="Times New Roman"/>
          <w:sz w:val="18"/>
          <w:szCs w:val="18"/>
          <w:color w:val="auto"/>
        </w:rPr>
      </w:pPr>
    </w:p>
    <w:p>
      <w:pPr>
        <w:ind w:left="440" w:right="80" w:hanging="216"/>
        <w:spacing w:after="0" w:line="275" w:lineRule="auto"/>
        <w:tabs>
          <w:tab w:leader="none" w:pos="4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Thiazolidinediones, such as pioglitizone, and biguanides, such as metformin, which lower blood glucose by improving the sensitivity of cells to insulin, or diminishing insulin resistance.</w:t>
      </w:r>
    </w:p>
    <w:p>
      <w:pPr>
        <w:spacing w:after="0" w:line="38" w:lineRule="exact"/>
        <w:rPr>
          <w:rFonts w:ascii="Times New Roman" w:cs="Times New Roman" w:eastAsia="Times New Roman" w:hAnsi="Times New Roman"/>
          <w:sz w:val="18"/>
          <w:szCs w:val="18"/>
          <w:color w:val="auto"/>
        </w:rPr>
      </w:pPr>
    </w:p>
    <w:p>
      <w:pPr>
        <w:ind w:left="440" w:hanging="216"/>
        <w:spacing w:after="0" w:line="275" w:lineRule="auto"/>
        <w:tabs>
          <w:tab w:leader="none" w:pos="4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Alpha-glucosidase inhibitors, which lower the amount of glucose absorbed from the intestines, thereby reducing the rise in blood glucose that occurs after a meal.</w:t>
      </w:r>
    </w:p>
    <w:p>
      <w:pPr>
        <w:spacing w:after="0" w:line="38" w:lineRule="exact"/>
        <w:rPr>
          <w:rFonts w:ascii="Times New Roman" w:cs="Times New Roman" w:eastAsia="Times New Roman" w:hAnsi="Times New Roman"/>
          <w:sz w:val="18"/>
          <w:szCs w:val="18"/>
          <w:color w:val="auto"/>
        </w:rPr>
      </w:pPr>
    </w:p>
    <w:p>
      <w:pPr>
        <w:ind w:left="440" w:hanging="216"/>
        <w:spacing w:after="0"/>
        <w:tabs>
          <w:tab w:leader="none" w:pos="44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SGLT-2 inhibitors, such as dapagliflozin and canagliflozin, are a class of medications that lower blood glucose by increasing glucose excretion in urine.</w:t>
      </w:r>
    </w:p>
    <w:p>
      <w:pPr>
        <w:spacing w:after="0" w:line="1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380"/>
          </w:cols>
          <w:pgMar w:left="240" w:top="455" w:right="27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 and Product Approval</w:t>
      </w:r>
    </w:p>
    <w:p>
      <w:pPr>
        <w:spacing w:after="0" w:line="92" w:lineRule="exact"/>
        <w:rPr>
          <w:sz w:val="20"/>
          <w:szCs w:val="20"/>
          <w:color w:val="auto"/>
        </w:rPr>
      </w:pPr>
    </w:p>
    <w:p>
      <w:pPr>
        <w:ind w:right="20" w:firstLine="228"/>
        <w:spacing w:after="0" w:line="289" w:lineRule="auto"/>
        <w:rPr>
          <w:sz w:val="20"/>
          <w:szCs w:val="20"/>
          <w:color w:val="auto"/>
        </w:rPr>
      </w:pPr>
      <w:r>
        <w:rPr>
          <w:rFonts w:ascii="Times New Roman" w:cs="Times New Roman" w:eastAsia="Times New Roman" w:hAnsi="Times New Roman"/>
          <w:sz w:val="16"/>
          <w:szCs w:val="16"/>
          <w:color w:val="auto"/>
        </w:rPr>
        <w:t>The FDA and comparable regulatory agencies in state, local and foreign jurisdictions impose substantial requirements upon the clinical development, manufacture and marketing of medical devices and new drug and biologic products. These agencies, through regulations that implement the Federal Food, Drug, and Cosmetic Act, as amended (“FDCA”), and other regulations, regulate research and development activities and the development, testing, manufacture, labeling, storage, shipping, approval, recordkeeping, advertising, promotion, sale and distribution of such products. In addition, if any of our products are marketed abroad, they will also be subject to export requirements and to regulation by foreign governments. The regulatory approval process is generally lengthy, expensive and uncertain. Failure to comply with applicable FDA and other regulatory requirements can result in sanctions being imposed on us or the manufacturers of our products, including hold letters on clinical research, civil or criminal fines or other penalties, product recalls, or seizures, or total or partial suspension of production or injunctions, refusals to permit products to be imported into or exported out of the United States, refusals of the FDA to grant approval of drugs or to allow us to enter into government supply contracts, withdrawals of previously approved marketing applications and criminal prosecutions.</w:t>
      </w:r>
    </w:p>
    <w:p>
      <w:pPr>
        <w:spacing w:after="0" w:line="3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steps typically required before an unapproved new drug or biologic product for use in humans may be marketed in the United States include:</w:t>
      </w:r>
    </w:p>
    <w:p>
      <w:pPr>
        <w:spacing w:after="0" w:line="90" w:lineRule="exact"/>
        <w:rPr>
          <w:sz w:val="20"/>
          <w:szCs w:val="20"/>
          <w:color w:val="auto"/>
        </w:rPr>
      </w:pPr>
    </w:p>
    <w:p>
      <w:pPr>
        <w:ind w:left="440" w:right="80" w:hanging="216"/>
        <w:spacing w:after="0" w:line="258" w:lineRule="auto"/>
        <w:tabs>
          <w:tab w:leader="none" w:pos="4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Preclinical studies that include laboratory evaluation of product chemistry and formulation, as well as animal studies to assess the potential safety and efficacy of the product. Certain preclinical tests must be conducted in compliance with good laboratory practice regulations. Violations of these regulations can, in some cases, lead to invalidation of the studies, or requiring such studies to be repeated. In some cases, long-term preclinical studies are conducted while clinical studies are ongoing.</w:t>
      </w:r>
    </w:p>
    <w:p>
      <w:pPr>
        <w:spacing w:after="0" w:line="55" w:lineRule="exact"/>
        <w:rPr>
          <w:rFonts w:ascii="Times New Roman" w:cs="Times New Roman" w:eastAsia="Times New Roman" w:hAnsi="Times New Roman"/>
          <w:sz w:val="18"/>
          <w:szCs w:val="18"/>
          <w:color w:val="auto"/>
        </w:rPr>
      </w:pPr>
    </w:p>
    <w:p>
      <w:pPr>
        <w:jc w:val="both"/>
        <w:ind w:left="440" w:right="60" w:hanging="216"/>
        <w:spacing w:after="0" w:line="262" w:lineRule="auto"/>
        <w:tabs>
          <w:tab w:leader="none" w:pos="4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investigational new drug application (“IND”), which must become effective before human clinical trials may commence. The results of the preclinical studies are submitted to the FDA as part of the IND. Unless the FDA objects, the IND becomes effective 30 days following receipt by the FDA.</w:t>
      </w:r>
    </w:p>
    <w:p>
      <w:pPr>
        <w:spacing w:after="0" w:line="51" w:lineRule="exact"/>
        <w:rPr>
          <w:rFonts w:ascii="Times New Roman" w:cs="Times New Roman" w:eastAsia="Times New Roman" w:hAnsi="Times New Roman"/>
          <w:sz w:val="18"/>
          <w:szCs w:val="18"/>
          <w:color w:val="auto"/>
        </w:rPr>
      </w:pPr>
    </w:p>
    <w:p>
      <w:pPr>
        <w:jc w:val="both"/>
        <w:ind w:left="440" w:right="20" w:hanging="216"/>
        <w:spacing w:after="0" w:line="262" w:lineRule="auto"/>
        <w:tabs>
          <w:tab w:leader="none" w:pos="4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clinical protocols by independent institutional review boards (“IRBs”) at each of the participating clinical centers conducting a study. The IRBs consider, among other things, ethical factors, the potential risks to individuals participating in the trials and the potential liability of the institution. The IRB also approves the consent form signed by the trial participants.</w:t>
      </w:r>
    </w:p>
    <w:p>
      <w:pPr>
        <w:spacing w:after="0" w:line="51" w:lineRule="exact"/>
        <w:rPr>
          <w:rFonts w:ascii="Times New Roman" w:cs="Times New Roman" w:eastAsia="Times New Roman" w:hAnsi="Times New Roman"/>
          <w:sz w:val="18"/>
          <w:szCs w:val="18"/>
          <w:color w:val="auto"/>
        </w:rPr>
      </w:pPr>
    </w:p>
    <w:p>
      <w:pPr>
        <w:ind w:left="440" w:hanging="216"/>
        <w:spacing w:after="0" w:line="256" w:lineRule="auto"/>
        <w:tabs>
          <w:tab w:leader="none" w:pos="4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Adequate and well-controlled human clinical trials to establish the safety and efficacy of the product. Clinical trials involve the administration of the drug to healthy volunteers or to patients under the supervision of a qualified medical investigator according to an approved protocol. The clinical trials are conducted in accordance with protocols that detail the objectives of the study, the parameters to be used to monitor participant safety and efficacy or other criteria to be evaluated. Each protocol is submitted to the FDA as part of the IND. Human clinical trials are typically conducted in the following four sequential phases that may overlap or be combined:</w:t>
      </w:r>
    </w:p>
    <w:p>
      <w:pPr>
        <w:spacing w:after="0" w:line="57" w:lineRule="exact"/>
        <w:rPr>
          <w:rFonts w:ascii="Times New Roman" w:cs="Times New Roman" w:eastAsia="Times New Roman" w:hAnsi="Times New Roman"/>
          <w:sz w:val="18"/>
          <w:szCs w:val="18"/>
          <w:color w:val="auto"/>
        </w:rPr>
      </w:pPr>
    </w:p>
    <w:p>
      <w:pPr>
        <w:ind w:left="440" w:right="220" w:hanging="216"/>
        <w:spacing w:after="0" w:line="254" w:lineRule="auto"/>
        <w:tabs>
          <w:tab w:leader="none" w:pos="4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Phase 1, the drug is initially introduced into a small number of individuals and tested for safety, dosage tolerance, absorption, metabolism, distribution and excretion. Phase 1 clinical trials are often conducted in healthy human volunteers and such cases do not provide evidence of efficacy. In the case of severe or life-threatening diseases, the initial human testing is often conducted in patients rather than healthy volunteers. Because these patients already have the target disease, these studies may provide initial evidence of efficacy that would traditionally be obtained in Phase 2 clinical trials. Consequently, these types of trials are frequently referred to as Phase 1/2 clinical trials. The FDA receives reports on the progress of each phase of clinical testing and it may require the modification, suspension or termination of clinical trials if it concludes that an unwarranted risk is presented to patients or healthy volunteers.</w:t>
      </w:r>
    </w:p>
    <w:p>
      <w:pPr>
        <w:spacing w:after="0" w:line="60" w:lineRule="exact"/>
        <w:rPr>
          <w:rFonts w:ascii="Times New Roman" w:cs="Times New Roman" w:eastAsia="Times New Roman" w:hAnsi="Times New Roman"/>
          <w:sz w:val="18"/>
          <w:szCs w:val="18"/>
          <w:color w:val="auto"/>
        </w:rPr>
      </w:pPr>
    </w:p>
    <w:p>
      <w:pPr>
        <w:ind w:left="440" w:right="220" w:hanging="216"/>
        <w:spacing w:after="0" w:line="275" w:lineRule="auto"/>
        <w:tabs>
          <w:tab w:leader="none" w:pos="4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2 involves clinical trials in a limited patient population to further identify any possible adverse effects and safety risks, to determine the efficacy of the product for specific targeted diseases and to determine dosage tolerance and optimal dosage.</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455" w:right="23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440" w:right="120" w:hanging="216"/>
        <w:spacing w:after="0" w:line="258" w:lineRule="auto"/>
        <w:tabs>
          <w:tab w:leader="none" w:pos="4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3 clinical trials are undertaken to further evaluate dosage, clinical efficacy and to further test for safety in an expanded patient population at geographically dispersed clinical study sites. Phase 3 clinical trials usually include a broader patient population so that safety and efficacy can be substantially established. Phase 3 clinical trials cannot begin until Phase 2 evaluation demonstrates that a dosage range of the product may be effective and has an acceptable safety profile.</w:t>
      </w:r>
    </w:p>
    <w:p>
      <w:pPr>
        <w:spacing w:after="0" w:line="55" w:lineRule="exact"/>
        <w:rPr>
          <w:rFonts w:ascii="Times New Roman" w:cs="Times New Roman" w:eastAsia="Times New Roman" w:hAnsi="Times New Roman"/>
          <w:sz w:val="18"/>
          <w:szCs w:val="18"/>
          <w:color w:val="auto"/>
        </w:rPr>
      </w:pPr>
    </w:p>
    <w:p>
      <w:pPr>
        <w:ind w:left="440" w:right="180" w:hanging="216"/>
        <w:spacing w:after="0" w:line="262" w:lineRule="auto"/>
        <w:tabs>
          <w:tab w:leader="none" w:pos="4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4 clinical trials are performed if the FDA requires, or a company pursues, additional clinical trials after a product is approved. These clinical trials may be made a condition to be satisfied after a drug receives approval. The results of Phase 4 clinical trials can confirm the effectiveness of a product and can provide important safety information to augment the FDA’s voluntary adverse event reporting system.</w:t>
      </w:r>
    </w:p>
    <w:p>
      <w:pPr>
        <w:spacing w:after="0" w:line="51" w:lineRule="exact"/>
        <w:rPr>
          <w:rFonts w:ascii="Times New Roman" w:cs="Times New Roman" w:eastAsia="Times New Roman" w:hAnsi="Times New Roman"/>
          <w:sz w:val="18"/>
          <w:szCs w:val="18"/>
          <w:color w:val="auto"/>
        </w:rPr>
      </w:pPr>
    </w:p>
    <w:p>
      <w:pPr>
        <w:ind w:left="440" w:right="20" w:hanging="216"/>
        <w:spacing w:after="0" w:line="256" w:lineRule="auto"/>
        <w:tabs>
          <w:tab w:leader="none" w:pos="4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Concurrent with clinical trials and preclinical studies, companies also must develop information about the chemistry and physical characteristics of the drug and finalize a process for manufacturing the product in accordance with the FDA’s current good manufacturing practices, or cGMP, requirements for drug products. The manufacturing process must be capable of consistently producing quality batches of the product and the manufacturer must develop methods for testing the quality, purity, and potency of the final products. Additionally, appropriate packaging must be selected and tested and chemistry stability studies must be conducted to demonstrate that the product does not undergo unacceptable deterioration over its shelf-life.</w:t>
      </w:r>
    </w:p>
    <w:p>
      <w:pPr>
        <w:spacing w:after="0" w:line="57" w:lineRule="exact"/>
        <w:rPr>
          <w:rFonts w:ascii="Times New Roman" w:cs="Times New Roman" w:eastAsia="Times New Roman" w:hAnsi="Times New Roman"/>
          <w:sz w:val="18"/>
          <w:szCs w:val="18"/>
          <w:color w:val="auto"/>
        </w:rPr>
      </w:pPr>
    </w:p>
    <w:p>
      <w:pPr>
        <w:jc w:val="both"/>
        <w:ind w:left="440" w:right="200" w:hanging="216"/>
        <w:spacing w:after="0" w:line="258" w:lineRule="auto"/>
        <w:tabs>
          <w:tab w:leader="none" w:pos="4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NDA based on the clinical trials. The results of product development, preclinical studies, and clinical trials are submitted to the FDA in the form of an NDA for approval of the marketing and commercial shipment of the product. Under the Pediatric Research Equity Act, NDAs are required to include an assessment, generally based on clinical study data, of the safety and efficacy of drugs for all relevant pediatric populations. The statute provides for waivers or deferrals in certain situations.</w:t>
      </w:r>
    </w:p>
    <w:p>
      <w:pPr>
        <w:spacing w:after="0" w:line="55" w:lineRule="exact"/>
        <w:rPr>
          <w:sz w:val="20"/>
          <w:szCs w:val="20"/>
          <w:color w:val="auto"/>
        </w:rPr>
      </w:pPr>
    </w:p>
    <w:p>
      <w:pPr>
        <w:ind w:right="80" w:firstLine="228"/>
        <w:spacing w:after="0" w:line="255" w:lineRule="auto"/>
        <w:rPr>
          <w:sz w:val="20"/>
          <w:szCs w:val="20"/>
          <w:color w:val="auto"/>
        </w:rPr>
      </w:pPr>
      <w:r>
        <w:rPr>
          <w:rFonts w:ascii="Times New Roman" w:cs="Times New Roman" w:eastAsia="Times New Roman" w:hAnsi="Times New Roman"/>
          <w:sz w:val="18"/>
          <w:szCs w:val="18"/>
          <w:color w:val="auto"/>
        </w:rPr>
        <w:t>In its review of an NDA, the FDA may also convene an advisory committee of external experts to provide input on certain review issues relating to risk, benefit and interpretation of clinical trial data. The FDA may delay approval of an NDA if applicable regulatory criteria are not satisfied and/or the FDA requires additional testing or information. Before approving an NDA, the FDA may inspect the facilities at which the product is manufactured and will not approve the product unless the manufacturing facility complies with cGMPs and will also inspect clinical trial sites for integrity of data supporting safety and efficacy. The FDA will issue either an approval of the NDA or a Complete Response Letter, detailing the deficiencies and information required in order for reconsideration of the NDA.</w:t>
      </w:r>
    </w:p>
    <w:p>
      <w:pPr>
        <w:spacing w:after="0" w:line="58" w:lineRule="exact"/>
        <w:rPr>
          <w:sz w:val="20"/>
          <w:szCs w:val="20"/>
          <w:color w:val="auto"/>
        </w:rPr>
      </w:pPr>
    </w:p>
    <w:p>
      <w:pPr>
        <w:ind w:right="400" w:firstLine="228"/>
        <w:spacing w:after="0" w:line="258" w:lineRule="auto"/>
        <w:rPr>
          <w:sz w:val="20"/>
          <w:szCs w:val="20"/>
          <w:color w:val="auto"/>
        </w:rPr>
      </w:pPr>
      <w:r>
        <w:rPr>
          <w:rFonts w:ascii="Times New Roman" w:cs="Times New Roman" w:eastAsia="Times New Roman" w:hAnsi="Times New Roman"/>
          <w:sz w:val="18"/>
          <w:szCs w:val="18"/>
          <w:color w:val="auto"/>
        </w:rPr>
        <w:t>Medical products containing a combination of new drugs, biological products, or medical devices are regulated as “combination products” in the United States. A combination product generally is defined as a product comprised of components from two or more regulatory categories (e.g., drug/device, device/biologic, drug/biologic). Each component of a combination product is subject to the requirements established by the FDA for that type of component, whether a new drug, biologic, or device.</w:t>
      </w:r>
    </w:p>
    <w:p>
      <w:pPr>
        <w:spacing w:after="0" w:line="55" w:lineRule="exact"/>
        <w:rPr>
          <w:sz w:val="20"/>
          <w:szCs w:val="20"/>
          <w:color w:val="auto"/>
        </w:rPr>
      </w:pPr>
    </w:p>
    <w:p>
      <w:pPr>
        <w:ind w:firstLine="228"/>
        <w:spacing w:after="0" w:line="288" w:lineRule="auto"/>
        <w:rPr>
          <w:sz w:val="20"/>
          <w:szCs w:val="20"/>
          <w:color w:val="auto"/>
        </w:rPr>
      </w:pPr>
      <w:r>
        <w:rPr>
          <w:rFonts w:ascii="Times New Roman" w:cs="Times New Roman" w:eastAsia="Times New Roman" w:hAnsi="Times New Roman"/>
          <w:sz w:val="16"/>
          <w:szCs w:val="16"/>
          <w:color w:val="auto"/>
        </w:rPr>
        <w:t>The testing and approval process requires substantial time, effort and financial resources. Data that we submit are subject to varying interpretations, and the FDA and comparable regulatory authorities in foreign jurisdictions may not agree that our product candidates have been shown to be safe and effective. We cannot be certain that any approval of our products will be granted on a timely basis, if at all. If any of our products are approved for marketing by the FDA, we will be subject to continuing regulation by the FDA, including record-keeping requirements, reporting of adverse experiences with the product, submitting other periodic reports, drug sampling and distribution requirements, notifying the FDA and gaining its approval of certain manufacturing or labeling changes, and complying with certain electronic records and signature requirements. Prior to and following approval, if granted, all manufacturing sites are subject to inspection by the FDA and other national regulatory bodies and must comply with cGMP, QSR and other requirements enforced by the FDA and other national regulatory bodies through their facilities inspection program. Foreign manufacturing establishments must comply with similar regulations. In addition, our drug-manufacturing facilities located in Danbury and the facilities of our insulin supplier, the supplier(s) of our Technosphere material and the supplier(s) of our inhaler and cartridges are subject to federal registration and listing requirements and, if applicable, to state licensing requirements.</w:t>
      </w: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455" w:right="23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40"/>
        <w:spacing w:after="0" w:line="310" w:lineRule="auto"/>
        <w:rPr>
          <w:sz w:val="20"/>
          <w:szCs w:val="20"/>
          <w:color w:val="auto"/>
        </w:rPr>
      </w:pPr>
      <w:r>
        <w:rPr>
          <w:rFonts w:ascii="Times New Roman" w:cs="Times New Roman" w:eastAsia="Times New Roman" w:hAnsi="Times New Roman"/>
          <w:sz w:val="16"/>
          <w:szCs w:val="16"/>
          <w:color w:val="auto"/>
        </w:rPr>
        <w:t>Failure, including those of our suppliers, to obtain and maintain applicable federal registrations or state licenses, or to meet the inspection criteria of the FDA or the other national regulatory bodies, would disrupt our manufacturing processes and would harm our business. In complying with standards set forth in these regulations, manufacturers must continue to expend time, money and effort in the area of production and quality control to ensure full compliance.</w:t>
      </w:r>
    </w:p>
    <w:p>
      <w:pPr>
        <w:spacing w:after="0" w:line="1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Numerous device regulatory requirements apply to the device part of a drug-device combination. These include:</w:t>
      </w:r>
    </w:p>
    <w:p>
      <w:pPr>
        <w:spacing w:after="0" w:line="90" w:lineRule="exact"/>
        <w:rPr>
          <w:sz w:val="20"/>
          <w:szCs w:val="20"/>
          <w:color w:val="auto"/>
        </w:rPr>
      </w:pPr>
    </w:p>
    <w:p>
      <w:pPr>
        <w:ind w:left="440" w:hanging="216"/>
        <w:spacing w:after="0"/>
        <w:tabs>
          <w:tab w:leader="none" w:pos="4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labeling regulations;</w:t>
      </w:r>
    </w:p>
    <w:p>
      <w:pPr>
        <w:spacing w:after="0" w:line="90" w:lineRule="exact"/>
        <w:rPr>
          <w:rFonts w:ascii="Times New Roman" w:cs="Times New Roman" w:eastAsia="Times New Roman" w:hAnsi="Times New Roman"/>
          <w:sz w:val="18"/>
          <w:szCs w:val="18"/>
          <w:color w:val="auto"/>
        </w:rPr>
      </w:pPr>
    </w:p>
    <w:p>
      <w:pPr>
        <w:ind w:left="440" w:hanging="216"/>
        <w:spacing w:after="0"/>
        <w:tabs>
          <w:tab w:leader="none" w:pos="4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prohibition against promoting products for unapproved or “off-label” uses;</w:t>
      </w:r>
    </w:p>
    <w:p>
      <w:pPr>
        <w:spacing w:after="0" w:line="88" w:lineRule="exact"/>
        <w:rPr>
          <w:rFonts w:ascii="Times New Roman" w:cs="Times New Roman" w:eastAsia="Times New Roman" w:hAnsi="Times New Roman"/>
          <w:sz w:val="18"/>
          <w:szCs w:val="18"/>
          <w:color w:val="auto"/>
        </w:rPr>
      </w:pPr>
    </w:p>
    <w:p>
      <w:pPr>
        <w:ind w:left="440" w:hanging="216"/>
        <w:spacing w:after="0"/>
        <w:tabs>
          <w:tab w:leader="none" w:pos="4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corrections and removals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recalls);</w:t>
      </w:r>
    </w:p>
    <w:p>
      <w:pPr>
        <w:spacing w:after="0" w:line="92" w:lineRule="exact"/>
        <w:rPr>
          <w:rFonts w:ascii="Times New Roman" w:cs="Times New Roman" w:eastAsia="Times New Roman" w:hAnsi="Times New Roman"/>
          <w:sz w:val="18"/>
          <w:szCs w:val="18"/>
          <w:color w:val="auto"/>
        </w:rPr>
      </w:pPr>
    </w:p>
    <w:p>
      <w:pPr>
        <w:ind w:left="440" w:hanging="216"/>
        <w:spacing w:after="0"/>
        <w:tabs>
          <w:tab w:leader="none" w:pos="4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registration and device listing;</w:t>
      </w:r>
    </w:p>
    <w:p>
      <w:pPr>
        <w:spacing w:after="0" w:line="90" w:lineRule="exact"/>
        <w:rPr>
          <w:rFonts w:ascii="Times New Roman" w:cs="Times New Roman" w:eastAsia="Times New Roman" w:hAnsi="Times New Roman"/>
          <w:sz w:val="18"/>
          <w:szCs w:val="18"/>
          <w:color w:val="auto"/>
        </w:rPr>
      </w:pPr>
    </w:p>
    <w:p>
      <w:pPr>
        <w:ind w:left="440" w:hanging="216"/>
        <w:spacing w:after="0"/>
        <w:tabs>
          <w:tab w:leader="none" w:pos="4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prohibitions against the manufacture and distribution of adulterated and misbranded devices; and</w:t>
      </w:r>
    </w:p>
    <w:p>
      <w:pPr>
        <w:spacing w:after="0" w:line="90" w:lineRule="exact"/>
        <w:rPr>
          <w:rFonts w:ascii="Times New Roman" w:cs="Times New Roman" w:eastAsia="Times New Roman" w:hAnsi="Times New Roman"/>
          <w:sz w:val="18"/>
          <w:szCs w:val="18"/>
          <w:color w:val="auto"/>
        </w:rPr>
      </w:pPr>
    </w:p>
    <w:p>
      <w:pPr>
        <w:ind w:left="440" w:right="80" w:hanging="216"/>
        <w:spacing w:after="0" w:line="275" w:lineRule="auto"/>
        <w:tabs>
          <w:tab w:leader="none" w:pos="4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Medical Device Reporting regulation, which requires that manufacturers report to the FDA if their device may have caused or contributed to a death or serious injury or malfunctioned in a way that would likely cause or contribute to a death or serious injury if it were to recur.</w:t>
      </w:r>
    </w:p>
    <w:p>
      <w:pPr>
        <w:spacing w:after="0" w:line="39" w:lineRule="exact"/>
        <w:rPr>
          <w:sz w:val="20"/>
          <w:szCs w:val="20"/>
          <w:color w:val="auto"/>
        </w:rPr>
      </w:pPr>
    </w:p>
    <w:p>
      <w:pPr>
        <w:ind w:right="40" w:firstLine="228"/>
        <w:spacing w:after="0" w:line="334" w:lineRule="auto"/>
        <w:rPr>
          <w:sz w:val="20"/>
          <w:szCs w:val="20"/>
          <w:color w:val="auto"/>
        </w:rPr>
      </w:pPr>
      <w:r>
        <w:rPr>
          <w:rFonts w:ascii="Times New Roman" w:cs="Times New Roman" w:eastAsia="Times New Roman" w:hAnsi="Times New Roman"/>
          <w:sz w:val="16"/>
          <w:szCs w:val="16"/>
          <w:color w:val="auto"/>
        </w:rPr>
        <w:t>Further, the company we contract with to manufacture our inhaler and cartridges will be subject to the QSR, which requires manufacturers to follow elaborate design, testing, control, documentation and other quality assurance procedures during the manufacturing process of medical devices, among other requirements.</w:t>
      </w:r>
    </w:p>
    <w:p>
      <w:pPr>
        <w:spacing w:after="0" w:line="1" w:lineRule="exact"/>
        <w:rPr>
          <w:sz w:val="20"/>
          <w:szCs w:val="20"/>
          <w:color w:val="auto"/>
        </w:rPr>
      </w:pPr>
    </w:p>
    <w:p>
      <w:pPr>
        <w:ind w:right="20" w:firstLine="228"/>
        <w:spacing w:after="0" w:line="254" w:lineRule="auto"/>
        <w:rPr>
          <w:sz w:val="20"/>
          <w:szCs w:val="20"/>
          <w:color w:val="auto"/>
        </w:rPr>
      </w:pPr>
      <w:r>
        <w:rPr>
          <w:rFonts w:ascii="Times New Roman" w:cs="Times New Roman" w:eastAsia="Times New Roman" w:hAnsi="Times New Roman"/>
          <w:sz w:val="18"/>
          <w:szCs w:val="18"/>
          <w:color w:val="auto"/>
        </w:rPr>
        <w:t>Failure to adhere to regulatory requirements at any stage of development, including the preclinical and clinical testing process, the review process, or at any time afterward, including after approval, may result in various adverse consequences. These consequences include action by the FDA or another national regulatory body that has the effect of delaying approval or refusing to approve a product; suspending or withdrawing an approved product from the market; seizing or recalling a product; or imposing criminal penalties against the manufacturer. In addition, later discovery of previously unknown problems may result in restrictions on a product, its manufacturer, or the NDA holder, or market restrictions through labeling changes or product withdrawal. Also, new government requirements may be established or current government requirements may be changed at any time, which could delay or prevent regulatory approval of our products under development. We cannot predict the likelihood, nature or extent of adverse governmental regulation that might arise from future legislative or administrative action, either in the United States or abroad.</w:t>
      </w:r>
    </w:p>
    <w:p>
      <w:pPr>
        <w:spacing w:after="0" w:line="57" w:lineRule="exact"/>
        <w:rPr>
          <w:sz w:val="20"/>
          <w:szCs w:val="20"/>
          <w:color w:val="auto"/>
        </w:rPr>
      </w:pPr>
    </w:p>
    <w:p>
      <w:pPr>
        <w:ind w:right="300" w:firstLine="228"/>
        <w:spacing w:after="0" w:line="296" w:lineRule="auto"/>
        <w:rPr>
          <w:sz w:val="20"/>
          <w:szCs w:val="20"/>
          <w:color w:val="auto"/>
        </w:rPr>
      </w:pPr>
      <w:r>
        <w:rPr>
          <w:rFonts w:ascii="Times New Roman" w:cs="Times New Roman" w:eastAsia="Times New Roman" w:hAnsi="Times New Roman"/>
          <w:sz w:val="16"/>
          <w:szCs w:val="16"/>
          <w:color w:val="auto"/>
        </w:rPr>
        <w:t>In addition, the FDA imposes a number of complex regulations on entities that advertise and promote drugs, which include, among other requirements, standards for and regulations of direct-to-consumer advertising, off-label promotion, industry sponsored scientific and educational activities, and promotional activities involving the Internet. The FDA has very broad enforcement authority under the FDCA, and failure to comply with these regulations can result in penalties, including the issuance of a warning letter requirements for corrective advertising to healthcare providers, a requirement that future advertising and promotional materials be pre-cleared by the FDA, and state and federal civil and criminal investigations and prosecutions.</w:t>
      </w:r>
    </w:p>
    <w:p>
      <w:pPr>
        <w:spacing w:after="0" w:line="27" w:lineRule="exact"/>
        <w:rPr>
          <w:sz w:val="20"/>
          <w:szCs w:val="20"/>
          <w:color w:val="auto"/>
        </w:rPr>
      </w:pPr>
    </w:p>
    <w:p>
      <w:pPr>
        <w:ind w:firstLine="228"/>
        <w:spacing w:after="0" w:line="256" w:lineRule="auto"/>
        <w:rPr>
          <w:sz w:val="20"/>
          <w:szCs w:val="20"/>
          <w:color w:val="auto"/>
        </w:rPr>
      </w:pPr>
      <w:r>
        <w:rPr>
          <w:rFonts w:ascii="Times New Roman" w:cs="Times New Roman" w:eastAsia="Times New Roman" w:hAnsi="Times New Roman"/>
          <w:sz w:val="18"/>
          <w:szCs w:val="18"/>
          <w:color w:val="auto"/>
        </w:rPr>
        <w:t>Products manufactured in the United States and marketed outside the United States are subject to certain FDA regulations, as well as regulation by the country in which the products are to be sold. We also would be subject to foreign regulatory requirements governing clinical trials and drug product sales if products are studied or marketed abroad. Whether or not FDA approval has been obtained, approval of a product by the comparable regulatory authorities of foreign countries usually must be obtained prior to the marketing of the product in those countries. The approval process varies from jurisdiction to jurisdiction and the time required may be longer or shorter than that required for FDA approval.</w:t>
      </w:r>
    </w:p>
    <w:p>
      <w:pPr>
        <w:spacing w:after="0" w:line="58" w:lineRule="exact"/>
        <w:rPr>
          <w:sz w:val="20"/>
          <w:szCs w:val="20"/>
          <w:color w:val="auto"/>
        </w:rPr>
      </w:pPr>
    </w:p>
    <w:p>
      <w:pPr>
        <w:ind w:right="220" w:firstLine="228"/>
        <w:spacing w:after="0" w:line="262" w:lineRule="auto"/>
        <w:rPr>
          <w:sz w:val="20"/>
          <w:szCs w:val="20"/>
          <w:color w:val="auto"/>
        </w:rPr>
      </w:pPr>
      <w:r>
        <w:rPr>
          <w:rFonts w:ascii="Times New Roman" w:cs="Times New Roman" w:eastAsia="Times New Roman" w:hAnsi="Times New Roman"/>
          <w:sz w:val="18"/>
          <w:szCs w:val="18"/>
          <w:color w:val="auto"/>
        </w:rPr>
        <w:t>There can be no assurance that the current regulatory framework will not change or that additional regulation will not arise at any stage of our product development or marketing that may affect approval, delay the submission or review of an application or require additional expenditures by us. There can be no assurance that</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380"/>
          </w:cols>
          <w:pgMar w:left="240" w:top="455" w:right="27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color w:val="auto"/>
        </w:rPr>
        <w:t>we will be able to obtain necessary regulatory clearances or approvals on a timely basis, if at all, for any of our product candidates under development, and delays in receipt or failure to receive such clearances or approvals, the loss of previously received clearances or approvals, or failure to comply with existing or future regulatory requirements could have a material adverse effect on our business and results of operations.</w:t>
      </w:r>
    </w:p>
    <w:p>
      <w:pPr>
        <w:spacing w:after="0" w:line="51" w:lineRule="exact"/>
        <w:rPr>
          <w:sz w:val="20"/>
          <w:szCs w:val="20"/>
          <w:color w:val="auto"/>
        </w:rPr>
      </w:pPr>
    </w:p>
    <w:p>
      <w:pPr>
        <w:ind w:right="220" w:firstLine="228"/>
        <w:spacing w:after="0" w:line="262" w:lineRule="auto"/>
        <w:rPr>
          <w:sz w:val="20"/>
          <w:szCs w:val="20"/>
          <w:color w:val="auto"/>
        </w:rPr>
      </w:pPr>
      <w:r>
        <w:rPr>
          <w:rFonts w:ascii="Times New Roman" w:cs="Times New Roman" w:eastAsia="Times New Roman" w:hAnsi="Times New Roman"/>
          <w:sz w:val="18"/>
          <w:szCs w:val="18"/>
          <w:color w:val="auto"/>
        </w:rPr>
        <w:t>In addition to the foregoing, we are subject to numerous federal, state and local laws relating to such matters as laboratory practices, the experimental use of animals, the use and disposal of hazardous or potentially hazardous substances, controlled drug substances, privacy of individually identifiable healthcare information, safe working conditions, manufacturing practices, environmental protection and fire hazard control.</w:t>
      </w:r>
    </w:p>
    <w:p>
      <w:pPr>
        <w:spacing w:after="0" w:line="13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Healthcare Regulatory and Pharmaceutical Pricing</w:t>
      </w:r>
    </w:p>
    <w:p>
      <w:pPr>
        <w:spacing w:after="0" w:line="92" w:lineRule="exact"/>
        <w:rPr>
          <w:sz w:val="20"/>
          <w:szCs w:val="20"/>
          <w:color w:val="auto"/>
        </w:rPr>
      </w:pPr>
    </w:p>
    <w:p>
      <w:pPr>
        <w:ind w:firstLine="228"/>
        <w:spacing w:after="0" w:line="253" w:lineRule="auto"/>
        <w:rPr>
          <w:sz w:val="20"/>
          <w:szCs w:val="20"/>
          <w:color w:val="auto"/>
        </w:rPr>
      </w:pPr>
      <w:r>
        <w:rPr>
          <w:rFonts w:ascii="Times New Roman" w:cs="Times New Roman" w:eastAsia="Times New Roman" w:hAnsi="Times New Roman"/>
          <w:sz w:val="18"/>
          <w:szCs w:val="18"/>
          <w:color w:val="auto"/>
        </w:rPr>
        <w:t>Government coverage and reimbursement policies both directly and indirectly affect our ability to successfully commercialize our approved products, and such coverage and reimbursement policies will be affected by future healthcare reform measures. Government health administration authorities, private health insurers and other organizations generally decide which drugs they will pay for and establish reimbursement levels for healthcare. In particular, in the United States, private health insurers and other third-party payors often provide reimbursement for products and services based on the level at which the government (through the Medicare or Medicaid programs) provides reimbursement for such treatments. In the United States, the European Union and other potentially significant markets for our product candidates, government authorities and third-party payors are increasingly attempting to limit or regulate the price of medical products and services, particularly for new and innovative products and therapies, which has resulted in lower average selling prices. Further, the increased emphasis on managed healthcare in the United States and on country and regional pricing and reimbursement controls in the European Union will put additional pressure on product pricing, reimbursement and usage, which may adversely affect our future product sales and results of operations. These pressures can arise from rules and practices of managed care groups, judicial decisions and governmental laws and regulations related to Medicare, Medicaid and healthcare reform, pharmaceutical reimbursement policies and pricing in general.</w:t>
      </w:r>
    </w:p>
    <w:p>
      <w:pPr>
        <w:spacing w:after="0" w:line="58" w:lineRule="exact"/>
        <w:rPr>
          <w:sz w:val="20"/>
          <w:szCs w:val="20"/>
          <w:color w:val="auto"/>
        </w:rPr>
      </w:pPr>
    </w:p>
    <w:p>
      <w:pPr>
        <w:ind w:right="40" w:firstLine="228"/>
        <w:spacing w:after="0" w:line="253" w:lineRule="auto"/>
        <w:rPr>
          <w:sz w:val="20"/>
          <w:szCs w:val="20"/>
          <w:color w:val="auto"/>
        </w:rPr>
      </w:pPr>
      <w:r>
        <w:rPr>
          <w:rFonts w:ascii="Times New Roman" w:cs="Times New Roman" w:eastAsia="Times New Roman" w:hAnsi="Times New Roman"/>
          <w:sz w:val="18"/>
          <w:szCs w:val="18"/>
          <w:color w:val="auto"/>
        </w:rPr>
        <w:t>The United States and some foreign jurisdictions have enacted or are considering a number of additional legislative and regulatory proposals to change the healthcare system in ways that could affect our ability to sell our products profitably. Among policy makers and payors in the U.S. and elsewhere, there is significant interest in promoting changes in healthcare systems with the stated goals of containing healthcare costs, improving quality and/or expanding access. In the United States, the pharmaceutical industry has been a particular focus of these efforts and has been significantly affected by major legislative initiatives, including, most recently, the Patient Protection and Affordable Care Act, as amended by the Health Care and Education Affordability Reconciliation Act, or collectively, the ACA, enacted in March 2010. The Physician Payments Sunshine Act within the ACA, and its implementing regulations, require certain manufacturers of drugs, devices, biological and medical supplies for which payment is available under Medicare, Medicaid or the Children’s Health Insurance Program (with certain exceptions) to report information related to certain payments or other transfers of value made or distributed to physicians and teaching hospitals, or to entities or individuals at the request of, or designated on behalf of, the physicians and teaching hospitals and to report annually certain ownership and investment interests held by physicians and their immediate family members.</w:t>
      </w:r>
    </w:p>
    <w:p>
      <w:pPr>
        <w:spacing w:after="0" w:line="60" w:lineRule="exact"/>
        <w:rPr>
          <w:sz w:val="20"/>
          <w:szCs w:val="20"/>
          <w:color w:val="auto"/>
        </w:rPr>
      </w:pPr>
    </w:p>
    <w:p>
      <w:pPr>
        <w:ind w:right="140" w:firstLine="228"/>
        <w:spacing w:after="0" w:line="254" w:lineRule="auto"/>
        <w:rPr>
          <w:sz w:val="20"/>
          <w:szCs w:val="20"/>
          <w:color w:val="auto"/>
        </w:rPr>
      </w:pPr>
      <w:r>
        <w:rPr>
          <w:rFonts w:ascii="Times New Roman" w:cs="Times New Roman" w:eastAsia="Times New Roman" w:hAnsi="Times New Roman"/>
          <w:sz w:val="18"/>
          <w:szCs w:val="18"/>
          <w:color w:val="auto"/>
        </w:rPr>
        <w:t>Further, if a drug product is reimbursed by Medicare, Medicaid or other federal or state healthcare programs, we must comply with the False Claims Act, as amended, the federal Anti-Kickback Statute, as amended, and similar state laws. If a drug product is reimbursed by Medicare or Medicaid, pricing and rebate programs must comply with, as applicable, the Medicaid rebate requirements of the Omnibus Budget Reconciliation Act of 1990, as amended, and the Medicare Prescription Drug Improvement and Modernization Act of 2003. Additionally, the ACA substantially changed the way healthcare is financed by both governmental and private insurers. Among other cost containment measures, the ACA established: an annual, nondeductible fee on any entity that manufactures or imports certain branded prescription drugs and biologic agents; a new Medicare Part D coverage gap discount program; and a new formula that increased the rebates a manufacturer must pay under the Medicaid Drug Rebate Program. In the future, there may continue to be additional proposals relating to the reform of the U.S. health care system, some of which could further limit the prices we are able to charge for our</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455" w:right="23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color w:val="auto"/>
        </w:rPr>
        <w:t>products, or the amounts of reimbursement available for our products. If drug products are made available to authorized users of the Federal Supply Schedule of the General Services Administration, additional laws and requirements apply. All of these activities are also potentially subject to federal and state consumer protection and unfair competition laws.</w:t>
      </w:r>
    </w:p>
    <w:p>
      <w:pPr>
        <w:spacing w:after="0" w:line="51" w:lineRule="exact"/>
        <w:rPr>
          <w:sz w:val="20"/>
          <w:szCs w:val="20"/>
          <w:color w:val="auto"/>
        </w:rPr>
      </w:pPr>
    </w:p>
    <w:p>
      <w:pPr>
        <w:ind w:firstLine="228"/>
        <w:spacing w:after="0" w:line="253" w:lineRule="auto"/>
        <w:rPr>
          <w:sz w:val="20"/>
          <w:szCs w:val="20"/>
          <w:color w:val="auto"/>
        </w:rPr>
      </w:pPr>
      <w:r>
        <w:rPr>
          <w:rFonts w:ascii="Times New Roman" w:cs="Times New Roman" w:eastAsia="Times New Roman" w:hAnsi="Times New Roman"/>
          <w:sz w:val="18"/>
          <w:szCs w:val="18"/>
          <w:color w:val="auto"/>
        </w:rPr>
        <w:t>In addition, we may be subject to data privacy and security regulation by both the federal government and the states in which we conduct our business. HIPAA, as amended by the Health Information Technology and Clinical Health Act, or HITECH, and its implementing regulations, imposes certain requirements relating to the privacy, security and transmission of individually identifiable health information. Among other things, HITECH makes HIPAA’s privacy and security standards directly applicable to “business associates” — independent contractors or agents of covered entities that receive or obtain protected health information in connection with providing a service on behalf of a covered entity. HITECH also increased the civil and criminal penalties that may be imposed against covered entities, business associates and possibly other persons, and gave state attorneys general new authority to file civil actions for damages or injunctions in federal courts to enforce the federal HIPAA laws and seek attorneys’ fees and costs associated with pursuing federal civil actions. In addition, state laws govern the privacy and security of health information in certain circumstances, many of which differ from each other in significant ways and may not have the same effect, thus complicating compliance efforts.</w:t>
      </w:r>
    </w:p>
    <w:p>
      <w:pPr>
        <w:spacing w:after="0" w:line="62" w:lineRule="exact"/>
        <w:rPr>
          <w:sz w:val="20"/>
          <w:szCs w:val="20"/>
          <w:color w:val="auto"/>
        </w:rPr>
      </w:pPr>
    </w:p>
    <w:p>
      <w:pPr>
        <w:ind w:right="160" w:firstLine="228"/>
        <w:spacing w:after="0" w:line="262" w:lineRule="auto"/>
        <w:rPr>
          <w:sz w:val="20"/>
          <w:szCs w:val="20"/>
          <w:color w:val="auto"/>
        </w:rPr>
      </w:pPr>
      <w:r>
        <w:rPr>
          <w:rFonts w:ascii="Times New Roman" w:cs="Times New Roman" w:eastAsia="Times New Roman" w:hAnsi="Times New Roman"/>
          <w:sz w:val="18"/>
          <w:szCs w:val="18"/>
          <w:color w:val="auto"/>
        </w:rPr>
        <w:t>Also, many states have similar healthcare statutes or regulations that apply to items and services reimbursed under Medicaid and other state programs, or, in several states, that apply regardless of the payer. Additional state laws require pharmaceutical companies to implement a comprehensive compliance program and/or limit expenditure for, or payments to, individual medical or health professionals.</w:t>
      </w:r>
    </w:p>
    <w:p>
      <w:pPr>
        <w:spacing w:after="0" w:line="51" w:lineRule="exact"/>
        <w:rPr>
          <w:sz w:val="20"/>
          <w:szCs w:val="20"/>
          <w:color w:val="auto"/>
        </w:rPr>
      </w:pPr>
    </w:p>
    <w:p>
      <w:pPr>
        <w:ind w:right="100" w:firstLine="228"/>
        <w:spacing w:after="0" w:line="258" w:lineRule="auto"/>
        <w:rPr>
          <w:sz w:val="20"/>
          <w:szCs w:val="20"/>
          <w:color w:val="auto"/>
        </w:rPr>
      </w:pPr>
      <w:r>
        <w:rPr>
          <w:rFonts w:ascii="Times New Roman" w:cs="Times New Roman" w:eastAsia="Times New Roman" w:hAnsi="Times New Roman"/>
          <w:sz w:val="18"/>
          <w:szCs w:val="18"/>
          <w:color w:val="auto"/>
        </w:rPr>
        <w:t>We may incur significant costs to comply with these laws and regulations now or in the future. If our operations are found to be in violation of any of the federal and state laws described above or any other governmental regulations that apply to us, we may be subject to penalties, including criminal and significant civil monetary penalties, damages, fines, imprisonment, exclusion of products from reimbursement under government programs, and the curtailment or restructuring of our operations, any of which could adversely affect our ability to operate our business and our results of operations.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Expenses; Long-Lived Assets</w:t>
      </w:r>
    </w:p>
    <w:p>
      <w:pPr>
        <w:spacing w:after="0" w:line="92" w:lineRule="exact"/>
        <w:rPr>
          <w:sz w:val="20"/>
          <w:szCs w:val="20"/>
          <w:color w:val="auto"/>
        </w:rPr>
      </w:pPr>
    </w:p>
    <w:p>
      <w:pPr>
        <w:ind w:right="160" w:firstLine="228"/>
        <w:spacing w:after="0" w:line="258" w:lineRule="auto"/>
        <w:rPr>
          <w:sz w:val="20"/>
          <w:szCs w:val="20"/>
          <w:color w:val="auto"/>
        </w:rPr>
      </w:pPr>
      <w:r>
        <w:rPr>
          <w:rFonts w:ascii="Times New Roman" w:cs="Times New Roman" w:eastAsia="Times New Roman" w:hAnsi="Times New Roman"/>
          <w:sz w:val="18"/>
          <w:szCs w:val="18"/>
          <w:color w:val="auto"/>
        </w:rPr>
        <w:t>A significant portion of our operating expenses relates to research and development. Our research and development expenses totaled $100.2 million, $109.7 million, and $101.5 million for the years ended December 31, 2014, 2013, and 2012, respectively. We began commercial manufacturing in the latter part of the fourth quarter of 2014. As such, commercial manufacturing costs incurred in the fourth quarter and included in research and development as manufacturing expenses are immaterial for the year ended December 31, 2014.</w:t>
      </w:r>
    </w:p>
    <w:p>
      <w:pPr>
        <w:spacing w:after="0" w:line="55" w:lineRule="exact"/>
        <w:rPr>
          <w:sz w:val="20"/>
          <w:szCs w:val="20"/>
          <w:color w:val="auto"/>
        </w:rPr>
      </w:pPr>
    </w:p>
    <w:p>
      <w:pPr>
        <w:ind w:right="380" w:firstLine="228"/>
        <w:spacing w:after="0" w:line="275" w:lineRule="auto"/>
        <w:rPr>
          <w:sz w:val="20"/>
          <w:szCs w:val="20"/>
          <w:color w:val="auto"/>
        </w:rPr>
      </w:pPr>
      <w:r>
        <w:rPr>
          <w:rFonts w:ascii="Times New Roman" w:cs="Times New Roman" w:eastAsia="Times New Roman" w:hAnsi="Times New Roman"/>
          <w:sz w:val="18"/>
          <w:szCs w:val="18"/>
          <w:color w:val="auto"/>
        </w:rPr>
        <w:t>Our long-lived assets are located in the United States and totaled $192.1 million, $176.6 million, and $184.0 million as of December 31, 2014, 2013, and 2012, respectively.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92" w:lineRule="exact"/>
        <w:rPr>
          <w:sz w:val="20"/>
          <w:szCs w:val="20"/>
          <w:color w:val="auto"/>
        </w:rPr>
      </w:pPr>
    </w:p>
    <w:p>
      <w:pPr>
        <w:ind w:firstLine="228"/>
        <w:spacing w:after="0" w:line="258" w:lineRule="auto"/>
        <w:rPr>
          <w:sz w:val="20"/>
          <w:szCs w:val="20"/>
          <w:color w:val="auto"/>
        </w:rPr>
      </w:pPr>
      <w:r>
        <w:rPr>
          <w:rFonts w:ascii="Times New Roman" w:cs="Times New Roman" w:eastAsia="Times New Roman" w:hAnsi="Times New Roman"/>
          <w:sz w:val="18"/>
          <w:szCs w:val="18"/>
          <w:color w:val="auto"/>
        </w:rPr>
        <w:t>As of December 31, 2014, we had 287 full-time employees. Six of these employees were engaged in basic research and development, 151 in manufacturing, 70 in clinical research and development, regulatory affairs and quality assurance and 60 in administration, finance, management, information systems, marketing, corporate development and human resources. Twenty-six of these employees had a Ph.D. degree and/or M.D. degree and were engaged in activities relating to research and development, manufacturing, quality assurance or business development.</w:t>
      </w:r>
    </w:p>
    <w:p>
      <w:pPr>
        <w:spacing w:after="0" w:line="5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None of our employees are subject to a collective bargaining agreement. We believe relations with our employees are good.</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92" w:lineRule="exact"/>
        <w:rPr>
          <w:sz w:val="20"/>
          <w:szCs w:val="20"/>
          <w:color w:val="auto"/>
        </w:rPr>
      </w:pPr>
    </w:p>
    <w:p>
      <w:pPr>
        <w:ind w:right="360" w:firstLine="228"/>
        <w:spacing w:after="0" w:line="275" w:lineRule="auto"/>
        <w:rPr>
          <w:sz w:val="20"/>
          <w:szCs w:val="20"/>
          <w:color w:val="auto"/>
        </w:rPr>
      </w:pPr>
      <w:r>
        <w:rPr>
          <w:rFonts w:ascii="Times New Roman" w:cs="Times New Roman" w:eastAsia="Times New Roman" w:hAnsi="Times New Roman"/>
          <w:sz w:val="18"/>
          <w:szCs w:val="18"/>
          <w:color w:val="auto"/>
        </w:rPr>
        <w:t>We were incorporated in the State of Delaware on February 14, 1991. Our principal executive offices are located at 28903 North Avenue Paine, Valencia, California 91355, and our telephone number at that address is</w:t>
      </w:r>
    </w:p>
    <w:p>
      <w:pPr>
        <w:spacing w:after="0" w:line="1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360"/>
          </w:cols>
          <w:pgMar w:left="240" w:top="455" w:right="29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00" w:firstLine="8"/>
        <w:spacing w:after="0" w:line="256" w:lineRule="auto"/>
        <w:tabs>
          <w:tab w:leader="none" w:pos="4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775-5300. MannKind Corporation and the MannKind Corporation logo are our service marks. Our website address is http://www.mannkindcorp.com. Our Annual Reports on Form 10-K, Quarterly Reports on Form 10-Q, Current Reports on Form 8-K, and amendments to reports filed pursuant to Sections 13(a) and 15(d) of the Securities Exchange Act of 1934, as amended, or the Exchange Act, are available free of charge on our website as soon as reasonably practicable after we electronically file such material with, or furnish it to, the SEC. The contents of these websites are not incorporated into this Annual Report. Further, our references to the URLs for these websites are intended to be inactive textual reference only.</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Scientific Advisors</w:t>
      </w:r>
    </w:p>
    <w:p>
      <w:pPr>
        <w:spacing w:after="0" w:line="92" w:lineRule="exact"/>
        <w:rPr>
          <w:sz w:val="20"/>
          <w:szCs w:val="20"/>
          <w:color w:val="auto"/>
        </w:rPr>
      </w:pPr>
    </w:p>
    <w:p>
      <w:pPr>
        <w:ind w:right="280" w:firstLine="228"/>
        <w:spacing w:after="0" w:line="275" w:lineRule="auto"/>
        <w:rPr>
          <w:sz w:val="20"/>
          <w:szCs w:val="20"/>
          <w:color w:val="auto"/>
        </w:rPr>
      </w:pPr>
      <w:r>
        <w:rPr>
          <w:rFonts w:ascii="Times New Roman" w:cs="Times New Roman" w:eastAsia="Times New Roman" w:hAnsi="Times New Roman"/>
          <w:sz w:val="18"/>
          <w:szCs w:val="18"/>
          <w:color w:val="auto"/>
        </w:rPr>
        <w:t>We seek advice from a number of leading scientists and physicians on scientific, technical and medical matters. These advisors are leading scientists in the areas of pharmacology, chemistry, immunology and biology. Our scientific advisors are consulted regularly to assess, among other things:</w:t>
      </w:r>
    </w:p>
    <w:p>
      <w:pPr>
        <w:spacing w:after="0" w:line="39" w:lineRule="exact"/>
        <w:rPr>
          <w:sz w:val="20"/>
          <w:szCs w:val="20"/>
          <w:color w:val="auto"/>
        </w:rPr>
      </w:pPr>
    </w:p>
    <w:p>
      <w:pPr>
        <w:ind w:left="440" w:hanging="216"/>
        <w:spacing w:after="0"/>
        <w:tabs>
          <w:tab w:leader="none" w:pos="4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research and development programs;</w:t>
      </w:r>
    </w:p>
    <w:p>
      <w:pPr>
        <w:spacing w:after="0" w:line="90" w:lineRule="exact"/>
        <w:rPr>
          <w:rFonts w:ascii="Times New Roman" w:cs="Times New Roman" w:eastAsia="Times New Roman" w:hAnsi="Times New Roman"/>
          <w:sz w:val="18"/>
          <w:szCs w:val="18"/>
          <w:color w:val="auto"/>
        </w:rPr>
      </w:pPr>
    </w:p>
    <w:p>
      <w:pPr>
        <w:ind w:left="440" w:hanging="216"/>
        <w:spacing w:after="0"/>
        <w:tabs>
          <w:tab w:leader="none" w:pos="4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and implementation of our clinical programs;</w:t>
      </w:r>
    </w:p>
    <w:p>
      <w:pPr>
        <w:spacing w:after="0" w:line="90" w:lineRule="exact"/>
        <w:rPr>
          <w:rFonts w:ascii="Times New Roman" w:cs="Times New Roman" w:eastAsia="Times New Roman" w:hAnsi="Times New Roman"/>
          <w:sz w:val="18"/>
          <w:szCs w:val="18"/>
          <w:color w:val="auto"/>
        </w:rPr>
      </w:pPr>
    </w:p>
    <w:p>
      <w:pPr>
        <w:ind w:left="440" w:hanging="216"/>
        <w:spacing w:after="0"/>
        <w:tabs>
          <w:tab w:leader="none" w:pos="4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patent and publication strategies;</w:t>
      </w:r>
    </w:p>
    <w:p>
      <w:pPr>
        <w:spacing w:after="0" w:line="90" w:lineRule="exact"/>
        <w:rPr>
          <w:rFonts w:ascii="Times New Roman" w:cs="Times New Roman" w:eastAsia="Times New Roman" w:hAnsi="Times New Roman"/>
          <w:sz w:val="18"/>
          <w:szCs w:val="18"/>
          <w:color w:val="auto"/>
        </w:rPr>
      </w:pPr>
    </w:p>
    <w:p>
      <w:pPr>
        <w:ind w:left="440" w:hanging="216"/>
        <w:spacing w:after="0"/>
        <w:tabs>
          <w:tab w:leader="none" w:pos="4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opportunities from a clinical perspective;</w:t>
      </w:r>
    </w:p>
    <w:p>
      <w:pPr>
        <w:spacing w:after="0" w:line="90" w:lineRule="exact"/>
        <w:rPr>
          <w:rFonts w:ascii="Times New Roman" w:cs="Times New Roman" w:eastAsia="Times New Roman" w:hAnsi="Times New Roman"/>
          <w:sz w:val="18"/>
          <w:szCs w:val="18"/>
          <w:color w:val="auto"/>
        </w:rPr>
      </w:pPr>
    </w:p>
    <w:p>
      <w:pPr>
        <w:ind w:left="440" w:hanging="216"/>
        <w:spacing w:after="0"/>
        <w:tabs>
          <w:tab w:leader="none" w:pos="4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technologies relevant to our research and development programs; and</w:t>
      </w:r>
    </w:p>
    <w:p>
      <w:pPr>
        <w:spacing w:after="0" w:line="90" w:lineRule="exact"/>
        <w:rPr>
          <w:rFonts w:ascii="Times New Roman" w:cs="Times New Roman" w:eastAsia="Times New Roman" w:hAnsi="Times New Roman"/>
          <w:sz w:val="18"/>
          <w:szCs w:val="18"/>
          <w:color w:val="auto"/>
        </w:rPr>
      </w:pPr>
    </w:p>
    <w:p>
      <w:pPr>
        <w:ind w:left="440" w:hanging="216"/>
        <w:spacing w:after="0"/>
        <w:tabs>
          <w:tab w:leader="none" w:pos="4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specific scientific and technical issues relevant to our business.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 of the Registrant</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sets forth our current executive officers and their ages as of December 31, 2014:</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3900" w:type="dxa"/>
            <w:vAlign w:val="bottom"/>
          </w:tcPr>
          <w:p>
            <w:pPr>
              <w:spacing w:after="0"/>
              <w:rPr>
                <w:sz w:val="14"/>
                <w:szCs w:val="14"/>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4"/>
              </w:rPr>
              <w:t>Age</w:t>
            </w:r>
          </w:p>
        </w:tc>
        <w:tc>
          <w:tcPr>
            <w:tcW w:w="3280" w:type="dxa"/>
            <w:vAlign w:val="bottom"/>
          </w:tcPr>
          <w:p>
            <w:pPr>
              <w:spacing w:after="0"/>
              <w:rPr>
                <w:sz w:val="14"/>
                <w:szCs w:val="14"/>
                <w:color w:val="auto"/>
              </w:rPr>
            </w:pPr>
          </w:p>
        </w:tc>
        <w:tc>
          <w:tcPr>
            <w:tcW w:w="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5"/>
              </w:rPr>
              <w:t>Position(s)</w:t>
            </w:r>
          </w:p>
        </w:tc>
        <w:tc>
          <w:tcPr>
            <w:tcW w:w="440" w:type="dxa"/>
            <w:vAlign w:val="bottom"/>
          </w:tcPr>
          <w:p>
            <w:pPr>
              <w:spacing w:after="0"/>
              <w:rPr>
                <w:sz w:val="14"/>
                <w:szCs w:val="14"/>
                <w:color w:val="auto"/>
              </w:rPr>
            </w:pPr>
          </w:p>
        </w:tc>
      </w:tr>
      <w:tr>
        <w:trPr>
          <w:trHeight w:val="195"/>
        </w:trPr>
        <w:tc>
          <w:tcPr>
            <w:tcW w:w="38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w w:val="76"/>
              </w:rPr>
              <w:t>Hakan</w:t>
            </w:r>
          </w:p>
        </w:tc>
        <w:tc>
          <w:tcPr>
            <w:tcW w:w="3900" w:type="dxa"/>
            <w:vAlign w:val="bottom"/>
          </w:tcPr>
          <w:p>
            <w:pPr>
              <w:ind w:left="140"/>
              <w:spacing w:after="0" w:line="195" w:lineRule="exact"/>
              <w:rPr>
                <w:sz w:val="20"/>
                <w:szCs w:val="20"/>
                <w:color w:val="auto"/>
              </w:rPr>
            </w:pPr>
            <w:r>
              <w:rPr>
                <w:rFonts w:ascii="Times New Roman" w:cs="Times New Roman" w:eastAsia="Times New Roman" w:hAnsi="Times New Roman"/>
                <w:sz w:val="18"/>
                <w:szCs w:val="18"/>
                <w:color w:val="auto"/>
              </w:rPr>
              <w:t>S. Edstrom</w:t>
            </w:r>
          </w:p>
        </w:tc>
        <w:tc>
          <w:tcPr>
            <w:tcW w:w="26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64</w:t>
            </w:r>
          </w:p>
        </w:tc>
        <w:tc>
          <w:tcPr>
            <w:tcW w:w="3900" w:type="dxa"/>
            <w:vAlign w:val="bottom"/>
            <w:gridSpan w:val="2"/>
          </w:tcPr>
          <w:p>
            <w:pPr>
              <w:ind w:left="300"/>
              <w:spacing w:after="0" w:line="195" w:lineRule="exact"/>
              <w:rPr>
                <w:sz w:val="20"/>
                <w:szCs w:val="20"/>
                <w:color w:val="auto"/>
              </w:rPr>
            </w:pPr>
            <w:r>
              <w:rPr>
                <w:rFonts w:ascii="Times New Roman" w:cs="Times New Roman" w:eastAsia="Times New Roman" w:hAnsi="Times New Roman"/>
                <w:sz w:val="18"/>
                <w:szCs w:val="18"/>
                <w:color w:val="auto"/>
              </w:rPr>
              <w:t>President, Chief Executive Officer and Director</w:t>
            </w:r>
          </w:p>
        </w:tc>
        <w:tc>
          <w:tcPr>
            <w:tcW w:w="440" w:type="dxa"/>
            <w:vAlign w:val="bottom"/>
          </w:tcPr>
          <w:p>
            <w:pPr>
              <w:spacing w:after="0"/>
              <w:rPr>
                <w:sz w:val="16"/>
                <w:szCs w:val="16"/>
                <w:color w:val="auto"/>
              </w:rPr>
            </w:pPr>
          </w:p>
        </w:tc>
      </w:tr>
      <w:tr>
        <w:trPr>
          <w:trHeight w:val="216"/>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Matthew J. Pfeffer</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434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Corporate Vice President and Chief Financial Officer</w:t>
            </w:r>
          </w:p>
        </w:tc>
      </w:tr>
      <w:tr>
        <w:trPr>
          <w:trHeight w:val="216"/>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Juergen A. Martens, Ph.D.</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434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Corporate Vice President, Chief Operating Officer</w:t>
            </w:r>
          </w:p>
        </w:tc>
      </w:tr>
      <w:tr>
        <w:trPr>
          <w:trHeight w:val="216"/>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Diane M. Palumbo</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434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Corporate Vice President, Human Resources</w:t>
            </w:r>
          </w:p>
        </w:tc>
      </w:tr>
      <w:tr>
        <w:trPr>
          <w:trHeight w:val="228"/>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B. Thomson, Ph.D., J.D</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434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w w:val="96"/>
              </w:rPr>
              <w:t>Corporate Vice President, General Counsel and Secretary</w:t>
            </w:r>
          </w:p>
        </w:tc>
      </w:tr>
    </w:tbl>
    <w:p>
      <w:pPr>
        <w:spacing w:after="0" w:line="67" w:lineRule="exact"/>
        <w:rPr>
          <w:sz w:val="20"/>
          <w:szCs w:val="20"/>
          <w:color w:val="auto"/>
        </w:rPr>
      </w:pPr>
    </w:p>
    <w:p>
      <w:pPr>
        <w:ind w:right="120" w:firstLine="228"/>
        <w:spacing w:after="0" w:line="288" w:lineRule="auto"/>
        <w:rPr>
          <w:sz w:val="20"/>
          <w:szCs w:val="20"/>
          <w:color w:val="auto"/>
        </w:rPr>
      </w:pPr>
      <w:r>
        <w:rPr>
          <w:rFonts w:ascii="Times New Roman" w:cs="Times New Roman" w:eastAsia="Times New Roman" w:hAnsi="Times New Roman"/>
          <w:sz w:val="16"/>
          <w:szCs w:val="16"/>
          <w:i w:val="1"/>
          <w:iCs w:val="1"/>
          <w:color w:val="auto"/>
        </w:rPr>
        <w:t xml:space="preserve">Hakan S. Edstrom </w:t>
      </w:r>
      <w:r>
        <w:rPr>
          <w:rFonts w:ascii="Times New Roman" w:cs="Times New Roman" w:eastAsia="Times New Roman" w:hAnsi="Times New Roman"/>
          <w:sz w:val="16"/>
          <w:szCs w:val="16"/>
          <w:color w:val="auto"/>
        </w:rPr>
        <w:t>has served as our president and one of our directors since 2001 and as our chief executive officer since January 2015. From 2001 until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January 2015, he also served as our Chief Operating Officer. Mr. Edstrom was with Bausch &amp; Lomb, Inc., a health care product company, from January 1998 to April 2001, advancing to the position of Senior Corporate Vice President and President of Bausch &amp; Lomb, Inc. Americas Region. From 1981 to 1997,</w:t>
      </w:r>
    </w:p>
    <w:p>
      <w:pPr>
        <w:ind w:right="480"/>
        <w:spacing w:after="0" w:line="323" w:lineRule="auto"/>
        <w:rPr>
          <w:sz w:val="20"/>
          <w:szCs w:val="20"/>
          <w:color w:val="auto"/>
        </w:rPr>
      </w:pPr>
      <w:r>
        <w:rPr>
          <w:rFonts w:ascii="Times New Roman" w:cs="Times New Roman" w:eastAsia="Times New Roman" w:hAnsi="Times New Roman"/>
          <w:sz w:val="16"/>
          <w:szCs w:val="16"/>
          <w:color w:val="auto"/>
        </w:rPr>
        <w:t>Mr. Edstrom was with Pharmacia Corporation, where he held various executive positions, including President and Chief Executive Officer of Pharmacia Ophthalmics Inc. Mr. Edstrom was educated in Sweden and holds a master’s degree in Business Administration from the Stockholm School of Economics.</w:t>
      </w:r>
    </w:p>
    <w:p>
      <w:pPr>
        <w:spacing w:after="0" w:line="4" w:lineRule="exact"/>
        <w:rPr>
          <w:sz w:val="20"/>
          <w:szCs w:val="20"/>
          <w:color w:val="auto"/>
        </w:rPr>
      </w:pPr>
    </w:p>
    <w:p>
      <w:pPr>
        <w:ind w:firstLine="22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Matthew J. Pfeffer </w:t>
      </w:r>
      <w:r>
        <w:rPr>
          <w:rFonts w:ascii="Times New Roman" w:cs="Times New Roman" w:eastAsia="Times New Roman" w:hAnsi="Times New Roman"/>
          <w:sz w:val="18"/>
          <w:szCs w:val="18"/>
          <w:color w:val="auto"/>
        </w:rPr>
        <w:t>has been our Corporate Vice President and Chief Financial Officer since April 2008. Previously, Mr. Pfeffer served as Chief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Officer and Senior Vice President of Finance and Administration of VaxGen, Inc. from March 2006 until April 2008, with responsibility for finance, tax, treasury, human resources, IT, purchasing and facilities functions. Prior to VaxGen, Mr. Pfeffer served as CFO of Cell Genesys, Inc. During his nine year tenure at Cell Genesys, Mr. Pfeffer served as Director of Finance before being named CFO in 1998. Prior to that, Mr. Pfeffer served in a variety of financial management positions at other companies, including roles as Corporate Controller, Manager of Internal Audit and Manager of Financial Reporting. Mr. Pfeffer began his career at Price Waterhouse. Mr. Pfeffer graduated from the University of California, Berkeley and is a Certified Public Accountant.</w:t>
      </w:r>
    </w:p>
    <w:p>
      <w:pPr>
        <w:spacing w:after="0" w:line="58" w:lineRule="exact"/>
        <w:rPr>
          <w:sz w:val="20"/>
          <w:szCs w:val="20"/>
          <w:color w:val="auto"/>
        </w:rPr>
      </w:pPr>
    </w:p>
    <w:p>
      <w:pPr>
        <w:ind w:right="320" w:firstLine="228"/>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Juergen A. Martens, Ph.D. </w:t>
      </w:r>
      <w:r>
        <w:rPr>
          <w:rFonts w:ascii="Times New Roman" w:cs="Times New Roman" w:eastAsia="Times New Roman" w:hAnsi="Times New Roman"/>
          <w:sz w:val="18"/>
          <w:szCs w:val="18"/>
          <w:color w:val="auto"/>
        </w:rPr>
        <w:t>has been our Chief Operating Officer since January 2015 and, before that, was our Corporate Vice President of Operations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Chief Technology Officer since September 2005. From 2000 to August 2005, he was employed by Nektar Therapeutics most recently as Vice President of Pharmaceutical</w:t>
      </w:r>
    </w:p>
    <w:p>
      <w:pPr>
        <w:spacing w:after="0" w:line="1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380"/>
          </w:cols>
          <w:pgMar w:left="240" w:top="455" w:right="27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80"/>
        <w:spacing w:after="0" w:line="301" w:lineRule="auto"/>
        <w:rPr>
          <w:sz w:val="20"/>
          <w:szCs w:val="20"/>
          <w:color w:val="auto"/>
        </w:rPr>
      </w:pPr>
      <w:r>
        <w:rPr>
          <w:rFonts w:ascii="Times New Roman" w:cs="Times New Roman" w:eastAsia="Times New Roman" w:hAnsi="Times New Roman"/>
          <w:sz w:val="16"/>
          <w:szCs w:val="16"/>
          <w:color w:val="auto"/>
        </w:rPr>
        <w:t>Technology Development. Previously, he held technical management positions at Aerojet Fine Chemicals from 1998 to 2000 and at FMC Corporation from 1996 to 1998. From 1987 to 1996, Dr. Martens held a variety of management positions with increased responsibility in R&amp;D, plant management, and business process development at Lonza, in Switzerland and in the United States. Dr. Martens holds a bachelor’s degree in chemical engineering from the Technical College Mannheim/Germany, a bachelor’s and master’s degree in Chemistry and a doctorate in Physical Chemistry from the University of Marburg/Germany.</w:t>
      </w:r>
    </w:p>
    <w:p>
      <w:pPr>
        <w:spacing w:after="0" w:line="20" w:lineRule="exact"/>
        <w:rPr>
          <w:sz w:val="20"/>
          <w:szCs w:val="20"/>
          <w:color w:val="auto"/>
        </w:rPr>
      </w:pPr>
    </w:p>
    <w:p>
      <w:pPr>
        <w:ind w:firstLine="22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Diane M. Palumbo </w:t>
      </w:r>
      <w:r>
        <w:rPr>
          <w:rFonts w:ascii="Times New Roman" w:cs="Times New Roman" w:eastAsia="Times New Roman" w:hAnsi="Times New Roman"/>
          <w:sz w:val="18"/>
          <w:szCs w:val="18"/>
          <w:color w:val="auto"/>
        </w:rPr>
        <w:t>has been our Corporate Vice President of Human Resources since November 2004. From July 2003 to November 2004, she was President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her own human resources consulting company. From June 1991 to July 2003, Ms. Palumbo held various positions with Amgen, Inc., a California-based biopharmaceutical company, including Senior Director, Human Resources. In addition, Ms. Palumbo has held Human Resources positions with Unisys and Mitsui Bank Ltd. of Tokyo. She holds a master’s degree in Business Administration from St. John’s University, New York and a bachelor’s degree, magna cum laude, also from St. John’s University.</w:t>
      </w:r>
    </w:p>
    <w:p>
      <w:pPr>
        <w:spacing w:after="0" w:line="53" w:lineRule="exact"/>
        <w:rPr>
          <w:sz w:val="20"/>
          <w:szCs w:val="20"/>
          <w:color w:val="auto"/>
        </w:rPr>
      </w:pPr>
    </w:p>
    <w:p>
      <w:pPr>
        <w:ind w:right="240" w:firstLine="228"/>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David B. Thomson, Ph.D., J.D. </w:t>
      </w:r>
      <w:r>
        <w:rPr>
          <w:rFonts w:ascii="Times New Roman" w:cs="Times New Roman" w:eastAsia="Times New Roman" w:hAnsi="Times New Roman"/>
          <w:sz w:val="18"/>
          <w:szCs w:val="18"/>
          <w:color w:val="auto"/>
        </w:rPr>
        <w:t>has been our Corporate Vice President, General Counsel and Corporate Secretary since January 2002. Prior to joining us, 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practiced corporate/commercial and securities law at a major Toronto law firm. Earlier in his career, Dr. Thomson was a post-doctoral fellow at the Rockefeller University. Dr. Thomson obtained his bachelor’s degree, master’s degree and Ph.D. degree from Queens University and obtained his J.D. degree from the University of Toronto.</w:t>
      </w:r>
    </w:p>
    <w:p>
      <w:pPr>
        <w:spacing w:after="0" w:line="54" w:lineRule="exact"/>
        <w:rPr>
          <w:sz w:val="20"/>
          <w:szCs w:val="20"/>
          <w:color w:val="auto"/>
        </w:rPr>
      </w:pPr>
    </w:p>
    <w:p>
      <w:pPr>
        <w:ind w:right="400" w:firstLine="228"/>
        <w:spacing w:after="0" w:line="390" w:lineRule="auto"/>
        <w:rPr>
          <w:sz w:val="20"/>
          <w:szCs w:val="20"/>
          <w:color w:val="auto"/>
        </w:rPr>
      </w:pPr>
      <w:r>
        <w:rPr>
          <w:rFonts w:ascii="Times New Roman" w:cs="Times New Roman" w:eastAsia="Times New Roman" w:hAnsi="Times New Roman"/>
          <w:sz w:val="18"/>
          <w:szCs w:val="18"/>
          <w:color w:val="auto"/>
        </w:rPr>
        <w:t xml:space="preserve">Executive officers serve at the discretion of our Board of Directors. There are no family relationships between any of our directors and executive officers. </w:t>
      </w: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1" w:lineRule="exact"/>
        <w:rPr>
          <w:sz w:val="20"/>
          <w:szCs w:val="20"/>
          <w:color w:val="auto"/>
        </w:rPr>
      </w:pPr>
    </w:p>
    <w:p>
      <w:pPr>
        <w:ind w:firstLine="228"/>
        <w:spacing w:after="0" w:line="255" w:lineRule="auto"/>
        <w:rPr>
          <w:sz w:val="20"/>
          <w:szCs w:val="20"/>
          <w:color w:val="auto"/>
        </w:rPr>
      </w:pPr>
      <w:r>
        <w:rPr>
          <w:rFonts w:ascii="Times New Roman" w:cs="Times New Roman" w:eastAsia="Times New Roman" w:hAnsi="Times New Roman"/>
          <w:sz w:val="18"/>
          <w:szCs w:val="18"/>
          <w:i w:val="1"/>
          <w:iCs w:val="1"/>
          <w:color w:val="auto"/>
        </w:rPr>
        <w:t>You should consider carefully the following information about the risks described below, together with the other information contained in this Annual Report before you decide to buy or maintain an investment in our common stock or other securities. We believe the risks described below are the risks that are material to us as of the date of this Annual Report. Additional risks and uncertainties that we are unaware of may also become important factors that affect us. If any of the following risks actually occur, our business, financial condition, results of operations and future growth prospects would likely be materially and adversely affected. In these circumstances, the market price of our common stock and other securities could decline, and you may lose all or part of the money you paid to buy our common stock or other securities.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depend heavily on the successful commercialization of our only approved product, AFREZZA.</w:t>
      </w:r>
    </w:p>
    <w:p>
      <w:pPr>
        <w:spacing w:after="0" w:line="94" w:lineRule="exact"/>
        <w:rPr>
          <w:sz w:val="20"/>
          <w:szCs w:val="20"/>
          <w:color w:val="auto"/>
        </w:rPr>
      </w:pPr>
    </w:p>
    <w:p>
      <w:pPr>
        <w:ind w:right="40" w:firstLine="228"/>
        <w:spacing w:after="0" w:line="293" w:lineRule="auto"/>
        <w:rPr>
          <w:sz w:val="20"/>
          <w:szCs w:val="20"/>
          <w:color w:val="auto"/>
        </w:rPr>
      </w:pPr>
      <w:r>
        <w:rPr>
          <w:rFonts w:ascii="Times New Roman" w:cs="Times New Roman" w:eastAsia="Times New Roman" w:hAnsi="Times New Roman"/>
          <w:sz w:val="16"/>
          <w:szCs w:val="16"/>
          <w:color w:val="auto"/>
        </w:rPr>
        <w:t>We have expended significant time, money and effort in the development of our only approved product, AFREZZA. We anticipate that in the near term, our ability to generate revenues will depend on the successful commercialization of AFREZZA. On August 11, 2014, we executed the Sanofi License Agreement, which became effective on September 23, 2014. Pursuant to the Sanofi License Agreement, Sanofi is responsible for global commercial, regulatory and development activities for AFREZZA and we are responsible for manufacturing AFREZZA at our facility in Danbury, Connecticut to supply Sanofi’s demand for the product. On February 3, 2015, we and Sanofi announced that AFREZZA had become available by prescription in United States retail pharmacies. We and Sanofi must receive the necessary approvals from foreign regulatory agencies before AFREZZA can be marketed outside of the United States.</w:t>
      </w:r>
    </w:p>
    <w:p>
      <w:pPr>
        <w:spacing w:after="0" w:line="30" w:lineRule="exact"/>
        <w:rPr>
          <w:sz w:val="20"/>
          <w:szCs w:val="20"/>
          <w:color w:val="auto"/>
        </w:rPr>
      </w:pPr>
    </w:p>
    <w:p>
      <w:pPr>
        <w:ind w:right="140" w:firstLine="228"/>
        <w:spacing w:after="0" w:line="262" w:lineRule="auto"/>
        <w:rPr>
          <w:sz w:val="20"/>
          <w:szCs w:val="20"/>
          <w:color w:val="auto"/>
        </w:rPr>
      </w:pPr>
      <w:r>
        <w:rPr>
          <w:rFonts w:ascii="Times New Roman" w:cs="Times New Roman" w:eastAsia="Times New Roman" w:hAnsi="Times New Roman"/>
          <w:sz w:val="18"/>
          <w:szCs w:val="18"/>
          <w:color w:val="auto"/>
        </w:rPr>
        <w:t>Even with such regulatory approval, we and Sanofi, ultimately may be unable to gain market acceptance of AFREZZA for a variety of reasons, including the treatment and dosage regimen, potential adverse effects, the availability of alternative treatments and lack of coverage or adequate reimbursement. If we fail to commercialize AFREZZA successfully, our business, financial condition and results of operations will be materially and adversely affected.</w:t>
      </w:r>
    </w:p>
    <w:p>
      <w:pPr>
        <w:spacing w:after="0" w:line="51" w:lineRule="exact"/>
        <w:rPr>
          <w:sz w:val="20"/>
          <w:szCs w:val="20"/>
          <w:color w:val="auto"/>
        </w:rPr>
      </w:pPr>
    </w:p>
    <w:p>
      <w:pPr>
        <w:ind w:right="80" w:firstLine="228"/>
        <w:spacing w:after="0" w:line="275" w:lineRule="auto"/>
        <w:rPr>
          <w:sz w:val="20"/>
          <w:szCs w:val="20"/>
          <w:color w:val="auto"/>
        </w:rPr>
      </w:pPr>
      <w:r>
        <w:rPr>
          <w:rFonts w:ascii="Times New Roman" w:cs="Times New Roman" w:eastAsia="Times New Roman" w:hAnsi="Times New Roman"/>
          <w:sz w:val="18"/>
          <w:szCs w:val="18"/>
          <w:color w:val="auto"/>
        </w:rPr>
        <w:t>We have sought to develop our other product candidates through our internal research programs. All of our product candidates will require additional research and development and, in some cases, significant preclinical,</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455" w:right="23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360"/>
        <w:spacing w:after="0" w:line="275" w:lineRule="auto"/>
        <w:rPr>
          <w:sz w:val="20"/>
          <w:szCs w:val="20"/>
          <w:color w:val="auto"/>
        </w:rPr>
      </w:pPr>
      <w:r>
        <w:rPr>
          <w:rFonts w:ascii="Times New Roman" w:cs="Times New Roman" w:eastAsia="Times New Roman" w:hAnsi="Times New Roman"/>
          <w:sz w:val="18"/>
          <w:szCs w:val="18"/>
          <w:color w:val="auto"/>
        </w:rPr>
        <w:t>clinical and other testing prior to seeking regulatory approval to market them. Accordingly, these product candidates will not be commercially available for a number of years, if at all.</w:t>
      </w:r>
    </w:p>
    <w:p>
      <w:pPr>
        <w:spacing w:after="0" w:line="39" w:lineRule="exact"/>
        <w:rPr>
          <w:sz w:val="20"/>
          <w:szCs w:val="20"/>
          <w:color w:val="auto"/>
        </w:rPr>
      </w:pPr>
    </w:p>
    <w:p>
      <w:pPr>
        <w:ind w:firstLine="228"/>
        <w:spacing w:after="0" w:line="255" w:lineRule="auto"/>
        <w:rPr>
          <w:sz w:val="20"/>
          <w:szCs w:val="20"/>
          <w:color w:val="auto"/>
        </w:rPr>
      </w:pPr>
      <w:r>
        <w:rPr>
          <w:rFonts w:ascii="Times New Roman" w:cs="Times New Roman" w:eastAsia="Times New Roman" w:hAnsi="Times New Roman"/>
          <w:sz w:val="18"/>
          <w:szCs w:val="18"/>
          <w:color w:val="auto"/>
        </w:rPr>
        <w:t>A significant portion of the research that we have conducted involves new technologies, including our Technosphere platform technology. Even if our research programs identify product candidates that initially show promise, these candidates may fail to progress to clinical development for any number of reasons, including discovery upon further research that these candidates have adverse effects or other characteristics that indicate they are unlikely to be effective. In addition, the clinical results we obtain at one stage are not necessarily indicative of future testing results. If we fail to develop and commercialize our other product candidates, or if we are significantly delayed in doing so, our business, financial condition and results of operations will be harmed and the market price of our common stock and other securities could decline.</w:t>
      </w:r>
    </w:p>
    <w:p>
      <w:pPr>
        <w:spacing w:after="0" w:line="135" w:lineRule="exact"/>
        <w:rPr>
          <w:sz w:val="20"/>
          <w:szCs w:val="20"/>
          <w:color w:val="auto"/>
        </w:rPr>
      </w:pPr>
    </w:p>
    <w:p>
      <w:pPr>
        <w:ind w:left="12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our collaboration with Sanofi to further develop and to commercialize AFREZZA worldwide. This collaboration places the development and commercialization largely outside our control, and poor performance under or failure to maintain the collaboration agreement between us and Sanofi could have a material and adverse impact on our business, financial condition and results of operations and the market price of our common stock and other securities could decline.</w:t>
      </w:r>
    </w:p>
    <w:p>
      <w:pPr>
        <w:spacing w:after="0" w:line="52" w:lineRule="exact"/>
        <w:rPr>
          <w:sz w:val="20"/>
          <w:szCs w:val="20"/>
          <w:color w:val="auto"/>
        </w:rPr>
      </w:pPr>
    </w:p>
    <w:p>
      <w:pPr>
        <w:ind w:right="140" w:firstLine="228"/>
        <w:spacing w:after="0" w:line="254" w:lineRule="auto"/>
        <w:rPr>
          <w:sz w:val="20"/>
          <w:szCs w:val="20"/>
          <w:color w:val="auto"/>
        </w:rPr>
      </w:pPr>
      <w:r>
        <w:rPr>
          <w:rFonts w:ascii="Times New Roman" w:cs="Times New Roman" w:eastAsia="Times New Roman" w:hAnsi="Times New Roman"/>
          <w:sz w:val="18"/>
          <w:szCs w:val="18"/>
          <w:color w:val="auto"/>
        </w:rPr>
        <w:t>We entered into the Sanofi License Agreement to provide for the future development and commercialization of AFREZZA. We cannot be certain that our collaboration with Sanofi will continue for as long as there is a potential market for AFREZZA. Both we and Sanofi have certain rights to terminate the collaboration agreement, in certain circumstances, including a right by Sanofi to terminate the agreement upon specified prior written notice. If the agreement is terminated prior to the end of the commercial life of AFREZZA, we may not be able to find another collaborator for the development and commercialization of AFREZZA, and even if we elected to pursue further development and commercialization of AFREZZA on our own, we might not be able to do so successfully and would experience substantially increased capital requirements that we might not be able to fund. Our dependence on Sanofi and the Sanofi License Agreement subjects us to a number of risks, including:</w:t>
      </w:r>
    </w:p>
    <w:p>
      <w:pPr>
        <w:spacing w:after="0" w:line="60" w:lineRule="exact"/>
        <w:rPr>
          <w:sz w:val="20"/>
          <w:szCs w:val="20"/>
          <w:color w:val="auto"/>
        </w:rPr>
      </w:pPr>
    </w:p>
    <w:p>
      <w:pPr>
        <w:ind w:left="440" w:right="220" w:hanging="216"/>
        <w:spacing w:after="0" w:line="275" w:lineRule="auto"/>
        <w:tabs>
          <w:tab w:leader="none" w:pos="4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Sanofi may not perform as expected and we may not be able to control the amount and timing of resources that Sanofi may devote to the development or commercialization of AFREZZA; moreover, Sanofi may elect to prioritize its other insulin products over AFREZZA;</w:t>
      </w:r>
    </w:p>
    <w:p>
      <w:pPr>
        <w:spacing w:after="0" w:line="38" w:lineRule="exact"/>
        <w:rPr>
          <w:rFonts w:ascii="Times New Roman" w:cs="Times New Roman" w:eastAsia="Times New Roman" w:hAnsi="Times New Roman"/>
          <w:sz w:val="18"/>
          <w:szCs w:val="18"/>
          <w:color w:val="auto"/>
        </w:rPr>
      </w:pPr>
    </w:p>
    <w:p>
      <w:pPr>
        <w:ind w:left="440" w:hanging="216"/>
        <w:spacing w:after="0"/>
        <w:tabs>
          <w:tab w:leader="none" w:pos="4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Sanofi could disagree as to commercialization and development plans and Sanofi may delay clinical trials or stop a clinical trial;</w:t>
      </w:r>
    </w:p>
    <w:p>
      <w:pPr>
        <w:spacing w:after="0" w:line="90" w:lineRule="exact"/>
        <w:rPr>
          <w:rFonts w:ascii="Times New Roman" w:cs="Times New Roman" w:eastAsia="Times New Roman" w:hAnsi="Times New Roman"/>
          <w:sz w:val="18"/>
          <w:szCs w:val="18"/>
          <w:color w:val="auto"/>
        </w:rPr>
      </w:pPr>
    </w:p>
    <w:p>
      <w:pPr>
        <w:jc w:val="both"/>
        <w:ind w:left="440" w:right="400" w:hanging="216"/>
        <w:spacing w:after="0" w:line="310" w:lineRule="auto"/>
        <w:tabs>
          <w:tab w:leader="none" w:pos="44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may be disputes between us and Sanofi, including disagreements regarding the Sanofi License Agreement, that may result in (a) the delay of (or prevent entirely) the achievement of regulatory and commercial objectives that would result in milestone payments, (b) the delay or termination of the development or commercialization of AFREZZA, and/or (c) costly litigation or arbitration that diverts our management’s attention and resources;</w:t>
      </w:r>
    </w:p>
    <w:p>
      <w:pPr>
        <w:spacing w:after="0" w:line="16" w:lineRule="exact"/>
        <w:rPr>
          <w:rFonts w:ascii="Times New Roman" w:cs="Times New Roman" w:eastAsia="Times New Roman" w:hAnsi="Times New Roman"/>
          <w:sz w:val="16"/>
          <w:szCs w:val="16"/>
          <w:color w:val="auto"/>
        </w:rPr>
      </w:pPr>
    </w:p>
    <w:p>
      <w:pPr>
        <w:ind w:left="440" w:right="100" w:hanging="216"/>
        <w:spacing w:after="0" w:line="258" w:lineRule="auto"/>
        <w:tabs>
          <w:tab w:leader="none" w:pos="4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Sanofi may not comply with applicable regulatory guidelines with respect to the development or commercialization of AFREZZA, which could adversely impact the development of or sales of AFREZZA and could result in administrative or judicially imposed sanctions, including warning letters, civil and criminal penalties, injunctions, product seizures or detention, product recalls, total or partial suspension of production and refusal to approve any new drug applications;</w:t>
      </w:r>
    </w:p>
    <w:p>
      <w:pPr>
        <w:spacing w:after="0" w:line="55" w:lineRule="exact"/>
        <w:rPr>
          <w:rFonts w:ascii="Times New Roman" w:cs="Times New Roman" w:eastAsia="Times New Roman" w:hAnsi="Times New Roman"/>
          <w:sz w:val="18"/>
          <w:szCs w:val="18"/>
          <w:color w:val="auto"/>
        </w:rPr>
      </w:pPr>
    </w:p>
    <w:p>
      <w:pPr>
        <w:jc w:val="both"/>
        <w:ind w:left="440" w:right="60" w:hanging="216"/>
        <w:spacing w:after="0" w:line="334" w:lineRule="auto"/>
        <w:tabs>
          <w:tab w:leader="none" w:pos="44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Sanofi may not provide us with timely and accurate information regarding sales activities and supply forecasts, which could adversely impact our ability to comply with our manufacturing and supply obligations under our supply agreement with Sanofi and our and Sanofi’s ability to commercialize AFREZZA;</w:t>
      </w:r>
    </w:p>
    <w:p>
      <w:pPr>
        <w:spacing w:after="0" w:line="1" w:lineRule="exact"/>
        <w:rPr>
          <w:rFonts w:ascii="Times New Roman" w:cs="Times New Roman" w:eastAsia="Times New Roman" w:hAnsi="Times New Roman"/>
          <w:sz w:val="16"/>
          <w:szCs w:val="16"/>
          <w:color w:val="auto"/>
        </w:rPr>
      </w:pPr>
    </w:p>
    <w:p>
      <w:pPr>
        <w:ind w:left="440" w:hanging="216"/>
        <w:spacing w:after="0"/>
        <w:tabs>
          <w:tab w:leader="none" w:pos="4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Sanofi may experience financial difficulties;</w:t>
      </w:r>
    </w:p>
    <w:p>
      <w:pPr>
        <w:spacing w:after="0" w:line="90" w:lineRule="exact"/>
        <w:rPr>
          <w:rFonts w:ascii="Times New Roman" w:cs="Times New Roman" w:eastAsia="Times New Roman" w:hAnsi="Times New Roman"/>
          <w:sz w:val="18"/>
          <w:szCs w:val="18"/>
          <w:color w:val="auto"/>
        </w:rPr>
      </w:pPr>
    </w:p>
    <w:p>
      <w:pPr>
        <w:ind w:left="440" w:right="280" w:hanging="216"/>
        <w:spacing w:after="0" w:line="275" w:lineRule="auto"/>
        <w:tabs>
          <w:tab w:leader="none" w:pos="4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combinations or significant changes in Sanofi’s business strategy may also adversely affect Sanofi’s ability to perform its obligations under the Sanofi License Agreement;</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00"/>
          </w:cols>
          <w:pgMar w:left="240" w:top="455" w:right="25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440" w:right="100" w:hanging="216"/>
        <w:spacing w:after="0" w:line="275" w:lineRule="auto"/>
        <w:tabs>
          <w:tab w:leader="none" w:pos="4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Sanofi may not properly maintain or defend our intellectual property rights or may use our proprietary information in such a way as to invite litigation that could jeopardize or invalidate our proprietary information or expose us to potential litigation; and</w:t>
      </w:r>
    </w:p>
    <w:p>
      <w:pPr>
        <w:spacing w:after="0" w:line="38" w:lineRule="exact"/>
        <w:rPr>
          <w:rFonts w:ascii="Times New Roman" w:cs="Times New Roman" w:eastAsia="Times New Roman" w:hAnsi="Times New Roman"/>
          <w:sz w:val="18"/>
          <w:szCs w:val="18"/>
          <w:color w:val="auto"/>
        </w:rPr>
      </w:pPr>
    </w:p>
    <w:p>
      <w:pPr>
        <w:ind w:left="440" w:right="160" w:hanging="216"/>
        <w:spacing w:after="0" w:line="275" w:lineRule="auto"/>
        <w:tabs>
          <w:tab w:leader="none" w:pos="4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non-competition requirements in the Sanofi License Agreement, Sanofi could independently move forward with a competing product candidate developed either independently or in collaboration with others, including our competitors.</w:t>
      </w:r>
    </w:p>
    <w:p>
      <w:pPr>
        <w:spacing w:after="0" w:line="39" w:lineRule="exact"/>
        <w:rPr>
          <w:sz w:val="20"/>
          <w:szCs w:val="20"/>
          <w:color w:val="auto"/>
        </w:rPr>
      </w:pPr>
    </w:p>
    <w:p>
      <w:pPr>
        <w:jc w:val="both"/>
        <w:ind w:right="240" w:firstLine="228"/>
        <w:spacing w:after="0" w:line="339" w:lineRule="auto"/>
        <w:rPr>
          <w:sz w:val="20"/>
          <w:szCs w:val="20"/>
          <w:color w:val="auto"/>
        </w:rPr>
      </w:pPr>
      <w:r>
        <w:rPr>
          <w:rFonts w:ascii="Times New Roman" w:cs="Times New Roman" w:eastAsia="Times New Roman" w:hAnsi="Times New Roman"/>
          <w:sz w:val="16"/>
          <w:szCs w:val="16"/>
          <w:color w:val="auto"/>
        </w:rPr>
        <w:t>Any failure of Sanofi to adequately perform its obligations under the Sanofi License Agreement or the termination of such agreement could have a material and adverse impact on our business, financial condition and results of operations and the market price of our common stock and other securities could decline.</w:t>
      </w:r>
    </w:p>
    <w:p>
      <w:pPr>
        <w:spacing w:after="0" w:line="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have a history of operating losses, we expect to continue to incur losses and we may never generate positive cash flow from operations.</w:t>
      </w:r>
    </w:p>
    <w:p>
      <w:pPr>
        <w:spacing w:after="0" w:line="94" w:lineRule="exact"/>
        <w:rPr>
          <w:sz w:val="20"/>
          <w:szCs w:val="20"/>
          <w:color w:val="auto"/>
        </w:rPr>
      </w:pPr>
    </w:p>
    <w:p>
      <w:pPr>
        <w:ind w:firstLine="228"/>
        <w:spacing w:after="0" w:line="254" w:lineRule="auto"/>
        <w:rPr>
          <w:sz w:val="20"/>
          <w:szCs w:val="20"/>
          <w:color w:val="auto"/>
        </w:rPr>
      </w:pPr>
      <w:r>
        <w:rPr>
          <w:rFonts w:ascii="Times New Roman" w:cs="Times New Roman" w:eastAsia="Times New Roman" w:hAnsi="Times New Roman"/>
          <w:sz w:val="18"/>
          <w:szCs w:val="18"/>
          <w:color w:val="auto"/>
        </w:rPr>
        <w:t>We have never been profitable or generated positive cash flow from cumulative operations to date and, as of December 31, 2014, we had an accumulated deficit of $2.5 billion. The accumulated deficit has resulted principally from costs incurred in our research and development programs, the write-off of goodwill and general operating expenses. We expect to make substantial expenditures and to incur increasing operating losses in the future in order to support the commercialization of AFREZZA, including costs and expenses to manufacture AFREZZA on a commercial scale. In addition, we have agreed to purchase annual minimum quantities of insulin under the Insulin Supply Agreement with Amphastar in the aggregate of approximately €120.1 million in calendar years 2015 through 2019. We may not have the necessary capital resources on hand in order to service this contractual commitment, and we may become obligated to make additional payments under the Insulin Supply Agreement in the event of its termination under certain scenarios. Our cumulative net loss may therefore increase significantly.</w:t>
      </w:r>
    </w:p>
    <w:p>
      <w:pPr>
        <w:spacing w:after="0" w:line="57" w:lineRule="exact"/>
        <w:rPr>
          <w:sz w:val="20"/>
          <w:szCs w:val="20"/>
          <w:color w:val="auto"/>
        </w:rPr>
      </w:pPr>
    </w:p>
    <w:p>
      <w:pPr>
        <w:ind w:right="80" w:firstLine="228"/>
        <w:spacing w:after="0" w:line="258" w:lineRule="auto"/>
        <w:rPr>
          <w:sz w:val="20"/>
          <w:szCs w:val="20"/>
          <w:color w:val="auto"/>
        </w:rPr>
      </w:pPr>
      <w:r>
        <w:rPr>
          <w:rFonts w:ascii="Times New Roman" w:cs="Times New Roman" w:eastAsia="Times New Roman" w:hAnsi="Times New Roman"/>
          <w:sz w:val="18"/>
          <w:szCs w:val="18"/>
          <w:color w:val="auto"/>
        </w:rPr>
        <w:t>To date, we have received cash payments from Sanofi but have deferred revenue recognition of such payments. We will continue to defer revenue recognition of future milestone payments as and to the extent appropriate under applicable revenue recognition rules. Accordingly, even if we continue to earn and receive milestone payments, revenue recognition may continue to be deferred and our cumulative net loss may therefore be higher than it would be if we recognized the full amount of the milestone payments upon receipt.</w:t>
      </w:r>
    </w:p>
    <w:p>
      <w:pPr>
        <w:spacing w:after="0" w:line="55" w:lineRule="exact"/>
        <w:rPr>
          <w:sz w:val="20"/>
          <w:szCs w:val="20"/>
          <w:color w:val="auto"/>
        </w:rPr>
      </w:pPr>
    </w:p>
    <w:p>
      <w:pPr>
        <w:ind w:firstLine="228"/>
        <w:spacing w:after="0" w:line="256" w:lineRule="auto"/>
        <w:rPr>
          <w:sz w:val="20"/>
          <w:szCs w:val="20"/>
          <w:color w:val="auto"/>
        </w:rPr>
      </w:pPr>
      <w:r>
        <w:rPr>
          <w:rFonts w:ascii="Times New Roman" w:cs="Times New Roman" w:eastAsia="Times New Roman" w:hAnsi="Times New Roman"/>
          <w:sz w:val="18"/>
          <w:szCs w:val="18"/>
          <w:color w:val="auto"/>
        </w:rPr>
        <w:t>Our losses have had, and are expected to continue to have, an adverse impact on our working capital, total assets and stockholders’ equity. As of December 31, 2014, we had stockholders’ deficit of $73.8 million. Our ability to achieve and sustain positive cash flow from operations and profitability depends upon successfully commercializing AFREZZA in collaboration with Sanofi. We may not generate positive cash flow from operations or be profitable even if we succeed in commercializing any of our product candidates. As a result, we cannot be sure when we will generate positive cash flow from operations or become profitable, if at all.</w:t>
      </w:r>
    </w:p>
    <w:p>
      <w:pPr>
        <w:spacing w:after="0" w:line="13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 the future we may need to raise additional capital to fund our operations.</w:t>
      </w:r>
    </w:p>
    <w:p>
      <w:pPr>
        <w:spacing w:after="0" w:line="94" w:lineRule="exact"/>
        <w:rPr>
          <w:sz w:val="20"/>
          <w:szCs w:val="20"/>
          <w:color w:val="auto"/>
        </w:rPr>
      </w:pPr>
    </w:p>
    <w:p>
      <w:pPr>
        <w:ind w:right="20" w:firstLine="228"/>
        <w:spacing w:after="0" w:line="256" w:lineRule="auto"/>
        <w:rPr>
          <w:sz w:val="20"/>
          <w:szCs w:val="20"/>
          <w:color w:val="auto"/>
        </w:rPr>
      </w:pPr>
      <w:r>
        <w:rPr>
          <w:rFonts w:ascii="Times New Roman" w:cs="Times New Roman" w:eastAsia="Times New Roman" w:hAnsi="Times New Roman"/>
          <w:sz w:val="18"/>
          <w:szCs w:val="18"/>
          <w:color w:val="auto"/>
        </w:rPr>
        <w:t>In the future, we may need to raise additional capital, whether through the sale of equity or debt securities, additional strategic business collaborations, the establishment of other funding facilities, licensing arrangements, asset sales or other means, in order to support our ongoing activities related to the commercialization of AFREZZA and the development of other product candidates. It may be difficult for us to raise additional funds on favorable terms, or at all. As of December 31, 2014, we had stockholders’ deficit of $73.8 million, which may raise concerns about our solvency and affect our ability to raise additional capital. The extent of our additional funding requirements will depend on a number of factors, including:</w:t>
      </w:r>
    </w:p>
    <w:p>
      <w:pPr>
        <w:spacing w:after="0" w:line="58" w:lineRule="exact"/>
        <w:rPr>
          <w:sz w:val="20"/>
          <w:szCs w:val="20"/>
          <w:color w:val="auto"/>
        </w:rPr>
      </w:pPr>
    </w:p>
    <w:p>
      <w:pPr>
        <w:ind w:left="440" w:right="100" w:hanging="216"/>
        <w:spacing w:after="0" w:line="258" w:lineRule="auto"/>
        <w:tabs>
          <w:tab w:leader="none" w:pos="4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election of any or all of the holders of our 5.75% Senior Convertible Notes due 2015 (the “2015 notes”), the 9.75% Senior Convertible Notes due 2019 issued to Deerfield Private Design Fund II, L.P. (“Deerfield Private Design Fund”) and Deerfield Private Design International II, L.P. (collectively, “Deerfield”) (the “2019 notes”) and the 8.75% Senior Convertible Notes due 2019 issued to Deerfield (the “Tranche B notes”) to require us to repay or repurchase such debt securities if and when required;</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00"/>
          </w:cols>
          <w:pgMar w:left="240" w:top="455" w:right="25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440" w:right="120" w:hanging="216"/>
        <w:spacing w:after="0" w:line="275" w:lineRule="auto"/>
        <w:tabs>
          <w:tab w:leader="none" w:pos="4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repay or refinance existing indebtedness, including indebtedness under the 2015 notes which mature in August 2015; and the extent to which the 2015 notes or any other convertible debt securities we may issue are converted into shares of our common stock;</w:t>
      </w:r>
    </w:p>
    <w:p>
      <w:pPr>
        <w:spacing w:after="0" w:line="38" w:lineRule="exact"/>
        <w:rPr>
          <w:rFonts w:ascii="Times New Roman" w:cs="Times New Roman" w:eastAsia="Times New Roman" w:hAnsi="Times New Roman"/>
          <w:sz w:val="18"/>
          <w:szCs w:val="18"/>
          <w:color w:val="auto"/>
        </w:rPr>
      </w:pPr>
    </w:p>
    <w:p>
      <w:pPr>
        <w:ind w:left="440" w:hanging="216"/>
        <w:spacing w:after="0"/>
        <w:tabs>
          <w:tab w:leader="none" w:pos="4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of progress and costs of our clinical studies and research and development activities;</w:t>
      </w:r>
    </w:p>
    <w:p>
      <w:pPr>
        <w:spacing w:after="0" w:line="90" w:lineRule="exact"/>
        <w:rPr>
          <w:rFonts w:ascii="Times New Roman" w:cs="Times New Roman" w:eastAsia="Times New Roman" w:hAnsi="Times New Roman"/>
          <w:sz w:val="18"/>
          <w:szCs w:val="18"/>
          <w:color w:val="auto"/>
        </w:rPr>
      </w:pPr>
    </w:p>
    <w:p>
      <w:pPr>
        <w:ind w:left="440" w:hanging="216"/>
        <w:spacing w:after="0"/>
        <w:tabs>
          <w:tab w:leader="none" w:pos="4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procuring raw materials and operating our manufacturing facilities;</w:t>
      </w:r>
    </w:p>
    <w:p>
      <w:pPr>
        <w:spacing w:after="0" w:line="90" w:lineRule="exact"/>
        <w:rPr>
          <w:rFonts w:ascii="Times New Roman" w:cs="Times New Roman" w:eastAsia="Times New Roman" w:hAnsi="Times New Roman"/>
          <w:sz w:val="18"/>
          <w:szCs w:val="18"/>
          <w:color w:val="auto"/>
        </w:rPr>
      </w:pPr>
    </w:p>
    <w:p>
      <w:pPr>
        <w:ind w:left="440" w:right="180" w:hanging="216"/>
        <w:spacing w:after="0" w:line="275" w:lineRule="auto"/>
        <w:tabs>
          <w:tab w:leader="none" w:pos="4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obligation to make milestone payments pursuant to the milestone rights issued to Deerfield Private Design Fund and Horizon Santé FLML SÁRL and pursuant to the Milestone Rights Purchase Agreement dated July 1, 2013 (the “Milestone Agreement”);</w:t>
      </w:r>
    </w:p>
    <w:p>
      <w:pPr>
        <w:spacing w:after="0" w:line="38" w:lineRule="exact"/>
        <w:rPr>
          <w:rFonts w:ascii="Times New Roman" w:cs="Times New Roman" w:eastAsia="Times New Roman" w:hAnsi="Times New Roman"/>
          <w:sz w:val="18"/>
          <w:szCs w:val="18"/>
          <w:color w:val="auto"/>
        </w:rPr>
      </w:pPr>
    </w:p>
    <w:p>
      <w:pPr>
        <w:ind w:left="440" w:hanging="216"/>
        <w:spacing w:after="0"/>
        <w:tabs>
          <w:tab w:leader="none" w:pos="4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obligation to bear our share of net losses under the Sanofi License Agreement;</w:t>
      </w:r>
    </w:p>
    <w:p>
      <w:pPr>
        <w:spacing w:after="0" w:line="90" w:lineRule="exact"/>
        <w:rPr>
          <w:rFonts w:ascii="Times New Roman" w:cs="Times New Roman" w:eastAsia="Times New Roman" w:hAnsi="Times New Roman"/>
          <w:sz w:val="18"/>
          <w:szCs w:val="18"/>
          <w:color w:val="auto"/>
        </w:rPr>
      </w:pPr>
    </w:p>
    <w:p>
      <w:pPr>
        <w:ind w:left="440" w:right="420" w:hanging="216"/>
        <w:spacing w:after="0" w:line="275" w:lineRule="auto"/>
        <w:tabs>
          <w:tab w:leader="none" w:pos="4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in establishing strategic business collaborations or other sales or licensing of assets, and the timing and amount of any payments we might receive from any such transactions;</w:t>
      </w:r>
    </w:p>
    <w:p>
      <w:pPr>
        <w:spacing w:after="0" w:line="38" w:lineRule="exact"/>
        <w:rPr>
          <w:rFonts w:ascii="Times New Roman" w:cs="Times New Roman" w:eastAsia="Times New Roman" w:hAnsi="Times New Roman"/>
          <w:sz w:val="18"/>
          <w:szCs w:val="18"/>
          <w:color w:val="auto"/>
        </w:rPr>
      </w:pPr>
    </w:p>
    <w:p>
      <w:pPr>
        <w:ind w:left="440" w:hanging="216"/>
        <w:spacing w:after="0"/>
        <w:tabs>
          <w:tab w:leader="none" w:pos="4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degree of success in commercializing AFREZZA;</w:t>
      </w:r>
    </w:p>
    <w:p>
      <w:pPr>
        <w:spacing w:after="0" w:line="90" w:lineRule="exact"/>
        <w:rPr>
          <w:rFonts w:ascii="Times New Roman" w:cs="Times New Roman" w:eastAsia="Times New Roman" w:hAnsi="Times New Roman"/>
          <w:sz w:val="18"/>
          <w:szCs w:val="18"/>
          <w:color w:val="auto"/>
        </w:rPr>
      </w:pPr>
    </w:p>
    <w:p>
      <w:pPr>
        <w:ind w:left="440" w:hanging="216"/>
        <w:spacing w:after="0"/>
        <w:tabs>
          <w:tab w:leader="none" w:pos="4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taken by the FDA and other regulatory authorities affecting AFREZZA and our product candidates and competitive products;</w:t>
      </w:r>
    </w:p>
    <w:p>
      <w:pPr>
        <w:spacing w:after="0" w:line="90" w:lineRule="exact"/>
        <w:rPr>
          <w:rFonts w:ascii="Times New Roman" w:cs="Times New Roman" w:eastAsia="Times New Roman" w:hAnsi="Times New Roman"/>
          <w:sz w:val="18"/>
          <w:szCs w:val="18"/>
          <w:color w:val="auto"/>
        </w:rPr>
      </w:pPr>
    </w:p>
    <w:p>
      <w:pPr>
        <w:ind w:left="440" w:hanging="216"/>
        <w:spacing w:after="0"/>
        <w:tabs>
          <w:tab w:leader="none" w:pos="4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emergence of competing technologies and products and other market developments;</w:t>
      </w:r>
    </w:p>
    <w:p>
      <w:pPr>
        <w:spacing w:after="0" w:line="90" w:lineRule="exact"/>
        <w:rPr>
          <w:rFonts w:ascii="Times New Roman" w:cs="Times New Roman" w:eastAsia="Times New Roman" w:hAnsi="Times New Roman"/>
          <w:sz w:val="18"/>
          <w:szCs w:val="18"/>
          <w:color w:val="auto"/>
        </w:rPr>
      </w:pPr>
    </w:p>
    <w:p>
      <w:pPr>
        <w:ind w:left="440" w:right="400" w:hanging="216"/>
        <w:spacing w:after="0" w:line="275" w:lineRule="auto"/>
        <w:tabs>
          <w:tab w:leader="none" w:pos="4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prosecuting, maintaining and enforcing patent claims and other intellectual property rights or defending against claims of infringement by others;</w:t>
      </w:r>
    </w:p>
    <w:p>
      <w:pPr>
        <w:spacing w:after="0" w:line="38" w:lineRule="exact"/>
        <w:rPr>
          <w:rFonts w:ascii="Times New Roman" w:cs="Times New Roman" w:eastAsia="Times New Roman" w:hAnsi="Times New Roman"/>
          <w:sz w:val="18"/>
          <w:szCs w:val="18"/>
          <w:color w:val="auto"/>
        </w:rPr>
      </w:pPr>
    </w:p>
    <w:p>
      <w:pPr>
        <w:ind w:left="440" w:hanging="216"/>
        <w:spacing w:after="0"/>
        <w:tabs>
          <w:tab w:leader="none" w:pos="4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our legal and litigation expenses; and</w:t>
      </w:r>
    </w:p>
    <w:p>
      <w:pPr>
        <w:spacing w:after="0" w:line="90" w:lineRule="exact"/>
        <w:rPr>
          <w:rFonts w:ascii="Times New Roman" w:cs="Times New Roman" w:eastAsia="Times New Roman" w:hAnsi="Times New Roman"/>
          <w:sz w:val="18"/>
          <w:szCs w:val="18"/>
          <w:color w:val="auto"/>
        </w:rPr>
      </w:pPr>
    </w:p>
    <w:p>
      <w:pPr>
        <w:ind w:left="440" w:hanging="216"/>
        <w:spacing w:after="0"/>
        <w:tabs>
          <w:tab w:leader="none" w:pos="4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discontinuing projects and technologies, and/or decommissioning existing facilities, if we undertake any such activities.</w:t>
      </w:r>
    </w:p>
    <w:p>
      <w:pPr>
        <w:spacing w:after="0" w:line="90" w:lineRule="exact"/>
        <w:rPr>
          <w:sz w:val="20"/>
          <w:szCs w:val="20"/>
          <w:color w:val="auto"/>
        </w:rPr>
      </w:pPr>
    </w:p>
    <w:p>
      <w:pPr>
        <w:ind w:firstLine="228"/>
        <w:spacing w:after="0" w:line="252" w:lineRule="auto"/>
        <w:rPr>
          <w:sz w:val="20"/>
          <w:szCs w:val="20"/>
          <w:color w:val="auto"/>
        </w:rPr>
      </w:pPr>
      <w:r>
        <w:rPr>
          <w:rFonts w:ascii="Times New Roman" w:cs="Times New Roman" w:eastAsia="Times New Roman" w:hAnsi="Times New Roman"/>
          <w:sz w:val="18"/>
          <w:szCs w:val="18"/>
          <w:color w:val="auto"/>
        </w:rPr>
        <w:t>We have raised capital in the past through the sale of equity and debt securities and we may in the future pursue the sale of additional equity and/or debt securities, including sales of our common stock through our at-the-market sales agreements, or the establishment of other funding facilities including asset-based borrowings. There can be no assurances, however, that we will be able to raise additional capital on acceptable terms, or at all. Issuances of additional debt or equity securities or the conversion of any of our currently outstanding convertible debt securities into shares of our common stock or the exercise of our currently outstanding warrants for shares of our common stock could impact the rights of the holders of our common stock and may dilute their ownership percentage. Moreover, the establishment of other funding facilities may impose restrictions on our operations. These restrictions could include limitations on additional borrowing and specific restrictions on the use of our assets, as well as prohibitions on our ability to create liens, pay dividends, redeem our stock or make investments. We also may seek to raise additional capital by pursuing opportunities for the licensing or sale of certain intellectual property and other assets. We cannot offer assurances, however, that any strategic collaborations, sales of securities or sales or licenses of assets will be available to us on a timely basis or on acceptable terms, if at all. We may be required to enter into relationships with third parties to develop or commercialize products or technologies that we otherwise would have sought to develop independently, and any such relationships may not be on terms as commercially favorable to us as might otherwise be the case.</w:t>
      </w:r>
    </w:p>
    <w:p>
      <w:pPr>
        <w:spacing w:after="0" w:line="66" w:lineRule="exact"/>
        <w:rPr>
          <w:sz w:val="20"/>
          <w:szCs w:val="20"/>
          <w:color w:val="auto"/>
        </w:rPr>
      </w:pPr>
    </w:p>
    <w:p>
      <w:pPr>
        <w:ind w:right="260" w:firstLine="228"/>
        <w:spacing w:after="0" w:line="256" w:lineRule="auto"/>
        <w:rPr>
          <w:sz w:val="20"/>
          <w:szCs w:val="20"/>
          <w:color w:val="auto"/>
        </w:rPr>
      </w:pPr>
      <w:r>
        <w:rPr>
          <w:rFonts w:ascii="Times New Roman" w:cs="Times New Roman" w:eastAsia="Times New Roman" w:hAnsi="Times New Roman"/>
          <w:sz w:val="18"/>
          <w:szCs w:val="18"/>
          <w:color w:val="auto"/>
        </w:rPr>
        <w:t>In the event that sufficient additional funds are not obtained through strategic collaboration opportunities, sales of securities, funding facilities, licensing arrangements and/or asset sales on a timely basis, we may be required to reduce expenses through the delay, reduction or curtailment of our projects, or further reduction of costs for facilities and administration. As of the date hereof, we have not obtained a solvency opinion or otherwise conducted a valuation of our properties to determine whether our debts exceed the fair value of our property within the meaning of applicable solvency laws. If we are or become insolvent, holders of our common stock or other securities may lose the entire value of their investment.</w:t>
      </w:r>
    </w:p>
    <w:p>
      <w:pPr>
        <w:spacing w:after="0" w:line="58" w:lineRule="exact"/>
        <w:rPr>
          <w:sz w:val="20"/>
          <w:szCs w:val="20"/>
          <w:color w:val="auto"/>
        </w:rPr>
      </w:pPr>
    </w:p>
    <w:p>
      <w:pPr>
        <w:ind w:right="40" w:firstLine="228"/>
        <w:spacing w:after="0" w:line="275" w:lineRule="auto"/>
        <w:rPr>
          <w:sz w:val="20"/>
          <w:szCs w:val="20"/>
          <w:color w:val="auto"/>
        </w:rPr>
      </w:pPr>
      <w:r>
        <w:rPr>
          <w:rFonts w:ascii="Times New Roman" w:cs="Times New Roman" w:eastAsia="Times New Roman" w:hAnsi="Times New Roman"/>
          <w:sz w:val="18"/>
          <w:szCs w:val="18"/>
          <w:color w:val="auto"/>
        </w:rPr>
        <w:t>We cannot provide assurances that changed or unexpected circumstances, including, among other things, delays in manufacturing AFREZZA on a commercial scale, will not result in the depletion of our capital</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455" w:right="23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resources more rapidly than we currently anticipate, in which case we may be required to raise additional capital. There can be no assurances that we will be able to raise additional capital, if needed, on favorable terms, or at all. If we need but cannot raise adequate additional capital in the future we will be required to reduce expenses through the delay, reduction or curtailment of our projects, or further reduction of costs for facilities and administration, and there could be substantial doubt about our ability to continue as a going concern.</w:t>
      </w:r>
    </w:p>
    <w:p>
      <w:pPr>
        <w:spacing w:after="0" w:line="132" w:lineRule="exact"/>
        <w:rPr>
          <w:sz w:val="20"/>
          <w:szCs w:val="20"/>
          <w:color w:val="auto"/>
        </w:rPr>
      </w:pPr>
    </w:p>
    <w:p>
      <w:pPr>
        <w:ind w:left="120" w:right="2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We have a substantial amount of debt pursuant to the 2015 notes, 2019 notes, Tranche B notes, and our loan arrangement with The Mann Group LLC, may incur additional indebtedness under such loan arrangement as well as the Sanofi Loan Facility and may be unable to make required payments of interest and principal as they become due.</w:t>
      </w:r>
    </w:p>
    <w:p>
      <w:pPr>
        <w:spacing w:after="0" w:line="4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As of December 31, 2014, we had $229.5 million principal amount of outstanding debt, consisting of:</w:t>
      </w:r>
    </w:p>
    <w:p>
      <w:pPr>
        <w:spacing w:after="0" w:line="90" w:lineRule="exact"/>
        <w:rPr>
          <w:sz w:val="20"/>
          <w:szCs w:val="20"/>
          <w:color w:val="auto"/>
        </w:rPr>
      </w:pPr>
    </w:p>
    <w:p>
      <w:pPr>
        <w:ind w:left="440" w:hanging="216"/>
        <w:spacing w:after="0"/>
        <w:tabs>
          <w:tab w:leader="none" w:pos="4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 million principal amount of 2015 notes bearing interest at 5.75% per annum and maturing on August 15, 2015;</w:t>
      </w:r>
    </w:p>
    <w:p>
      <w:pPr>
        <w:spacing w:after="0" w:line="90" w:lineRule="exact"/>
        <w:rPr>
          <w:rFonts w:ascii="Times New Roman" w:cs="Times New Roman" w:eastAsia="Times New Roman" w:hAnsi="Times New Roman"/>
          <w:sz w:val="18"/>
          <w:szCs w:val="18"/>
          <w:color w:val="auto"/>
        </w:rPr>
      </w:pPr>
    </w:p>
    <w:p>
      <w:pPr>
        <w:ind w:left="440" w:right="100" w:hanging="216"/>
        <w:spacing w:after="0" w:line="262" w:lineRule="auto"/>
        <w:tabs>
          <w:tab w:leader="none" w:pos="4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$60.0 million principal amount of 2019 notes bearing interest at 9.75% per annum, $5.0 million of which is due and payable in July 2016, $15.0 million of which is due and payable in July 2017, $15.0 million of which is due and payable in July 2018 and $25.0 million of which is due and payable in July and December 2019;</w:t>
      </w:r>
    </w:p>
    <w:p>
      <w:pPr>
        <w:spacing w:after="0" w:line="51" w:lineRule="exact"/>
        <w:rPr>
          <w:rFonts w:ascii="Times New Roman" w:cs="Times New Roman" w:eastAsia="Times New Roman" w:hAnsi="Times New Roman"/>
          <w:sz w:val="18"/>
          <w:szCs w:val="18"/>
          <w:color w:val="auto"/>
        </w:rPr>
      </w:pPr>
    </w:p>
    <w:p>
      <w:pPr>
        <w:ind w:left="440" w:right="320" w:hanging="216"/>
        <w:spacing w:after="0" w:line="275" w:lineRule="auto"/>
        <w:tabs>
          <w:tab w:leader="none" w:pos="4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 million principal amount of Tranche B notes bearing interest at 8.75% per annum, $5.0 million of which is due and payable in each of May 2017, 2018 and 2019, the balance of which is due and payable in December 2019; and</w:t>
      </w:r>
    </w:p>
    <w:p>
      <w:pPr>
        <w:spacing w:after="0" w:line="38" w:lineRule="exact"/>
        <w:rPr>
          <w:rFonts w:ascii="Times New Roman" w:cs="Times New Roman" w:eastAsia="Times New Roman" w:hAnsi="Times New Roman"/>
          <w:sz w:val="18"/>
          <w:szCs w:val="18"/>
          <w:color w:val="auto"/>
        </w:rPr>
      </w:pPr>
    </w:p>
    <w:p>
      <w:pPr>
        <w:ind w:left="440" w:right="380" w:hanging="216"/>
        <w:spacing w:after="0" w:line="262" w:lineRule="auto"/>
        <w:tabs>
          <w:tab w:leader="none" w:pos="4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$49.5 million principal amount of indebtedness under the loan arrangement, dated as of October 2, 2007, between us and The Mann Group LLC (as amended, restated or otherwise modified as of the date hereof, the “Loan Arrangement”) bearing interest at 5.84% and maturing and due on January 5, 2020.</w:t>
      </w:r>
    </w:p>
    <w:p>
      <w:pPr>
        <w:spacing w:after="0" w:line="51" w:lineRule="exact"/>
        <w:rPr>
          <w:sz w:val="20"/>
          <w:szCs w:val="20"/>
          <w:color w:val="auto"/>
        </w:rPr>
      </w:pPr>
    </w:p>
    <w:p>
      <w:pPr>
        <w:ind w:firstLine="228"/>
        <w:spacing w:after="0" w:line="251" w:lineRule="auto"/>
        <w:rPr>
          <w:sz w:val="20"/>
          <w:szCs w:val="20"/>
          <w:color w:val="auto"/>
        </w:rPr>
      </w:pPr>
      <w:r>
        <w:rPr>
          <w:rFonts w:ascii="Times New Roman" w:cs="Times New Roman" w:eastAsia="Times New Roman" w:hAnsi="Times New Roman"/>
          <w:sz w:val="18"/>
          <w:szCs w:val="18"/>
          <w:color w:val="auto"/>
        </w:rPr>
        <w:t>In addition, we may borrow up to an aggregate $175.0 million pursuant to the Sanofi Loan Facility to fund our share of net losses under the Sanofi License Agreement, $3.0 million, and an additional $30.1 million under the Loan Arrangement. There can be no assurance that we will have sufficient resources to make any required repayments of principal under the 2015 notes, 2019 notes or Tranche B notes when required. Further, if we undergo a fundamental change, as that term is defined in the indentures governing the terms of the 2015 notes, or certain Major Transactions as defined in our facility agreement with Deerfield dated July 1, 2013 (as amended, the “Facility Agreement”) in respect of the 2019 notes and the Tranche B notes, the holders of the respective debt securities will have the option to require us to repurchase all or any portion of such debt securities at a repurchase price of 100% of the principal amount of such debt securities to be repurchased plus accrued and unpaid interest, if any. The 2015 notes bear interest at the rate of 5.75% per year on the outstanding principal amount, payable in cash semiannually in arrears on February 15 and August 15 of each year, and the 2019 notes bear interest at the rate of 9.75% per year on the outstanding principal amount, payable in cash quarterly in arrears on the last business day of March, June, September and December of each year. The Tranche B notes bear interest at the rate of 8.75% on the outstanding principal amount, payable in cash quarterly in arrears on the last business day of March, June, September and December of each year. Loans under the Sanofi Loan Facility bear interest at a rate of 8.5% per annum, paid-in-kind on a quarterly basis (2.06% per quarter compounded). Loans under the Loan Arrangement accrue interest at a rate of 5.84% per annum, due and payable quarterly in arrears on the first day of each calendar quarter for the preceding quarter, or at such other time as we and The Mann Group LLC mutually agree. While we have been able to timely make our required interest payments to date, we cannot guarantee that we will be able to do so in the future. If we fail to pay interest on the 2015 notes, 2019 notes, Tranche B notes, or on the loans under the Sanofi Loan Facility, or if we fail to repay or repurchase the 2015 notes, 2019 notes, Tranche B notes, or the loans under the Sanofi Loan Facility when required, we will be in default under the indenture or other applicable instrument for such debt securities or loans, and may also suffer an event of default under the terms of other borrowing arrangements that we may enter into from time to time. Any of these events could have a material adverse effect on our business, results of operations and financial condition, up to and including the note holders initiating bankruptcy proceedings or causing us to cease operations altogether.</w:t>
      </w:r>
    </w:p>
    <w:p>
      <w:pPr>
        <w:spacing w:after="0" w:line="1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00"/>
          </w:cols>
          <w:pgMar w:left="240" w:top="455" w:right="25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120" w:right="54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The agreements governing our indebtedness contain covenants that we may not be able to meet and place restrictions on our operating and financial flexibility.</w:t>
      </w:r>
    </w:p>
    <w:p>
      <w:pPr>
        <w:spacing w:after="0" w:line="34" w:lineRule="exact"/>
        <w:rPr>
          <w:sz w:val="20"/>
          <w:szCs w:val="20"/>
          <w:color w:val="auto"/>
        </w:rPr>
      </w:pPr>
    </w:p>
    <w:p>
      <w:pPr>
        <w:ind w:firstLine="228"/>
        <w:spacing w:after="0" w:line="254" w:lineRule="auto"/>
        <w:rPr>
          <w:sz w:val="20"/>
          <w:szCs w:val="20"/>
          <w:color w:val="auto"/>
        </w:rPr>
      </w:pPr>
      <w:r>
        <w:rPr>
          <w:rFonts w:ascii="Times New Roman" w:cs="Times New Roman" w:eastAsia="Times New Roman" w:hAnsi="Times New Roman"/>
          <w:sz w:val="18"/>
          <w:szCs w:val="18"/>
          <w:color w:val="auto"/>
        </w:rPr>
        <w:t>Our obligations under the Facility Agreement, including any indebtedness under the 2019 notes and the Tranche B notes, and the Milestone Agreement are secured by substantially all of our assets, including our intellectual property, accounts receivables, equipment, general intangibles, inventory (excluding the insulin inventory) and investment property, and all of the proceeds and products of the foregoing. Our obligations under the Facility Agreement and the Milestone Agreement are also secured by a certain mortgage on our facility in Danbury, Connecticut. Our obligations under the Sanofi Loan Facility are secured by a first priority mortgage on our facility in Valencia, California, a first priority security interest in certain insulin inventory located in the United States and any contractual rights and obligations pursuant to which we purchase or have purchased such insulin, and a second priority security interest in our assets that secure our obligations under the Facility Agreement.</w:t>
      </w:r>
    </w:p>
    <w:p>
      <w:pPr>
        <w:spacing w:after="0" w:line="60" w:lineRule="exact"/>
        <w:rPr>
          <w:sz w:val="20"/>
          <w:szCs w:val="20"/>
          <w:color w:val="auto"/>
        </w:rPr>
      </w:pPr>
    </w:p>
    <w:p>
      <w:pPr>
        <w:ind w:firstLine="228"/>
        <w:spacing w:after="0" w:line="284" w:lineRule="auto"/>
        <w:rPr>
          <w:sz w:val="20"/>
          <w:szCs w:val="20"/>
          <w:color w:val="auto"/>
        </w:rPr>
      </w:pPr>
      <w:r>
        <w:rPr>
          <w:rFonts w:ascii="Times New Roman" w:cs="Times New Roman" w:eastAsia="Times New Roman" w:hAnsi="Times New Roman"/>
          <w:sz w:val="16"/>
          <w:szCs w:val="16"/>
          <w:color w:val="auto"/>
        </w:rPr>
        <w:t>The Facility Agreement includes customary representations, warranties and covenants by us, including restrictions on our ability to incur additional indebtedness, grant certain liens, engage in certain mergers and acquisitions, make certain distributions and make certain voluntary prepayments. Events of default under the Facility Agreement include: our failure to timely make payments due under the 2019 notes or the Tranche B notes; inaccuracies in our representations and warranties to Deerfield; our failure to comply with any of our covenants under any of the Facility Agreement, Milestone Agreement or certain other related security agreements and documents entered into in connection with the Facility Agreement, subject to a cure period with respect to most covenants; our insolvency or the occurrence of certain bankruptcy-related events; certain judgments against us; the suspension, cancellation or revocation of governmental authorizations that are reasonably expected to have a material adverse effect on our business; the acceleration of a specified amount of our indebtedness; our cash and cash equivalents, including amounts available to us under the Loan Arrangement, falling below $25.0 million as of the last day of any fiscal quarter. If one or more events of default under the Facility Agreement occurs and continues beyond any applicable cure period, the holders of the 2019 notes and Tranche B notes may declare all or any portion of the 2019 notes and Tranche B notes to be immediately due and payable. The Milestone Agreement includes customary representations and warranties and covenants by us, including restrictions on transfers of intellectual property related to AFREZZA. The milestones are subject to acceleration in the event we transfer our intellectual property related to AFREZZA in violation of the terms of the Milestone Agreement. Similarly, the Sanofi Loan Facility includes customary representations, warranties and covenants by us, including restrictions on our ability to incur additional indebtedness, grant certain liens and make certain changes to our organizational documents. Events of default under the Sanofi Loan Facility include: our failure to make timely payments due under the Sanofi Loan Facility; inaccuracies in our representations and warranties to the lender; our failure to comply with any of our covenants under any of the Sanofi Loan Facility or certain other related security agreements and documents entered into in connection with the Sanofi Loan Facility, subject to a cure period with respect to most covenants; our insolvency or the occurrence of certain bankruptcy-related events; termination by Sanofi of the Sanofi License Agreement as a result of our breach of the Sanofi License Agreement; and the failure of any material provision under any of the Sanofi Loan Facility or certain other related security agreements and documents entered into in connection with the Sanofi Loan Facility to remain in full force and effect. If one or more events of default occurs and is continuing, the lender may terminate its obligation to make advances under the Sanofi Loan Facility, and, if certain specified events of default (including our failure to timely make payments due under the Sanofi Loan Facility; our failure to comply with the negative covenants under the Sanofi Loan Facility limiting our ability to incur additional indebtedness or grant certain liens; our insolvency or the occurrence of certain bankruptcy-related events; termination by Sanofi of the Sanofi License Agreement as a result of our breach of the non-compete provisions of the Sanofi License Agreement; or the failure of any material provision under any of the Sanofi Loan Facility or certain other related security agreements and documents entered into in connection with the Sanofi Loan Facility to remain in full force and effect) occur and are continuing, the lender may accelerate all of our repayment obligations under the Sanofi Loan Facility and otherwise exercise any of its remedies as a secured creditor.</w:t>
      </w:r>
    </w:p>
    <w:p>
      <w:pPr>
        <w:spacing w:after="0" w:line="200" w:lineRule="exact"/>
        <w:rPr>
          <w:sz w:val="20"/>
          <w:szCs w:val="20"/>
          <w:color w:val="auto"/>
        </w:rPr>
      </w:pPr>
    </w:p>
    <w:p>
      <w:pPr>
        <w:spacing w:after="0" w:line="274" w:lineRule="exact"/>
        <w:rPr>
          <w:sz w:val="20"/>
          <w:szCs w:val="20"/>
          <w:color w:val="auto"/>
        </w:rPr>
      </w:pPr>
    </w:p>
    <w:p>
      <w:pPr>
        <w:ind w:right="520" w:firstLine="228"/>
        <w:spacing w:after="0" w:line="275" w:lineRule="auto"/>
        <w:rPr>
          <w:sz w:val="20"/>
          <w:szCs w:val="20"/>
          <w:color w:val="auto"/>
        </w:rPr>
      </w:pPr>
      <w:r>
        <w:rPr>
          <w:rFonts w:ascii="Times New Roman" w:cs="Times New Roman" w:eastAsia="Times New Roman" w:hAnsi="Times New Roman"/>
          <w:sz w:val="18"/>
          <w:szCs w:val="18"/>
          <w:color w:val="auto"/>
        </w:rPr>
        <w:t>There can be no assurance that we will be able to comply with the covenants under any of the foregoing agreements, and we cannot predict whether the holders of the 2019 notes or Tranche B notes or the lender under</w:t>
      </w:r>
    </w:p>
    <w:p>
      <w:pPr>
        <w:spacing w:after="0" w:line="1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00"/>
          </w:cols>
          <w:pgMar w:left="240" w:top="455" w:right="25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6"/>
          <w:szCs w:val="16"/>
          <w:color w:val="auto"/>
        </w:rPr>
        <w:t>the Sanofi Loan Facility would demand repayment of the outstanding balance of the 2019 notes, the Tranche B notes or the loans under the Sanofi Loan Facility as applicable or exercise any other remedies available to such holders if we were unable to comply with these covenants. The covenants and restrictions contained in the foregoing agreements could significantly limit our ability to respond to changes in our business or competitive activities or take advantage of business opportunities that may create value for our stockholders and the holders of our other securities. In addition, our inability to meet or otherwise comply with the covenants under these agreements could have an adverse impact on our financial position and results of operations and could result in an event of default under the terms of our other indebtedness, including our indebtedness under the 2015 notes. In the event of certain future defaults under the foregoing agreements for which we are not able to obtain waivers, the holders of the 2015 notes, 2019 notes and Tranche B notes and the lender under the Sanofi Loan Facility may accelerate all of our repayment obligations, and, with respect to the 2019 notes and Tranche B notes and the loans under the Sanofi Loan Facility, take control of our pledged assets, potentially requiring us to renegotiate the terms of our indebtedness on terms less favorable to us, or to immediately cease operations.</w:t>
      </w:r>
    </w:p>
    <w:p>
      <w:pPr>
        <w:spacing w:after="0" w:line="32" w:lineRule="exact"/>
        <w:rPr>
          <w:sz w:val="20"/>
          <w:szCs w:val="20"/>
          <w:color w:val="auto"/>
        </w:rPr>
      </w:pPr>
    </w:p>
    <w:p>
      <w:pPr>
        <w:ind w:right="200" w:firstLine="228"/>
        <w:spacing w:after="0" w:line="262" w:lineRule="auto"/>
        <w:rPr>
          <w:sz w:val="20"/>
          <w:szCs w:val="20"/>
          <w:color w:val="auto"/>
        </w:rPr>
      </w:pPr>
      <w:r>
        <w:rPr>
          <w:rFonts w:ascii="Times New Roman" w:cs="Times New Roman" w:eastAsia="Times New Roman" w:hAnsi="Times New Roman"/>
          <w:sz w:val="18"/>
          <w:szCs w:val="18"/>
          <w:color w:val="auto"/>
        </w:rPr>
        <w:t>If we enter into additional debt arrangements, the terms of such additional arrangements could further restrict our operating and financial flexibility. In the event we must cease operations and liquidate our assets, the rights of any holders of our outstanding secured debt would be senior to the rights of the holders of our unsecured debt and our common stock to receive any proceeds from the liquidation.</w:t>
      </w:r>
    </w:p>
    <w:p>
      <w:pPr>
        <w:spacing w:after="0" w:line="128" w:lineRule="exact"/>
        <w:rPr>
          <w:sz w:val="20"/>
          <w:szCs w:val="20"/>
          <w:color w:val="auto"/>
        </w:rPr>
      </w:pPr>
    </w:p>
    <w:p>
      <w:pPr>
        <w:ind w:left="12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If we do not achieve our projected development goals in the timeframes we announce and expect, our business, financial condition and results of operations will be harmed and the market price of our common stock and other securities could decline.</w:t>
      </w:r>
    </w:p>
    <w:p>
      <w:pPr>
        <w:spacing w:after="0" w:line="34" w:lineRule="exact"/>
        <w:rPr>
          <w:sz w:val="20"/>
          <w:szCs w:val="20"/>
          <w:color w:val="auto"/>
        </w:rPr>
      </w:pPr>
    </w:p>
    <w:p>
      <w:pPr>
        <w:ind w:firstLine="228"/>
        <w:spacing w:after="0" w:line="256" w:lineRule="auto"/>
        <w:rPr>
          <w:sz w:val="20"/>
          <w:szCs w:val="20"/>
          <w:color w:val="auto"/>
        </w:rPr>
      </w:pPr>
      <w:r>
        <w:rPr>
          <w:rFonts w:ascii="Times New Roman" w:cs="Times New Roman" w:eastAsia="Times New Roman" w:hAnsi="Times New Roman"/>
          <w:sz w:val="18"/>
          <w:szCs w:val="18"/>
          <w:color w:val="auto"/>
        </w:rPr>
        <w:t>For planning purposes, we estimate the timing of the accomplishment of various scientific, clinical, regulatory and other product development goals, which we sometimes refer to as milestones. These milestones may include the commencement or completion of scientific studies and clinical studies and the submission of regulatory filings. From time to time, we publicly announce the expected timing of some of these milestones. All of these milestones are based on a variety of assumptions. The actual timing of the achievement of these milestones can vary dramatically from our estimates, in many cases for reasons beyond our control, depending on numerous factors, including:</w:t>
      </w:r>
    </w:p>
    <w:p>
      <w:pPr>
        <w:spacing w:after="0" w:line="58" w:lineRule="exact"/>
        <w:rPr>
          <w:sz w:val="20"/>
          <w:szCs w:val="20"/>
          <w:color w:val="auto"/>
        </w:rPr>
      </w:pPr>
    </w:p>
    <w:p>
      <w:pPr>
        <w:ind w:left="440" w:hanging="216"/>
        <w:spacing w:after="0"/>
        <w:tabs>
          <w:tab w:leader="none" w:pos="4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of progress, costs and results of our clinical studies and preclinical research and development activities;</w:t>
      </w:r>
    </w:p>
    <w:p>
      <w:pPr>
        <w:spacing w:after="0" w:line="90" w:lineRule="exact"/>
        <w:rPr>
          <w:rFonts w:ascii="Times New Roman" w:cs="Times New Roman" w:eastAsia="Times New Roman" w:hAnsi="Times New Roman"/>
          <w:sz w:val="18"/>
          <w:szCs w:val="18"/>
          <w:color w:val="auto"/>
        </w:rPr>
      </w:pPr>
    </w:p>
    <w:p>
      <w:pPr>
        <w:ind w:left="440" w:hanging="216"/>
        <w:spacing w:after="0"/>
        <w:tabs>
          <w:tab w:leader="none" w:pos="4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and enroll patients who meet clinical study eligibility criteria;</w:t>
      </w:r>
    </w:p>
    <w:p>
      <w:pPr>
        <w:spacing w:after="0" w:line="90" w:lineRule="exact"/>
        <w:rPr>
          <w:rFonts w:ascii="Times New Roman" w:cs="Times New Roman" w:eastAsia="Times New Roman" w:hAnsi="Times New Roman"/>
          <w:sz w:val="18"/>
          <w:szCs w:val="18"/>
          <w:color w:val="auto"/>
        </w:rPr>
      </w:pPr>
    </w:p>
    <w:p>
      <w:pPr>
        <w:ind w:left="440" w:hanging="216"/>
        <w:spacing w:after="0"/>
        <w:tabs>
          <w:tab w:leader="none" w:pos="4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access sufficient, reliable and affordable supplies of components used in the manufacture of our product candidates;</w:t>
      </w:r>
    </w:p>
    <w:p>
      <w:pPr>
        <w:spacing w:after="0" w:line="90" w:lineRule="exact"/>
        <w:rPr>
          <w:rFonts w:ascii="Times New Roman" w:cs="Times New Roman" w:eastAsia="Times New Roman" w:hAnsi="Times New Roman"/>
          <w:sz w:val="18"/>
          <w:szCs w:val="18"/>
          <w:color w:val="auto"/>
        </w:rPr>
      </w:pPr>
    </w:p>
    <w:p>
      <w:pPr>
        <w:ind w:left="440" w:hanging="216"/>
        <w:spacing w:after="0"/>
        <w:tabs>
          <w:tab w:leader="none" w:pos="4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expanding and maintaining manufacturing operations, as necessary;</w:t>
      </w:r>
    </w:p>
    <w:p>
      <w:pPr>
        <w:spacing w:after="0" w:line="90" w:lineRule="exact"/>
        <w:rPr>
          <w:rFonts w:ascii="Times New Roman" w:cs="Times New Roman" w:eastAsia="Times New Roman" w:hAnsi="Times New Roman"/>
          <w:sz w:val="18"/>
          <w:szCs w:val="18"/>
          <w:color w:val="auto"/>
        </w:rPr>
      </w:pPr>
    </w:p>
    <w:p>
      <w:pPr>
        <w:ind w:left="440" w:hanging="216"/>
        <w:spacing w:after="0"/>
        <w:tabs>
          <w:tab w:leader="none" w:pos="4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our clinical studies compete for clinical sites and eligible subjects with clinical studies sponsored by other companies; and</w:t>
      </w:r>
    </w:p>
    <w:p>
      <w:pPr>
        <w:spacing w:after="0" w:line="90" w:lineRule="exact"/>
        <w:rPr>
          <w:rFonts w:ascii="Times New Roman" w:cs="Times New Roman" w:eastAsia="Times New Roman" w:hAnsi="Times New Roman"/>
          <w:sz w:val="18"/>
          <w:szCs w:val="18"/>
          <w:color w:val="auto"/>
        </w:rPr>
      </w:pPr>
    </w:p>
    <w:p>
      <w:pPr>
        <w:ind w:left="440" w:hanging="216"/>
        <w:spacing w:after="0"/>
        <w:tabs>
          <w:tab w:leader="none" w:pos="4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by regulators.</w:t>
      </w:r>
    </w:p>
    <w:p>
      <w:pPr>
        <w:spacing w:after="0" w:line="90" w:lineRule="exact"/>
        <w:rPr>
          <w:sz w:val="20"/>
          <w:szCs w:val="20"/>
          <w:color w:val="auto"/>
        </w:rPr>
      </w:pPr>
    </w:p>
    <w:p>
      <w:pPr>
        <w:ind w:right="40" w:firstLine="228"/>
        <w:spacing w:after="0" w:line="256" w:lineRule="auto"/>
        <w:rPr>
          <w:sz w:val="20"/>
          <w:szCs w:val="20"/>
          <w:color w:val="auto"/>
        </w:rPr>
      </w:pPr>
      <w:r>
        <w:rPr>
          <w:rFonts w:ascii="Times New Roman" w:cs="Times New Roman" w:eastAsia="Times New Roman" w:hAnsi="Times New Roman"/>
          <w:sz w:val="18"/>
          <w:szCs w:val="18"/>
          <w:color w:val="auto"/>
        </w:rPr>
        <w:t>In addition, if we do not obtain sufficient additional funds through sales of securities, strategic collaborations or the license or sale of certain of our assets on a timely basis, we may be required to reduce expenses by delaying, reducing or curtailing our development of product candidates. If we fail to commence or complete, or experience delays in or are forced to curtail, our proposed clinical programs or otherwise fail to adhere to our projected development goals in the timeframes we announce and expect (or within the timeframes expected by analysts or investors), our business, financial condition and results of operations will be harmed and the market price of our common stock and other securities may decline.</w:t>
      </w:r>
    </w:p>
    <w:p>
      <w:pPr>
        <w:spacing w:after="0" w:line="13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AFREZZA or our product candidates may be rendered obsolete by rapid technological change.</w:t>
      </w:r>
    </w:p>
    <w:p>
      <w:pPr>
        <w:spacing w:after="0" w:line="9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A number of established pharmaceutical companies have or are developing technologies for the treatment of unmet medical needs.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00"/>
          </w:cols>
          <w:pgMar w:left="240" w:top="455" w:right="25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00" w:firstLine="228"/>
        <w:spacing w:after="0" w:line="258" w:lineRule="auto"/>
        <w:rPr>
          <w:sz w:val="20"/>
          <w:szCs w:val="20"/>
          <w:color w:val="auto"/>
        </w:rPr>
      </w:pPr>
      <w:r>
        <w:rPr>
          <w:rFonts w:ascii="Times New Roman" w:cs="Times New Roman" w:eastAsia="Times New Roman" w:hAnsi="Times New Roman"/>
          <w:sz w:val="18"/>
          <w:szCs w:val="18"/>
          <w:color w:val="auto"/>
        </w:rPr>
        <w:t>The rapid rate of scientific discoveries and technological changes could result in AFREZZA or one or more of our product candidates becoming obsolete or noncompetitive. Our competitors may develop or introduce new products that render our technology or AFREZZA less competitive, uneconomical or obsolete. Our future success will depend not only on our ability to develop our product candidates but to improve them and keep pace with emerging industry developments. We cannot assure you that we will be able to do so.</w:t>
      </w:r>
    </w:p>
    <w:p>
      <w:pPr>
        <w:spacing w:after="0" w:line="55" w:lineRule="exact"/>
        <w:rPr>
          <w:sz w:val="20"/>
          <w:szCs w:val="20"/>
          <w:color w:val="auto"/>
        </w:rPr>
      </w:pPr>
    </w:p>
    <w:p>
      <w:pPr>
        <w:ind w:right="100" w:firstLine="228"/>
        <w:spacing w:after="0" w:line="262" w:lineRule="auto"/>
        <w:rPr>
          <w:sz w:val="20"/>
          <w:szCs w:val="20"/>
          <w:color w:val="auto"/>
        </w:rPr>
      </w:pPr>
      <w:r>
        <w:rPr>
          <w:rFonts w:ascii="Times New Roman" w:cs="Times New Roman" w:eastAsia="Times New Roman" w:hAnsi="Times New Roman"/>
          <w:sz w:val="18"/>
          <w:szCs w:val="18"/>
          <w:color w:val="auto"/>
        </w:rPr>
        <w:t>We also expect to face competition from universities and other non-profit research organizations. These institutions carry out a significant amount of research and development in various areas of unmet medical need. These institutions are becoming increasingly aware of the commercial value of their findings and are more active in seeking patent and other proprietary rights as well as licensing revenues.</w:t>
      </w:r>
    </w:p>
    <w:p>
      <w:pPr>
        <w:spacing w:after="0" w:line="128" w:lineRule="exact"/>
        <w:rPr>
          <w:sz w:val="20"/>
          <w:szCs w:val="20"/>
          <w:color w:val="auto"/>
        </w:rPr>
      </w:pPr>
    </w:p>
    <w:p>
      <w:pPr>
        <w:ind w:left="120" w:right="8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Continued testing of AFREZZA or our product candidates may not yield successful results, and even if it does, we may still be unable to commercialize our product candidates.</w:t>
      </w:r>
    </w:p>
    <w:p>
      <w:pPr>
        <w:spacing w:after="0" w:line="34" w:lineRule="exact"/>
        <w:rPr>
          <w:sz w:val="20"/>
          <w:szCs w:val="20"/>
          <w:color w:val="auto"/>
        </w:rPr>
      </w:pPr>
    </w:p>
    <w:p>
      <w:pPr>
        <w:ind w:right="20" w:firstLine="228"/>
        <w:spacing w:after="0" w:line="254" w:lineRule="auto"/>
        <w:rPr>
          <w:sz w:val="20"/>
          <w:szCs w:val="20"/>
          <w:color w:val="auto"/>
        </w:rPr>
      </w:pPr>
      <w:r>
        <w:rPr>
          <w:rFonts w:ascii="Times New Roman" w:cs="Times New Roman" w:eastAsia="Times New Roman" w:hAnsi="Times New Roman"/>
          <w:sz w:val="18"/>
          <w:szCs w:val="18"/>
          <w:color w:val="auto"/>
        </w:rPr>
        <w:t>Forecasts about the effects of the use of drugs, including AFREZZA, over terms longer than the clinical studies or in much larger populations may not be consistent with the earlier clinical results. For example, with the approval of AFREZZA, the FDA has required a five-year, randomized, controlled trial in 8,000 – 10,000 patients with type 2 diabetes, the primary objective of which is to compare the incidence of pulmonary malignancy observed with AFREZZA to that observed in a standard of care control group. If long-term use of a drug results in adverse health effects or reduced efficacy or both, the FDA or other regulatory agencies may terminate our or our marketing partner’s ability to market and sell the drug, may narrow the approved indications for use or otherwise require restrictive product labeling or marketing, or may require further clinical studies, which may be time-consuming and expensive and may not produce favorable results.</w:t>
      </w:r>
    </w:p>
    <w:p>
      <w:pPr>
        <w:spacing w:after="0" w:line="60" w:lineRule="exact"/>
        <w:rPr>
          <w:sz w:val="20"/>
          <w:szCs w:val="20"/>
          <w:color w:val="auto"/>
        </w:rPr>
      </w:pPr>
    </w:p>
    <w:p>
      <w:pPr>
        <w:ind w:right="180" w:firstLine="228"/>
        <w:spacing w:after="0" w:line="262" w:lineRule="auto"/>
        <w:rPr>
          <w:sz w:val="20"/>
          <w:szCs w:val="20"/>
          <w:color w:val="auto"/>
        </w:rPr>
      </w:pPr>
      <w:r>
        <w:rPr>
          <w:rFonts w:ascii="Times New Roman" w:cs="Times New Roman" w:eastAsia="Times New Roman" w:hAnsi="Times New Roman"/>
          <w:sz w:val="18"/>
          <w:szCs w:val="18"/>
          <w:color w:val="auto"/>
        </w:rPr>
        <w:t>Our research and development programs are designed to test the safety and efficacy of our product candidates through extensive nonclinical and clinical testing. We may experience numerous unforeseen events during, or as a result of, the testing process that could delay or impact commercialization of any of our product candidates, including the following:</w:t>
      </w:r>
    </w:p>
    <w:p>
      <w:pPr>
        <w:spacing w:after="0" w:line="51" w:lineRule="exact"/>
        <w:rPr>
          <w:sz w:val="20"/>
          <w:szCs w:val="20"/>
          <w:color w:val="auto"/>
        </w:rPr>
      </w:pPr>
    </w:p>
    <w:p>
      <w:pPr>
        <w:jc w:val="both"/>
        <w:ind w:left="440" w:right="120" w:hanging="216"/>
        <w:spacing w:after="0" w:line="262" w:lineRule="auto"/>
        <w:tabs>
          <w:tab w:leader="none" w:pos="4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safety and efficacy results obtained in our nonclinical and early clinical testing may be inconclusive or may not be predictive of results that we may obtain in our future clinical studies or following long-term use, and we may as a result be forced to stop developing a product candidate or alter the marketing of an approved product;</w:t>
      </w:r>
    </w:p>
    <w:p>
      <w:pPr>
        <w:spacing w:after="0" w:line="51" w:lineRule="exact"/>
        <w:rPr>
          <w:rFonts w:ascii="Times New Roman" w:cs="Times New Roman" w:eastAsia="Times New Roman" w:hAnsi="Times New Roman"/>
          <w:sz w:val="18"/>
          <w:szCs w:val="18"/>
          <w:color w:val="auto"/>
        </w:rPr>
      </w:pPr>
    </w:p>
    <w:p>
      <w:pPr>
        <w:ind w:left="440" w:right="140" w:hanging="216"/>
        <w:spacing w:after="0" w:line="275" w:lineRule="auto"/>
        <w:tabs>
          <w:tab w:leader="none" w:pos="4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analysis of data collected from clinical studies of our product candidates may not reach the statistical significance necessary, or otherwise be sufficient to support FDA or other regulatory approval for the claimed indications;</w:t>
      </w:r>
    </w:p>
    <w:p>
      <w:pPr>
        <w:spacing w:after="0" w:line="38" w:lineRule="exact"/>
        <w:rPr>
          <w:rFonts w:ascii="Times New Roman" w:cs="Times New Roman" w:eastAsia="Times New Roman" w:hAnsi="Times New Roman"/>
          <w:sz w:val="18"/>
          <w:szCs w:val="18"/>
          <w:color w:val="auto"/>
        </w:rPr>
      </w:pPr>
    </w:p>
    <w:p>
      <w:pPr>
        <w:ind w:left="440" w:hanging="216"/>
        <w:spacing w:after="0"/>
        <w:tabs>
          <w:tab w:leader="none" w:pos="4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reviewing clinical data, we or any collaborators may abandon projects that we previously believed were promising; and</w:t>
      </w:r>
    </w:p>
    <w:p>
      <w:pPr>
        <w:spacing w:after="0" w:line="90" w:lineRule="exact"/>
        <w:rPr>
          <w:rFonts w:ascii="Times New Roman" w:cs="Times New Roman" w:eastAsia="Times New Roman" w:hAnsi="Times New Roman"/>
          <w:sz w:val="18"/>
          <w:szCs w:val="18"/>
          <w:color w:val="auto"/>
        </w:rPr>
      </w:pPr>
    </w:p>
    <w:p>
      <w:pPr>
        <w:ind w:left="440" w:right="80" w:hanging="216"/>
        <w:spacing w:after="0" w:line="275" w:lineRule="auto"/>
        <w:tabs>
          <w:tab w:leader="none" w:pos="4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may not produce the desired effects or may result in adverse health effects or other characteristics that preclude regulatory approval or limit their commercial use once approved.</w:t>
      </w:r>
    </w:p>
    <w:p>
      <w:pPr>
        <w:spacing w:after="0" w:line="39" w:lineRule="exact"/>
        <w:rPr>
          <w:sz w:val="20"/>
          <w:szCs w:val="20"/>
          <w:color w:val="auto"/>
        </w:rPr>
      </w:pPr>
    </w:p>
    <w:p>
      <w:pPr>
        <w:ind w:firstLine="228"/>
        <w:spacing w:after="0" w:line="262" w:lineRule="auto"/>
        <w:rPr>
          <w:sz w:val="20"/>
          <w:szCs w:val="20"/>
          <w:color w:val="auto"/>
        </w:rPr>
      </w:pPr>
      <w:r>
        <w:rPr>
          <w:rFonts w:ascii="Times New Roman" w:cs="Times New Roman" w:eastAsia="Times New Roman" w:hAnsi="Times New Roman"/>
          <w:sz w:val="18"/>
          <w:szCs w:val="18"/>
          <w:color w:val="auto"/>
        </w:rPr>
        <w:t>As a result of any of these events, we, any collaborator, the FDA, or any other regulatory authorities, may suspend or terminate clinical studies or marketing of the drug at any time. Any suspension or termination of our clinical studies or marketing activities may harm our business, financial condition and results of operations and the market price of our common stock and other securities may decline.</w:t>
      </w:r>
    </w:p>
    <w:p>
      <w:pPr>
        <w:spacing w:after="0" w:line="128" w:lineRule="exact"/>
        <w:rPr>
          <w:sz w:val="20"/>
          <w:szCs w:val="20"/>
          <w:color w:val="auto"/>
        </w:rPr>
      </w:pPr>
    </w:p>
    <w:p>
      <w:pPr>
        <w:ind w:left="12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If our suppliers fail to deliver materials and services needed for the production of AFREZZA in a timely and sufficient manner, if they fail to comply with applicable regulations, or if we fail to identify and qualify alternative suppliers, our business, financial condition and results of operations would be harmed and the market price of our common stock and other securities could decline.</w:t>
      </w:r>
    </w:p>
    <w:p>
      <w:pPr>
        <w:spacing w:after="0" w:line="48" w:lineRule="exact"/>
        <w:rPr>
          <w:sz w:val="20"/>
          <w:szCs w:val="20"/>
          <w:color w:val="auto"/>
        </w:rPr>
      </w:pPr>
    </w:p>
    <w:p>
      <w:pPr>
        <w:ind w:right="300" w:firstLine="228"/>
        <w:spacing w:after="0" w:line="275" w:lineRule="auto"/>
        <w:rPr>
          <w:sz w:val="20"/>
          <w:szCs w:val="20"/>
          <w:color w:val="auto"/>
        </w:rPr>
      </w:pPr>
      <w:r>
        <w:rPr>
          <w:rFonts w:ascii="Times New Roman" w:cs="Times New Roman" w:eastAsia="Times New Roman" w:hAnsi="Times New Roman"/>
          <w:sz w:val="18"/>
          <w:szCs w:val="18"/>
          <w:color w:val="auto"/>
        </w:rPr>
        <w:t>For the commercial manufacture of AFREZZA, we need access to sufficient, reliable and affordable supplies of insulin, our AFREZZA inhaler, the related cartridges and other materials. Currently, the only approved source</w:t>
      </w:r>
    </w:p>
    <w:p>
      <w:pPr>
        <w:spacing w:after="0" w:line="1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00"/>
          </w:cols>
          <w:pgMar w:left="240" w:top="455" w:right="25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60"/>
        <w:spacing w:after="0" w:line="288" w:lineRule="auto"/>
        <w:rPr>
          <w:sz w:val="20"/>
          <w:szCs w:val="20"/>
          <w:color w:val="auto"/>
        </w:rPr>
      </w:pPr>
      <w:r>
        <w:rPr>
          <w:rFonts w:ascii="Times New Roman" w:cs="Times New Roman" w:eastAsia="Times New Roman" w:hAnsi="Times New Roman"/>
          <w:sz w:val="16"/>
          <w:szCs w:val="16"/>
          <w:color w:val="auto"/>
        </w:rPr>
        <w:t>of insulin for AFREZZA is manufactured by Amphastar. We must rely on our suppliers, including Amphastar, to comply with relevant regulatory and other legal requirements, including the production of insulin in accordance with the FDA’s current Good Manufacturing Practices (“cGMPs”) for drug products, and the production of the AFREZZA inhaler and related cartridges in accordance with Quality System Regulations (“QSRs”). The supply of any of these materials may be limited or any of the manufacturers may not meet relevant regulatory requirements, and if we are unable to obtain any of these materials in sufficient amounts, in a timely manner and at reasonable prices, or if we encounter delays or difficulties in our relationships with manufacturers or suppliers, the production of AFREZZA may be delayed. Likewise, if Amphastar ceases to manufacture or is otherwise unable to deliver insulin for AFREZZA, we will need to locate an alternative source of supply and the production of AFREZZA may be delayed. Pursuant to our supply agreement with Sanofi, we are required to identify alternative suppliers for all critical raw materials for the manufacture of AFREZZA within two years after the date of the agreement. However, there can be no assurance that we will be able to identify and qualify such suppliers within the time period required under the agreement. If any of our suppliers is unwilling or unable to meet its supply obligations and we are unable to secure an alternative supply source in a timely manner and on favorable terms, our business, financial condition, and results of operations may be harmed and the market price of our common stock and other securities may decline.</w:t>
      </w:r>
    </w:p>
    <w:p>
      <w:pPr>
        <w:spacing w:after="0" w:line="327" w:lineRule="exact"/>
        <w:rPr>
          <w:sz w:val="20"/>
          <w:szCs w:val="20"/>
          <w:color w:val="auto"/>
        </w:rPr>
      </w:pPr>
    </w:p>
    <w:p>
      <w:pPr>
        <w:ind w:left="120" w:right="24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have little experience manufacturing AFREZZA in commercial quantities, and if we fail as an effective manufacturing organization or fail to engage third-party manufacturers with this capability, we may be unable to support commercialization of this product.</w:t>
      </w:r>
    </w:p>
    <w:p>
      <w:pPr>
        <w:spacing w:after="0" w:line="34" w:lineRule="exact"/>
        <w:rPr>
          <w:sz w:val="20"/>
          <w:szCs w:val="20"/>
          <w:color w:val="auto"/>
        </w:rPr>
      </w:pPr>
    </w:p>
    <w:p>
      <w:pPr>
        <w:ind w:right="60" w:firstLine="228"/>
        <w:spacing w:after="0" w:line="254" w:lineRule="auto"/>
        <w:rPr>
          <w:sz w:val="20"/>
          <w:szCs w:val="20"/>
          <w:color w:val="auto"/>
        </w:rPr>
      </w:pPr>
      <w:r>
        <w:rPr>
          <w:rFonts w:ascii="Times New Roman" w:cs="Times New Roman" w:eastAsia="Times New Roman" w:hAnsi="Times New Roman"/>
          <w:sz w:val="18"/>
          <w:szCs w:val="18"/>
          <w:color w:val="auto"/>
        </w:rPr>
        <w:t>We use our Danbury, Connecticut facility to formulate AFREZZA inhalation powder, fill plastic cartridges with the powder, package the cartridges in blister packs, and place the blister packs into foil pouches. We utilize a contract packager to assemble the final kits of foil-pouched blisters containing cartridges along with inhalers and the package insert. The manufacture of pharmaceutical products requires significant expertise and capital investment, including the development of advanced manufacturing techniques and process controls. Manufacturers of pharmaceutical products often encounter difficulties in production, especially in scaling up initial production. These problems include difficulties with production costs and yields, quality control and assurance and shortages of qualified personnel, as well as compliance with strictly enforced federal, state and foreign regulations. If we engage a third-party manufacturer, we would need to transfer our technology to that third-party manufacturer and gain FDA approval, potentially causing delays in product delivery. In addition, our third-party manufacturer may not perform as agreed or may terminate its agreement with us.</w:t>
      </w:r>
    </w:p>
    <w:p>
      <w:pPr>
        <w:spacing w:after="0" w:line="57" w:lineRule="exact"/>
        <w:rPr>
          <w:sz w:val="20"/>
          <w:szCs w:val="20"/>
          <w:color w:val="auto"/>
        </w:rPr>
      </w:pPr>
    </w:p>
    <w:p>
      <w:pPr>
        <w:ind w:firstLine="228"/>
        <w:spacing w:after="0" w:line="255" w:lineRule="auto"/>
        <w:rPr>
          <w:sz w:val="20"/>
          <w:szCs w:val="20"/>
          <w:color w:val="auto"/>
        </w:rPr>
      </w:pPr>
      <w:r>
        <w:rPr>
          <w:rFonts w:ascii="Times New Roman" w:cs="Times New Roman" w:eastAsia="Times New Roman" w:hAnsi="Times New Roman"/>
          <w:sz w:val="18"/>
          <w:szCs w:val="18"/>
          <w:color w:val="auto"/>
        </w:rPr>
        <w:t>Any of these factors could cause us to delay or suspend production, could entail higher costs and may result in our being unable to effectively support commercialization of AFREZZA. Furthermore, if we or a third-party manufacturer fail to deliver the required commercial quantities of the product or any raw material on a timely basis, and at commercially reasonable prices and acceptable quality, and we were unable to promptly find one or more replacement manufacturers capable of production at a substantially equivalent cost, in substantially equivalent volume and quality on a timely basis, we would likely be unable to meet demand for AFREZZA and we would lose potential revenues, and could result in the termination of the Sanofi License Agreement by Sanofi at its election if specified circumstances exist and certain conditions are met.</w:t>
      </w:r>
    </w:p>
    <w:p>
      <w:pPr>
        <w:spacing w:after="0" w:line="135" w:lineRule="exact"/>
        <w:rPr>
          <w:sz w:val="20"/>
          <w:szCs w:val="20"/>
          <w:color w:val="auto"/>
        </w:rPr>
      </w:pPr>
    </w:p>
    <w:p>
      <w:pPr>
        <w:ind w:left="120" w:right="78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If AFREZZA or any other product that we develop does not become widely accepted by physicians, patients, third-party payors and the healthcare community, we may be unable to generate significant revenue, if any.</w:t>
      </w:r>
    </w:p>
    <w:p>
      <w:pPr>
        <w:spacing w:after="0" w:line="3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AFREZZA and our other product candidates may not gain market acceptance among physicians, patients, third-party payors and the healthcare community.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Failure to achieve market acceptance would limit our ability to generate revenue and would adversely affect our results of operations.</w:t>
      </w:r>
    </w:p>
    <w:p>
      <w:pPr>
        <w:spacing w:after="0" w:line="7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degree of market acceptance of AFREZZA and our other product candidates will depend on many factors, including the:</w:t>
      </w:r>
    </w:p>
    <w:p>
      <w:pPr>
        <w:spacing w:after="0" w:line="90" w:lineRule="exact"/>
        <w:rPr>
          <w:sz w:val="20"/>
          <w:szCs w:val="20"/>
          <w:color w:val="auto"/>
        </w:rPr>
      </w:pPr>
    </w:p>
    <w:p>
      <w:pPr>
        <w:ind w:left="220"/>
        <w:spacing w:after="0"/>
        <w:tabs>
          <w:tab w:leader="none" w:pos="4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6"/>
          <w:szCs w:val="16"/>
          <w:color w:val="auto"/>
        </w:rPr>
        <w:t>approved labeling claims;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455" w:right="23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440" w:right="20" w:hanging="216"/>
        <w:spacing w:after="0" w:line="275" w:lineRule="auto"/>
        <w:tabs>
          <w:tab w:leader="none" w:pos="4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effectiveness of efforts by us or our marketing partner(s) to educate physicians about the benefits and advantages of AFREZZA or our other products and to provide adequate support for them, and the perceived advantages and disadvantages of competitive products;</w:t>
      </w:r>
    </w:p>
    <w:p>
      <w:pPr>
        <w:spacing w:after="0" w:line="38" w:lineRule="exact"/>
        <w:rPr>
          <w:rFonts w:ascii="Times New Roman" w:cs="Times New Roman" w:eastAsia="Times New Roman" w:hAnsi="Times New Roman"/>
          <w:sz w:val="18"/>
          <w:szCs w:val="18"/>
          <w:color w:val="auto"/>
        </w:rPr>
      </w:pPr>
    </w:p>
    <w:p>
      <w:pPr>
        <w:ind w:left="440" w:hanging="216"/>
        <w:spacing w:after="0"/>
        <w:tabs>
          <w:tab w:leader="none" w:pos="4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willingness of the healthcare community and patients to adopt new technologies;</w:t>
      </w:r>
    </w:p>
    <w:p>
      <w:pPr>
        <w:spacing w:after="0" w:line="90" w:lineRule="exact"/>
        <w:rPr>
          <w:rFonts w:ascii="Times New Roman" w:cs="Times New Roman" w:eastAsia="Times New Roman" w:hAnsi="Times New Roman"/>
          <w:sz w:val="18"/>
          <w:szCs w:val="18"/>
          <w:color w:val="auto"/>
        </w:rPr>
      </w:pPr>
    </w:p>
    <w:p>
      <w:pPr>
        <w:ind w:left="440" w:hanging="216"/>
        <w:spacing w:after="0"/>
        <w:tabs>
          <w:tab w:leader="none" w:pos="4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manufacture the product in sufficient quantities with acceptable quality and cost;</w:t>
      </w:r>
    </w:p>
    <w:p>
      <w:pPr>
        <w:spacing w:after="0" w:line="90" w:lineRule="exact"/>
        <w:rPr>
          <w:rFonts w:ascii="Times New Roman" w:cs="Times New Roman" w:eastAsia="Times New Roman" w:hAnsi="Times New Roman"/>
          <w:sz w:val="18"/>
          <w:szCs w:val="18"/>
          <w:color w:val="auto"/>
        </w:rPr>
      </w:pPr>
    </w:p>
    <w:p>
      <w:pPr>
        <w:ind w:left="440" w:right="520" w:hanging="216"/>
        <w:spacing w:after="0" w:line="275" w:lineRule="auto"/>
        <w:tabs>
          <w:tab w:leader="none" w:pos="4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perception of patients and the healthcare community, including third-party payors, regarding the safety, efficacy and benefits compared to competing products or therapies;</w:t>
      </w:r>
    </w:p>
    <w:p>
      <w:pPr>
        <w:spacing w:after="0" w:line="38" w:lineRule="exact"/>
        <w:rPr>
          <w:rFonts w:ascii="Times New Roman" w:cs="Times New Roman" w:eastAsia="Times New Roman" w:hAnsi="Times New Roman"/>
          <w:sz w:val="18"/>
          <w:szCs w:val="18"/>
          <w:color w:val="auto"/>
        </w:rPr>
      </w:pPr>
    </w:p>
    <w:p>
      <w:pPr>
        <w:ind w:left="440" w:hanging="216"/>
        <w:spacing w:after="0"/>
        <w:tabs>
          <w:tab w:leader="none" w:pos="4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convenience and ease of administration relative to existing treatment methods;</w:t>
      </w:r>
    </w:p>
    <w:p>
      <w:pPr>
        <w:spacing w:after="0" w:line="90" w:lineRule="exact"/>
        <w:rPr>
          <w:rFonts w:ascii="Times New Roman" w:cs="Times New Roman" w:eastAsia="Times New Roman" w:hAnsi="Times New Roman"/>
          <w:sz w:val="18"/>
          <w:szCs w:val="18"/>
          <w:color w:val="auto"/>
        </w:rPr>
      </w:pPr>
    </w:p>
    <w:p>
      <w:pPr>
        <w:ind w:left="440" w:hanging="216"/>
        <w:spacing w:after="0"/>
        <w:tabs>
          <w:tab w:leader="none" w:pos="4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coverage and pricing and reimbursement relative to other treatment therapeutics and methods; and</w:t>
      </w:r>
    </w:p>
    <w:p>
      <w:pPr>
        <w:spacing w:after="0" w:line="90" w:lineRule="exact"/>
        <w:rPr>
          <w:rFonts w:ascii="Times New Roman" w:cs="Times New Roman" w:eastAsia="Times New Roman" w:hAnsi="Times New Roman"/>
          <w:sz w:val="18"/>
          <w:szCs w:val="18"/>
          <w:color w:val="auto"/>
        </w:rPr>
      </w:pPr>
    </w:p>
    <w:p>
      <w:pPr>
        <w:ind w:left="440" w:hanging="216"/>
        <w:spacing w:after="0"/>
        <w:tabs>
          <w:tab w:leader="none" w:pos="4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marketing and distribution support.</w:t>
      </w:r>
    </w:p>
    <w:p>
      <w:pPr>
        <w:spacing w:after="0" w:line="90" w:lineRule="exact"/>
        <w:rPr>
          <w:sz w:val="20"/>
          <w:szCs w:val="20"/>
          <w:color w:val="auto"/>
        </w:rPr>
      </w:pPr>
    </w:p>
    <w:p>
      <w:pPr>
        <w:ind w:right="60" w:firstLine="228"/>
        <w:spacing w:after="0" w:line="275" w:lineRule="auto"/>
        <w:rPr>
          <w:sz w:val="20"/>
          <w:szCs w:val="20"/>
          <w:color w:val="auto"/>
        </w:rPr>
      </w:pPr>
      <w:r>
        <w:rPr>
          <w:rFonts w:ascii="Times New Roman" w:cs="Times New Roman" w:eastAsia="Times New Roman" w:hAnsi="Times New Roman"/>
          <w:sz w:val="18"/>
          <w:szCs w:val="18"/>
          <w:color w:val="auto"/>
        </w:rPr>
        <w:t>Because of these and other factors, AFREZZA and any other product that we get approved may not gain market acceptance, which would materially harm our business, financial condition and results of operations.</w:t>
      </w:r>
    </w:p>
    <w:p>
      <w:pPr>
        <w:spacing w:after="0" w:line="116" w:lineRule="exact"/>
        <w:rPr>
          <w:sz w:val="20"/>
          <w:szCs w:val="20"/>
          <w:color w:val="auto"/>
        </w:rPr>
      </w:pPr>
    </w:p>
    <w:p>
      <w:pPr>
        <w:ind w:left="120" w:right="56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If third-party payors do not cover AFREZZA or any of our product candidates for which we receive regulatory approval, AFREZZA or such product candidates might not be prescribed, used or purchased, which would adversely affect our revenues.</w:t>
      </w:r>
    </w:p>
    <w:p>
      <w:pPr>
        <w:spacing w:after="0" w:line="34" w:lineRule="exact"/>
        <w:rPr>
          <w:sz w:val="20"/>
          <w:szCs w:val="20"/>
          <w:color w:val="auto"/>
        </w:rPr>
      </w:pPr>
    </w:p>
    <w:p>
      <w:pPr>
        <w:ind w:firstLine="228"/>
        <w:spacing w:after="0" w:line="254" w:lineRule="auto"/>
        <w:rPr>
          <w:sz w:val="20"/>
          <w:szCs w:val="20"/>
          <w:color w:val="auto"/>
        </w:rPr>
      </w:pPr>
      <w:r>
        <w:rPr>
          <w:rFonts w:ascii="Times New Roman" w:cs="Times New Roman" w:eastAsia="Times New Roman" w:hAnsi="Times New Roman"/>
          <w:sz w:val="18"/>
          <w:szCs w:val="18"/>
          <w:color w:val="auto"/>
        </w:rPr>
        <w:t>Our future revenues and ability to generate positive cash flow from operations may be affected by the continuing efforts of governments and third-party payors to contain or reduce the costs of healthcare through various means. For example, in certain foreign markets the pricing of prescription pharmaceuticals is subject to governmental control. In the United States, there has been, and we expect that there will continue to be, a number of federal and state proposals to implement similar governmental controls. We cannot be certain what legislative proposals will be adopted or what actions federal, state or private payors for healthcare goods and services may take in response to any drug pricing reform proposals or legislation. Such reforms may limit our ability to generate revenues from sales of AFREZZA or our other product candidates and achieve profitability. Further, to the extent that such reforms have a material adverse effect on the business, financial condition and profitability of our marketing partner for AFREZZA, and companies that are prospective collaborators for our product candidates, our ability to commercialize AFREZZA and our product candidates under development may be adversely affected.</w:t>
      </w:r>
    </w:p>
    <w:p>
      <w:pPr>
        <w:spacing w:after="0" w:line="57" w:lineRule="exact"/>
        <w:rPr>
          <w:sz w:val="20"/>
          <w:szCs w:val="20"/>
          <w:color w:val="auto"/>
        </w:rPr>
      </w:pPr>
    </w:p>
    <w:p>
      <w:pPr>
        <w:ind w:right="40" w:firstLine="228"/>
        <w:spacing w:after="0" w:line="252" w:lineRule="auto"/>
        <w:rPr>
          <w:sz w:val="20"/>
          <w:szCs w:val="20"/>
          <w:color w:val="auto"/>
        </w:rPr>
      </w:pPr>
      <w:r>
        <w:rPr>
          <w:rFonts w:ascii="Times New Roman" w:cs="Times New Roman" w:eastAsia="Times New Roman" w:hAnsi="Times New Roman"/>
          <w:sz w:val="18"/>
          <w:szCs w:val="18"/>
          <w:color w:val="auto"/>
        </w:rPr>
        <w:t>In the United States and elsewhere, sales of prescription pharmaceuticals still depend in large part on the availability of reimbursement to the consumer from third-party payors, such as governmental and private insurance plans. Third-party payors are increasingly challenging the prices charged for medical products and services. The market for AFREZZA and our product candidates for which we may receive regulatory approval will depend significantly on access to third-party payors’ drug formularies, or lists of medications for which third-party payors provide coverage and reimbursement. The industry competition to be included in such formularies often leads to downward pricing pressures on pharmaceutical companies. Also, third-party payors may refuse to include a particular branded drug in their formularies or otherwise restrict patient access to a branded drug when a less costly generic equivalent or other alternative is available. In addition, because each third-party payor individually approves coverage and reimbursement levels, obtaining coverage and adequate reimbursement is a time-consuming and costly process. We would be required to provide scientific and clinical support for the use of any product to each third-party payor separately with no assurance that approval would be obtained. This process could delay the market acceptance of any product and could have a negative effect on our future revenues and operating results. Even if we succeed in bringing more products to market, we cannot be certain that any such products would be considered cost-effective or that coverage and adequate reimbursement to the consumer would be available. Patients will be unlikely to use our products unless coverage is provided and reimbursement is adequate to cover a significant portion of the cost of our products.</w:t>
      </w:r>
    </w:p>
    <w:p>
      <w:pPr>
        <w:spacing w:after="0" w:line="66" w:lineRule="exact"/>
        <w:rPr>
          <w:sz w:val="20"/>
          <w:szCs w:val="20"/>
          <w:color w:val="auto"/>
        </w:rPr>
      </w:pPr>
    </w:p>
    <w:p>
      <w:pPr>
        <w:ind w:right="140" w:firstLine="228"/>
        <w:spacing w:after="0" w:line="275" w:lineRule="auto"/>
        <w:rPr>
          <w:sz w:val="20"/>
          <w:szCs w:val="20"/>
          <w:color w:val="auto"/>
        </w:rPr>
      </w:pPr>
      <w:r>
        <w:rPr>
          <w:rFonts w:ascii="Times New Roman" w:cs="Times New Roman" w:eastAsia="Times New Roman" w:hAnsi="Times New Roman"/>
          <w:sz w:val="18"/>
          <w:szCs w:val="18"/>
          <w:color w:val="auto"/>
        </w:rPr>
        <w:t>In addition, in many foreign countries, particularly the countries of the European Union, the pricing of prescription drugs is subject to government control. In some non-U.S. jurisdictions, the proposed pricing for a</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455" w:right="23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drug must be approved before it may be lawfully marketed. The requirements governing drug pricing vary widely from country to country. For example, the European Union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We may face competition for AFREZZA or any of our other product candidates that receives marketing approval from lower-priced products in foreign countries that have placed price controls on pharmaceutical products. In addition, there may be importation of foreign products that compete with our own products, which could negatively impact our profitability.</w:t>
      </w:r>
    </w:p>
    <w:p>
      <w:pPr>
        <w:spacing w:after="0" w:line="60" w:lineRule="exact"/>
        <w:rPr>
          <w:sz w:val="20"/>
          <w:szCs w:val="20"/>
          <w:color w:val="auto"/>
        </w:rPr>
      </w:pPr>
    </w:p>
    <w:p>
      <w:pPr>
        <w:ind w:right="120" w:firstLine="228"/>
        <w:spacing w:after="0" w:line="256" w:lineRule="auto"/>
        <w:rPr>
          <w:sz w:val="20"/>
          <w:szCs w:val="20"/>
          <w:color w:val="auto"/>
        </w:rPr>
      </w:pPr>
      <w:r>
        <w:rPr>
          <w:rFonts w:ascii="Times New Roman" w:cs="Times New Roman" w:eastAsia="Times New Roman" w:hAnsi="Times New Roman"/>
          <w:sz w:val="18"/>
          <w:szCs w:val="18"/>
          <w:color w:val="auto"/>
        </w:rPr>
        <w:t>If we or our marketing partner are unable to obtain coverage of, and adequate payment levels for, AFREZZA or any of our other product candidates that receive marketing approval from third-party payors, physicians may limit how much or under what circumstances they will prescribe or administer them and patients may decline to purchase them. This in turn could affect our and our marketing partner’s ability to successfully commercialize AFREZZA and our ability to successfully commercialize any of our other product candidates that receives regulatory approval and impact our profitability, results of operations, financial condition, and prospects.</w:t>
      </w:r>
    </w:p>
    <w:p>
      <w:pPr>
        <w:spacing w:after="0" w:line="13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Healthcare legislation may make it more difficult to receive revenues.</w:t>
      </w:r>
    </w:p>
    <w:p>
      <w:pPr>
        <w:spacing w:after="0" w:line="94" w:lineRule="exact"/>
        <w:rPr>
          <w:sz w:val="20"/>
          <w:szCs w:val="20"/>
          <w:color w:val="auto"/>
        </w:rPr>
      </w:pPr>
    </w:p>
    <w:p>
      <w:pPr>
        <w:ind w:right="60" w:firstLine="228"/>
        <w:spacing w:after="0" w:line="256" w:lineRule="auto"/>
        <w:rPr>
          <w:sz w:val="20"/>
          <w:szCs w:val="20"/>
          <w:color w:val="auto"/>
        </w:rPr>
      </w:pPr>
      <w:r>
        <w:rPr>
          <w:rFonts w:ascii="Times New Roman" w:cs="Times New Roman" w:eastAsia="Times New Roman" w:hAnsi="Times New Roman"/>
          <w:sz w:val="18"/>
          <w:szCs w:val="18"/>
          <w:color w:val="auto"/>
        </w:rPr>
        <w:t>In both the United States and certain foreign jurisdictions, there have been a number of legislative and regulatory proposals in recent years to change the healthcare system in ways that could impact our ability to sell our products profitably. In March 2010, the Patient Protection and Affordable Care Act, as amended by the Health Care and Education Reconciliation Act (collectively, “PPACA”), became law in the United States. PPACA substantially changes the way healthcare is financed by both governmental and private insurers and significantly affects the healthcare industry. Among the provisions of PPACA of importance to us are the following:</w:t>
      </w:r>
    </w:p>
    <w:p>
      <w:pPr>
        <w:spacing w:after="0" w:line="58" w:lineRule="exact"/>
        <w:rPr>
          <w:sz w:val="20"/>
          <w:szCs w:val="20"/>
          <w:color w:val="auto"/>
        </w:rPr>
      </w:pPr>
    </w:p>
    <w:p>
      <w:pPr>
        <w:ind w:left="440" w:right="220" w:hanging="216"/>
        <w:spacing w:after="0" w:line="275" w:lineRule="auto"/>
        <w:tabs>
          <w:tab w:leader="none" w:pos="4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nondeductible fee on any entity that manufactures or imports certain branded prescription drugs and biologic agents, apportioned among these entities according to their market share in certain government healthcare programs;</w:t>
      </w:r>
    </w:p>
    <w:p>
      <w:pPr>
        <w:spacing w:after="0" w:line="38" w:lineRule="exact"/>
        <w:rPr>
          <w:rFonts w:ascii="Times New Roman" w:cs="Times New Roman" w:eastAsia="Times New Roman" w:hAnsi="Times New Roman"/>
          <w:sz w:val="18"/>
          <w:szCs w:val="18"/>
          <w:color w:val="auto"/>
        </w:rPr>
      </w:pPr>
    </w:p>
    <w:p>
      <w:pPr>
        <w:ind w:left="440" w:right="560" w:hanging="216"/>
        <w:spacing w:after="0" w:line="275" w:lineRule="auto"/>
        <w:tabs>
          <w:tab w:leader="none" w:pos="4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2.3% medical device excise tax on certain transactions, including many U.S. sales of medical devices, which currently includes and we expect will continue to include U.S. sales of certain drug-device combination products;</w:t>
      </w:r>
    </w:p>
    <w:p>
      <w:pPr>
        <w:spacing w:after="0" w:line="38" w:lineRule="exact"/>
        <w:rPr>
          <w:rFonts w:ascii="Times New Roman" w:cs="Times New Roman" w:eastAsia="Times New Roman" w:hAnsi="Times New Roman"/>
          <w:sz w:val="18"/>
          <w:szCs w:val="18"/>
          <w:color w:val="auto"/>
        </w:rPr>
      </w:pPr>
    </w:p>
    <w:p>
      <w:pPr>
        <w:ind w:left="440" w:right="680" w:hanging="216"/>
        <w:spacing w:after="0" w:line="275" w:lineRule="auto"/>
        <w:tabs>
          <w:tab w:leader="none" w:pos="4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the statutory minimum rebates a manufacturer must pay under the Medicaid Drug Rebate Program to 23.1% and 13% of the average manufacturer price for most branded and generic drugs, respectively;</w:t>
      </w:r>
    </w:p>
    <w:p>
      <w:pPr>
        <w:spacing w:after="0" w:line="38" w:lineRule="exact"/>
        <w:rPr>
          <w:rFonts w:ascii="Times New Roman" w:cs="Times New Roman" w:eastAsia="Times New Roman" w:hAnsi="Times New Roman"/>
          <w:sz w:val="18"/>
          <w:szCs w:val="18"/>
          <w:color w:val="auto"/>
        </w:rPr>
      </w:pPr>
    </w:p>
    <w:p>
      <w:pPr>
        <w:ind w:left="440" w:right="260" w:hanging="216"/>
        <w:spacing w:after="0" w:line="275" w:lineRule="auto"/>
        <w:tabs>
          <w:tab w:leader="none" w:pos="4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healthcare fraud and abuse laws, including the False Claims Act and the Anti-Kickback Statute, new government investigative powers, and enhanced penalties for noncompliance;</w:t>
      </w:r>
    </w:p>
    <w:p>
      <w:pPr>
        <w:spacing w:after="0" w:line="38" w:lineRule="exact"/>
        <w:rPr>
          <w:rFonts w:ascii="Times New Roman" w:cs="Times New Roman" w:eastAsia="Times New Roman" w:hAnsi="Times New Roman"/>
          <w:sz w:val="18"/>
          <w:szCs w:val="18"/>
          <w:color w:val="auto"/>
        </w:rPr>
      </w:pPr>
    </w:p>
    <w:p>
      <w:pPr>
        <w:ind w:left="440" w:right="60" w:hanging="216"/>
        <w:spacing w:after="0" w:line="262" w:lineRule="auto"/>
        <w:tabs>
          <w:tab w:leader="none" w:pos="4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Medicare Part D coverage gap discount program, in which manufacturers must agree to offer 50% point-of-sale discounts off negotiated prices of applicable brand drugs to eligible beneficiaries during their coverage gap period, as a condition for the manufacturer’s outpatient drugs to be covered under Medicare Part D;</w:t>
      </w:r>
    </w:p>
    <w:p>
      <w:pPr>
        <w:spacing w:after="0" w:line="51" w:lineRule="exact"/>
        <w:rPr>
          <w:rFonts w:ascii="Times New Roman" w:cs="Times New Roman" w:eastAsia="Times New Roman" w:hAnsi="Times New Roman"/>
          <w:sz w:val="18"/>
          <w:szCs w:val="18"/>
          <w:color w:val="auto"/>
        </w:rPr>
      </w:pPr>
    </w:p>
    <w:p>
      <w:pPr>
        <w:ind w:left="440" w:hanging="216"/>
        <w:spacing w:after="0"/>
        <w:tabs>
          <w:tab w:leader="none" w:pos="44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extension of manufacturers’ Medicaid rebate liability to covered drugs dispensed to individuals who are enrolled in Medicaid managed care organizations;</w:t>
      </w:r>
    </w:p>
    <w:p>
      <w:pPr>
        <w:spacing w:after="0" w:line="113" w:lineRule="exact"/>
        <w:rPr>
          <w:rFonts w:ascii="Times New Roman" w:cs="Times New Roman" w:eastAsia="Times New Roman" w:hAnsi="Times New Roman"/>
          <w:sz w:val="16"/>
          <w:szCs w:val="16"/>
          <w:color w:val="auto"/>
        </w:rPr>
      </w:pPr>
    </w:p>
    <w:p>
      <w:pPr>
        <w:ind w:left="440" w:right="300" w:hanging="216"/>
        <w:spacing w:after="0" w:line="275" w:lineRule="auto"/>
        <w:tabs>
          <w:tab w:leader="none" w:pos="4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eligibility criteria for Medicaid programs by, among other things, allowing states to offer Medicaid coverage to additional individuals with income at or below 133% of the Federal Poverty Level, thereby potentially increasing manufacturers’ Medicaid rebate liability;</w:t>
      </w:r>
    </w:p>
    <w:p>
      <w:pPr>
        <w:spacing w:after="0" w:line="38" w:lineRule="exact"/>
        <w:rPr>
          <w:rFonts w:ascii="Times New Roman" w:cs="Times New Roman" w:eastAsia="Times New Roman" w:hAnsi="Times New Roman"/>
          <w:sz w:val="18"/>
          <w:szCs w:val="18"/>
          <w:color w:val="auto"/>
        </w:rPr>
      </w:pPr>
    </w:p>
    <w:p>
      <w:pPr>
        <w:ind w:left="440" w:hanging="216"/>
        <w:spacing w:after="0"/>
        <w:tabs>
          <w:tab w:leader="none" w:pos="4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the entities eligible for discounts under the Public Health Service pharmaceutical pricing program;</w:t>
      </w:r>
    </w:p>
    <w:p>
      <w:pPr>
        <w:spacing w:after="0" w:line="90" w:lineRule="exact"/>
        <w:rPr>
          <w:rFonts w:ascii="Times New Roman" w:cs="Times New Roman" w:eastAsia="Times New Roman" w:hAnsi="Times New Roman"/>
          <w:sz w:val="18"/>
          <w:szCs w:val="18"/>
          <w:color w:val="auto"/>
        </w:rPr>
      </w:pPr>
    </w:p>
    <w:p>
      <w:pPr>
        <w:ind w:left="440" w:hanging="216"/>
        <w:spacing w:after="0" w:line="262" w:lineRule="auto"/>
        <w:tabs>
          <w:tab w:leader="none" w:pos="4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requirements to report annually to the Centers for Medicare &amp; Medicaid Services (“CMS”) certain financial arrangements with physicians and teaching hospitals, as defined in PPACA and its implementing regulations, including reporting any “payments or transfers of value” made or distributed to prescribers,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455" w:right="23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460" w:right="400"/>
        <w:spacing w:after="0" w:line="275" w:lineRule="auto"/>
        <w:rPr>
          <w:sz w:val="20"/>
          <w:szCs w:val="20"/>
          <w:color w:val="auto"/>
        </w:rPr>
      </w:pPr>
      <w:r>
        <w:rPr>
          <w:rFonts w:ascii="Times New Roman" w:cs="Times New Roman" w:eastAsia="Times New Roman" w:hAnsi="Times New Roman"/>
          <w:sz w:val="18"/>
          <w:szCs w:val="18"/>
          <w:color w:val="auto"/>
        </w:rPr>
        <w:t>teaching hospitals and other healthcare providers and reporting any ownership and investment interests held by physicians and their immediate family members and applicable group purchasing organizations during the preceding calendar year;</w:t>
      </w:r>
    </w:p>
    <w:p>
      <w:pPr>
        <w:spacing w:after="0" w:line="39" w:lineRule="exact"/>
        <w:rPr>
          <w:sz w:val="20"/>
          <w:szCs w:val="20"/>
          <w:color w:val="auto"/>
        </w:rPr>
      </w:pPr>
    </w:p>
    <w:p>
      <w:pPr>
        <w:ind w:left="440" w:hanging="216"/>
        <w:spacing w:after="0"/>
        <w:tabs>
          <w:tab w:leader="none" w:pos="4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requirement to annually report drug samples that certain manufacturers and authorized distributors provide to physicians; and</w:t>
      </w:r>
    </w:p>
    <w:p>
      <w:pPr>
        <w:spacing w:after="0" w:line="90" w:lineRule="exact"/>
        <w:rPr>
          <w:rFonts w:ascii="Times New Roman" w:cs="Times New Roman" w:eastAsia="Times New Roman" w:hAnsi="Times New Roman"/>
          <w:sz w:val="18"/>
          <w:szCs w:val="18"/>
          <w:color w:val="auto"/>
        </w:rPr>
      </w:pPr>
    </w:p>
    <w:p>
      <w:pPr>
        <w:ind w:left="440" w:right="180" w:hanging="216"/>
        <w:spacing w:after="0" w:line="275" w:lineRule="auto"/>
        <w:tabs>
          <w:tab w:leader="none" w:pos="4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Patient-Centered Outcomes Research Institute to oversee, identify priorities in, and conduct comparative clinical effectiveness research, along with funding for such research.</w:t>
      </w:r>
    </w:p>
    <w:p>
      <w:pPr>
        <w:spacing w:after="0" w:line="39" w:lineRule="exact"/>
        <w:rPr>
          <w:sz w:val="20"/>
          <w:szCs w:val="20"/>
          <w:color w:val="auto"/>
        </w:rPr>
      </w:pPr>
    </w:p>
    <w:p>
      <w:pPr>
        <w:ind w:right="60" w:firstLine="228"/>
        <w:spacing w:after="0" w:line="253" w:lineRule="auto"/>
        <w:rPr>
          <w:sz w:val="20"/>
          <w:szCs w:val="20"/>
          <w:color w:val="auto"/>
        </w:rPr>
      </w:pPr>
      <w:r>
        <w:rPr>
          <w:rFonts w:ascii="Times New Roman" w:cs="Times New Roman" w:eastAsia="Times New Roman" w:hAnsi="Times New Roman"/>
          <w:sz w:val="18"/>
          <w:szCs w:val="18"/>
          <w:color w:val="auto"/>
        </w:rPr>
        <w:t>In addition, other legislative changes have been proposed and adopted since PPACA was enacted. For example, on August 2,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to Medicare payments to providers of up to 2% per fiscal year, starting in 2013, and will stay in effect through 2024 unless additional Congressional action is taken. On January 2, 2013, President Obama signed into law the American Taxpayer Relief Act of 2012 (the “ATRA”), which, among other things, reduced Medicare payments to several providers, including hospitals, imaging centers and cancer treatment centers, and increased the statute of limitations period for the government to recover overpayments to providers from three to five years. These new laws may result in additional reductions in Medicare and other healthcare funding, which could have a material adverse effect on our customers and accordingly, our financial operations.</w:t>
      </w:r>
    </w:p>
    <w:p>
      <w:pPr>
        <w:spacing w:after="0" w:line="62" w:lineRule="exact"/>
        <w:rPr>
          <w:sz w:val="20"/>
          <w:szCs w:val="20"/>
          <w:color w:val="auto"/>
        </w:rPr>
      </w:pPr>
    </w:p>
    <w:p>
      <w:pPr>
        <w:ind w:right="40" w:firstLine="228"/>
        <w:spacing w:after="0" w:line="301" w:lineRule="auto"/>
        <w:rPr>
          <w:sz w:val="20"/>
          <w:szCs w:val="20"/>
          <w:color w:val="auto"/>
        </w:rPr>
      </w:pPr>
      <w:r>
        <w:rPr>
          <w:rFonts w:ascii="Times New Roman" w:cs="Times New Roman" w:eastAsia="Times New Roman" w:hAnsi="Times New Roman"/>
          <w:sz w:val="16"/>
          <w:szCs w:val="16"/>
          <w:color w:val="auto"/>
        </w:rPr>
        <w:t>We expect that PPACA, as well as other healthcare reform measures that may be adopted in the future, may result in more rigorous coverage criteria and in additional downward pressure on the price that we receive for any approved product, and could seriously harm our future revenues. Any reduction in reimbursement from Medicare or other government programs may result in a similar reduction in payments from private third-party payors. The implementation of cost containment measures or other healthcare reforms may prevent us from being able to generate revenue, attain profitability, or commercialize our products.</w:t>
      </w:r>
    </w:p>
    <w:p>
      <w:pPr>
        <w:spacing w:after="0" w:line="99" w:lineRule="exact"/>
        <w:rPr>
          <w:sz w:val="20"/>
          <w:szCs w:val="20"/>
          <w:color w:val="auto"/>
        </w:rPr>
      </w:pPr>
    </w:p>
    <w:p>
      <w:pPr>
        <w:ind w:left="12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If we or our marketing partner fail to comply with federal and state healthcare laws, including fraud and abuse and health information privacy and security laws, we could face substantial penalties and our business, results of operations, financial condition and prospects could be adversely affected.</w:t>
      </w:r>
    </w:p>
    <w:p>
      <w:pPr>
        <w:spacing w:after="0" w:line="34" w:lineRule="exact"/>
        <w:rPr>
          <w:sz w:val="20"/>
          <w:szCs w:val="20"/>
          <w:color w:val="auto"/>
        </w:rPr>
      </w:pPr>
    </w:p>
    <w:p>
      <w:pPr>
        <w:ind w:right="80" w:firstLine="228"/>
        <w:spacing w:after="0" w:line="258" w:lineRule="auto"/>
        <w:rPr>
          <w:sz w:val="20"/>
          <w:szCs w:val="20"/>
          <w:color w:val="auto"/>
        </w:rPr>
      </w:pPr>
      <w:r>
        <w:rPr>
          <w:rFonts w:ascii="Times New Roman" w:cs="Times New Roman" w:eastAsia="Times New Roman" w:hAnsi="Times New Roman"/>
          <w:sz w:val="18"/>
          <w:szCs w:val="18"/>
          <w:color w:val="auto"/>
        </w:rPr>
        <w:t>As a biopharmaceutical company, even though we do not and will not control referrals of healthcare services or bill directly to Medicare, Medicaid or other third-party payors, certain federal and state healthcare laws and regulations, including those pertaining to fraud and abuse and patients’ rights are and will be applicable to our business. For example, we could be subject to healthcare fraud and abuse and patient privacy regulation by both the federal government and the states in which we conduct our business. The laws that may affect our ability to operate include, among others:</w:t>
      </w:r>
    </w:p>
    <w:p>
      <w:pPr>
        <w:spacing w:after="0" w:line="55" w:lineRule="exact"/>
        <w:rPr>
          <w:sz w:val="20"/>
          <w:szCs w:val="20"/>
          <w:color w:val="auto"/>
        </w:rPr>
      </w:pPr>
    </w:p>
    <w:p>
      <w:pPr>
        <w:ind w:left="440" w:right="160" w:hanging="216"/>
        <w:spacing w:after="0" w:line="258" w:lineRule="auto"/>
        <w:tabs>
          <w:tab w:leader="none" w:pos="4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constrains our business activities, including our marketing practices, educational programs, pricing policies, and relationships with healthcare providers or other entities by prohibiting, among other things, soliciting, receiving, offering or paying remuneration, directly or indirectly, to induce, or in return for, either the referral of an individual or the purchase or recommendation of an item or service reimbursable under a federal healthcare program, such as the Medicare and Medicaid programs;</w:t>
      </w:r>
    </w:p>
    <w:p>
      <w:pPr>
        <w:spacing w:after="0" w:line="55" w:lineRule="exact"/>
        <w:rPr>
          <w:rFonts w:ascii="Times New Roman" w:cs="Times New Roman" w:eastAsia="Times New Roman" w:hAnsi="Times New Roman"/>
          <w:sz w:val="18"/>
          <w:szCs w:val="18"/>
          <w:color w:val="auto"/>
        </w:rPr>
      </w:pPr>
    </w:p>
    <w:p>
      <w:pPr>
        <w:ind w:left="440" w:right="300" w:hanging="216"/>
        <w:spacing w:after="0" w:line="334" w:lineRule="auto"/>
        <w:tabs>
          <w:tab w:leader="none" w:pos="44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federal civil and criminal false claims laws and civil monetary penalty laws, which prohibit, among other things, individuals or entities from knowingly presenting, or causing to be presented, claims for payment from Medicare, Medicaid, or other third-party payors that are false or fraudulent;</w:t>
      </w:r>
    </w:p>
    <w:p>
      <w:pPr>
        <w:spacing w:after="0" w:line="1" w:lineRule="exact"/>
        <w:rPr>
          <w:rFonts w:ascii="Times New Roman" w:cs="Times New Roman" w:eastAsia="Times New Roman" w:hAnsi="Times New Roman"/>
          <w:sz w:val="16"/>
          <w:szCs w:val="16"/>
          <w:color w:val="auto"/>
        </w:rPr>
      </w:pPr>
    </w:p>
    <w:p>
      <w:pPr>
        <w:ind w:left="440" w:right="80" w:hanging="216"/>
        <w:spacing w:after="0" w:line="275" w:lineRule="auto"/>
        <w:tabs>
          <w:tab w:leader="none" w:pos="4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(“HIPAA”), which created new federal criminal statutes that prohibit, among other things, executing a scheme to defraud any healthcare benefit program or making false statements relating to healthcare matters;</w:t>
      </w:r>
    </w:p>
    <w:p>
      <w:pPr>
        <w:spacing w:after="0" w:line="38" w:lineRule="exact"/>
        <w:rPr>
          <w:rFonts w:ascii="Times New Roman" w:cs="Times New Roman" w:eastAsia="Times New Roman" w:hAnsi="Times New Roman"/>
          <w:sz w:val="18"/>
          <w:szCs w:val="18"/>
          <w:color w:val="auto"/>
        </w:rPr>
      </w:pPr>
    </w:p>
    <w:p>
      <w:pPr>
        <w:ind w:left="440" w:right="140" w:hanging="216"/>
        <w:spacing w:after="0" w:line="275" w:lineRule="auto"/>
        <w:tabs>
          <w:tab w:leader="none" w:pos="4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Act of 2009 (“HITECH”) and its implementing regulations, which imposes certain requirements relating to the privacy, security and transmission of individually identifiable health information;</w:t>
      </w:r>
    </w:p>
    <w:p>
      <w:pPr>
        <w:spacing w:after="0" w:line="1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00"/>
          </w:cols>
          <w:pgMar w:left="240" w:top="455" w:right="25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440" w:right="220" w:hanging="216"/>
        <w:spacing w:after="0" w:line="262" w:lineRule="auto"/>
        <w:tabs>
          <w:tab w:leader="none" w:pos="4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sunshine requirements under PPACA, which requires certain manufacturers of drugs, devices, biologics, and medical supplies to report annually to the CMS information related to payments and other transfers of value to physicians, other healthcare providers, and teaching hospitals, and ownership and investment interests held by physicians and other healthcare providers and their immediate family members; and</w:t>
      </w:r>
    </w:p>
    <w:p>
      <w:pPr>
        <w:spacing w:after="0" w:line="51" w:lineRule="exact"/>
        <w:rPr>
          <w:rFonts w:ascii="Times New Roman" w:cs="Times New Roman" w:eastAsia="Times New Roman" w:hAnsi="Times New Roman"/>
          <w:sz w:val="18"/>
          <w:szCs w:val="18"/>
          <w:color w:val="auto"/>
        </w:rPr>
      </w:pPr>
    </w:p>
    <w:p>
      <w:pPr>
        <w:ind w:left="440" w:right="100" w:hanging="216"/>
        <w:spacing w:after="0" w:line="254" w:lineRule="auto"/>
        <w:tabs>
          <w:tab w:leader="none" w:pos="4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and foreign law equivalents of each of the above federal laws, such as anti-kickback and false claims laws which may apply to items or services reimbursed by any third-party payor, including commercial insurers, and state and foreign laws governing the privacy and security of health information in certain circumstances, many of which differ from each other in significant ways and often are not preempted by HIPAA, thus complicating compliance efforts; state laws that require pharmaceutical companies to comply with the industry’s voluntary compliance guidelines and the applicable compliance guidance promulgated by the federal government that otherwise restricts certain payments that may be made to healthcare providers and entities; and state laws that require drug manufacturers to report information related to payments and other transfer of value to physicians and other healthcare providers and entities.</w:t>
      </w:r>
    </w:p>
    <w:p>
      <w:pPr>
        <w:spacing w:after="0" w:line="60" w:lineRule="exact"/>
        <w:rPr>
          <w:sz w:val="20"/>
          <w:szCs w:val="20"/>
          <w:color w:val="auto"/>
        </w:rPr>
      </w:pPr>
    </w:p>
    <w:p>
      <w:pPr>
        <w:ind w:right="140" w:firstLine="228"/>
        <w:spacing w:after="0" w:line="253" w:lineRule="auto"/>
        <w:rPr>
          <w:sz w:val="20"/>
          <w:szCs w:val="20"/>
          <w:color w:val="auto"/>
        </w:rPr>
      </w:pPr>
      <w:r>
        <w:rPr>
          <w:rFonts w:ascii="Times New Roman" w:cs="Times New Roman" w:eastAsia="Times New Roman" w:hAnsi="Times New Roman"/>
          <w:sz w:val="18"/>
          <w:szCs w:val="18"/>
          <w:color w:val="auto"/>
        </w:rPr>
        <w:t>Because of the breadth of these laws and the narrowness of available statutory and regulatory exceptions, it is possible that some of our business activities could be subject to challenge under one or more of such laws. To the extent that AFREZZA or any of our product candidates that receives marketing approval is ultimately sold in a foreign country, we may be subject to similar foreign laws and regulations. If we or our operations are found to be in violation of any of the laws described above or any other governmental regulations that apply to us, we may be subject to penalties, including civil and criminal penalties, damages, fines, individual imprisonment, disgorgement, exclusion of products from reimbursement under U.S. federal or state healthcare programs, and the curtailment or restructuring of our operations. Any penalties, damages, fines, curtailment or restructuring of our operations could materially adversely affect our ability to operate our business and our financial results. Although compliance programs can mitigate the risk of investigation and prosecution for violations of these laws, the risks cannot be entirely eliminated. Any action against us for violation of these laws, even if we successfully defend against it, could cause us to incur significant legal expenses and divert our management’s attention from the operation of our business. Moreover, achieving and sustaining compliance with applicable federal and state privacy, security and fraud laws may prove costly.</w:t>
      </w:r>
    </w:p>
    <w:p>
      <w:pPr>
        <w:spacing w:after="0" w:line="13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If product liability claims are brought against us, we may incur significant liabilities and suffer damage to our reputation.</w:t>
      </w:r>
    </w:p>
    <w:p>
      <w:pPr>
        <w:spacing w:after="0" w:line="94" w:lineRule="exact"/>
        <w:rPr>
          <w:sz w:val="20"/>
          <w:szCs w:val="20"/>
          <w:color w:val="auto"/>
        </w:rPr>
      </w:pPr>
    </w:p>
    <w:p>
      <w:pPr>
        <w:ind w:firstLine="228"/>
        <w:spacing w:after="0" w:line="253" w:lineRule="auto"/>
        <w:rPr>
          <w:sz w:val="20"/>
          <w:szCs w:val="20"/>
          <w:color w:val="auto"/>
        </w:rPr>
      </w:pPr>
      <w:r>
        <w:rPr>
          <w:rFonts w:ascii="Times New Roman" w:cs="Times New Roman" w:eastAsia="Times New Roman" w:hAnsi="Times New Roman"/>
          <w:sz w:val="18"/>
          <w:szCs w:val="18"/>
          <w:color w:val="auto"/>
        </w:rPr>
        <w:t>The testing, manufacturing, marketing and sale of AFREZZA and our other product candidates expose us to potential product liability claims. A product liability claim may result in substantial judgments as well as consume significant financial and management resources and result in adverse publicity, decreased demand for a product, injury to our reputation, withdrawal of clinical studies volunteers and loss of revenues. We currently carry worldwide product liability insurance in the amount of $10.0 million. In addition, we carry local clinical trial insurance policies per study in each country in which we conduct clinical studies that require us to carry coverage based on local statutory requirements. However, our insurance coverage may not be adequate to satisfy any liability that may arise, and because insurance coverage in our industry can be very expensive and difficult to obtain, we cannot assure you that we will be able to obtain sufficient coverage at an acceptable cost, if at all. If losses from such claims exceed our liability insurance coverage, we may ourselves incur substantial liabilities. If we are required to pay a product liability claim our business, financial condition and results of operations would be harmed and the market price of our common stock and other securities may decline.</w:t>
      </w:r>
    </w:p>
    <w:p>
      <w:pPr>
        <w:spacing w:after="0" w:line="1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If we lose any key employees or scientific advisors, our operations and our ability to execute our business strategy could be materially harmed.</w:t>
      </w:r>
    </w:p>
    <w:p>
      <w:pPr>
        <w:spacing w:after="0" w:line="94" w:lineRule="exact"/>
        <w:rPr>
          <w:sz w:val="20"/>
          <w:szCs w:val="20"/>
          <w:color w:val="auto"/>
        </w:rPr>
      </w:pPr>
    </w:p>
    <w:p>
      <w:pPr>
        <w:jc w:val="both"/>
        <w:ind w:right="100" w:firstLine="228"/>
        <w:spacing w:after="0" w:line="262" w:lineRule="auto"/>
        <w:rPr>
          <w:sz w:val="20"/>
          <w:szCs w:val="20"/>
          <w:color w:val="auto"/>
        </w:rPr>
      </w:pPr>
      <w:r>
        <w:rPr>
          <w:rFonts w:ascii="Times New Roman" w:cs="Times New Roman" w:eastAsia="Times New Roman" w:hAnsi="Times New Roman"/>
          <w:sz w:val="18"/>
          <w:szCs w:val="18"/>
          <w:color w:val="auto"/>
        </w:rPr>
        <w:t>We face intense competition for qualified employees among companies in the biotechnology and biopharmaceutical industries. Our success depends upon our ability to attract, retain and motivate highly skilled employees. We may be unable to attract and retain these individuals on acceptable terms, if at all. In addition, in order to commercialize AFREZZA successfully, we may be required to expand our work force, particularly in</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455" w:right="23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60"/>
        <w:spacing w:after="0" w:line="275" w:lineRule="auto"/>
        <w:rPr>
          <w:sz w:val="20"/>
          <w:szCs w:val="20"/>
          <w:color w:val="auto"/>
        </w:rPr>
      </w:pPr>
      <w:r>
        <w:rPr>
          <w:rFonts w:ascii="Times New Roman" w:cs="Times New Roman" w:eastAsia="Times New Roman" w:hAnsi="Times New Roman"/>
          <w:sz w:val="18"/>
          <w:szCs w:val="18"/>
          <w:color w:val="auto"/>
        </w:rPr>
        <w:t>the areas of manufacturing. These activities will require the addition of new personnel, including management, and the development of additional expertise by existing personnel, and we cannot assure you that we will be able to attract or retain any such new personnel on acceptable terms, if at all.</w:t>
      </w:r>
    </w:p>
    <w:p>
      <w:pPr>
        <w:spacing w:after="0" w:line="39" w:lineRule="exact"/>
        <w:rPr>
          <w:sz w:val="20"/>
          <w:szCs w:val="20"/>
          <w:color w:val="auto"/>
        </w:rPr>
      </w:pPr>
    </w:p>
    <w:p>
      <w:pPr>
        <w:ind w:right="100" w:firstLine="228"/>
        <w:spacing w:after="0" w:line="256" w:lineRule="auto"/>
        <w:rPr>
          <w:sz w:val="20"/>
          <w:szCs w:val="20"/>
          <w:color w:val="auto"/>
        </w:rPr>
      </w:pPr>
      <w:r>
        <w:rPr>
          <w:rFonts w:ascii="Times New Roman" w:cs="Times New Roman" w:eastAsia="Times New Roman" w:hAnsi="Times New Roman"/>
          <w:sz w:val="18"/>
          <w:szCs w:val="18"/>
          <w:color w:val="auto"/>
        </w:rPr>
        <w:t>The loss of the services of any principal member of our management and scientific staff could significantly delay or prevent the achievement of our scientific and business objectives. All of our employees are “at will” and we currently do not have employment agreements with any of the principal members of our management or scientific staff, and we do not have key person life insurance to cover the loss of any of these individuals. Replacing key employees may be difficult and time-consuming because of the limited number of individuals in our industry with the skills and experience required to develop, gain regulatory approval of and commercialize products successfully.</w:t>
      </w:r>
    </w:p>
    <w:p>
      <w:pPr>
        <w:spacing w:after="0" w:line="58" w:lineRule="exact"/>
        <w:rPr>
          <w:sz w:val="20"/>
          <w:szCs w:val="20"/>
          <w:color w:val="auto"/>
        </w:rPr>
      </w:pPr>
    </w:p>
    <w:p>
      <w:pPr>
        <w:ind w:right="100" w:firstLine="228"/>
        <w:spacing w:after="0" w:line="255" w:lineRule="auto"/>
        <w:rPr>
          <w:sz w:val="20"/>
          <w:szCs w:val="20"/>
          <w:color w:val="auto"/>
        </w:rPr>
      </w:pPr>
      <w:r>
        <w:rPr>
          <w:rFonts w:ascii="Times New Roman" w:cs="Times New Roman" w:eastAsia="Times New Roman" w:hAnsi="Times New Roman"/>
          <w:sz w:val="18"/>
          <w:szCs w:val="18"/>
          <w:color w:val="auto"/>
        </w:rPr>
        <w:t>We have relationships with scientific advisors at academic and other institutions to conduct research or assist us in formulating our research, development or clinical strategy. These scientific advisors are not our employees and may have commitments to, and other obligations with, other entities that may limit their availability to us. We have limited control over the activities of these scientific advisors and can generally expect these individuals to devote only limited time to our activities. Failure of any of these persons to devote sufficient time and resources to our programs could harm our business. In addition, these advisors are not prohibited from, and may have arrangements with, other companies to assist those companies in developing technologies that may compete with AFREZZA or our product candidates.</w:t>
      </w:r>
    </w:p>
    <w:p>
      <w:pPr>
        <w:spacing w:after="0" w:line="135" w:lineRule="exact"/>
        <w:rPr>
          <w:sz w:val="20"/>
          <w:szCs w:val="20"/>
          <w:color w:val="auto"/>
        </w:rPr>
      </w:pPr>
    </w:p>
    <w:p>
      <w:pPr>
        <w:ind w:left="120" w:right="18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If our internal controls over financial reporting are not considered effective, our business, financial condition and market price of our common stock and other securities could be adversely affected.</w:t>
      </w:r>
    </w:p>
    <w:p>
      <w:pPr>
        <w:spacing w:after="0" w:line="34" w:lineRule="exact"/>
        <w:rPr>
          <w:sz w:val="20"/>
          <w:szCs w:val="20"/>
          <w:color w:val="auto"/>
        </w:rPr>
      </w:pPr>
    </w:p>
    <w:p>
      <w:pPr>
        <w:ind w:right="60" w:firstLine="228"/>
        <w:spacing w:after="0" w:line="258" w:lineRule="auto"/>
        <w:rPr>
          <w:sz w:val="20"/>
          <w:szCs w:val="20"/>
          <w:color w:val="auto"/>
        </w:rPr>
      </w:pPr>
      <w:r>
        <w:rPr>
          <w:rFonts w:ascii="Times New Roman" w:cs="Times New Roman" w:eastAsia="Times New Roman" w:hAnsi="Times New Roman"/>
          <w:sz w:val="18"/>
          <w:szCs w:val="18"/>
          <w:color w:val="auto"/>
        </w:rPr>
        <w:t>Section 404 of the Sarbanes-Oxley Act of 2002 requires us to evaluate the effectiveness of our internal controls over financial reporting as of the end of each fiscal year, and to include a management report assessing the effectiveness of our internal controls over financial reporting in our annual report on Form 10-K for that fiscal year. Section 404 also requires our independent registered public accounting firm to attest to, and report on, our internal controls over financial reporting.</w:t>
      </w:r>
    </w:p>
    <w:p>
      <w:pPr>
        <w:spacing w:after="0" w:line="55" w:lineRule="exact"/>
        <w:rPr>
          <w:sz w:val="20"/>
          <w:szCs w:val="20"/>
          <w:color w:val="auto"/>
        </w:rPr>
      </w:pPr>
    </w:p>
    <w:p>
      <w:pPr>
        <w:ind w:firstLine="228"/>
        <w:spacing w:after="0" w:line="252"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does not expect that our internal controls over financial reporting will prevent all errors and all fraud. A control system, no matter how well designed and operated, can provide only reasonable, not absolute, assurance that the control system’s objectives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involving a company have been, or will be, detected. The design of any system of controls is based in part on certain assumptions about the likelihood of future events, and we cannot assure you that any design will succeed in achieving its stated goals under all potential future conditions. Over time, controls may become inadequate because of changes in conditions or deterioration in the degree of compliance with policies or procedures. Because of the inherent limitations in a cost-effective control system, misstatements due to error or fraud may occur and not be detected. We cannot assure you that we or our independent registered public accounting firm will not identify a material weakness in our internal controls in the future. A material weakness in our internal controls over financial reporting would require management and our independent registered public accounting firm to evaluate our internal controls as ineffective. If our internal controls over financial reporting are not considered effective, we may experience a loss of public confidence, which could have an adverse effect on our business, financial condition and the market price of our common stock and other securities.</w:t>
      </w:r>
    </w:p>
    <w:p>
      <w:pPr>
        <w:spacing w:after="0" w:line="143" w:lineRule="exact"/>
        <w:rPr>
          <w:sz w:val="20"/>
          <w:szCs w:val="20"/>
          <w:color w:val="auto"/>
        </w:rPr>
      </w:pPr>
    </w:p>
    <w:p>
      <w:pPr>
        <w:ind w:left="120" w:right="12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may undertake internal restructuring activities in the future that could result in disruptions to our business or otherwise materially harm our results of operations or financial condition.</w:t>
      </w:r>
    </w:p>
    <w:p>
      <w:pPr>
        <w:spacing w:after="0" w:line="34" w:lineRule="exact"/>
        <w:rPr>
          <w:sz w:val="20"/>
          <w:szCs w:val="20"/>
          <w:color w:val="auto"/>
        </w:rPr>
      </w:pPr>
    </w:p>
    <w:p>
      <w:pPr>
        <w:ind w:right="20" w:firstLine="228"/>
        <w:spacing w:after="0" w:line="262" w:lineRule="auto"/>
        <w:rPr>
          <w:sz w:val="20"/>
          <w:szCs w:val="20"/>
          <w:color w:val="auto"/>
        </w:rPr>
      </w:pPr>
      <w:r>
        <w:rPr>
          <w:rFonts w:ascii="Times New Roman" w:cs="Times New Roman" w:eastAsia="Times New Roman" w:hAnsi="Times New Roman"/>
          <w:sz w:val="18"/>
          <w:szCs w:val="18"/>
          <w:color w:val="auto"/>
        </w:rPr>
        <w:t>From time to time we may undertake internal restructuring activities as we continue to evaluate and attempt to optimize our cost and operating structure in light of developments in our business strategy and long-term operating plans. These activities may result in write-offs or other restructuring charges. There can be no</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00"/>
          </w:cols>
          <w:pgMar w:left="240" w:top="455" w:right="25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assurance that any restructuring activities that we undertake will achieve the cost savings, operating efficiencies or other benefits that we may initially expect. Restructuring activities may also result in a loss of continuity, accumulated knowledge and inefficiency during transitional periods and thereafter. In addition, internal restructurings can require a significant amount of time and focus from management and other employees, which may divert attention from commercial operations. If we undertake any internal restructuring activities and fail to achieve some or all of the expected benefits therefrom, our business, results of operations and financial condition could be materially and adversely affected.</w:t>
      </w:r>
    </w:p>
    <w:p>
      <w:pPr>
        <w:spacing w:after="0" w:line="13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operations might be interrupted by the occurrence of a natural disaster or other catastrophic event.</w:t>
      </w:r>
    </w:p>
    <w:p>
      <w:pPr>
        <w:spacing w:after="0" w:line="94" w:lineRule="exact"/>
        <w:rPr>
          <w:sz w:val="20"/>
          <w:szCs w:val="20"/>
          <w:color w:val="auto"/>
        </w:rPr>
      </w:pPr>
    </w:p>
    <w:p>
      <w:pPr>
        <w:ind w:firstLine="228"/>
        <w:spacing w:after="0" w:line="253" w:lineRule="auto"/>
        <w:rPr>
          <w:sz w:val="20"/>
          <w:szCs w:val="20"/>
          <w:color w:val="auto"/>
        </w:rPr>
      </w:pPr>
      <w:r>
        <w:rPr>
          <w:rFonts w:ascii="Times New Roman" w:cs="Times New Roman" w:eastAsia="Times New Roman" w:hAnsi="Times New Roman"/>
          <w:sz w:val="18"/>
          <w:szCs w:val="18"/>
          <w:color w:val="auto"/>
        </w:rPr>
        <w:t>We expect that at least for the foreseeable future, our manufacturing facility in Danbury, Connecticut will be the sole location for the manufacturing of AFREZZA. This facility and the manufacturing equipment we use would be costly to replace and could require substantial lead time to repair or replace. In addition, we are headquartered in Valencia, California. This facility contains our principal executive offices and is used to provide support for the development of our Technosphere technology programs. We depend on our facilities and on collaborators, contractors and vendors for the continued operation of our business, some of whom are located in other countries. Natural disasters or other catastrophic events, including interruptions in the supply of natural resources, political and governmental changes, severe weather conditions, wildfires and other fires, explosions, actions of animal rights activists, terrorist attacks, volcanic eruptions, earthquakes and wars could disrupt our operations or those of our collaborators, contractors and vendors. We might suffer losses as a result of business interruptions that exceed the coverage available under our and our contractors’ insurance policies or for which we or our contractors do not have coverage. For example, we are not insured against a terrorist attack. Any natural disaster or catastrophic event could have a significant negative impact on our operations and financial results. Moreover, any such event could delay our research and development programs and adversely affect, which may include stopping, our readiness for commercial production.</w:t>
      </w:r>
    </w:p>
    <w:p>
      <w:pPr>
        <w:spacing w:after="0" w:line="13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deal with hazardous materials and must comply with environmental laws and regulations, which can be expensive and restrict how we do business.</w:t>
      </w:r>
    </w:p>
    <w:p>
      <w:pPr>
        <w:spacing w:after="0" w:line="94" w:lineRule="exact"/>
        <w:rPr>
          <w:sz w:val="20"/>
          <w:szCs w:val="20"/>
          <w:color w:val="auto"/>
        </w:rPr>
      </w:pPr>
    </w:p>
    <w:p>
      <w:pPr>
        <w:ind w:firstLine="228"/>
        <w:spacing w:after="0" w:line="287" w:lineRule="auto"/>
        <w:rPr>
          <w:sz w:val="20"/>
          <w:szCs w:val="20"/>
          <w:color w:val="auto"/>
        </w:rPr>
      </w:pPr>
      <w:r>
        <w:rPr>
          <w:rFonts w:ascii="Times New Roman" w:cs="Times New Roman" w:eastAsia="Times New Roman" w:hAnsi="Times New Roman"/>
          <w:sz w:val="16"/>
          <w:szCs w:val="16"/>
          <w:color w:val="auto"/>
        </w:rPr>
        <w:t>Our research and development work involves the controlled storage and use of hazardous materials, including chemical and biological materials. In addition, our manufacturing operations involve the use of a chemical that may form an explosive mixture under certain conditions. Our operations also produce hazardous waste products. We are subject to federal, state and local laws and regulations (i) governing how we use, manufacture, store, handle and dispose of these materials</w:t>
      </w:r>
    </w:p>
    <w:p>
      <w:pPr>
        <w:spacing w:after="0" w:line="1" w:lineRule="exact"/>
        <w:rPr>
          <w:sz w:val="20"/>
          <w:szCs w:val="20"/>
          <w:color w:val="auto"/>
        </w:rPr>
      </w:pPr>
    </w:p>
    <w:p>
      <w:pPr>
        <w:ind w:right="60" w:firstLine="8"/>
        <w:spacing w:after="0" w:line="252" w:lineRule="auto"/>
        <w:tabs>
          <w:tab w:leader="none" w:pos="25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imposing liability for costs of cleaning up, and damages to natural resources from past spills, waste disposals on and off-site, or other releases of hazardous materials or regulated substances, and (iii) regulating workplace safety. Moreover, the risk of accidental contamination or injury from hazardous materials cannot be completely eliminated, and in the event of an accident, we could be held liable for any damages that may result, and any liability could fall outside the coverage or exceed the limits of our insurance. Currently, our general liability policy provides coverage up to $1.0 million per occurrence and $2.0 million in the aggregate and is supplemented by an umbrella policy that provides a further $4.0 million of coverage; however, our insurance policy excludes pollution liability coverage and we do not carry a separate hazardous materials policy. In addition, we could be required to incur significant costs to comply with environmental laws and regulations in the future. Finally, current or future environmental laws and regulations may impair our research, development or production efforts or have an adverse impact on our business, results of operations and financial condition.</w:t>
      </w:r>
    </w:p>
    <w:p>
      <w:pPr>
        <w:spacing w:after="0" w:line="59" w:lineRule="exact"/>
        <w:rPr>
          <w:sz w:val="20"/>
          <w:szCs w:val="20"/>
          <w:color w:val="auto"/>
        </w:rPr>
      </w:pPr>
    </w:p>
    <w:p>
      <w:pPr>
        <w:ind w:right="80" w:firstLine="228"/>
        <w:spacing w:after="0" w:line="256" w:lineRule="auto"/>
        <w:rPr>
          <w:sz w:val="20"/>
          <w:szCs w:val="20"/>
          <w:color w:val="auto"/>
        </w:rPr>
      </w:pPr>
      <w:r>
        <w:rPr>
          <w:rFonts w:ascii="Times New Roman" w:cs="Times New Roman" w:eastAsia="Times New Roman" w:hAnsi="Times New Roman"/>
          <w:sz w:val="18"/>
          <w:szCs w:val="18"/>
          <w:color w:val="auto"/>
        </w:rPr>
        <w:t>When we purchased the facilities located in Danbury, Connecticut in 2001, a soil and groundwater investigation and remediation was being conducted by a former site operator (the responsible party) under the oversight of the Connecticut Department of Environmental Protection. During the construction of our expanded manufacturing facility, we excavated contaminated soil under the footprint of our building expansion location. The responsible party reimbursed us for our increased excavation and disposal costs of contaminated soil in the amount of $1.6 million. It has conducted at its expense all work and will make all filings necessary to achieve closure for the environmental remediation conducted at the site, and has agreed to indemnify us for any future</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00"/>
          </w:cols>
          <w:pgMar w:left="240" w:top="455" w:right="25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720"/>
        <w:spacing w:after="0" w:line="275" w:lineRule="auto"/>
        <w:rPr>
          <w:sz w:val="20"/>
          <w:szCs w:val="20"/>
          <w:color w:val="auto"/>
        </w:rPr>
      </w:pPr>
      <w:r>
        <w:rPr>
          <w:rFonts w:ascii="Times New Roman" w:cs="Times New Roman" w:eastAsia="Times New Roman" w:hAnsi="Times New Roman"/>
          <w:sz w:val="18"/>
          <w:szCs w:val="18"/>
          <w:color w:val="auto"/>
        </w:rPr>
        <w:t>costs and expenses we may incur that are directly related to the final closure. If we are unable to collect these future costs and expenses, if any, from the responsible party, our business, financial condition and results of operations may be harmed.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w:t>
      </w:r>
    </w:p>
    <w:p>
      <w:pPr>
        <w:spacing w:after="0" w:line="88" w:lineRule="exact"/>
        <w:rPr>
          <w:sz w:val="20"/>
          <w:szCs w:val="20"/>
          <w:color w:val="auto"/>
        </w:rPr>
      </w:pPr>
    </w:p>
    <w:p>
      <w:pPr>
        <w:ind w:left="120" w:right="8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must undergo costly and time-consuming rigorous nonclinical and clinical testing and we must obtain regulatory approval prior to the sale and marketing of any product in each jurisdiction. The results of this testing or issues that develop in the review and approval by a regulatory agency may subject us to unanticipated delays or prevent us from marketing any products</w:t>
      </w:r>
    </w:p>
    <w:p>
      <w:pPr>
        <w:spacing w:after="0" w:line="48" w:lineRule="exact"/>
        <w:rPr>
          <w:sz w:val="20"/>
          <w:szCs w:val="20"/>
          <w:color w:val="auto"/>
        </w:rPr>
      </w:pPr>
    </w:p>
    <w:p>
      <w:pPr>
        <w:jc w:val="both"/>
        <w:ind w:right="400" w:firstLine="228"/>
        <w:spacing w:after="0" w:line="262" w:lineRule="auto"/>
        <w:rPr>
          <w:sz w:val="20"/>
          <w:szCs w:val="20"/>
          <w:color w:val="auto"/>
        </w:rPr>
      </w:pPr>
      <w:r>
        <w:rPr>
          <w:rFonts w:ascii="Times New Roman" w:cs="Times New Roman" w:eastAsia="Times New Roman" w:hAnsi="Times New Roman"/>
          <w:sz w:val="18"/>
          <w:szCs w:val="18"/>
          <w:color w:val="auto"/>
        </w:rPr>
        <w:t>Our research and development activities, as well as the manufacturing and marketing of AFREZZA and our product candidates, are subject to regulation, including regulation for safety, efficacy and quality, by the FDA in the United States and comparable authorities in other countries. FDA regulations and the regulations of comparable foreign regulatory authorities are wide-ranging and govern, among other things:</w:t>
      </w:r>
    </w:p>
    <w:p>
      <w:pPr>
        <w:spacing w:after="0" w:line="51" w:lineRule="exact"/>
        <w:rPr>
          <w:sz w:val="20"/>
          <w:szCs w:val="20"/>
          <w:color w:val="auto"/>
        </w:rPr>
      </w:pPr>
    </w:p>
    <w:p>
      <w:pPr>
        <w:ind w:left="440" w:hanging="216"/>
        <w:spacing w:after="0"/>
        <w:tabs>
          <w:tab w:leader="none" w:pos="4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design, development, manufacture and testing;</w:t>
      </w:r>
    </w:p>
    <w:p>
      <w:pPr>
        <w:spacing w:after="0" w:line="90" w:lineRule="exact"/>
        <w:rPr>
          <w:rFonts w:ascii="Times New Roman" w:cs="Times New Roman" w:eastAsia="Times New Roman" w:hAnsi="Times New Roman"/>
          <w:sz w:val="18"/>
          <w:szCs w:val="18"/>
          <w:color w:val="auto"/>
        </w:rPr>
      </w:pPr>
    </w:p>
    <w:p>
      <w:pPr>
        <w:ind w:left="440" w:hanging="216"/>
        <w:spacing w:after="0"/>
        <w:tabs>
          <w:tab w:leader="none" w:pos="4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labeling;</w:t>
      </w:r>
    </w:p>
    <w:p>
      <w:pPr>
        <w:spacing w:after="0" w:line="90" w:lineRule="exact"/>
        <w:rPr>
          <w:rFonts w:ascii="Times New Roman" w:cs="Times New Roman" w:eastAsia="Times New Roman" w:hAnsi="Times New Roman"/>
          <w:sz w:val="18"/>
          <w:szCs w:val="18"/>
          <w:color w:val="auto"/>
        </w:rPr>
      </w:pPr>
    </w:p>
    <w:p>
      <w:pPr>
        <w:ind w:left="440" w:hanging="216"/>
        <w:spacing w:after="0"/>
        <w:tabs>
          <w:tab w:leader="none" w:pos="4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storage and shipping;</w:t>
      </w:r>
    </w:p>
    <w:p>
      <w:pPr>
        <w:spacing w:after="0" w:line="90" w:lineRule="exact"/>
        <w:rPr>
          <w:rFonts w:ascii="Times New Roman" w:cs="Times New Roman" w:eastAsia="Times New Roman" w:hAnsi="Times New Roman"/>
          <w:sz w:val="18"/>
          <w:szCs w:val="18"/>
          <w:color w:val="auto"/>
        </w:rPr>
      </w:pPr>
    </w:p>
    <w:p>
      <w:pPr>
        <w:ind w:left="440" w:hanging="216"/>
        <w:spacing w:after="0"/>
        <w:tabs>
          <w:tab w:leader="none" w:pos="4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pre-market clearance or approval;</w:t>
      </w:r>
    </w:p>
    <w:p>
      <w:pPr>
        <w:spacing w:after="0" w:line="90" w:lineRule="exact"/>
        <w:rPr>
          <w:rFonts w:ascii="Times New Roman" w:cs="Times New Roman" w:eastAsia="Times New Roman" w:hAnsi="Times New Roman"/>
          <w:sz w:val="18"/>
          <w:szCs w:val="18"/>
          <w:color w:val="auto"/>
        </w:rPr>
      </w:pPr>
    </w:p>
    <w:p>
      <w:pPr>
        <w:ind w:left="440" w:hanging="216"/>
        <w:spacing w:after="0"/>
        <w:tabs>
          <w:tab w:leader="none" w:pos="4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advertising and promotion; and</w:t>
      </w:r>
    </w:p>
    <w:p>
      <w:pPr>
        <w:spacing w:after="0" w:line="90" w:lineRule="exact"/>
        <w:rPr>
          <w:rFonts w:ascii="Times New Roman" w:cs="Times New Roman" w:eastAsia="Times New Roman" w:hAnsi="Times New Roman"/>
          <w:sz w:val="18"/>
          <w:szCs w:val="18"/>
          <w:color w:val="auto"/>
        </w:rPr>
      </w:pPr>
    </w:p>
    <w:p>
      <w:pPr>
        <w:ind w:left="440" w:hanging="216"/>
        <w:spacing w:after="0"/>
        <w:tabs>
          <w:tab w:leader="none" w:pos="4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sales and distribution.</w:t>
      </w:r>
    </w:p>
    <w:p>
      <w:pPr>
        <w:spacing w:after="0" w:line="90" w:lineRule="exact"/>
        <w:rPr>
          <w:sz w:val="20"/>
          <w:szCs w:val="20"/>
          <w:color w:val="auto"/>
        </w:rPr>
      </w:pPr>
    </w:p>
    <w:p>
      <w:pPr>
        <w:ind w:right="80" w:firstLine="228"/>
        <w:spacing w:after="0" w:line="255" w:lineRule="auto"/>
        <w:rPr>
          <w:sz w:val="20"/>
          <w:szCs w:val="20"/>
          <w:color w:val="auto"/>
        </w:rPr>
      </w:pPr>
      <w:r>
        <w:rPr>
          <w:rFonts w:ascii="Times New Roman" w:cs="Times New Roman" w:eastAsia="Times New Roman" w:hAnsi="Times New Roman"/>
          <w:sz w:val="18"/>
          <w:szCs w:val="18"/>
          <w:color w:val="auto"/>
        </w:rPr>
        <w:t>The requirements governing the conduct of clinical studies and manufacturing and marketing of AFREZZA and our product candidates outside the United States vary widely from country to country. Foreign approvals may take longer to obtain than FDA approvals and can require, among other things, additional testing and different clinical study designs. Foreign regulatory approval processes include essentially all of the risks associated with the FDA approval processes. Some of those agencies also must approve prices of the products. Approval of a product by the FDA does not ensure approval of the same product by the health authorities of other countries. In addition, changes in regulatory policy in the United States or in foreign countries for product approval during the period of product development and regulatory agency review of each submitted new application may cause delays or rejections.</w:t>
      </w:r>
    </w:p>
    <w:p>
      <w:pPr>
        <w:spacing w:after="0" w:line="58" w:lineRule="exact"/>
        <w:rPr>
          <w:sz w:val="20"/>
          <w:szCs w:val="20"/>
          <w:color w:val="auto"/>
        </w:rPr>
      </w:pPr>
    </w:p>
    <w:p>
      <w:pPr>
        <w:ind w:firstLine="228"/>
        <w:spacing w:after="0" w:line="291" w:lineRule="auto"/>
        <w:rPr>
          <w:sz w:val="20"/>
          <w:szCs w:val="20"/>
          <w:color w:val="auto"/>
        </w:rPr>
      </w:pPr>
      <w:r>
        <w:rPr>
          <w:rFonts w:ascii="Times New Roman" w:cs="Times New Roman" w:eastAsia="Times New Roman" w:hAnsi="Times New Roman"/>
          <w:sz w:val="16"/>
          <w:szCs w:val="16"/>
          <w:color w:val="auto"/>
        </w:rPr>
        <w:t>Clinical testing can be costly and take many years, and the outcome is uncertain and susceptible to varying interpretations. We cannot be certain if or when regulatory agencies might request additional studies, under what conditions such studies might be requested, or what the size or length of any such studies might be. The clinical studies of our product candidates may not be completed on schedule, regulatory agencies may order us to stop or modify our research, or these agencies may not ultimately approve any of our product candidates for commercial sale. The data collected from our clinical studies may not be sufficient to support regulatory approval of our product candidates. Even if we believe the data collected from our clinical studies are sufficient, regulatory agencies have substantial discretion in the approval process and may disagree with our interpretation of the data. Our failure to adequately demonstrate the safety and efficacy of any of our product candidates would delay or prevent regulatory approval of our product candidates, which could prevent us from achieving profitability.</w:t>
      </w:r>
    </w:p>
    <w:p>
      <w:pPr>
        <w:spacing w:after="0" w:line="32" w:lineRule="exact"/>
        <w:rPr>
          <w:sz w:val="20"/>
          <w:szCs w:val="20"/>
          <w:color w:val="auto"/>
        </w:rPr>
      </w:pPr>
    </w:p>
    <w:p>
      <w:pPr>
        <w:jc w:val="both"/>
        <w:ind w:right="220" w:firstLine="228"/>
        <w:spacing w:after="0" w:line="258" w:lineRule="auto"/>
        <w:rPr>
          <w:sz w:val="20"/>
          <w:szCs w:val="20"/>
          <w:color w:val="auto"/>
        </w:rPr>
      </w:pPr>
      <w:r>
        <w:rPr>
          <w:rFonts w:ascii="Times New Roman" w:cs="Times New Roman" w:eastAsia="Times New Roman" w:hAnsi="Times New Roman"/>
          <w:sz w:val="18"/>
          <w:szCs w:val="18"/>
          <w:color w:val="auto"/>
        </w:rPr>
        <w:t>Questions that have been raised about the safety of marketed drugs generally, including pertaining to the lack of adequate labeling, may result in increased cautiousness by regulatory agencies in reviewing new drugs based on safety, efficacy, or other regulatory considerations and may result in significant delays in obtaining regulatory approvals. Such regulatory considerations may also result in the imposition of more restrictive drug labeling or marketing requirements as conditions of approval, which may significantly affect the marketability of our drug products.</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00"/>
          </w:cols>
          <w:pgMar w:left="240" w:top="455" w:right="25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120" w:right="24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If we do not comply with regulatory requirements at any stage, whether before or after marketing approval is obtained, we may be subject to criminal prosecution, fined or forced to remove a product from the market or experience other adverse consequences, including restrictions or delays in obtaining regulatory marketing approval.</w:t>
      </w:r>
    </w:p>
    <w:p>
      <w:pPr>
        <w:spacing w:after="0" w:line="48" w:lineRule="exact"/>
        <w:rPr>
          <w:sz w:val="20"/>
          <w:szCs w:val="20"/>
          <w:color w:val="auto"/>
        </w:rPr>
      </w:pPr>
    </w:p>
    <w:p>
      <w:pPr>
        <w:ind w:right="80" w:firstLine="228"/>
        <w:spacing w:after="0" w:line="275" w:lineRule="auto"/>
        <w:rPr>
          <w:sz w:val="20"/>
          <w:szCs w:val="20"/>
          <w:color w:val="auto"/>
        </w:rPr>
      </w:pPr>
      <w:r>
        <w:rPr>
          <w:rFonts w:ascii="Times New Roman" w:cs="Times New Roman" w:eastAsia="Times New Roman" w:hAnsi="Times New Roman"/>
          <w:sz w:val="18"/>
          <w:szCs w:val="18"/>
          <w:color w:val="auto"/>
        </w:rPr>
        <w:t>Even if we comply with regulatory requirements, we may not be able to obtain the labeling claims necessary or desirable for product promotion. We may also be required to undertake post-marketing studies. For example, the FDA is requiring the following post-marketing studies for AFREZZA:</w:t>
      </w:r>
    </w:p>
    <w:p>
      <w:pPr>
        <w:spacing w:after="0" w:line="39" w:lineRule="exact"/>
        <w:rPr>
          <w:sz w:val="20"/>
          <w:szCs w:val="20"/>
          <w:color w:val="auto"/>
        </w:rPr>
      </w:pPr>
    </w:p>
    <w:p>
      <w:pPr>
        <w:ind w:left="440" w:hanging="216"/>
        <w:spacing w:after="0"/>
        <w:tabs>
          <w:tab w:leader="none" w:pos="4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clinical trial to evaluate pharmacokinetics, safety and efficacy in pediatric patients;</w:t>
      </w:r>
    </w:p>
    <w:p>
      <w:pPr>
        <w:spacing w:after="0" w:line="90" w:lineRule="exact"/>
        <w:rPr>
          <w:rFonts w:ascii="Times New Roman" w:cs="Times New Roman" w:eastAsia="Times New Roman" w:hAnsi="Times New Roman"/>
          <w:sz w:val="18"/>
          <w:szCs w:val="18"/>
          <w:color w:val="auto"/>
        </w:rPr>
      </w:pPr>
    </w:p>
    <w:p>
      <w:pPr>
        <w:ind w:left="440" w:hanging="216"/>
        <w:spacing w:after="0" w:line="275" w:lineRule="auto"/>
        <w:tabs>
          <w:tab w:leader="none" w:pos="4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clinical trial to evaluate the potential risk of pulmonary malignancy with AFREZZA (as well as cardiovascular risk and the long-term effect of AFREZZA on pulmonary function); and</w:t>
      </w:r>
    </w:p>
    <w:p>
      <w:pPr>
        <w:spacing w:after="0" w:line="38" w:lineRule="exact"/>
        <w:rPr>
          <w:rFonts w:ascii="Times New Roman" w:cs="Times New Roman" w:eastAsia="Times New Roman" w:hAnsi="Times New Roman"/>
          <w:sz w:val="18"/>
          <w:szCs w:val="18"/>
          <w:color w:val="auto"/>
        </w:rPr>
      </w:pPr>
    </w:p>
    <w:p>
      <w:pPr>
        <w:ind w:left="440" w:hanging="216"/>
        <w:spacing w:after="0"/>
        <w:tabs>
          <w:tab w:leader="none" w:pos="4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pharmacokinetic-pharmacodynamic studies, one to characterize dose-response and one to characterize within-subject variability.</w:t>
      </w:r>
    </w:p>
    <w:p>
      <w:pPr>
        <w:spacing w:after="0" w:line="90" w:lineRule="exact"/>
        <w:rPr>
          <w:sz w:val="20"/>
          <w:szCs w:val="20"/>
          <w:color w:val="auto"/>
        </w:rPr>
      </w:pPr>
    </w:p>
    <w:p>
      <w:pPr>
        <w:jc w:val="both"/>
        <w:ind w:right="20" w:firstLine="228"/>
        <w:spacing w:after="0" w:line="258" w:lineRule="auto"/>
        <w:rPr>
          <w:sz w:val="20"/>
          <w:szCs w:val="20"/>
          <w:color w:val="auto"/>
        </w:rPr>
      </w:pPr>
      <w:r>
        <w:rPr>
          <w:rFonts w:ascii="Times New Roman" w:cs="Times New Roman" w:eastAsia="Times New Roman" w:hAnsi="Times New Roman"/>
          <w:sz w:val="18"/>
          <w:szCs w:val="18"/>
          <w:color w:val="auto"/>
        </w:rPr>
        <w:t>In addition, if we or other parties identify adverse effects after any of our products are on the market, or if manufacturing problems occur, regulatory approval may be withdrawn and a reformulation of our products, additional clinical studies, changes in labeling of, or indications of use for, our products and/or additional marketing applications may be required. If we encounter any of the foregoing problems, our business, financial condition and results of operations will be harmed and the market price of our common stock and other securities may decline.</w:t>
      </w:r>
    </w:p>
    <w:p>
      <w:pPr>
        <w:spacing w:after="0" w:line="13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stringent, ongoing government regulation.</w:t>
      </w:r>
    </w:p>
    <w:p>
      <w:pPr>
        <w:spacing w:after="0" w:line="94" w:lineRule="exact"/>
        <w:rPr>
          <w:sz w:val="20"/>
          <w:szCs w:val="20"/>
          <w:color w:val="auto"/>
        </w:rPr>
      </w:pPr>
    </w:p>
    <w:p>
      <w:pPr>
        <w:ind w:right="320" w:firstLine="228"/>
        <w:spacing w:after="0" w:line="258" w:lineRule="auto"/>
        <w:rPr>
          <w:sz w:val="20"/>
          <w:szCs w:val="20"/>
          <w:color w:val="auto"/>
        </w:rPr>
      </w:pPr>
      <w:r>
        <w:rPr>
          <w:rFonts w:ascii="Times New Roman" w:cs="Times New Roman" w:eastAsia="Times New Roman" w:hAnsi="Times New Roman"/>
          <w:sz w:val="18"/>
          <w:szCs w:val="18"/>
          <w:color w:val="auto"/>
        </w:rPr>
        <w:t>The manufacture, marketing and sale of AFREZZA are subject to stringent and ongoing government regulation. The FDA may also withdraw product approvals if problems concerning the safety or efficacy of a product appear following approval. We cannot be sure that FDA and United States Congressional initiatives or actions by foreign regulatory bodies pertaining to ensuring the safety of marketed drugs or other developments pertaining to the pharmaceutical industry will not adversely affect our operations.</w:t>
      </w:r>
    </w:p>
    <w:p>
      <w:pPr>
        <w:spacing w:after="0" w:line="55" w:lineRule="exact"/>
        <w:rPr>
          <w:sz w:val="20"/>
          <w:szCs w:val="20"/>
          <w:color w:val="auto"/>
        </w:rPr>
      </w:pPr>
    </w:p>
    <w:p>
      <w:pPr>
        <w:ind w:right="80" w:firstLine="228"/>
        <w:spacing w:after="0" w:line="253" w:lineRule="auto"/>
        <w:rPr>
          <w:sz w:val="20"/>
          <w:szCs w:val="20"/>
          <w:color w:val="auto"/>
        </w:rPr>
      </w:pPr>
      <w:r>
        <w:rPr>
          <w:rFonts w:ascii="Times New Roman" w:cs="Times New Roman" w:eastAsia="Times New Roman" w:hAnsi="Times New Roman"/>
          <w:sz w:val="18"/>
          <w:szCs w:val="18"/>
          <w:color w:val="auto"/>
        </w:rPr>
        <w:t>We also are required to register our establishments and list our products with the FDA and certain state agencies. We and any third-party manufacturers or suppliers must continually adhere to federal regulations setting forth requirements, known as cGMP (for drugs) and QSR (for medical devices), and their foreign equivalents, which are enforced by the FDA and other national regulatory bodies through their facilities inspection programs. In complying with cGMP and foreign regulatory requirements, we and any of our potential third-party manufacturers or suppliers will be obligated to expend time, money and effort in production, record-keeping and quality control to ensure that our products meet applicable specifications and other requirements. QSR requirements also impose extensive testing, control and documentation requirements. State regulatory agencies and the regulatory agencies of other countries have similar requirements. In addition, we will be required to comply with regulatory requirements of the FDA, state regulatory agencies and the regulatory agencies of other countries concerning the reporting of adverse events and device malfunctions, corrections and removals (e.g., recalls), promotion and advertising and general prohibitions against the manufacture and distribution of adulterated and misbranded devices. Failure to comply with these regulatory requirements could result in civil fines, product seizures, injunctions and/or criminal prosecution of responsible individuals and us. Any such actions would have a material adverse effect on our business, financial condition and results of operations.</w:t>
      </w:r>
    </w:p>
    <w:p>
      <w:pPr>
        <w:spacing w:after="0" w:line="13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suppliers are subject to FDA inspection.</w:t>
      </w:r>
    </w:p>
    <w:p>
      <w:pPr>
        <w:spacing w:after="0" w:line="94" w:lineRule="exact"/>
        <w:rPr>
          <w:sz w:val="20"/>
          <w:szCs w:val="20"/>
          <w:color w:val="auto"/>
        </w:rPr>
      </w:pPr>
    </w:p>
    <w:p>
      <w:pPr>
        <w:ind w:right="60" w:firstLine="228"/>
        <w:spacing w:after="0" w:line="256" w:lineRule="auto"/>
        <w:rPr>
          <w:sz w:val="20"/>
          <w:szCs w:val="20"/>
          <w:color w:val="auto"/>
        </w:rPr>
      </w:pPr>
      <w:r>
        <w:rPr>
          <w:rFonts w:ascii="Times New Roman" w:cs="Times New Roman" w:eastAsia="Times New Roman" w:hAnsi="Times New Roman"/>
          <w:sz w:val="18"/>
          <w:szCs w:val="18"/>
          <w:color w:val="auto"/>
        </w:rPr>
        <w:t>We depend on suppliers for insulin and other materials that comprise AFREZZA, including our AFREZZA inhaler and cartridges. Each supplier must comply with relevant regulatory requirements and is subject to inspection by the FDA. There can be no assurance, in the conduct of an inspection of any of our suppliers that the agency would find that the supplier substantially complies with the QSR or cGMP requirements, where applicable. If we or any potential third-party manufacturer or supplier fails to comply with these requirements or comparable requirements in foreign countries, regulatory authorities may subject us to regulatory action, including criminal prosecutions, fines and suspension of the manufacture of our products.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00"/>
          </w:cols>
          <w:pgMar w:left="240" w:top="455" w:right="25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80" w:firstLine="228"/>
        <w:spacing w:after="0" w:line="262" w:lineRule="auto"/>
        <w:rPr>
          <w:sz w:val="20"/>
          <w:szCs w:val="20"/>
          <w:color w:val="auto"/>
        </w:rPr>
      </w:pPr>
      <w:r>
        <w:rPr>
          <w:rFonts w:ascii="Times New Roman" w:cs="Times New Roman" w:eastAsia="Times New Roman" w:hAnsi="Times New Roman"/>
          <w:sz w:val="18"/>
          <w:szCs w:val="18"/>
          <w:color w:val="auto"/>
        </w:rPr>
        <w:t>If we are required to find a new or additional supplier of insulin, we will be required to evaluate the new supplier’s ability to provide insulin that meets regulatory requirements, including cGMP requirements as well as our specifications and quality requirements, which would require significant time and expense and could delay the manufacturing and commercialization of AFREZZA.</w:t>
      </w:r>
    </w:p>
    <w:p>
      <w:pPr>
        <w:spacing w:after="0" w:line="128" w:lineRule="exact"/>
        <w:rPr>
          <w:sz w:val="20"/>
          <w:szCs w:val="20"/>
          <w:color w:val="auto"/>
        </w:rPr>
      </w:pPr>
    </w:p>
    <w:p>
      <w:pPr>
        <w:ind w:left="120" w:right="52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Reports of side effects or safety concerns in related technology fields or in other companies’ clinical studies could delay or prevent us from obtaining regulatory approval for our product candidates or negatively impact public perception of AFREZZA or our other product candidates.</w:t>
      </w:r>
    </w:p>
    <w:p>
      <w:pPr>
        <w:spacing w:after="0" w:line="34" w:lineRule="exact"/>
        <w:rPr>
          <w:sz w:val="20"/>
          <w:szCs w:val="20"/>
          <w:color w:val="auto"/>
        </w:rPr>
      </w:pPr>
    </w:p>
    <w:p>
      <w:pPr>
        <w:ind w:right="20" w:firstLine="228"/>
        <w:spacing w:after="0" w:line="256" w:lineRule="auto"/>
        <w:rPr>
          <w:sz w:val="20"/>
          <w:szCs w:val="20"/>
          <w:color w:val="auto"/>
        </w:rPr>
      </w:pPr>
      <w:r>
        <w:rPr>
          <w:rFonts w:ascii="Times New Roman" w:cs="Times New Roman" w:eastAsia="Times New Roman" w:hAnsi="Times New Roman"/>
          <w:sz w:val="18"/>
          <w:szCs w:val="18"/>
          <w:color w:val="auto"/>
        </w:rPr>
        <w:t>At present, there are a number of clinical studies being conducted by other pharmaceutical companies involving insulin delivery systems. If other pharmaceutical companies announce that they observed frequent adverse events in their studies involving insulin therapies, we may be subject to class warnings in the label for AFREZZA. In addition, the public perception of AFREZZA might be adversely affected, which could harm our business, financial condition and results of operations and cause the market price of our common stock and other securities to decline, even if the concern relates to another company’s products or product candidates.</w:t>
      </w:r>
    </w:p>
    <w:p>
      <w:pPr>
        <w:spacing w:after="0" w:line="58" w:lineRule="exact"/>
        <w:rPr>
          <w:sz w:val="20"/>
          <w:szCs w:val="20"/>
          <w:color w:val="auto"/>
        </w:rPr>
      </w:pPr>
    </w:p>
    <w:p>
      <w:pPr>
        <w:ind w:right="40" w:firstLine="228"/>
        <w:spacing w:after="0" w:line="258" w:lineRule="auto"/>
        <w:rPr>
          <w:sz w:val="20"/>
          <w:szCs w:val="20"/>
          <w:color w:val="auto"/>
        </w:rPr>
      </w:pPr>
      <w:r>
        <w:rPr>
          <w:rFonts w:ascii="Times New Roman" w:cs="Times New Roman" w:eastAsia="Times New Roman" w:hAnsi="Times New Roman"/>
          <w:sz w:val="18"/>
          <w:szCs w:val="18"/>
          <w:color w:val="auto"/>
        </w:rPr>
        <w:t>There are also a number of clinical studies being conducted by other pharmaceutical companies involving compounds similar to, or competitive with, our other product candidates. Adverse results reported by these other companies in their clinical studies could delay or prevent us from obtaining regulatory approval or negatively impact public perception of our product candidates, which could harm our business, financial condition and results of operations and cause the market price of our common stock and other securities to decline.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our proprietary rights, we may not be able to compete effectively, or operate profitably.</w:t>
      </w:r>
    </w:p>
    <w:p>
      <w:pPr>
        <w:spacing w:after="0" w:line="94" w:lineRule="exact"/>
        <w:rPr>
          <w:sz w:val="20"/>
          <w:szCs w:val="20"/>
          <w:color w:val="auto"/>
        </w:rPr>
      </w:pPr>
    </w:p>
    <w:p>
      <w:pPr>
        <w:ind w:right="40" w:firstLine="228"/>
        <w:spacing w:after="0" w:line="254" w:lineRule="auto"/>
        <w:rPr>
          <w:sz w:val="20"/>
          <w:szCs w:val="20"/>
          <w:color w:val="auto"/>
        </w:rPr>
      </w:pPr>
      <w:r>
        <w:rPr>
          <w:rFonts w:ascii="Times New Roman" w:cs="Times New Roman" w:eastAsia="Times New Roman" w:hAnsi="Times New Roman"/>
          <w:sz w:val="18"/>
          <w:szCs w:val="18"/>
          <w:color w:val="auto"/>
        </w:rPr>
        <w:t>Our commercial success depends, in large part, on our ability to obtain and maintain intellectual property protection for our technology. Our ability to do so will depend on, among other things, complex legal and factual questions, and it should be noted that the standards regarding intellectual property rights in our fields are still evolving. We attempt to protect our proprietary technology through a combination of patents, trade secrets and confidentiality agreements. We own a number of domestic and international patents, have a number of domestic and international patent applications pending and have licenses to additional patents. We cannot assure you that our patents and licenses will successfully preclude others from using our technologies, and we could incur substantial costs in seeking enforcement of our proprietary rights against infringement. Even if issued, the patents may not give us an advantage over competitors with alternative technologies.</w:t>
      </w:r>
    </w:p>
    <w:p>
      <w:pPr>
        <w:spacing w:after="0" w:line="60" w:lineRule="exact"/>
        <w:rPr>
          <w:sz w:val="20"/>
          <w:szCs w:val="20"/>
          <w:color w:val="auto"/>
        </w:rPr>
      </w:pPr>
    </w:p>
    <w:p>
      <w:pPr>
        <w:ind w:right="80" w:firstLine="228"/>
        <w:spacing w:after="0" w:line="301" w:lineRule="auto"/>
        <w:rPr>
          <w:sz w:val="20"/>
          <w:szCs w:val="20"/>
          <w:color w:val="auto"/>
        </w:rPr>
      </w:pPr>
      <w:r>
        <w:rPr>
          <w:rFonts w:ascii="Times New Roman" w:cs="Times New Roman" w:eastAsia="Times New Roman" w:hAnsi="Times New Roman"/>
          <w:sz w:val="16"/>
          <w:szCs w:val="16"/>
          <w:color w:val="auto"/>
        </w:rPr>
        <w:t>Moreover, the term of a patent is limited and, as a result, the patents protecting our products expire at various dates. For example, some patents providing protection for AFREZZA inhalation powder have terms extending into 2020, 2030 and 2031. In addition, patents providing protection for our inhaler and cartridges have terms extending into 2023, 2031 and 2032, and we have method of treatment claims that extend into 2026 and 2029. As and when these different patents expire, AFREZZA could become subject to increased competition. As a consequence, we may not be able to recover our development costs.</w:t>
      </w:r>
    </w:p>
    <w:p>
      <w:pPr>
        <w:spacing w:after="0" w:line="22" w:lineRule="exact"/>
        <w:rPr>
          <w:sz w:val="20"/>
          <w:szCs w:val="20"/>
          <w:color w:val="auto"/>
        </w:rPr>
      </w:pPr>
    </w:p>
    <w:p>
      <w:pPr>
        <w:jc w:val="both"/>
        <w:ind w:firstLine="228"/>
        <w:spacing w:after="0" w:line="256" w:lineRule="auto"/>
        <w:rPr>
          <w:sz w:val="20"/>
          <w:szCs w:val="20"/>
          <w:color w:val="auto"/>
        </w:rPr>
      </w:pPr>
      <w:r>
        <w:rPr>
          <w:rFonts w:ascii="Times New Roman" w:cs="Times New Roman" w:eastAsia="Times New Roman" w:hAnsi="Times New Roman"/>
          <w:sz w:val="18"/>
          <w:szCs w:val="18"/>
          <w:color w:val="auto"/>
        </w:rPr>
        <w:t>Moreover, the issuance of a patent is not conclusive as to its validity or enforceability and it is uncertain how much protection, if any, will be afforded by our patents. A third party may challenge the validity or enforceability of a patent after its issuance by various proceedings such as oppositions in foreign jurisdictions or re-examinations or other review in the United States. In some instances we may seek re-examination or reissuance of our own patents. If we attempt to enforce our patents, they may be challenged in court where they could be held invalid, unenforceable, or have their breadth narrowed to an extent that would destroy their value.</w:t>
      </w:r>
    </w:p>
    <w:p>
      <w:pPr>
        <w:spacing w:after="0" w:line="58" w:lineRule="exact"/>
        <w:rPr>
          <w:sz w:val="20"/>
          <w:szCs w:val="20"/>
          <w:color w:val="auto"/>
        </w:rPr>
      </w:pPr>
    </w:p>
    <w:p>
      <w:pPr>
        <w:ind w:right="360" w:firstLine="228"/>
        <w:spacing w:after="0" w:line="262" w:lineRule="auto"/>
        <w:rPr>
          <w:sz w:val="20"/>
          <w:szCs w:val="20"/>
          <w:color w:val="auto"/>
        </w:rPr>
      </w:pPr>
      <w:r>
        <w:rPr>
          <w:rFonts w:ascii="Times New Roman" w:cs="Times New Roman" w:eastAsia="Times New Roman" w:hAnsi="Times New Roman"/>
          <w:sz w:val="18"/>
          <w:szCs w:val="18"/>
          <w:color w:val="auto"/>
        </w:rPr>
        <w:t>On September 16, 2011, the Leahy-Smith America Invents Act (the “Leahy-Smith Act”) was signed into law. The Leahy-Smith Act includes a number of significant changes to United States patent law. These include provisions that affect the way patent applications will be prosecuted, subjected to post-grant challenge, and may also affect patent litigation. The United States Patent and Trademark Office (“USPTO”) is continuing to develop</w:t>
      </w:r>
    </w:p>
    <w:p>
      <w:pPr>
        <w:spacing w:after="0" w:line="1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380"/>
          </w:cols>
          <w:pgMar w:left="240" w:top="455" w:right="27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0"/>
        <w:spacing w:after="0" w:line="293" w:lineRule="auto"/>
        <w:rPr>
          <w:sz w:val="20"/>
          <w:szCs w:val="20"/>
          <w:color w:val="auto"/>
        </w:rPr>
      </w:pPr>
      <w:r>
        <w:rPr>
          <w:rFonts w:ascii="Times New Roman" w:cs="Times New Roman" w:eastAsia="Times New Roman" w:hAnsi="Times New Roman"/>
          <w:sz w:val="16"/>
          <w:szCs w:val="16"/>
          <w:color w:val="auto"/>
        </w:rPr>
        <w:t>regulations and procedures to govern administration of the Leahy-Smith Act, and while all of the substantive changes to patent law associated with the Leahy-Smith Act have become effective, many changes have only recently become effective. Moreover there will be a transitional period of many years during which some applications may be eligible for prosecution under the previous rules. There are many ambiguities in this new law and how the courts will interpret it cannot be predicted with confidence. Accordingly, it is not clear what, if any, impact the Leahy-Smith Act will have on the operation of our business. The Leahy-Smith Act and its implementation could increase the uncertainties and costs surrounding the prosecution of our patent applications and the enforcement or defense of our issued patents, all of which could have a material adverse effect on our business, financial condition and results of operations.</w:t>
      </w:r>
    </w:p>
    <w:p>
      <w:pPr>
        <w:spacing w:after="0" w:line="30" w:lineRule="exact"/>
        <w:rPr>
          <w:sz w:val="20"/>
          <w:szCs w:val="20"/>
          <w:color w:val="auto"/>
        </w:rPr>
      </w:pPr>
    </w:p>
    <w:p>
      <w:pPr>
        <w:ind w:firstLine="228"/>
        <w:spacing w:after="0" w:line="252" w:lineRule="auto"/>
        <w:rPr>
          <w:sz w:val="20"/>
          <w:szCs w:val="20"/>
          <w:color w:val="auto"/>
        </w:rPr>
      </w:pPr>
      <w:r>
        <w:rPr>
          <w:rFonts w:ascii="Times New Roman" w:cs="Times New Roman" w:eastAsia="Times New Roman" w:hAnsi="Times New Roman"/>
          <w:sz w:val="18"/>
          <w:szCs w:val="18"/>
          <w:color w:val="auto"/>
        </w:rPr>
        <w:t>Moreover, patent law continues to evolve. Several further changes to patent law are before Congress. The United States Supreme Court has exhibited an increased interest in patent law and several of its recent decisions have tended to narrow the scope of patentable subject matter related to medical products and methods. In March 2014 the USPTO, in response to Supreme Court decisions, issued new examination guidelines which call into question the patentability of biological inventions that had previously been considered patentable. While none of this has an immediately apparent impact on our core technology and patents, the full and ultimate effect of these developments is not yet known. We also rely on unpatented technology, trade secrets, know-how and confidentiality agreements. We require our officers, employees, consultants and advisors to execute proprietary information and invention and assignment agreements upon commencement of their relationships with us. These agreements provide that all inventions developed by the individual on behalf of us must be assigned to us and that the individual will cooperate with us in connection with securing patent protection on the invention if we wish to pursue such protection. We also execute confidentiality agreements with outside collaborators. There can be no assurance, however, that our inventions and assignment agreements and our confidentiality agreements will provide meaningful protection for our inventions, trade secrets, know-how or other proprietary information in the event of unauthorized use or disclosure of such information. If any trade secret, know-how or other technology not protected by a patent were to be disclosed to or independently developed by a competitor, our business, results of operations and financial condition could be adversely affected.</w:t>
      </w:r>
    </w:p>
    <w:p>
      <w:pPr>
        <w:spacing w:after="0" w:line="143" w:lineRule="exact"/>
        <w:rPr>
          <w:sz w:val="20"/>
          <w:szCs w:val="20"/>
          <w:color w:val="auto"/>
        </w:rPr>
      </w:pPr>
    </w:p>
    <w:p>
      <w:pPr>
        <w:ind w:left="120" w:right="78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If we become involved in lawsuits to protect or enforce our patents or the patents of our collaborators or licensors, we would be required to devote substantial time and resources to prosecute or defend such proceedings.</w:t>
      </w:r>
    </w:p>
    <w:p>
      <w:pPr>
        <w:spacing w:after="0" w:line="34" w:lineRule="exact"/>
        <w:rPr>
          <w:sz w:val="20"/>
          <w:szCs w:val="20"/>
          <w:color w:val="auto"/>
        </w:rPr>
      </w:pPr>
    </w:p>
    <w:p>
      <w:pPr>
        <w:ind w:right="20" w:firstLine="228"/>
        <w:spacing w:after="0" w:line="255" w:lineRule="auto"/>
        <w:rPr>
          <w:sz w:val="20"/>
          <w:szCs w:val="20"/>
          <w:color w:val="auto"/>
        </w:rPr>
      </w:pPr>
      <w:r>
        <w:rPr>
          <w:rFonts w:ascii="Times New Roman" w:cs="Times New Roman" w:eastAsia="Times New Roman" w:hAnsi="Times New Roman"/>
          <w:sz w:val="18"/>
          <w:szCs w:val="18"/>
          <w:color w:val="auto"/>
        </w:rPr>
        <w:t>Competitors may infringe our patents or the patents of our collaborators or licensors. To counter infringement or unauthorized use, we may be required to file infringement claims, which can be expensive and time-consuming. In addition, in an infringement proceeding, a court may decide that a patent of ours is not valid or is unenforceable, or may refuse to stop the other party from using the technology at issue on the grounds that our patents do not cover its technology. A court may also decide to award us a royalty from an infringing party instead of issuing an injunction against the infringing activity. An adverse determination of any litigation or defense proceedings could put one or more of our patents at risk of being invalidated or interpreted narrowly and could put our patent applications at risk of not issuing.</w:t>
      </w:r>
    </w:p>
    <w:p>
      <w:pPr>
        <w:spacing w:after="0" w:line="58" w:lineRule="exact"/>
        <w:rPr>
          <w:sz w:val="20"/>
          <w:szCs w:val="20"/>
          <w:color w:val="auto"/>
        </w:rPr>
      </w:pPr>
    </w:p>
    <w:p>
      <w:pPr>
        <w:ind w:right="180" w:firstLine="228"/>
        <w:spacing w:after="0" w:line="255" w:lineRule="auto"/>
        <w:rPr>
          <w:sz w:val="20"/>
          <w:szCs w:val="20"/>
          <w:color w:val="auto"/>
        </w:rPr>
      </w:pPr>
      <w:r>
        <w:rPr>
          <w:rFonts w:ascii="Times New Roman" w:cs="Times New Roman" w:eastAsia="Times New Roman" w:hAnsi="Times New Roman"/>
          <w:sz w:val="18"/>
          <w:szCs w:val="18"/>
          <w:color w:val="auto"/>
        </w:rPr>
        <w:t>Interference proceedings brought by the USPTO, may be necessary to determine the priority of inventions with respect to our patent applications or those of our collaborators or licensors. Additionally, the Leahy-Smith Act has greatly expanded the options for post-grant review of patents that can be brought by third parties. Litigation, post-grant review, or interference proceedings may fail and, even if successful, may result in substantial costs and be a distraction to our management. We may not be able, alone or with our collaborators and licensors, to prevent misappropriation of our proprietary rights, particularly in countries where the laws may not protect such rights as fully as in the United States. We may not prevail in any litigation, post-grant review, or interference proceeding in which we are involved. Even if we do prevail, these proceedings can be very expensive and distract our management.</w:t>
      </w:r>
    </w:p>
    <w:p>
      <w:pPr>
        <w:spacing w:after="0" w:line="58" w:lineRule="exact"/>
        <w:rPr>
          <w:sz w:val="20"/>
          <w:szCs w:val="20"/>
          <w:color w:val="auto"/>
        </w:rPr>
      </w:pPr>
    </w:p>
    <w:p>
      <w:pPr>
        <w:ind w:right="120" w:firstLine="228"/>
        <w:spacing w:after="0" w:line="262"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455" w:right="23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320"/>
        <w:spacing w:after="0" w:line="275" w:lineRule="auto"/>
        <w:rPr>
          <w:sz w:val="20"/>
          <w:szCs w:val="20"/>
          <w:color w:val="auto"/>
        </w:rPr>
      </w:pPr>
      <w:r>
        <w:rPr>
          <w:rFonts w:ascii="Times New Roman" w:cs="Times New Roman" w:eastAsia="Times New Roman" w:hAnsi="Times New Roman"/>
          <w:sz w:val="18"/>
          <w:szCs w:val="18"/>
          <w:color w:val="auto"/>
        </w:rPr>
        <w:t>announcements of the results of hearings, motions or other interim proceedings or developments. If securities analysts or investors perceive these results to be negative, the market price of our common stock and other securities may decline.</w:t>
      </w:r>
    </w:p>
    <w:p>
      <w:pPr>
        <w:spacing w:after="0" w:line="116" w:lineRule="exact"/>
        <w:rPr>
          <w:sz w:val="20"/>
          <w:szCs w:val="20"/>
          <w:color w:val="auto"/>
        </w:rPr>
      </w:pPr>
    </w:p>
    <w:p>
      <w:pPr>
        <w:ind w:left="120" w:right="20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If our technologies conflict with the proprietary rights of others, we may incur substantial costs as a result of litigation or other proceedings and we could face substantial monetary damages and be precluded from commercializing our products, which would materially harm our business and financial condition.</w:t>
      </w:r>
    </w:p>
    <w:p>
      <w:pPr>
        <w:spacing w:after="0" w:line="48" w:lineRule="exact"/>
        <w:rPr>
          <w:sz w:val="20"/>
          <w:szCs w:val="20"/>
          <w:color w:val="auto"/>
        </w:rPr>
      </w:pPr>
    </w:p>
    <w:p>
      <w:pPr>
        <w:jc w:val="both"/>
        <w:ind w:firstLine="228"/>
        <w:spacing w:after="0" w:line="262" w:lineRule="auto"/>
        <w:rPr>
          <w:sz w:val="20"/>
          <w:szCs w:val="20"/>
          <w:color w:val="auto"/>
        </w:rPr>
      </w:pPr>
      <w:r>
        <w:rPr>
          <w:rFonts w:ascii="Times New Roman" w:cs="Times New Roman" w:eastAsia="Times New Roman" w:hAnsi="Times New Roman"/>
          <w:sz w:val="18"/>
          <w:szCs w:val="18"/>
          <w:color w:val="auto"/>
        </w:rPr>
        <w:t>Biotechnology patents are numerous and may, at times, conflict with one another. As a result, it is not always clear to industry participants, including us, which patents cover the multitude of biotechnology product types. Ultimately, the courts must determine the scope of coverage afforded by a patent and the courts do not always arrive at uniform conclusions.</w:t>
      </w:r>
    </w:p>
    <w:p>
      <w:pPr>
        <w:spacing w:after="0" w:line="51" w:lineRule="exact"/>
        <w:rPr>
          <w:sz w:val="20"/>
          <w:szCs w:val="20"/>
          <w:color w:val="auto"/>
        </w:rPr>
      </w:pPr>
    </w:p>
    <w:p>
      <w:pPr>
        <w:ind w:right="240" w:firstLine="228"/>
        <w:spacing w:after="0" w:line="275" w:lineRule="auto"/>
        <w:rPr>
          <w:sz w:val="20"/>
          <w:szCs w:val="20"/>
          <w:color w:val="auto"/>
        </w:rPr>
      </w:pPr>
      <w:r>
        <w:rPr>
          <w:rFonts w:ascii="Times New Roman" w:cs="Times New Roman" w:eastAsia="Times New Roman" w:hAnsi="Times New Roman"/>
          <w:sz w:val="18"/>
          <w:szCs w:val="18"/>
          <w:color w:val="auto"/>
        </w:rPr>
        <w:t>A patent owner may claim that we are making, using, selling or offering for sale an invention covered by the owner’s patents and may go to court to stop us from engaging in such activities. Such litigation is not uncommon in our industry.</w:t>
      </w:r>
    </w:p>
    <w:p>
      <w:pPr>
        <w:spacing w:after="0" w:line="39" w:lineRule="exact"/>
        <w:rPr>
          <w:sz w:val="20"/>
          <w:szCs w:val="20"/>
          <w:color w:val="auto"/>
        </w:rPr>
      </w:pPr>
    </w:p>
    <w:p>
      <w:pPr>
        <w:ind w:right="60" w:firstLine="228"/>
        <w:spacing w:after="0" w:line="254" w:lineRule="auto"/>
        <w:rPr>
          <w:sz w:val="20"/>
          <w:szCs w:val="20"/>
          <w:color w:val="auto"/>
        </w:rPr>
      </w:pPr>
      <w:r>
        <w:rPr>
          <w:rFonts w:ascii="Times New Roman" w:cs="Times New Roman" w:eastAsia="Times New Roman" w:hAnsi="Times New Roman"/>
          <w:sz w:val="18"/>
          <w:szCs w:val="18"/>
          <w:color w:val="auto"/>
        </w:rPr>
        <w:t>Patent lawsuits can be expensive and would consume time and other resources. There is a risk that a court would decide that we are infringing a third party’s patents and would order us to stop the activities covered by the patents, including the commercialization of our products. In addition, there is a risk that we would have to pay the other party damages for having violated the other party’s patents (which damages may be increased, as well as attorneys’ fees ordered paid, if infringement is found to be willful), or that we will be required to obtain a license from the other party in order to continue to commercialize the affected products, or to design our products in a manner that does not infringe a valid patent. We may not prevail in any legal action, and a required license under the patent may not be available on acceptable terms or at all, requiring cessation of activities that were found to infringe a valid patent. We also may not be able to develop a non-infringing product design on commercially reasonable terms, or at all.</w:t>
      </w:r>
    </w:p>
    <w:p>
      <w:pPr>
        <w:spacing w:after="0" w:line="60" w:lineRule="exact"/>
        <w:rPr>
          <w:sz w:val="20"/>
          <w:szCs w:val="20"/>
          <w:color w:val="auto"/>
        </w:rPr>
      </w:pPr>
    </w:p>
    <w:p>
      <w:pPr>
        <w:ind w:right="60" w:firstLine="228"/>
        <w:spacing w:after="0" w:line="254" w:lineRule="auto"/>
        <w:rPr>
          <w:sz w:val="20"/>
          <w:szCs w:val="20"/>
          <w:color w:val="auto"/>
        </w:rPr>
      </w:pPr>
      <w:r>
        <w:rPr>
          <w:rFonts w:ascii="Times New Roman" w:cs="Times New Roman" w:eastAsia="Times New Roman" w:hAnsi="Times New Roman"/>
          <w:sz w:val="18"/>
          <w:szCs w:val="18"/>
          <w:color w:val="auto"/>
        </w:rPr>
        <w:t>Moreover, certain components of AFREZZA may be manufactured outside the United States and imported into the United States. As such, third parties could file complaints under 19 U.S.C. Section 337(a)(1)(B) (a “337 action”) with the International Trade Commission (the “ITC”). A 337 action can be expensive and would consume time and other resources. There is a risk that the ITC would decide that we are infringing a third party’s patents and either enjoin us from importing the infringing products or parts thereof into the United States or set a bond in an amount that the ITC considers would offset our competitive advantage from the continued importation during the statutory review period. The bond could be up to 100% of the value of the patented products. We may not prevail in any legal action, and a required license under the patent may not be available on acceptable terms, or at all, resulting in a permanent injunction preventing any further importation of the infringing products or parts thereof into the United States. We also may not be able to develop a non-infringing product design on commercially reasonable terms, or at all.</w:t>
      </w:r>
    </w:p>
    <w:p>
      <w:pPr>
        <w:spacing w:after="0" w:line="57" w:lineRule="exact"/>
        <w:rPr>
          <w:sz w:val="20"/>
          <w:szCs w:val="20"/>
          <w:color w:val="auto"/>
        </w:rPr>
      </w:pPr>
    </w:p>
    <w:p>
      <w:pPr>
        <w:ind w:right="60" w:firstLine="228"/>
        <w:spacing w:after="0" w:line="253" w:lineRule="auto"/>
        <w:rPr>
          <w:sz w:val="20"/>
          <w:szCs w:val="20"/>
          <w:color w:val="auto"/>
        </w:rPr>
      </w:pPr>
      <w:r>
        <w:rPr>
          <w:rFonts w:ascii="Times New Roman" w:cs="Times New Roman" w:eastAsia="Times New Roman" w:hAnsi="Times New Roman"/>
          <w:sz w:val="18"/>
          <w:szCs w:val="18"/>
          <w:color w:val="auto"/>
        </w:rPr>
        <w:t>Although we own a number of domestic and foreign patents and patent applications relating to AFREZZA, we have identified certain third-party patents having claims that may trigger an allegation of infringement upon the commercial manufacture and sale of AFREZZA. If a court were to determine that AFREZZA was infringing any of these patent rights, we would have to establish with the court that these patents were invalid or unenforceable in order to avoid legal liability for infringement of these patents. However, proving patent invalidity or unenforceability can be difficult because issued patents are presumed valid. Therefore, in the event that we are unable to prevail in a non-infringement or invalidity action we will have to either acquire the third-party patents outright or seek a royalty-bearing license. Royalty-bearing licenses effectively increase production costs and therefore may materially affect product profitability. Furthermore, should the patent holder refuse to either assign or license us the infringed patents, it may be necessary to cease manufacturing the product entirely and/or design around the patents, if possible. In either event, our business, financial condition and results of operations would be harmed and our profitability could be materially and adversely impacted.</w:t>
      </w:r>
    </w:p>
    <w:p>
      <w:pPr>
        <w:spacing w:after="0" w:line="62" w:lineRule="exact"/>
        <w:rPr>
          <w:sz w:val="20"/>
          <w:szCs w:val="20"/>
          <w:color w:val="auto"/>
        </w:rPr>
      </w:pPr>
    </w:p>
    <w:p>
      <w:pPr>
        <w:ind w:right="600" w:firstLine="228"/>
        <w:spacing w:after="0" w:line="275"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455" w:right="23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color w:val="auto"/>
        </w:rPr>
        <w:t>type of litigation. In addition, during the course of this kind of litigation, there could be public announcements of the results of hearings, motions or other interim proceedings or developments. If securities analysts or investors perceive these results to be negative, the market price of our common stock and other securities may decline.</w:t>
      </w:r>
    </w:p>
    <w:p>
      <w:pPr>
        <w:spacing w:after="0" w:line="51" w:lineRule="exact"/>
        <w:rPr>
          <w:sz w:val="20"/>
          <w:szCs w:val="20"/>
          <w:color w:val="auto"/>
        </w:rPr>
      </w:pPr>
    </w:p>
    <w:p>
      <w:pPr>
        <w:ind w:firstLine="228"/>
        <w:spacing w:after="0" w:line="256" w:lineRule="auto"/>
        <w:rPr>
          <w:sz w:val="20"/>
          <w:szCs w:val="20"/>
          <w:color w:val="auto"/>
        </w:rPr>
      </w:pPr>
      <w:r>
        <w:rPr>
          <w:rFonts w:ascii="Times New Roman" w:cs="Times New Roman" w:eastAsia="Times New Roman" w:hAnsi="Times New Roman"/>
          <w:sz w:val="18"/>
          <w:szCs w:val="18"/>
          <w:color w:val="auto"/>
        </w:rPr>
        <w:t>In addition, patent litigation may divert the attention of key personnel and we may not have sufficient resources to bring these actions to a successful conclusion. At the same time, some of our competitors may be able to sustain the costs of complex patent litigation more effectively than we can because they have substantially greater resources. An adverse determination in a judicial or administrative proceeding or failure to obtain necessary licenses could prevent us from manufacturing and selling our products or result in substantial monetary damages, which would adversely affect our business, financial condition and results of operations and cause the market price of our common stock and other securities to decline.</w:t>
      </w:r>
    </w:p>
    <w:p>
      <w:pPr>
        <w:spacing w:after="0" w:line="13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not obtain trademark registrations for our potential trade names.</w:t>
      </w:r>
    </w:p>
    <w:p>
      <w:pPr>
        <w:spacing w:after="0" w:line="94" w:lineRule="exact"/>
        <w:rPr>
          <w:sz w:val="20"/>
          <w:szCs w:val="20"/>
          <w:color w:val="auto"/>
        </w:rPr>
      </w:pPr>
    </w:p>
    <w:p>
      <w:pPr>
        <w:ind w:firstLine="228"/>
        <w:spacing w:after="0" w:line="301" w:lineRule="auto"/>
        <w:rPr>
          <w:sz w:val="20"/>
          <w:szCs w:val="20"/>
          <w:color w:val="auto"/>
        </w:rPr>
      </w:pPr>
      <w:r>
        <w:rPr>
          <w:rFonts w:ascii="Times New Roman" w:cs="Times New Roman" w:eastAsia="Times New Roman" w:hAnsi="Times New Roman"/>
          <w:sz w:val="16"/>
          <w:szCs w:val="16"/>
          <w:color w:val="auto"/>
        </w:rPr>
        <w:t>We have not selected trade names for some of our product candidates; therefore, we have not filed trademark registrations for such potential trade names for our product candidates, nor can we assure that we will be granted registration of any potential trade names for which we do file. No assurance can be given that any of our trademarks will be registered in the United States or elsewhere, or once registered that, prior to our being able to enter a particular market, they will not be cancelled for non-use. Nor can we give assurances, that the use of any of our trademarks will confer a competitive advantage in the marketplace.</w:t>
      </w:r>
    </w:p>
    <w:p>
      <w:pPr>
        <w:spacing w:after="0" w:line="22" w:lineRule="exact"/>
        <w:rPr>
          <w:sz w:val="20"/>
          <w:szCs w:val="20"/>
          <w:color w:val="auto"/>
        </w:rPr>
      </w:pPr>
    </w:p>
    <w:p>
      <w:pPr>
        <w:ind w:right="100" w:firstLine="228"/>
        <w:spacing w:after="0" w:line="258" w:lineRule="auto"/>
        <w:rPr>
          <w:sz w:val="20"/>
          <w:szCs w:val="20"/>
          <w:color w:val="auto"/>
        </w:rPr>
      </w:pPr>
      <w:r>
        <w:rPr>
          <w:rFonts w:ascii="Times New Roman" w:cs="Times New Roman" w:eastAsia="Times New Roman" w:hAnsi="Times New Roman"/>
          <w:sz w:val="18"/>
          <w:szCs w:val="18"/>
          <w:color w:val="auto"/>
        </w:rPr>
        <w:t>Furthermore, even if we are successful in our trademark registrations, the FDA has its own process for drug nomenclature and its own views concerning appropriate proprietary names. It also has the power, even after granting market approval, to request a company to reconsider the name for a product because of evidence of confusion in the marketplace. We cannot assure you that the FDA or any other regulatory authority will approve of any of our trademarks or will not request reconsideration of one of our trademarks at some time in the future.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88" w:lineRule="exact"/>
        <w:rPr>
          <w:sz w:val="20"/>
          <w:szCs w:val="20"/>
          <w:color w:val="auto"/>
        </w:rPr>
      </w:pPr>
    </w:p>
    <w:p>
      <w:pPr>
        <w:ind w:left="120" w:right="4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generate sufficient cash to service all of our indebtedness. We may be forced to take other actions to satisfy our obligations under our indebtedness or we may experience a financial failure.</w:t>
      </w:r>
    </w:p>
    <w:p>
      <w:pPr>
        <w:spacing w:after="0" w:line="34" w:lineRule="exact"/>
        <w:rPr>
          <w:sz w:val="20"/>
          <w:szCs w:val="20"/>
          <w:color w:val="auto"/>
        </w:rPr>
      </w:pPr>
    </w:p>
    <w:p>
      <w:pPr>
        <w:ind w:firstLine="228"/>
        <w:spacing w:after="0" w:line="253" w:lineRule="auto"/>
        <w:rPr>
          <w:sz w:val="20"/>
          <w:szCs w:val="20"/>
          <w:color w:val="auto"/>
        </w:rPr>
      </w:pPr>
      <w:r>
        <w:rPr>
          <w:rFonts w:ascii="Times New Roman" w:cs="Times New Roman" w:eastAsia="Times New Roman" w:hAnsi="Times New Roman"/>
          <w:sz w:val="18"/>
          <w:szCs w:val="18"/>
          <w:color w:val="auto"/>
        </w:rPr>
        <w:t>Our ability to make scheduled payments on or to refinance our debt obligations will depend on our financial and operating performance, which is subject to prevailing economic and competitive conditions and to certain financial, business and other factors beyond our control. We cannot assure you that we will maintain a level of cash flows from operating activities sufficient to permit us to pay the principal, premium, if any, and interest on our indebtedness. If our cash flows and capital resources are insufficient to fund our debt service obligations, we may be forced to reduce or delay capital expenditures, sell assets or operations, seek additional capital or restructure or refinance our indebtedness. We cannot assure you that we would be able to take any of these actions, that these actions would be successful and permit us to meet our scheduled debt service obligations or that these actions would be permitted under the terms of our future debt agreements. In the absence of sufficient operating results and resources, we could face substantial liquidity problems and might be required to dispose of material assets or operations to meet our debt service and other obligations. We may not be able to consummate those dispositions or obtain sufficient proceeds from those dispositions to meet our debt service and other obligations then due.</w:t>
      </w:r>
    </w:p>
    <w:p>
      <w:pPr>
        <w:spacing w:after="0" w:line="139" w:lineRule="exact"/>
        <w:rPr>
          <w:sz w:val="20"/>
          <w:szCs w:val="20"/>
          <w:color w:val="auto"/>
        </w:rPr>
      </w:pPr>
    </w:p>
    <w:p>
      <w:pPr>
        <w:ind w:left="120" w:right="26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Future sales of shares of our common stock in the public market, or the perception that such sales may occur, may depress our stock price and adversely impact the market price of our common stock and other securities.</w:t>
      </w:r>
    </w:p>
    <w:p>
      <w:pPr>
        <w:spacing w:after="0" w:line="34" w:lineRule="exact"/>
        <w:rPr>
          <w:sz w:val="20"/>
          <w:szCs w:val="20"/>
          <w:color w:val="auto"/>
        </w:rPr>
      </w:pPr>
    </w:p>
    <w:p>
      <w:pPr>
        <w:ind w:right="120" w:firstLine="228"/>
        <w:spacing w:after="0" w:line="258" w:lineRule="auto"/>
        <w:rPr>
          <w:sz w:val="20"/>
          <w:szCs w:val="20"/>
          <w:color w:val="auto"/>
        </w:rPr>
      </w:pPr>
      <w:r>
        <w:rPr>
          <w:rFonts w:ascii="Times New Roman" w:cs="Times New Roman" w:eastAsia="Times New Roman" w:hAnsi="Times New Roman"/>
          <w:sz w:val="18"/>
          <w:szCs w:val="18"/>
          <w:color w:val="auto"/>
        </w:rPr>
        <w:t>If our existing stockholders or their distributees sell substantial amounts of our common stock in the public market, the market price of our common stock could decrease significantly. The perception in the public market that our existing stockholders might sell shares of common stock could also depress the market price of our common stock and the market price of our other securities. Any such sales of our common stock in the public market may affect the price of our common stock or the market price of our other securities.</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00"/>
          </w:cols>
          <w:pgMar w:left="240" w:top="455" w:right="25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firstLine="228"/>
        <w:spacing w:after="0" w:line="296" w:lineRule="auto"/>
        <w:rPr>
          <w:sz w:val="20"/>
          <w:szCs w:val="20"/>
          <w:color w:val="auto"/>
        </w:rPr>
      </w:pPr>
      <w:r>
        <w:rPr>
          <w:rFonts w:ascii="Times New Roman" w:cs="Times New Roman" w:eastAsia="Times New Roman" w:hAnsi="Times New Roman"/>
          <w:sz w:val="16"/>
          <w:szCs w:val="16"/>
          <w:color w:val="auto"/>
        </w:rPr>
        <w:t>In the future, we may sell additional shares of our common stock to raise capital. In addition, a substantial number of shares of our common stock is reserved for: issuance upon the exercise of stock options and, in the future, may be reserved for the vesting of restricted stock unit awards; the purchase of shares of common stock under our employee stock purchase program; and the issuance upon conversion of any shares under the 2015 notes. We cannot predict the size of future issuances or the effect, if any, that they may have on the market price for our common stock. The issuance or sale of substantial amounts of common stock, or the perception that such issuances or sales may occur, could adversely affect the market price of our common stock and other securities.</w:t>
      </w:r>
    </w:p>
    <w:p>
      <w:pPr>
        <w:spacing w:after="0" w:line="10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is volatile and may affect the market price of our common stock and other securities.</w:t>
      </w:r>
    </w:p>
    <w:p>
      <w:pPr>
        <w:spacing w:after="0" w:line="94" w:lineRule="exact"/>
        <w:rPr>
          <w:sz w:val="20"/>
          <w:szCs w:val="20"/>
          <w:color w:val="auto"/>
        </w:rPr>
      </w:pPr>
    </w:p>
    <w:p>
      <w:pPr>
        <w:ind w:right="120" w:firstLine="456"/>
        <w:spacing w:after="0" w:line="262" w:lineRule="auto"/>
        <w:rPr>
          <w:sz w:val="20"/>
          <w:szCs w:val="20"/>
          <w:color w:val="auto"/>
        </w:rPr>
      </w:pPr>
      <w:r>
        <w:rPr>
          <w:rFonts w:ascii="Times New Roman" w:cs="Times New Roman" w:eastAsia="Times New Roman" w:hAnsi="Times New Roman"/>
          <w:sz w:val="18"/>
          <w:szCs w:val="18"/>
          <w:color w:val="auto"/>
        </w:rPr>
        <w:t>The stock market, particularly in recent years, has experienced significant volatility particularly with respect to pharmaceutical and biotechnology stocks, and this trend may continue. The volatility of pharmaceutical and biotechnology stocks often does not relate to the operating performance of the companies represented by the stock. Our business and the market price of our common stock may be influenced by a large variety of factors, including:</w:t>
      </w:r>
    </w:p>
    <w:p>
      <w:pPr>
        <w:spacing w:after="0" w:line="51" w:lineRule="exact"/>
        <w:rPr>
          <w:sz w:val="20"/>
          <w:szCs w:val="20"/>
          <w:color w:val="auto"/>
        </w:rPr>
      </w:pPr>
    </w:p>
    <w:p>
      <w:pPr>
        <w:ind w:left="440" w:right="20" w:hanging="216"/>
        <w:spacing w:after="0" w:line="275" w:lineRule="auto"/>
        <w:tabs>
          <w:tab w:leader="none" w:pos="4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of the commercial launch of AFREZZA and other events or circumstances that we or others estimate will impact the future commercialization of AFREZZA;</w:t>
      </w:r>
    </w:p>
    <w:p>
      <w:pPr>
        <w:spacing w:after="0" w:line="38" w:lineRule="exact"/>
        <w:rPr>
          <w:rFonts w:ascii="Times New Roman" w:cs="Times New Roman" w:eastAsia="Times New Roman" w:hAnsi="Times New Roman"/>
          <w:sz w:val="18"/>
          <w:szCs w:val="18"/>
          <w:color w:val="auto"/>
        </w:rPr>
      </w:pPr>
    </w:p>
    <w:p>
      <w:pPr>
        <w:ind w:left="440" w:hanging="216"/>
        <w:spacing w:after="0"/>
        <w:tabs>
          <w:tab w:leader="none" w:pos="4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or Sanofi’s future estimates of AFREZZA sales, prescriptions or other operating metrics;</w:t>
      </w:r>
    </w:p>
    <w:p>
      <w:pPr>
        <w:spacing w:after="0" w:line="90" w:lineRule="exact"/>
        <w:rPr>
          <w:rFonts w:ascii="Times New Roman" w:cs="Times New Roman" w:eastAsia="Times New Roman" w:hAnsi="Times New Roman"/>
          <w:sz w:val="18"/>
          <w:szCs w:val="18"/>
          <w:color w:val="auto"/>
        </w:rPr>
      </w:pPr>
    </w:p>
    <w:p>
      <w:pPr>
        <w:ind w:left="440" w:hanging="216"/>
        <w:spacing w:after="0"/>
        <w:tabs>
          <w:tab w:leader="none" w:pos="44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progress and results of our preclinical and clinical studies of our product candidates and the post-approval studies of AFREZZA required by the FDA;</w:t>
      </w:r>
    </w:p>
    <w:p>
      <w:pPr>
        <w:spacing w:after="0" w:line="113" w:lineRule="exact"/>
        <w:rPr>
          <w:rFonts w:ascii="Times New Roman" w:cs="Times New Roman" w:eastAsia="Times New Roman" w:hAnsi="Times New Roman"/>
          <w:sz w:val="16"/>
          <w:szCs w:val="16"/>
          <w:color w:val="auto"/>
        </w:rPr>
      </w:pPr>
    </w:p>
    <w:p>
      <w:pPr>
        <w:ind w:left="440" w:hanging="216"/>
        <w:spacing w:after="0"/>
        <w:tabs>
          <w:tab w:leader="none" w:pos="4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political or stock market conditions;</w:t>
      </w:r>
    </w:p>
    <w:p>
      <w:pPr>
        <w:spacing w:after="0" w:line="90" w:lineRule="exact"/>
        <w:rPr>
          <w:rFonts w:ascii="Times New Roman" w:cs="Times New Roman" w:eastAsia="Times New Roman" w:hAnsi="Times New Roman"/>
          <w:sz w:val="18"/>
          <w:szCs w:val="18"/>
          <w:color w:val="auto"/>
        </w:rPr>
      </w:pPr>
    </w:p>
    <w:p>
      <w:pPr>
        <w:ind w:left="440" w:hanging="216"/>
        <w:spacing w:after="0"/>
        <w:tabs>
          <w:tab w:leader="none" w:pos="4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legislative developments;</w:t>
      </w:r>
    </w:p>
    <w:p>
      <w:pPr>
        <w:spacing w:after="0" w:line="90" w:lineRule="exact"/>
        <w:rPr>
          <w:rFonts w:ascii="Times New Roman" w:cs="Times New Roman" w:eastAsia="Times New Roman" w:hAnsi="Times New Roman"/>
          <w:sz w:val="18"/>
          <w:szCs w:val="18"/>
          <w:color w:val="auto"/>
        </w:rPr>
      </w:pPr>
    </w:p>
    <w:p>
      <w:pPr>
        <w:ind w:left="440" w:right="220" w:hanging="216"/>
        <w:spacing w:after="0" w:line="275" w:lineRule="auto"/>
        <w:tabs>
          <w:tab w:leader="none" w:pos="4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our collaborators, or our competitors concerning clinical study results, acquisitions, strategic alliances, technological innovations, newly approved commercial products, product discontinuations, or other developments;</w:t>
      </w:r>
    </w:p>
    <w:p>
      <w:pPr>
        <w:spacing w:after="0" w:line="38" w:lineRule="exact"/>
        <w:rPr>
          <w:rFonts w:ascii="Times New Roman" w:cs="Times New Roman" w:eastAsia="Times New Roman" w:hAnsi="Times New Roman"/>
          <w:sz w:val="18"/>
          <w:szCs w:val="18"/>
          <w:color w:val="auto"/>
        </w:rPr>
      </w:pPr>
    </w:p>
    <w:p>
      <w:pPr>
        <w:ind w:left="440" w:hanging="216"/>
        <w:spacing w:after="0"/>
        <w:tabs>
          <w:tab w:leader="none" w:pos="4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critical materials used in developing and manufacturing AFREZZA or other product candidates;</w:t>
      </w:r>
    </w:p>
    <w:p>
      <w:pPr>
        <w:spacing w:after="0" w:line="90" w:lineRule="exact"/>
        <w:rPr>
          <w:rFonts w:ascii="Times New Roman" w:cs="Times New Roman" w:eastAsia="Times New Roman" w:hAnsi="Times New Roman"/>
          <w:sz w:val="18"/>
          <w:szCs w:val="18"/>
          <w:color w:val="auto"/>
        </w:rPr>
      </w:pPr>
    </w:p>
    <w:p>
      <w:pPr>
        <w:ind w:left="440" w:hanging="216"/>
        <w:spacing w:after="0"/>
        <w:tabs>
          <w:tab w:leader="none" w:pos="4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our collaboration with Sanofi or our relationships with third party manufacturers;</w:t>
      </w:r>
    </w:p>
    <w:p>
      <w:pPr>
        <w:spacing w:after="0" w:line="90" w:lineRule="exact"/>
        <w:rPr>
          <w:rFonts w:ascii="Times New Roman" w:cs="Times New Roman" w:eastAsia="Times New Roman" w:hAnsi="Times New Roman"/>
          <w:sz w:val="18"/>
          <w:szCs w:val="18"/>
          <w:color w:val="auto"/>
        </w:rPr>
      </w:pPr>
    </w:p>
    <w:p>
      <w:pPr>
        <w:ind w:left="440" w:hanging="216"/>
        <w:spacing w:after="0"/>
        <w:tabs>
          <w:tab w:leader="none" w:pos="4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our patents or proprietary rights;</w:t>
      </w:r>
    </w:p>
    <w:p>
      <w:pPr>
        <w:spacing w:after="0" w:line="90" w:lineRule="exact"/>
        <w:rPr>
          <w:rFonts w:ascii="Times New Roman" w:cs="Times New Roman" w:eastAsia="Times New Roman" w:hAnsi="Times New Roman"/>
          <w:sz w:val="18"/>
          <w:szCs w:val="18"/>
          <w:color w:val="auto"/>
        </w:rPr>
      </w:pPr>
    </w:p>
    <w:p>
      <w:pPr>
        <w:ind w:left="440" w:hanging="216"/>
        <w:spacing w:after="0"/>
        <w:tabs>
          <w:tab w:leader="none" w:pos="4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expense and time associated with, and the extent of our ultimate success in, securing regulatory approvals;</w:t>
      </w:r>
    </w:p>
    <w:p>
      <w:pPr>
        <w:spacing w:after="0" w:line="90" w:lineRule="exact"/>
        <w:rPr>
          <w:rFonts w:ascii="Times New Roman" w:cs="Times New Roman" w:eastAsia="Times New Roman" w:hAnsi="Times New Roman"/>
          <w:sz w:val="18"/>
          <w:szCs w:val="18"/>
          <w:color w:val="auto"/>
        </w:rPr>
      </w:pPr>
    </w:p>
    <w:p>
      <w:pPr>
        <w:ind w:left="440" w:hanging="216"/>
        <w:spacing w:after="0"/>
        <w:tabs>
          <w:tab w:leader="none" w:pos="4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concerning our financial condition or operating performance;</w:t>
      </w:r>
    </w:p>
    <w:p>
      <w:pPr>
        <w:spacing w:after="0" w:line="90" w:lineRule="exact"/>
        <w:rPr>
          <w:rFonts w:ascii="Times New Roman" w:cs="Times New Roman" w:eastAsia="Times New Roman" w:hAnsi="Times New Roman"/>
          <w:sz w:val="18"/>
          <w:szCs w:val="18"/>
          <w:color w:val="auto"/>
        </w:rPr>
      </w:pPr>
    </w:p>
    <w:p>
      <w:pPr>
        <w:ind w:left="440" w:hanging="216"/>
        <w:spacing w:after="0"/>
        <w:tabs>
          <w:tab w:leader="none" w:pos="4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securities analysts’ estimates of our financial condition or operating performance;</w:t>
      </w:r>
    </w:p>
    <w:p>
      <w:pPr>
        <w:spacing w:after="0" w:line="90" w:lineRule="exact"/>
        <w:rPr>
          <w:rFonts w:ascii="Times New Roman" w:cs="Times New Roman" w:eastAsia="Times New Roman" w:hAnsi="Times New Roman"/>
          <w:sz w:val="18"/>
          <w:szCs w:val="18"/>
          <w:color w:val="auto"/>
        </w:rPr>
      </w:pPr>
    </w:p>
    <w:p>
      <w:pPr>
        <w:ind w:left="440" w:hanging="216"/>
        <w:spacing w:after="0"/>
        <w:tabs>
          <w:tab w:leader="none" w:pos="4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conditions and fluctuations for emerging growth and pharmaceutical market sectors;</w:t>
      </w:r>
    </w:p>
    <w:p>
      <w:pPr>
        <w:spacing w:after="0" w:line="90" w:lineRule="exact"/>
        <w:rPr>
          <w:rFonts w:ascii="Times New Roman" w:cs="Times New Roman" w:eastAsia="Times New Roman" w:hAnsi="Times New Roman"/>
          <w:sz w:val="18"/>
          <w:szCs w:val="18"/>
          <w:color w:val="auto"/>
        </w:rPr>
      </w:pPr>
    </w:p>
    <w:p>
      <w:pPr>
        <w:ind w:left="440" w:hanging="216"/>
        <w:spacing w:after="0"/>
        <w:tabs>
          <w:tab w:leader="none" w:pos="4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large blocks of our common stock, including sales by our executive officers, directors and significant stockholders;</w:t>
      </w:r>
    </w:p>
    <w:p>
      <w:pPr>
        <w:spacing w:after="0" w:line="90" w:lineRule="exact"/>
        <w:rPr>
          <w:rFonts w:ascii="Times New Roman" w:cs="Times New Roman" w:eastAsia="Times New Roman" w:hAnsi="Times New Roman"/>
          <w:sz w:val="18"/>
          <w:szCs w:val="18"/>
          <w:color w:val="auto"/>
        </w:rPr>
      </w:pPr>
    </w:p>
    <w:p>
      <w:pPr>
        <w:ind w:left="440" w:hanging="216"/>
        <w:spacing w:after="0"/>
        <w:tabs>
          <w:tab w:leader="none" w:pos="4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status of any legal proceedings or regulatory matters against or involving us or any of our executive officers and directors;</w:t>
      </w:r>
    </w:p>
    <w:p>
      <w:pPr>
        <w:spacing w:after="0" w:line="90" w:lineRule="exact"/>
        <w:rPr>
          <w:rFonts w:ascii="Times New Roman" w:cs="Times New Roman" w:eastAsia="Times New Roman" w:hAnsi="Times New Roman"/>
          <w:sz w:val="18"/>
          <w:szCs w:val="18"/>
          <w:color w:val="auto"/>
        </w:rPr>
      </w:pPr>
    </w:p>
    <w:p>
      <w:pPr>
        <w:ind w:left="440" w:hanging="216"/>
        <w:spacing w:after="0" w:line="275" w:lineRule="auto"/>
        <w:tabs>
          <w:tab w:leader="none" w:pos="4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existence of, and the issuance of shares of our common stock pursuant to, the share lending agreement and the short sales of our common stock effected in connection with the sale of our 2015 notes;</w:t>
      </w:r>
    </w:p>
    <w:p>
      <w:pPr>
        <w:spacing w:after="0" w:line="38" w:lineRule="exact"/>
        <w:rPr>
          <w:rFonts w:ascii="Times New Roman" w:cs="Times New Roman" w:eastAsia="Times New Roman" w:hAnsi="Times New Roman"/>
          <w:sz w:val="18"/>
          <w:szCs w:val="18"/>
          <w:color w:val="auto"/>
        </w:rPr>
      </w:pPr>
    </w:p>
    <w:p>
      <w:pPr>
        <w:ind w:left="440" w:hanging="216"/>
        <w:spacing w:after="0"/>
        <w:tabs>
          <w:tab w:leader="none" w:pos="4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of any of our 2015 notes into shares of our common stock; and</w:t>
      </w:r>
    </w:p>
    <w:p>
      <w:pPr>
        <w:spacing w:after="0" w:line="90" w:lineRule="exact"/>
        <w:rPr>
          <w:rFonts w:ascii="Times New Roman" w:cs="Times New Roman" w:eastAsia="Times New Roman" w:hAnsi="Times New Roman"/>
          <w:sz w:val="18"/>
          <w:szCs w:val="18"/>
          <w:color w:val="auto"/>
        </w:rPr>
      </w:pPr>
    </w:p>
    <w:p>
      <w:pPr>
        <w:ind w:left="440" w:right="540" w:hanging="216"/>
        <w:spacing w:after="0" w:line="275" w:lineRule="auto"/>
        <w:tabs>
          <w:tab w:leader="none" w:pos="4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discussion of AFREZZA, our other product candidates, competitors’ products, or our stock price by the financial and scientific press, the healthcare community and online investor communities such as chat</w:t>
      </w:r>
    </w:p>
    <w:p>
      <w:pPr>
        <w:spacing w:after="0" w:line="1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360"/>
          </w:cols>
          <w:pgMar w:left="240" w:top="455" w:right="29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460"/>
        <w:spacing w:after="0" w:line="275" w:lineRule="auto"/>
        <w:rPr>
          <w:sz w:val="20"/>
          <w:szCs w:val="20"/>
          <w:color w:val="auto"/>
        </w:rPr>
      </w:pPr>
      <w:r>
        <w:rPr>
          <w:rFonts w:ascii="Times New Roman" w:cs="Times New Roman" w:eastAsia="Times New Roman" w:hAnsi="Times New Roman"/>
          <w:sz w:val="18"/>
          <w:szCs w:val="18"/>
          <w:color w:val="auto"/>
        </w:rPr>
        <w:t>rooms. In particular, it may be difficult to verify statements about us and our investigational products that appear on interactive websites that permit users to generate content anonymously or under a pseudonym and statements attributed to company officials may, in fact, have originated elsewhere.</w:t>
      </w:r>
    </w:p>
    <w:p>
      <w:pPr>
        <w:spacing w:after="0" w:line="3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Any of these risks, as well as other factors, could cause the market value of our common stock and other securities to decline.</w:t>
      </w:r>
    </w:p>
    <w:p>
      <w:pPr>
        <w:spacing w:after="0" w:line="167" w:lineRule="exact"/>
        <w:rPr>
          <w:sz w:val="20"/>
          <w:szCs w:val="20"/>
          <w:color w:val="auto"/>
        </w:rPr>
      </w:pPr>
    </w:p>
    <w:p>
      <w:pPr>
        <w:ind w:left="120" w:right="24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If other biotechnology and biopharmaceutical companies or the securities markets in general encounter problems, the market price of our common stock and other securities could be adversely affected.</w:t>
      </w:r>
    </w:p>
    <w:p>
      <w:pPr>
        <w:spacing w:after="0" w:line="34" w:lineRule="exact"/>
        <w:rPr>
          <w:sz w:val="20"/>
          <w:szCs w:val="20"/>
          <w:color w:val="auto"/>
        </w:rPr>
      </w:pPr>
    </w:p>
    <w:p>
      <w:pPr>
        <w:ind w:right="20" w:firstLine="228"/>
        <w:spacing w:after="0" w:line="255" w:lineRule="auto"/>
        <w:rPr>
          <w:sz w:val="20"/>
          <w:szCs w:val="20"/>
          <w:color w:val="auto"/>
        </w:rPr>
      </w:pPr>
      <w:r>
        <w:rPr>
          <w:rFonts w:ascii="Times New Roman" w:cs="Times New Roman" w:eastAsia="Times New Roman" w:hAnsi="Times New Roman"/>
          <w:sz w:val="18"/>
          <w:szCs w:val="18"/>
          <w:color w:val="auto"/>
        </w:rPr>
        <w:t>Public companies in general and companies included on The NASDAQ Global Market in particular have experienced extreme price and volume fluctuations that have often been unrelated or disproportionate to the operating performance of those companies. There has been particular volatility in the market prices of securities of biotechnology and other life sciences companies, and the market prices of these companies have often fluctuated because of problems or successes in a given market segment or because investor interest has shifted to other segments. These broad market and industry factors may cause the market price of our common stock and other securities to decline, regardless of our operating performance. We have no control over this volatility and can only focus our efforts on our own operations, and even these may be affected due to the state of the capital markets.</w:t>
      </w:r>
    </w:p>
    <w:p>
      <w:pPr>
        <w:spacing w:after="0" w:line="58" w:lineRule="exact"/>
        <w:rPr>
          <w:sz w:val="20"/>
          <w:szCs w:val="20"/>
          <w:color w:val="auto"/>
        </w:rPr>
      </w:pPr>
    </w:p>
    <w:p>
      <w:pPr>
        <w:ind w:right="220" w:firstLine="228"/>
        <w:spacing w:after="0" w:line="262" w:lineRule="auto"/>
        <w:rPr>
          <w:sz w:val="20"/>
          <w:szCs w:val="20"/>
          <w:color w:val="auto"/>
        </w:rPr>
      </w:pPr>
      <w:r>
        <w:rPr>
          <w:rFonts w:ascii="Times New Roman" w:cs="Times New Roman" w:eastAsia="Times New Roman" w:hAnsi="Times New Roman"/>
          <w:sz w:val="18"/>
          <w:szCs w:val="18"/>
          <w:color w:val="auto"/>
        </w:rPr>
        <w:t>In the past, following periods of large price declines in the public market price of a company’s securities, securities class action litigation has often been initiated against that company. Litigation of this type could result in substantial costs and diversion of management’s attention and resources, which would hurt our business. Any adverse determination in litigation could also subject us to significant liabilities.</w:t>
      </w:r>
    </w:p>
    <w:p>
      <w:pPr>
        <w:spacing w:after="0" w:line="128" w:lineRule="exact"/>
        <w:rPr>
          <w:sz w:val="20"/>
          <w:szCs w:val="20"/>
          <w:color w:val="auto"/>
        </w:rPr>
      </w:pPr>
    </w:p>
    <w:p>
      <w:pPr>
        <w:ind w:left="120" w:right="4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Our Executive Chairman and principal stockholder can individually control our direction and policies, and his interests may be adverse to the interests of our other stockholders. After his death, his stock will be left to his funding foundations for distribution to various charities, and we cannot assure you of the manner in which those entities will manage their holdings.</w:t>
      </w:r>
    </w:p>
    <w:p>
      <w:pPr>
        <w:spacing w:after="0" w:line="48" w:lineRule="exact"/>
        <w:rPr>
          <w:sz w:val="20"/>
          <w:szCs w:val="20"/>
          <w:color w:val="auto"/>
        </w:rPr>
      </w:pPr>
    </w:p>
    <w:p>
      <w:pPr>
        <w:ind w:right="40" w:firstLine="228"/>
        <w:spacing w:after="0" w:line="258" w:lineRule="auto"/>
        <w:rPr>
          <w:sz w:val="20"/>
          <w:szCs w:val="20"/>
          <w:color w:val="auto"/>
        </w:rPr>
      </w:pPr>
      <w:r>
        <w:rPr>
          <w:rFonts w:ascii="Times New Roman" w:cs="Times New Roman" w:eastAsia="Times New Roman" w:hAnsi="Times New Roman"/>
          <w:sz w:val="18"/>
          <w:szCs w:val="18"/>
          <w:color w:val="auto"/>
        </w:rPr>
        <w:t>At December 31, 2014, Alfred E. Mann our Executive Chairman and principal stockholder beneficially owned approximately 37.7% of our outstanding shares of capital stock. By virtue of his holdings, Mr. Mann may be able to heavily influence elections of directors, our management and our affairs and prevent corporate transactions such as mergers, consolidations or the sale of all or substantially all of our assets that may be favorable from our standpoint or that of our other stockholders or cause a transaction that we or our other stockholders may view as unfavorable.</w:t>
      </w:r>
    </w:p>
    <w:p>
      <w:pPr>
        <w:spacing w:after="0" w:line="55" w:lineRule="exact"/>
        <w:rPr>
          <w:sz w:val="20"/>
          <w:szCs w:val="20"/>
          <w:color w:val="auto"/>
        </w:rPr>
      </w:pPr>
    </w:p>
    <w:p>
      <w:pPr>
        <w:ind w:firstLine="228"/>
        <w:spacing w:after="0" w:line="289" w:lineRule="auto"/>
        <w:rPr>
          <w:sz w:val="20"/>
          <w:szCs w:val="20"/>
          <w:color w:val="auto"/>
        </w:rPr>
      </w:pPr>
      <w:r>
        <w:rPr>
          <w:rFonts w:ascii="Times New Roman" w:cs="Times New Roman" w:eastAsia="Times New Roman" w:hAnsi="Times New Roman"/>
          <w:sz w:val="16"/>
          <w:szCs w:val="16"/>
          <w:color w:val="auto"/>
        </w:rPr>
        <w:t>Subject to compliance with United States federal and state securities laws, Mr. Mann is free to sell the shares of our stock he holds at any time. Upon his death, we have been advised by Mr. Mann that his shares of our capital stock will be left to the Alfred E. Mann Medical Research Organization (“AEMMRO”), and AEM Foundation for Biomedical Engineering (“AEMFBE”), not-for-profit medical research foundations that serve as funding organizations for Mr. Mann’s various charities, including the Alfred Mann Foundation (“AMF”), and the Alfred Mann Institutes at the University of Southern California, the Technion-Israel Institute of Technology, and Purdue University, and that may serve as funding organizations for any other charities that he may establish. The AEMMRO is a membership foundation consisting of nine members, including Mr. Mann, his wife, three of his children and Dr. Joseph Schulman, the chief scientist of the AEMFBE. The AEMFBE is a membership foundation consisting of five members, including Mr. Mann, his wife, and the same three of his children. Although we understand that the members of AEMMRO and AEMFBE have been advised of Mr. Mann’s objectives for these foundations, once Mr. Mann’s shares of our capital stock become the property of the foundations, we cannot assure you as to how those shares will be distributed or how they will be voted.</w:t>
      </w:r>
    </w:p>
    <w:p>
      <w:pPr>
        <w:spacing w:after="0" w:line="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20"/>
          </w:cols>
          <w:pgMar w:left="240" w:top="455" w:right="23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120" w:right="70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The future sale of our common stock, the conversion of our 2015 notes into common stock or the exercise of our warrants for common stock could negatively affect the market price of our common stock and other securities.</w:t>
      </w:r>
    </w:p>
    <w:p>
      <w:pPr>
        <w:spacing w:after="0" w:line="34" w:lineRule="exact"/>
        <w:rPr>
          <w:sz w:val="20"/>
          <w:szCs w:val="20"/>
          <w:color w:val="auto"/>
        </w:rPr>
      </w:pPr>
    </w:p>
    <w:p>
      <w:pPr>
        <w:ind w:right="300" w:firstLine="228"/>
        <w:spacing w:after="0" w:line="293" w:lineRule="auto"/>
        <w:rPr>
          <w:sz w:val="20"/>
          <w:szCs w:val="20"/>
          <w:color w:val="auto"/>
        </w:rPr>
      </w:pPr>
      <w:r>
        <w:rPr>
          <w:rFonts w:ascii="Times New Roman" w:cs="Times New Roman" w:eastAsia="Times New Roman" w:hAnsi="Times New Roman"/>
          <w:sz w:val="16"/>
          <w:szCs w:val="16"/>
          <w:color w:val="auto"/>
        </w:rPr>
        <w:t>As of February 23, 2015, we had 408,837,603 shares of common stock outstanding. Substantially all of these shares are available for public sale, subject in some cases to volume and other limitations or delivery of a prospectus. If our common stockholders sell substantial amounts of common stock in the public market, or the market perceives that such sales may occur, the market price of our common stock and other securities may decline. Likewise the issuance of additional shares of our common stock upon the conversion of some or all of our 2015 notes, or upon the exercise of some or all of the warrants we issued in February 2012, could adversely affect the market price of our common stock and other securities. In addition, the existence of these notes and warrants may encourage short selling of our common stock by market participants, which could adversely affect the market price of our common stock and other securities.</w:t>
      </w:r>
    </w:p>
    <w:p>
      <w:pPr>
        <w:spacing w:after="0" w:line="30" w:lineRule="exact"/>
        <w:rPr>
          <w:sz w:val="20"/>
          <w:szCs w:val="20"/>
          <w:color w:val="auto"/>
        </w:rPr>
      </w:pPr>
    </w:p>
    <w:p>
      <w:pPr>
        <w:ind w:right="180" w:firstLine="228"/>
        <w:spacing w:after="0" w:line="275" w:lineRule="auto"/>
        <w:rPr>
          <w:sz w:val="20"/>
          <w:szCs w:val="20"/>
          <w:color w:val="auto"/>
        </w:rPr>
      </w:pPr>
      <w:r>
        <w:rPr>
          <w:rFonts w:ascii="Times New Roman" w:cs="Times New Roman" w:eastAsia="Times New Roman" w:hAnsi="Times New Roman"/>
          <w:sz w:val="18"/>
          <w:szCs w:val="18"/>
          <w:color w:val="auto"/>
        </w:rPr>
        <w:t>In addition, we will need to raise substantial additional capital in the future to fund our operations. If we raise additional funds by issuing equity securities or additional convertible debt, the market price of our common stock and other securities may decline.</w:t>
      </w:r>
    </w:p>
    <w:p>
      <w:pPr>
        <w:spacing w:after="0" w:line="116" w:lineRule="exact"/>
        <w:rPr>
          <w:sz w:val="20"/>
          <w:szCs w:val="20"/>
          <w:color w:val="auto"/>
        </w:rPr>
      </w:pPr>
    </w:p>
    <w:p>
      <w:pPr>
        <w:ind w:left="120" w:right="16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34" w:lineRule="exact"/>
        <w:rPr>
          <w:sz w:val="20"/>
          <w:szCs w:val="20"/>
          <w:color w:val="auto"/>
        </w:rPr>
      </w:pPr>
    </w:p>
    <w:p>
      <w:pPr>
        <w:ind w:firstLine="228"/>
        <w:spacing w:after="0" w:line="253" w:lineRule="auto"/>
        <w:rPr>
          <w:sz w:val="20"/>
          <w:szCs w:val="20"/>
          <w:color w:val="auto"/>
        </w:rPr>
      </w:pPr>
      <w:r>
        <w:rPr>
          <w:rFonts w:ascii="Times New Roman" w:cs="Times New Roman" w:eastAsia="Times New Roman" w:hAnsi="Times New Roman"/>
          <w:sz w:val="18"/>
          <w:szCs w:val="18"/>
          <w:color w:val="auto"/>
        </w:rPr>
        <w:t>We are incorporated in Delaware. Certain anti-takeover provisions under Delaware law and in our certificate of incorporation and amended and restated bylaws, as currently in effect, may make a change of control of our company more difficult, even if a change in control would be beneficial to our stockholders or the holders of our other securities. Our anti-takeover provisions include provisions such as a prohibition on stockholder actions by written consent, the authority of our board of directors to issue preferred stock without stockholder approval, and supermajority voting requirements for specified actions. In addition, we are governed by the provisions of Section 203 of the Delaware General Corporation Law, which generally prohibits stockholders owning 15% or more of our outstanding voting stock from merging or combining with us in certain circumstances. These provisions may delay or prevent an acquisition of us, even if the acquisition may be considered beneficial by some of our stockholders. In addition, they may frustrate or prevent any attempts by our stockholders to replace or remove our current management by making it more difficult for stockholders to replace members of our board of directors, which is responsible for appointing the members of our management.</w:t>
      </w:r>
    </w:p>
    <w:p>
      <w:pPr>
        <w:spacing w:after="0" w:line="139" w:lineRule="exact"/>
        <w:rPr>
          <w:sz w:val="20"/>
          <w:szCs w:val="20"/>
          <w:color w:val="auto"/>
        </w:rPr>
      </w:pPr>
    </w:p>
    <w:p>
      <w:pPr>
        <w:ind w:left="120" w:right="20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Because we do not expect to pay dividends in the foreseeable future, you must rely on stock appreciation for any return on any investment in our common stock.</w:t>
      </w:r>
    </w:p>
    <w:p>
      <w:pPr>
        <w:spacing w:after="0" w:line="34" w:lineRule="exact"/>
        <w:rPr>
          <w:sz w:val="20"/>
          <w:szCs w:val="20"/>
          <w:color w:val="auto"/>
        </w:rPr>
      </w:pPr>
    </w:p>
    <w:p>
      <w:pPr>
        <w:ind w:right="100" w:firstLine="228"/>
        <w:spacing w:after="0" w:line="256" w:lineRule="auto"/>
        <w:rPr>
          <w:sz w:val="20"/>
          <w:szCs w:val="20"/>
          <w:color w:val="auto"/>
        </w:rPr>
      </w:pPr>
      <w:r>
        <w:rPr>
          <w:rFonts w:ascii="Times New Roman" w:cs="Times New Roman" w:eastAsia="Times New Roman" w:hAnsi="Times New Roman"/>
          <w:sz w:val="18"/>
          <w:szCs w:val="18"/>
          <w:color w:val="auto"/>
        </w:rPr>
        <w:t>We have paid no cash dividends on any of our capital stock to date, and we currently intend to retain our future earnings, if any, to fund the development and growth of our business. As a result, we do not expect to pay any cash dividends in the foreseeable future, and payment of cash dividends, if any, will also depend on our financial condition, results of operations, capital requirements and other factors and will be at the discretion of our board of directors. Pursuant to the Facility Agreement, we are subject to contractual restrictions on the payment of dividends. There is no guarantee that our common stock will appreciate or maintain its current price. You could lose the entire value of any investment in our common stock.</w:t>
      </w:r>
    </w:p>
    <w:p>
      <w:pPr>
        <w:spacing w:after="0" w:line="135" w:lineRule="exact"/>
        <w:rPr>
          <w:sz w:val="20"/>
          <w:szCs w:val="20"/>
          <w:color w:val="auto"/>
        </w:rPr>
      </w:pPr>
    </w:p>
    <w:p>
      <w:pPr>
        <w:ind w:left="120" w:right="78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have a limited number of unreserved shares available for future issuance, which may impair our ability to conduct future financing and other transactions.</w:t>
      </w:r>
    </w:p>
    <w:p>
      <w:pPr>
        <w:spacing w:after="0" w:line="34" w:lineRule="exact"/>
        <w:rPr>
          <w:sz w:val="20"/>
          <w:szCs w:val="20"/>
          <w:color w:val="auto"/>
        </w:rPr>
      </w:pPr>
    </w:p>
    <w:p>
      <w:pPr>
        <w:ind w:right="320" w:firstLine="228"/>
        <w:spacing w:after="0" w:line="258" w:lineRule="auto"/>
        <w:rPr>
          <w:sz w:val="20"/>
          <w:szCs w:val="20"/>
          <w:color w:val="auto"/>
        </w:rPr>
      </w:pPr>
      <w:r>
        <w:rPr>
          <w:rFonts w:ascii="Times New Roman" w:cs="Times New Roman" w:eastAsia="Times New Roman" w:hAnsi="Times New Roman"/>
          <w:sz w:val="18"/>
          <w:szCs w:val="18"/>
          <w:color w:val="auto"/>
        </w:rPr>
        <w:t>Our amended and restated certificate of incorporation currently authorizes us to issue up to 550,000,000 shares of common stock and 10,000,000 shares of preferred stock. As of December 31, 2014, we had a total of 76,326,082 shares of common stock that were authorized but unissued, and we have currently reserved a significant number of these shares for future issuance pursuant to outstanding equity awards, our equity plans and our 2015 notes. As a result, our ability to issue shares of common stock other than pursuant to existing</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20"/>
          </w:cols>
          <w:pgMar w:left="240" w:top="455" w:right="23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00"/>
        <w:spacing w:after="0" w:line="262" w:lineRule="auto"/>
        <w:rPr>
          <w:sz w:val="20"/>
          <w:szCs w:val="20"/>
          <w:color w:val="auto"/>
        </w:rPr>
      </w:pPr>
      <w:r>
        <w:rPr>
          <w:rFonts w:ascii="Times New Roman" w:cs="Times New Roman" w:eastAsia="Times New Roman" w:hAnsi="Times New Roman"/>
          <w:sz w:val="18"/>
          <w:szCs w:val="18"/>
          <w:color w:val="auto"/>
        </w:rPr>
        <w:t>arrangements will be limited until such time, if ever, that we are able to amend our amended and restated certificate of incorporation to further increase our authorized shares of common stock or shares currently reserved for issuance otherwise become available (for example, due to the termination of the underlying agreement to issue the shares).</w:t>
      </w:r>
    </w:p>
    <w:p>
      <w:pPr>
        <w:spacing w:after="0" w:line="51" w:lineRule="exact"/>
        <w:rPr>
          <w:sz w:val="20"/>
          <w:szCs w:val="20"/>
          <w:color w:val="auto"/>
        </w:rPr>
      </w:pPr>
    </w:p>
    <w:p>
      <w:pPr>
        <w:ind w:firstLine="228"/>
        <w:spacing w:after="0" w:line="288" w:lineRule="auto"/>
        <w:rPr>
          <w:sz w:val="20"/>
          <w:szCs w:val="20"/>
          <w:color w:val="auto"/>
        </w:rPr>
      </w:pPr>
      <w:r>
        <w:rPr>
          <w:rFonts w:ascii="Times New Roman" w:cs="Times New Roman" w:eastAsia="Times New Roman" w:hAnsi="Times New Roman"/>
          <w:sz w:val="16"/>
          <w:szCs w:val="16"/>
          <w:color w:val="auto"/>
        </w:rPr>
        <w:t>If we are unable to enter into new arrangements to issue shares of our common stock or securities convertible or exercisable into shares of our common stock, our ability to complete equity-based financings or other transactions that involve the potential issuance of our common stock or securities convertible or exercisable into our common stock, will be limited. In lieu of issuing common stock or securities convertible into our common stock in any future equity financing transactions, we may need to issue some or all of our authorized but unissued shares of preferred stock, which would likely have superior rights, preferences and privileges to those of our common stock, or we may need to issue debt that is not convertible into shares of our common stock, which may require us to grant security interests in our assets and property and/or impose covenants upon us that restrict our business. If we are unable to issue additional shares of common stock or securities convertible or exercisable into our common stock, our ability to enter into strategic transactions such as acquisitions of companies or technologies, may also be limited. If we propose to amend our amended and restated certificate of incorporation to increase our authorized shares of common stock, such a proposal would require the approval by the holders of a majority of our outstanding shares of common stock, and we cannot assure you that such a proposal would be adopted. If we are unable to complete financing, strategic or other transactions due to our inability to issue additional shares of common stock or securities convertible or exercisable into our common stock, our financial condition and business prospects may be materially harmed.</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1B. </w:t>
      </w:r>
      <w:r>
        <w:rPr>
          <w:rFonts w:ascii="Times New Roman" w:cs="Times New Roman" w:eastAsia="Times New Roman" w:hAnsi="Times New Roman"/>
          <w:sz w:val="18"/>
          <w:szCs w:val="18"/>
          <w:b w:val="1"/>
          <w:bCs w:val="1"/>
          <w:i w:val="1"/>
          <w:iCs w:val="1"/>
          <w:color w:val="auto"/>
        </w:rPr>
        <w:t>Unresolved Staff Comments</w:t>
      </w:r>
    </w:p>
    <w:p>
      <w:pPr>
        <w:spacing w:after="0" w:line="9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Properties</w:t>
      </w:r>
    </w:p>
    <w:p>
      <w:pPr>
        <w:spacing w:after="0" w:line="94" w:lineRule="exact"/>
        <w:rPr>
          <w:sz w:val="20"/>
          <w:szCs w:val="20"/>
          <w:color w:val="auto"/>
        </w:rPr>
      </w:pPr>
    </w:p>
    <w:p>
      <w:pPr>
        <w:ind w:right="140" w:firstLine="228"/>
        <w:spacing w:after="0" w:line="256" w:lineRule="auto"/>
        <w:rPr>
          <w:sz w:val="20"/>
          <w:szCs w:val="20"/>
          <w:color w:val="auto"/>
        </w:rPr>
      </w:pPr>
      <w:r>
        <w:rPr>
          <w:rFonts w:ascii="Times New Roman" w:cs="Times New Roman" w:eastAsia="Times New Roman" w:hAnsi="Times New Roman"/>
          <w:sz w:val="18"/>
          <w:szCs w:val="18"/>
          <w:color w:val="auto"/>
        </w:rPr>
        <w:t>In 2001, we acquired a facility in Danbury, Connecticut that included two buildings comprising approximately 190,000 square feet encompassing 17.5 acres. In September 2008, we completed the construction of approximately 140,000 square feet of new manufacturing space providing us with two buildings totaling approximately 328,000 square feet, housing our research and development, administrative and manufacturing functions, for AFREZZA, filling and packaging. We believe the Danbury facility will have sufficient space to satisfy potential commercial demand for the launch of AFREZZA and, with the expansion completed, the first few years thereafter for AFREZZA and other AFREZZA-related products.</w:t>
      </w:r>
    </w:p>
    <w:p>
      <w:pPr>
        <w:spacing w:after="0" w:line="58" w:lineRule="exact"/>
        <w:rPr>
          <w:sz w:val="20"/>
          <w:szCs w:val="20"/>
          <w:color w:val="auto"/>
        </w:rPr>
      </w:pPr>
    </w:p>
    <w:p>
      <w:pPr>
        <w:ind w:right="180" w:firstLine="228"/>
        <w:spacing w:after="0" w:line="275" w:lineRule="auto"/>
        <w:rPr>
          <w:sz w:val="20"/>
          <w:szCs w:val="20"/>
          <w:color w:val="auto"/>
        </w:rPr>
      </w:pPr>
      <w:r>
        <w:rPr>
          <w:rFonts w:ascii="Times New Roman" w:cs="Times New Roman" w:eastAsia="Times New Roman" w:hAnsi="Times New Roman"/>
          <w:sz w:val="18"/>
          <w:szCs w:val="18"/>
          <w:color w:val="auto"/>
        </w:rPr>
        <w:t>We own and occupy approximately 142,000 square feet of laboratory, office and warehouse space in Valencia, California. The facility contains our principal executive offices.</w:t>
      </w:r>
    </w:p>
    <w:p>
      <w:pPr>
        <w:spacing w:after="0" w:line="39" w:lineRule="exact"/>
        <w:rPr>
          <w:sz w:val="20"/>
          <w:szCs w:val="20"/>
          <w:color w:val="auto"/>
        </w:rPr>
      </w:pPr>
    </w:p>
    <w:p>
      <w:pPr>
        <w:ind w:right="580" w:firstLine="228"/>
        <w:spacing w:after="0" w:line="275" w:lineRule="auto"/>
        <w:rPr>
          <w:sz w:val="20"/>
          <w:szCs w:val="20"/>
          <w:color w:val="auto"/>
        </w:rPr>
      </w:pPr>
      <w:r>
        <w:rPr>
          <w:rFonts w:ascii="Times New Roman" w:cs="Times New Roman" w:eastAsia="Times New Roman" w:hAnsi="Times New Roman"/>
          <w:sz w:val="18"/>
          <w:szCs w:val="18"/>
          <w:color w:val="auto"/>
        </w:rPr>
        <w:t>Our obligations under the Facility Agreement, the Milestone Agreement, and Sanofi Loan Facility are secured by certain mortgages on our facilities in Danbury, Connecticut and Valencia, California.</w:t>
      </w:r>
    </w:p>
    <w:p>
      <w:pPr>
        <w:spacing w:after="0" w:line="39" w:lineRule="exact"/>
        <w:rPr>
          <w:sz w:val="20"/>
          <w:szCs w:val="20"/>
          <w:color w:val="auto"/>
        </w:rPr>
      </w:pPr>
    </w:p>
    <w:p>
      <w:pPr>
        <w:ind w:right="500" w:firstLine="228"/>
        <w:spacing w:after="0" w:line="275" w:lineRule="auto"/>
        <w:rPr>
          <w:sz w:val="20"/>
          <w:szCs w:val="20"/>
          <w:color w:val="auto"/>
        </w:rPr>
      </w:pPr>
      <w:r>
        <w:rPr>
          <w:rFonts w:ascii="Times New Roman" w:cs="Times New Roman" w:eastAsia="Times New Roman" w:hAnsi="Times New Roman"/>
          <w:sz w:val="18"/>
          <w:szCs w:val="18"/>
          <w:color w:val="auto"/>
        </w:rPr>
        <w:t>We lease approximately 23,000 square feet of office space in Paramus, New Jersey pursuant to a lease that expires in May 2015. The facility houses our medical, regulatory affairs, clinical operations and administrative staff.</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Legal Proceedings</w:t>
      </w:r>
    </w:p>
    <w:p>
      <w:pPr>
        <w:spacing w:after="0" w:line="94" w:lineRule="exact"/>
        <w:rPr>
          <w:sz w:val="20"/>
          <w:szCs w:val="20"/>
          <w:color w:val="auto"/>
        </w:rPr>
      </w:pPr>
    </w:p>
    <w:p>
      <w:pPr>
        <w:ind w:firstLine="228"/>
        <w:spacing w:after="0" w:line="262" w:lineRule="auto"/>
        <w:rPr>
          <w:sz w:val="20"/>
          <w:szCs w:val="20"/>
          <w:color w:val="auto"/>
        </w:rPr>
      </w:pPr>
      <w:r>
        <w:rPr>
          <w:rFonts w:ascii="Times New Roman" w:cs="Times New Roman" w:eastAsia="Times New Roman" w:hAnsi="Times New Roman"/>
          <w:sz w:val="18"/>
          <w:szCs w:val="18"/>
          <w:color w:val="auto"/>
        </w:rPr>
        <w:t>We are subject to legal proceedings and claims which arise in the ordinary course of our business. As of the date hereof, we believe that the final disposition of such matters will not have a material adverse effect on our financial position, results of operations or cash flows. We maintain liability insurance coverage to protect our assets from losses arising out of or involving activities associated with ongoing and normal business operations.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Mine Safety Disclosures</w:t>
      </w:r>
    </w:p>
    <w:p>
      <w:pPr>
        <w:spacing w:after="0" w:line="9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Not applicable.</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00"/>
          </w:cols>
          <w:pgMar w:left="240" w:top="455" w:right="25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i w:val="1"/>
          <w:iCs w:val="1"/>
          <w:color w:val="auto"/>
        </w:rPr>
        <w:t>Market for the Registrant’s Common Equity, Related Stockholder Matters and Issuer Purchases of Equity Securities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 Market Price</w:t>
      </w:r>
    </w:p>
    <w:p>
      <w:pPr>
        <w:spacing w:after="0" w:line="92" w:lineRule="exact"/>
        <w:rPr>
          <w:sz w:val="20"/>
          <w:szCs w:val="20"/>
          <w:color w:val="auto"/>
        </w:rPr>
      </w:pPr>
    </w:p>
    <w:p>
      <w:pPr>
        <w:ind w:right="240" w:firstLine="228"/>
        <w:spacing w:after="0" w:line="275" w:lineRule="auto"/>
        <w:rPr>
          <w:sz w:val="20"/>
          <w:szCs w:val="20"/>
          <w:color w:val="auto"/>
        </w:rPr>
      </w:pPr>
      <w:r>
        <w:rPr>
          <w:rFonts w:ascii="Times New Roman" w:cs="Times New Roman" w:eastAsia="Times New Roman" w:hAnsi="Times New Roman"/>
          <w:sz w:val="18"/>
          <w:szCs w:val="18"/>
          <w:color w:val="auto"/>
        </w:rPr>
        <w:t>Our common stock has been traded on The NASDAQ Global Market under the symbol “MNKD” since July 28, 2004. The following table sets forth for the quarterly periods indicated, the high and low sales prices for our common stock as reported by The NASDAQ Global Market.</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68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High</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Low</w:t>
            </w:r>
          </w:p>
        </w:tc>
      </w:tr>
      <w:tr>
        <w:trPr>
          <w:trHeight w:val="196"/>
        </w:trPr>
        <w:tc>
          <w:tcPr>
            <w:tcW w:w="56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Year ended December 31, 2014</w:t>
            </w:r>
          </w:p>
        </w:tc>
        <w:tc>
          <w:tcPr>
            <w:tcW w:w="34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3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7.21</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00" w:type="dxa"/>
            <w:vAlign w:val="bottom"/>
          </w:tcPr>
          <w:p>
            <w:pPr>
              <w:spacing w:after="0"/>
              <w:rPr>
                <w:sz w:val="18"/>
                <w:szCs w:val="18"/>
                <w:color w:val="auto"/>
              </w:rPr>
            </w:pPr>
          </w:p>
        </w:tc>
      </w:tr>
      <w:tr>
        <w:trPr>
          <w:trHeight w:val="216"/>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3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11.48</w:t>
            </w: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00" w:type="dxa"/>
            <w:vAlign w:val="bottom"/>
            <w:shd w:val="clear" w:color="auto" w:fill="CCEEFF"/>
          </w:tcPr>
          <w:p>
            <w:pPr>
              <w:spacing w:after="0"/>
              <w:rPr>
                <w:sz w:val="18"/>
                <w:szCs w:val="18"/>
                <w:color w:val="auto"/>
              </w:rPr>
            </w:pP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3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10.81</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100" w:type="dxa"/>
            <w:vAlign w:val="bottom"/>
          </w:tcPr>
          <w:p>
            <w:pPr>
              <w:spacing w:after="0"/>
              <w:rPr>
                <w:sz w:val="18"/>
                <w:szCs w:val="18"/>
                <w:color w:val="auto"/>
              </w:rPr>
            </w:pPr>
          </w:p>
        </w:tc>
      </w:tr>
      <w:tr>
        <w:trPr>
          <w:trHeight w:val="216"/>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3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6.65</w:t>
            </w: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100" w:type="dxa"/>
            <w:vAlign w:val="bottom"/>
            <w:shd w:val="clear" w:color="auto" w:fill="CCEEFF"/>
          </w:tcPr>
          <w:p>
            <w:pPr>
              <w:spacing w:after="0"/>
              <w:rPr>
                <w:sz w:val="18"/>
                <w:szCs w:val="18"/>
                <w:color w:val="auto"/>
              </w:rPr>
            </w:pPr>
          </w:p>
        </w:tc>
      </w:tr>
      <w:tr>
        <w:trPr>
          <w:trHeight w:val="37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Year ended December 31, 2013</w:t>
            </w:r>
          </w:p>
        </w:tc>
        <w:tc>
          <w:tcPr>
            <w:tcW w:w="3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8"/>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3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3.67</w:t>
            </w: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shd w:val="clear" w:color="auto" w:fill="CCEEFF"/>
          </w:tcPr>
          <w:p>
            <w:pPr>
              <w:spacing w:after="0"/>
              <w:rPr>
                <w:sz w:val="18"/>
                <w:szCs w:val="18"/>
                <w:color w:val="auto"/>
              </w:rPr>
            </w:pP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3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8.06</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00" w:type="dxa"/>
            <w:vAlign w:val="bottom"/>
          </w:tcPr>
          <w:p>
            <w:pPr>
              <w:spacing w:after="0"/>
              <w:rPr>
                <w:sz w:val="18"/>
                <w:szCs w:val="18"/>
                <w:color w:val="auto"/>
              </w:rPr>
            </w:pPr>
          </w:p>
        </w:tc>
      </w:tr>
      <w:tr>
        <w:trPr>
          <w:trHeight w:val="216"/>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3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8.70</w:t>
            </w: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100" w:type="dxa"/>
            <w:vAlign w:val="bottom"/>
            <w:shd w:val="clear" w:color="auto" w:fill="CCEEFF"/>
          </w:tcPr>
          <w:p>
            <w:pPr>
              <w:spacing w:after="0"/>
              <w:rPr>
                <w:sz w:val="18"/>
                <w:szCs w:val="18"/>
                <w:color w:val="auto"/>
              </w:rPr>
            </w:pPr>
          </w:p>
        </w:tc>
      </w:tr>
      <w:tr>
        <w:trPr>
          <w:trHeight w:val="228"/>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3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5.84</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100" w:type="dxa"/>
            <w:vAlign w:val="bottom"/>
          </w:tcPr>
          <w:p>
            <w:pPr>
              <w:spacing w:after="0"/>
              <w:rPr>
                <w:sz w:val="19"/>
                <w:szCs w:val="19"/>
                <w:color w:val="auto"/>
              </w:rPr>
            </w:pPr>
          </w:p>
        </w:tc>
      </w:tr>
    </w:tbl>
    <w:p>
      <w:pPr>
        <w:spacing w:after="0" w:line="54" w:lineRule="exact"/>
        <w:rPr>
          <w:sz w:val="20"/>
          <w:szCs w:val="20"/>
          <w:color w:val="auto"/>
        </w:rPr>
      </w:pPr>
    </w:p>
    <w:p>
      <w:pPr>
        <w:ind w:right="480" w:firstLine="228"/>
        <w:spacing w:after="0" w:line="275" w:lineRule="auto"/>
        <w:rPr>
          <w:sz w:val="20"/>
          <w:szCs w:val="20"/>
          <w:color w:val="auto"/>
        </w:rPr>
      </w:pPr>
      <w:r>
        <w:rPr>
          <w:rFonts w:ascii="Times New Roman" w:cs="Times New Roman" w:eastAsia="Times New Roman" w:hAnsi="Times New Roman"/>
          <w:sz w:val="18"/>
          <w:szCs w:val="18"/>
          <w:color w:val="auto"/>
        </w:rPr>
        <w:t>The closing sales price of our common stock on The NASDAQ Global Market was $6.72 on February 23, 2015 and there were 197 registered holders of record as of that date.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Measurement Comparison</w:t>
      </w:r>
    </w:p>
    <w:p>
      <w:pPr>
        <w:spacing w:after="0" w:line="90" w:lineRule="exact"/>
        <w:rPr>
          <w:sz w:val="20"/>
          <w:szCs w:val="20"/>
          <w:color w:val="auto"/>
        </w:rPr>
      </w:pPr>
    </w:p>
    <w:p>
      <w:pPr>
        <w:ind w:right="160" w:firstLine="228"/>
        <w:spacing w:after="0" w:line="264" w:lineRule="auto"/>
        <w:rPr>
          <w:sz w:val="20"/>
          <w:szCs w:val="20"/>
          <w:color w:val="auto"/>
        </w:rPr>
      </w:pPr>
      <w:r>
        <w:rPr>
          <w:rFonts w:ascii="Times New Roman" w:cs="Times New Roman" w:eastAsia="Times New Roman" w:hAnsi="Times New Roman"/>
          <w:sz w:val="18"/>
          <w:szCs w:val="18"/>
          <w:i w:val="1"/>
          <w:iCs w:val="1"/>
          <w:color w:val="auto"/>
        </w:rPr>
        <w:t>The material in this section is not “soliciting material,” is not deemed “filed” with the SEC and shall not be incorporated by reference by any general statement incorporating by reference this Annual Report on Form 10-K into any of our filings under the Securities Act, or the Exchange Act, except to the extent we specifically incorporate this section by reference.</w:t>
      </w:r>
    </w:p>
    <w:p>
      <w:pPr>
        <w:spacing w:after="0" w:line="48" w:lineRule="exact"/>
        <w:rPr>
          <w:sz w:val="20"/>
          <w:szCs w:val="20"/>
          <w:color w:val="auto"/>
        </w:rPr>
      </w:pPr>
    </w:p>
    <w:p>
      <w:pPr>
        <w:ind w:right="60" w:firstLine="228"/>
        <w:spacing w:after="0" w:line="310" w:lineRule="auto"/>
        <w:rPr>
          <w:sz w:val="20"/>
          <w:szCs w:val="20"/>
          <w:color w:val="auto"/>
        </w:rPr>
      </w:pPr>
      <w:r>
        <w:rPr>
          <w:rFonts w:ascii="Times New Roman" w:cs="Times New Roman" w:eastAsia="Times New Roman" w:hAnsi="Times New Roman"/>
          <w:sz w:val="16"/>
          <w:szCs w:val="16"/>
          <w:color w:val="auto"/>
        </w:rPr>
        <w:t>The following graph illustrates a comparison of the cumulative total stockholder return (change in stock price plus reinvested dividends) of our common stock with (i) The NASDAQ Composite Index and (ii) The NASDAQ Biotechnology Index. The graph assumes a $100 investment, on December 31, 2009, in (i) our common stock, (ii) the securities comprising The NASDAQ Composite Index and (iii) the securities comprising The NASDAQ Biotechnology Index.</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20"/>
          </w:cols>
          <w:pgMar w:left="240" w:top="455" w:right="23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The comparisons in the graph are required by the SEC and are not intended to forecast or be indicative of possible future performance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158115</wp:posOffset>
            </wp:positionV>
            <wp:extent cx="4347845" cy="30016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347845" cy="3001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92" w:lineRule="exact"/>
        <w:rPr>
          <w:sz w:val="20"/>
          <w:szCs w:val="20"/>
          <w:color w:val="auto"/>
        </w:rPr>
      </w:pPr>
    </w:p>
    <w:p>
      <w:pPr>
        <w:jc w:val="both"/>
        <w:ind w:firstLine="228"/>
        <w:spacing w:after="0" w:line="258" w:lineRule="auto"/>
        <w:rPr>
          <w:sz w:val="20"/>
          <w:szCs w:val="20"/>
          <w:color w:val="auto"/>
        </w:rPr>
      </w:pPr>
      <w:r>
        <w:rPr>
          <w:rFonts w:ascii="Times New Roman" w:cs="Times New Roman" w:eastAsia="Times New Roman" w:hAnsi="Times New Roman"/>
          <w:sz w:val="18"/>
          <w:szCs w:val="18"/>
          <w:color w:val="auto"/>
        </w:rPr>
        <w:t>We have never declared or paid any cash dividends on our common stock. We currently intend to retain all available funds and any future earnings for use in the operation and expansion of our business. Accordingly, we do not anticipate paying any cash dividends on our common stock in the foreseeable future. Any future determination to pay dividends will be at the discretion of our board of directors. In addition, under the terms of the Facility Agreement, we are restricted from distributing any of our assets or declaring and distributing a dividend to our stockholders.</w:t>
      </w:r>
    </w:p>
    <w:p>
      <w:pPr>
        <w:spacing w:after="0" w:line="12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240"/>
          </w:cols>
          <w:pgMar w:left="240" w:top="455" w:right="41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i w:val="1"/>
          <w:iCs w:val="1"/>
          <w:color w:val="auto"/>
        </w:rPr>
        <w:t>Selected Financial Data</w:t>
      </w:r>
    </w:p>
    <w:p>
      <w:pPr>
        <w:spacing w:after="0" w:line="94" w:lineRule="exact"/>
        <w:rPr>
          <w:sz w:val="20"/>
          <w:szCs w:val="20"/>
          <w:color w:val="auto"/>
        </w:rPr>
      </w:pPr>
    </w:p>
    <w:p>
      <w:pPr>
        <w:ind w:right="140" w:firstLine="228"/>
        <w:spacing w:after="0" w:line="258" w:lineRule="auto"/>
        <w:rPr>
          <w:sz w:val="20"/>
          <w:szCs w:val="20"/>
          <w:color w:val="auto"/>
        </w:rPr>
      </w:pPr>
      <w:r>
        <w:rPr>
          <w:rFonts w:ascii="Times New Roman" w:cs="Times New Roman" w:eastAsia="Times New Roman" w:hAnsi="Times New Roman"/>
          <w:sz w:val="18"/>
          <w:szCs w:val="18"/>
          <w:color w:val="auto"/>
        </w:rPr>
        <w:t>The following selected consolidated financial data should be read in conjunction with our consolidated financial statements and notes thereto and with “Management’s Discussion and Analysis of Financial Condition and Results of Operations,” which are included elsewhere in this Annual Report on Form 10-K. The selected financial data included in this section are not intended to replace our audited financial statements and the related notes included elsewhere in this Annual Report.</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26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Statement of Operations Data:</w:t>
            </w: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5"/>
              </w:rPr>
              <w:t>Year Ended December 31,</w:t>
            </w: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5260" w:type="dxa"/>
            <w:vAlign w:val="bottom"/>
            <w:gridSpan w:val="4"/>
            <w:vMerge w:val="continue"/>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right"/>
              <w:ind w:right="214"/>
              <w:spacing w:after="0" w:line="129" w:lineRule="exact"/>
              <w:rPr>
                <w:sz w:val="20"/>
                <w:szCs w:val="20"/>
                <w:color w:val="auto"/>
              </w:rPr>
            </w:pPr>
            <w:r>
              <w:rPr>
                <w:rFonts w:ascii="Times New Roman" w:cs="Times New Roman" w:eastAsia="Times New Roman" w:hAnsi="Times New Roman"/>
                <w:sz w:val="14"/>
                <w:szCs w:val="14"/>
                <w:b w:val="1"/>
                <w:bCs w:val="1"/>
                <w:color w:val="auto"/>
              </w:rPr>
              <w:t>2014</w:t>
            </w: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right"/>
              <w:ind w:right="215"/>
              <w:spacing w:after="0" w:line="129" w:lineRule="exact"/>
              <w:rPr>
                <w:sz w:val="20"/>
                <w:szCs w:val="20"/>
                <w:color w:val="auto"/>
              </w:rPr>
            </w:pPr>
            <w:r>
              <w:rPr>
                <w:rFonts w:ascii="Times New Roman" w:cs="Times New Roman" w:eastAsia="Times New Roman" w:hAnsi="Times New Roman"/>
                <w:sz w:val="14"/>
                <w:szCs w:val="14"/>
                <w:b w:val="1"/>
                <w:bCs w:val="1"/>
                <w:color w:val="auto"/>
              </w:rPr>
              <w:t>2013</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center"/>
              <w:ind w:right="14"/>
              <w:spacing w:after="0" w:line="129" w:lineRule="exact"/>
              <w:rPr>
                <w:sz w:val="20"/>
                <w:szCs w:val="20"/>
                <w:color w:val="auto"/>
              </w:rPr>
            </w:pPr>
            <w:r>
              <w:rPr>
                <w:rFonts w:ascii="Times New Roman" w:cs="Times New Roman" w:eastAsia="Times New Roman" w:hAnsi="Times New Roman"/>
                <w:sz w:val="14"/>
                <w:szCs w:val="14"/>
                <w:b w:val="1"/>
                <w:bCs w:val="1"/>
                <w:color w:val="auto"/>
                <w:w w:val="92"/>
              </w:rPr>
              <w:t>2012</w:t>
            </w: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jc w:val="right"/>
              <w:ind w:right="214"/>
              <w:spacing w:after="0" w:line="129" w:lineRule="exact"/>
              <w:rPr>
                <w:sz w:val="20"/>
                <w:szCs w:val="20"/>
                <w:color w:val="auto"/>
              </w:rPr>
            </w:pPr>
            <w:r>
              <w:rPr>
                <w:rFonts w:ascii="Times New Roman" w:cs="Times New Roman" w:eastAsia="Times New Roman" w:hAnsi="Times New Roman"/>
                <w:sz w:val="14"/>
                <w:szCs w:val="14"/>
                <w:b w:val="1"/>
                <w:bCs w:val="1"/>
                <w:color w:val="auto"/>
              </w:rPr>
              <w:t>2011</w:t>
            </w: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right"/>
              <w:ind w:right="214"/>
              <w:spacing w:after="0" w:line="129" w:lineRule="exact"/>
              <w:rPr>
                <w:sz w:val="20"/>
                <w:szCs w:val="20"/>
                <w:color w:val="auto"/>
              </w:rPr>
            </w:pPr>
            <w:r>
              <w:rPr>
                <w:rFonts w:ascii="Times New Roman" w:cs="Times New Roman" w:eastAsia="Times New Roman" w:hAnsi="Times New Roman"/>
                <w:sz w:val="14"/>
                <w:szCs w:val="14"/>
                <w:b w:val="1"/>
                <w:bCs w:val="1"/>
                <w:color w:val="auto"/>
              </w:rPr>
              <w:t>2010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33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780" w:type="dxa"/>
            <w:vAlign w:val="bottom"/>
            <w:tcBorders>
              <w:top w:val="single" w:sz="8" w:color="auto"/>
            </w:tcBorders>
            <w:gridSpan w:val="10"/>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w w:val="96"/>
              </w:rPr>
              <w:t>(In thousands, except per share amounts)</w:t>
            </w: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35</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22"/>
        </w:trPr>
        <w:tc>
          <w:tcPr>
            <w:tcW w:w="52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4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100,244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109,719</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101,522</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99,959</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112,279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79,383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59,682</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45,473</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40,630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40,312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179,627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169,401</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146,995</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140,589</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152,591</w:t>
            </w:r>
          </w:p>
        </w:tc>
        <w:tc>
          <w:tcPr>
            <w:tcW w:w="0" w:type="dxa"/>
            <w:vAlign w:val="bottom"/>
          </w:tcPr>
          <w:p>
            <w:pPr>
              <w:spacing w:after="0"/>
              <w:rPr>
                <w:sz w:val="1"/>
                <w:szCs w:val="1"/>
                <w:color w:val="auto"/>
              </w:rPr>
            </w:pPr>
          </w:p>
        </w:tc>
      </w:tr>
      <w:tr>
        <w:trPr>
          <w:trHeight w:val="222"/>
        </w:trPr>
        <w:tc>
          <w:tcPr>
            <w:tcW w:w="52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(179,627)</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(169,401)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(146,960)</w:t>
            </w: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(140,539)</w:t>
            </w: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(152,498)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1,679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(635)</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(1,191)</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Interest expense on note payable to principal stockholder</w:t>
            </w:r>
          </w:p>
        </w:tc>
        <w:tc>
          <w:tcPr>
            <w:tcW w:w="1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(2,894)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(6,309)</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(10,491)</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(10,883)</w:t>
            </w: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on senior convertible notes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(17,549)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(15,153)</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(11,139)</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(10,941)</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0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7</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(198,382)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(191,490)</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(169,774)</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(160,804)</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(170,560)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10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408</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(198,382)</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(191,490)</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(169,366)</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(160,804)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(170,560)</w:t>
            </w:r>
          </w:p>
        </w:tc>
        <w:tc>
          <w:tcPr>
            <w:tcW w:w="0" w:type="dxa"/>
            <w:vAlign w:val="bottom"/>
          </w:tcPr>
          <w:p>
            <w:pPr>
              <w:spacing w:after="0"/>
              <w:rPr>
                <w:sz w:val="1"/>
                <w:szCs w:val="1"/>
                <w:color w:val="auto"/>
              </w:rPr>
            </w:pPr>
          </w:p>
        </w:tc>
      </w:tr>
      <w:tr>
        <w:trPr>
          <w:trHeight w:val="20"/>
        </w:trPr>
        <w:tc>
          <w:tcPr>
            <w:tcW w:w="526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auto"/>
              </w:rPr>
              <w:t>Basic and diluted net loss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60" w:type="dxa"/>
            <w:vAlign w:val="bottom"/>
            <w:gridSpan w:val="4"/>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(0.64)</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4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used to compute basic and diluted net loss per share</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385,229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299,591</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180,855</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121,817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113,672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26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Balance Sheet Data:</w:t>
            </w:r>
          </w:p>
        </w:tc>
        <w:tc>
          <w:tcPr>
            <w:tcW w:w="1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5"/>
              </w:rPr>
              <w:t>December 31,</w:t>
            </w:r>
          </w:p>
        </w:tc>
        <w:tc>
          <w:tcPr>
            <w:tcW w:w="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6"/>
        </w:trPr>
        <w:tc>
          <w:tcPr>
            <w:tcW w:w="5260" w:type="dxa"/>
            <w:vAlign w:val="bottom"/>
            <w:gridSpan w:val="4"/>
            <w:vMerge w:val="continue"/>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right"/>
              <w:ind w:right="214"/>
              <w:spacing w:after="0" w:line="129" w:lineRule="exact"/>
              <w:rPr>
                <w:sz w:val="20"/>
                <w:szCs w:val="20"/>
                <w:color w:val="auto"/>
              </w:rPr>
            </w:pPr>
            <w:r>
              <w:rPr>
                <w:rFonts w:ascii="Times New Roman" w:cs="Times New Roman" w:eastAsia="Times New Roman" w:hAnsi="Times New Roman"/>
                <w:sz w:val="14"/>
                <w:szCs w:val="14"/>
                <w:b w:val="1"/>
                <w:bCs w:val="1"/>
                <w:color w:val="auto"/>
              </w:rPr>
              <w:t>2014</w:t>
            </w: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right"/>
              <w:ind w:right="215"/>
              <w:spacing w:after="0" w:line="129" w:lineRule="exact"/>
              <w:rPr>
                <w:sz w:val="20"/>
                <w:szCs w:val="20"/>
                <w:color w:val="auto"/>
              </w:rPr>
            </w:pPr>
            <w:r>
              <w:rPr>
                <w:rFonts w:ascii="Times New Roman" w:cs="Times New Roman" w:eastAsia="Times New Roman" w:hAnsi="Times New Roman"/>
                <w:sz w:val="14"/>
                <w:szCs w:val="14"/>
                <w:b w:val="1"/>
                <w:bCs w:val="1"/>
                <w:color w:val="auto"/>
              </w:rPr>
              <w:t>2013</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center"/>
              <w:ind w:right="14"/>
              <w:spacing w:after="0" w:line="129" w:lineRule="exact"/>
              <w:rPr>
                <w:sz w:val="20"/>
                <w:szCs w:val="20"/>
                <w:color w:val="auto"/>
              </w:rPr>
            </w:pPr>
            <w:r>
              <w:rPr>
                <w:rFonts w:ascii="Times New Roman" w:cs="Times New Roman" w:eastAsia="Times New Roman" w:hAnsi="Times New Roman"/>
                <w:sz w:val="14"/>
                <w:szCs w:val="14"/>
                <w:b w:val="1"/>
                <w:bCs w:val="1"/>
                <w:color w:val="auto"/>
                <w:w w:val="92"/>
              </w:rPr>
              <w:t>2012</w:t>
            </w: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jc w:val="right"/>
              <w:ind w:right="214"/>
              <w:spacing w:after="0" w:line="129" w:lineRule="exact"/>
              <w:rPr>
                <w:sz w:val="20"/>
                <w:szCs w:val="20"/>
                <w:color w:val="auto"/>
              </w:rPr>
            </w:pPr>
            <w:r>
              <w:rPr>
                <w:rFonts w:ascii="Times New Roman" w:cs="Times New Roman" w:eastAsia="Times New Roman" w:hAnsi="Times New Roman"/>
                <w:sz w:val="14"/>
                <w:szCs w:val="14"/>
                <w:b w:val="1"/>
                <w:bCs w:val="1"/>
                <w:color w:val="auto"/>
              </w:rPr>
              <w:t>2011</w:t>
            </w: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right"/>
              <w:ind w:right="214"/>
              <w:spacing w:after="0" w:line="129" w:lineRule="exact"/>
              <w:rPr>
                <w:sz w:val="20"/>
                <w:szCs w:val="20"/>
                <w:color w:val="auto"/>
              </w:rPr>
            </w:pPr>
            <w:r>
              <w:rPr>
                <w:rFonts w:ascii="Times New Roman" w:cs="Times New Roman" w:eastAsia="Times New Roman" w:hAnsi="Times New Roman"/>
                <w:sz w:val="14"/>
                <w:szCs w:val="14"/>
                <w:b w:val="1"/>
                <w:bCs w:val="1"/>
                <w:color w:val="auto"/>
              </w:rPr>
              <w:t>2010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64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gridSpan w:val="3"/>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w w:val="96"/>
              </w:rPr>
              <w:t>(In thousands)</w:t>
            </w:r>
          </w:p>
        </w:tc>
        <w:tc>
          <w:tcPr>
            <w:tcW w:w="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120,841</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70,790</w:t>
            </w: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61,840</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66,061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394,439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258,646</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251,314</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199,553</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277,256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convertible notes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99,355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98,439</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212,026</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210,642</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209,335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Facility financing obligation</w:t>
            </w:r>
          </w:p>
        </w:tc>
        <w:tc>
          <w:tcPr>
            <w:tcW w:w="10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72,995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102,300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 payable to our principal stockholder</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49,521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49,521</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119,635</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277,203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235,319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5"/>
              </w:rPr>
              <w:t>(2,494,784)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5"/>
              </w:rPr>
              <w:t>(2,296,402)</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5"/>
              </w:rPr>
              <w:t>(2,104,912)</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w w:val="97"/>
              </w:rPr>
              <w:t>(1,935,546)</w:t>
            </w: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7"/>
              </w:rPr>
              <w:t>(1,774,742)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(73,770)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(30,713)</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(110,679)</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(313,652)</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(185,532)</w:t>
            </w:r>
          </w:p>
        </w:tc>
        <w:tc>
          <w:tcPr>
            <w:tcW w:w="0" w:type="dxa"/>
            <w:vAlign w:val="bottom"/>
          </w:tcPr>
          <w:p>
            <w:pPr>
              <w:spacing w:after="0"/>
              <w:rPr>
                <w:sz w:val="1"/>
                <w:szCs w:val="1"/>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7. </w:t>
      </w: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p>
    <w:p>
      <w:pPr>
        <w:spacing w:after="0" w:line="94" w:lineRule="exact"/>
        <w:rPr>
          <w:sz w:val="20"/>
          <w:szCs w:val="20"/>
          <w:color w:val="auto"/>
        </w:rPr>
      </w:pPr>
    </w:p>
    <w:p>
      <w:pPr>
        <w:ind w:right="380" w:firstLine="228"/>
        <w:spacing w:after="0" w:line="275" w:lineRule="auto"/>
        <w:rPr>
          <w:sz w:val="20"/>
          <w:szCs w:val="20"/>
          <w:color w:val="auto"/>
        </w:rPr>
      </w:pPr>
      <w:r>
        <w:rPr>
          <w:rFonts w:ascii="Times New Roman" w:cs="Times New Roman" w:eastAsia="Times New Roman" w:hAnsi="Times New Roman"/>
          <w:sz w:val="18"/>
          <w:szCs w:val="18"/>
          <w:color w:val="auto"/>
        </w:rPr>
        <w:t>The following discussion of our financial condition and results of operations should be read in conjunction with our consolidated financial statements and notes thereto included in this Annual Report on Form 10-K.</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92" w:lineRule="exact"/>
        <w:rPr>
          <w:sz w:val="20"/>
          <w:szCs w:val="20"/>
          <w:color w:val="auto"/>
        </w:rPr>
      </w:pPr>
    </w:p>
    <w:p>
      <w:pPr>
        <w:ind w:right="240" w:firstLine="228"/>
        <w:spacing w:after="0" w:line="262" w:lineRule="auto"/>
        <w:rPr>
          <w:sz w:val="20"/>
          <w:szCs w:val="20"/>
          <w:color w:val="auto"/>
        </w:rPr>
      </w:pPr>
      <w:r>
        <w:rPr>
          <w:rFonts w:ascii="Times New Roman" w:cs="Times New Roman" w:eastAsia="Times New Roman" w:hAnsi="Times New Roman"/>
          <w:sz w:val="18"/>
          <w:szCs w:val="18"/>
          <w:color w:val="auto"/>
        </w:rPr>
        <w:t>We are a biopharmaceutical company focused on the discovery and development of therapeutic products for diseases such as diabetes. Our only approved product candidate, AFREZZA, is a rapid-acting inhaled insulin t that was approved by the FDA on June 27, 2014 to improve glycemic control in adult patients with diabetes.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20"/>
          </w:cols>
          <w:pgMar w:left="240" w:top="455" w:right="23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40" w:firstLine="228"/>
        <w:spacing w:after="0" w:line="256" w:lineRule="auto"/>
        <w:rPr>
          <w:sz w:val="20"/>
          <w:szCs w:val="20"/>
          <w:color w:val="auto"/>
        </w:rPr>
      </w:pPr>
      <w:r>
        <w:rPr>
          <w:rFonts w:ascii="Times New Roman" w:cs="Times New Roman" w:eastAsia="Times New Roman" w:hAnsi="Times New Roman"/>
          <w:sz w:val="18"/>
          <w:szCs w:val="18"/>
          <w:color w:val="auto"/>
        </w:rPr>
        <w:t>As of December 31, 2014, we had an accumulated deficit of $2.5 billion and a stockholders’ deficit of $73.8 million. We incurred net losses of approximately $198.4 million, $191.5 million, and $169.4 million in the years ended December 31, 2014, 2013, and 2012, respectively. Through December 31, 2014, we have not generated any product revenues and have funded our operations through the sale of equity securities and convertible debt securities, borrowings under the Facility Agreement, and borrowings under the Loan Arrangement. As discussed below in “Liquidity and Capital Resources,” if we are unable to obtain additional funding in the future, there could be substantial doubt about our ability to continue as a going concern.</w:t>
      </w:r>
    </w:p>
    <w:p>
      <w:pPr>
        <w:spacing w:after="0" w:line="58" w:lineRule="exact"/>
        <w:rPr>
          <w:sz w:val="20"/>
          <w:szCs w:val="20"/>
          <w:color w:val="auto"/>
        </w:rPr>
      </w:pPr>
    </w:p>
    <w:p>
      <w:pPr>
        <w:ind w:firstLine="228"/>
        <w:spacing w:after="0" w:line="256" w:lineRule="auto"/>
        <w:rPr>
          <w:sz w:val="20"/>
          <w:szCs w:val="20"/>
          <w:color w:val="auto"/>
        </w:rPr>
      </w:pPr>
      <w:r>
        <w:rPr>
          <w:rFonts w:ascii="Times New Roman" w:cs="Times New Roman" w:eastAsia="Times New Roman" w:hAnsi="Times New Roman"/>
          <w:sz w:val="18"/>
          <w:szCs w:val="18"/>
          <w:color w:val="auto"/>
        </w:rPr>
        <w:t>Our business is subject to significant risks, including but not limited to our ability to support the commercialization of AFREZZA through our marketing partner, Sanofi, by manufacturing sufficient quantities of AFREZZA to meet Sanofi’s demands in a timely and cost-efficient manner, Sanofi’s ability to successful market and sell AFREZZA, Sanofi’s ability to obtain regulatory approval for AFREZZA outside of the United States, and the risks inherent in our ongoing clinical trials and the regulatory approval process. Additional significant risks also include the results of our research and development efforts, competition from other products and technologies and uncertainties associated with obtaining and enforcing patent rights.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Expenses</w:t>
      </w:r>
    </w:p>
    <w:p>
      <w:pPr>
        <w:spacing w:after="0" w:line="92" w:lineRule="exact"/>
        <w:rPr>
          <w:sz w:val="20"/>
          <w:szCs w:val="20"/>
          <w:color w:val="auto"/>
        </w:rPr>
      </w:pPr>
    </w:p>
    <w:p>
      <w:pPr>
        <w:ind w:right="140" w:firstLine="228"/>
        <w:spacing w:after="0" w:line="293" w:lineRule="auto"/>
        <w:rPr>
          <w:sz w:val="20"/>
          <w:szCs w:val="20"/>
          <w:color w:val="auto"/>
        </w:rPr>
      </w:pPr>
      <w:r>
        <w:rPr>
          <w:rFonts w:ascii="Times New Roman" w:cs="Times New Roman" w:eastAsia="Times New Roman" w:hAnsi="Times New Roman"/>
          <w:sz w:val="16"/>
          <w:szCs w:val="16"/>
          <w:color w:val="auto"/>
        </w:rPr>
        <w:t>Historically our research and development expenses have consisted mainly of costs associated with manufacturing startup costs and the clinical trials of our product candidates that have not yet received regulatory approval for marketing and for which no alternative future use has been identified. This includes the salaries, benefits and stock-based compensation of research and development personnel, raw materials, such as insulin purchases, laboratory supplies and materials, facility costs, costs for consultants and related contract research, licensing fees, and depreciation of equipment. We track research and development costs by the type of cost incurred. We partially offset research and development expenses with the recognition of estimated amounts receivable from the State of Connecticut pursuant to a program under which we can exchange qualified research and development income tax credits for cash.</w:t>
      </w:r>
    </w:p>
    <w:p>
      <w:pPr>
        <w:spacing w:after="0" w:line="30" w:lineRule="exact"/>
        <w:rPr>
          <w:sz w:val="20"/>
          <w:szCs w:val="20"/>
          <w:color w:val="auto"/>
        </w:rPr>
      </w:pPr>
    </w:p>
    <w:p>
      <w:pPr>
        <w:ind w:right="100" w:firstLine="228"/>
        <w:spacing w:after="0" w:line="262" w:lineRule="auto"/>
        <w:rPr>
          <w:sz w:val="20"/>
          <w:szCs w:val="20"/>
          <w:color w:val="auto"/>
        </w:rPr>
      </w:pPr>
      <w:r>
        <w:rPr>
          <w:rFonts w:ascii="Times New Roman" w:cs="Times New Roman" w:eastAsia="Times New Roman" w:hAnsi="Times New Roman"/>
          <w:sz w:val="18"/>
          <w:szCs w:val="18"/>
          <w:color w:val="auto"/>
        </w:rPr>
        <w:t>Our research and development staff conducts our internal research and development activities, which include research, product development, clinical development, manufacturing and related activities. This staff is located in our facilities in Valencia, California; Paramus, New Jersey; and Danbury, Connecticut. We expense research and development costs as we incur them.</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and Administrative Expenses</w:t>
      </w:r>
    </w:p>
    <w:p>
      <w:pPr>
        <w:spacing w:after="0" w:line="92" w:lineRule="exact"/>
        <w:rPr>
          <w:sz w:val="20"/>
          <w:szCs w:val="20"/>
          <w:color w:val="auto"/>
        </w:rPr>
      </w:pPr>
    </w:p>
    <w:p>
      <w:pPr>
        <w:ind w:right="360" w:firstLine="228"/>
        <w:spacing w:after="0" w:line="262" w:lineRule="auto"/>
        <w:rPr>
          <w:sz w:val="20"/>
          <w:szCs w:val="20"/>
          <w:color w:val="auto"/>
        </w:rPr>
      </w:pPr>
      <w:r>
        <w:rPr>
          <w:rFonts w:ascii="Times New Roman" w:cs="Times New Roman" w:eastAsia="Times New Roman" w:hAnsi="Times New Roman"/>
          <w:sz w:val="18"/>
          <w:szCs w:val="18"/>
          <w:color w:val="auto"/>
        </w:rPr>
        <w:t>Our general and administrative expenses are driven by salaries, benefits and stock-based compensation for administrative, finance, business development, human resources, legal and information systems support personnel. In addition, general and administrative expenses include professional service fees and business insurance costs.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92" w:lineRule="exact"/>
        <w:rPr>
          <w:sz w:val="20"/>
          <w:szCs w:val="20"/>
          <w:color w:val="auto"/>
        </w:rPr>
      </w:pPr>
    </w:p>
    <w:p>
      <w:pPr>
        <w:ind w:right="20" w:firstLine="228"/>
        <w:spacing w:after="0" w:line="254" w:lineRule="auto"/>
        <w:rPr>
          <w:sz w:val="20"/>
          <w:szCs w:val="20"/>
          <w:color w:val="auto"/>
        </w:rPr>
      </w:pPr>
      <w:r>
        <w:rPr>
          <w:rFonts w:ascii="Times New Roman" w:cs="Times New Roman" w:eastAsia="Times New Roman" w:hAnsi="Times New Roman"/>
          <w:sz w:val="18"/>
          <w:szCs w:val="18"/>
          <w:color w:val="auto"/>
        </w:rPr>
        <w:t>We have based our discussion and analysis of our financial condition and results of operations on our financial statements, which have been prepared in accordance with accounting principles generally accepted in the United States. The preparation of these financial statements requires us to make estimates and judgments that affect the reported amounts of assets, liabilities and expenses. We evaluate our estimates and judgments on an ongoing basis. We base our estimates on historical experience and on various assumptions that we believe to be reasonable under the circumstances, the results of which form the basis for making estimates of expenses such as stock option expenses and judgments about the carrying values of assets and liabilities. Actual results may differ from these estimates under different assumptions or conditions. The significant accounting policies that are critical to the judgments and estimates used in the preparation of our financial statements are described in more detail below.</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00"/>
          </w:cols>
          <w:pgMar w:left="240" w:top="455" w:right="25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and collaboration agreements</w:t>
      </w:r>
    </w:p>
    <w:p>
      <w:pPr>
        <w:spacing w:after="0" w:line="94" w:lineRule="exact"/>
        <w:rPr>
          <w:sz w:val="20"/>
          <w:szCs w:val="20"/>
          <w:color w:val="auto"/>
        </w:rPr>
      </w:pPr>
    </w:p>
    <w:p>
      <w:pPr>
        <w:ind w:right="200" w:firstLine="228"/>
        <w:spacing w:after="0" w:line="262" w:lineRule="auto"/>
        <w:rPr>
          <w:sz w:val="20"/>
          <w:szCs w:val="20"/>
          <w:color w:val="auto"/>
        </w:rPr>
      </w:pPr>
      <w:r>
        <w:rPr>
          <w:rFonts w:ascii="Times New Roman" w:cs="Times New Roman" w:eastAsia="Times New Roman" w:hAnsi="Times New Roman"/>
          <w:sz w:val="18"/>
          <w:szCs w:val="18"/>
          <w:color w:val="auto"/>
        </w:rPr>
        <w:t>Pursuant to the Sanofi License Agreement, we granted to Sanofi exclusive, worldwide licenses to certain of our patents, trademarks and know-how for the development and commercialization of AFREZZA. The terms of the Sanofi License Agreement provide for consideration to us in the form of a non-refundable up-front payment, product sales, manufacturing, regulatory and sales milestone payments and profit and loss sharing.</w:t>
      </w:r>
    </w:p>
    <w:p>
      <w:pPr>
        <w:spacing w:after="0" w:line="51" w:lineRule="exact"/>
        <w:rPr>
          <w:sz w:val="20"/>
          <w:szCs w:val="20"/>
          <w:color w:val="auto"/>
        </w:rPr>
      </w:pPr>
    </w:p>
    <w:p>
      <w:pPr>
        <w:ind w:firstLine="228"/>
        <w:spacing w:after="0" w:line="262" w:lineRule="auto"/>
        <w:rPr>
          <w:sz w:val="20"/>
          <w:szCs w:val="20"/>
          <w:color w:val="auto"/>
        </w:rPr>
      </w:pPr>
      <w:r>
        <w:rPr>
          <w:rFonts w:ascii="Times New Roman" w:cs="Times New Roman" w:eastAsia="Times New Roman" w:hAnsi="Times New Roman"/>
          <w:sz w:val="18"/>
          <w:szCs w:val="18"/>
          <w:color w:val="auto"/>
        </w:rPr>
        <w:t>We analyze consideration received under the provisions of ASC 605, Revenue Recognition, to determine whether the consideration, or a portion thereof, could be recognized as revenue. ASC 605 provides that revenue is recognized when there is persuasive evidence that an arrangement exists, delivery has occurred or services have been rendered, the price is fixed or determinable and collection is reasonably assured.</w:t>
      </w:r>
    </w:p>
    <w:p>
      <w:pPr>
        <w:spacing w:after="0" w:line="51" w:lineRule="exact"/>
        <w:rPr>
          <w:sz w:val="20"/>
          <w:szCs w:val="20"/>
          <w:color w:val="auto"/>
        </w:rPr>
      </w:pPr>
    </w:p>
    <w:p>
      <w:pPr>
        <w:ind w:right="40" w:firstLine="228"/>
        <w:spacing w:after="0" w:line="254" w:lineRule="auto"/>
        <w:rPr>
          <w:sz w:val="20"/>
          <w:szCs w:val="20"/>
          <w:color w:val="auto"/>
        </w:rPr>
      </w:pPr>
      <w:r>
        <w:rPr>
          <w:rFonts w:ascii="Times New Roman" w:cs="Times New Roman" w:eastAsia="Times New Roman" w:hAnsi="Times New Roman"/>
          <w:sz w:val="18"/>
          <w:szCs w:val="18"/>
          <w:color w:val="auto"/>
        </w:rPr>
        <w:t>In arrangements involving the delivery of more than one element, each required deliverable is evaluated to determine whether it qualifies as a separate unit of accounting. This determination is generally based on whether the deliverable has “stand-alone value” to the customer. The arrangement’s consideration that is fixed and determinable is then allocated to each separate unit of accounting based on the relative selling price of each deliverable. The estimated selling price of each deliverable is determined using the following hierarchy of values: (i) vendor-specific objective evidence of fair value, (ii) third-party evidence of selling price and (iii) best estimate of selling price (BESP). The BESP reflects our best estimate of what the selling price would be if the deliverable was regularly sold by us on a stand-alone basis. In general, the consideration allocated to each unit of accounting is recognized as the related goods or services are delivered, limited to the consideration that is not contingent upon future deliverables.</w:t>
      </w:r>
    </w:p>
    <w:p>
      <w:pPr>
        <w:spacing w:after="0" w:line="60" w:lineRule="exact"/>
        <w:rPr>
          <w:sz w:val="20"/>
          <w:szCs w:val="20"/>
          <w:color w:val="auto"/>
        </w:rPr>
      </w:pPr>
    </w:p>
    <w:p>
      <w:pPr>
        <w:ind w:right="220" w:firstLine="228"/>
        <w:spacing w:after="0" w:line="258" w:lineRule="auto"/>
        <w:rPr>
          <w:sz w:val="20"/>
          <w:szCs w:val="20"/>
          <w:color w:val="auto"/>
        </w:rPr>
      </w:pPr>
      <w:r>
        <w:rPr>
          <w:rFonts w:ascii="Times New Roman" w:cs="Times New Roman" w:eastAsia="Times New Roman" w:hAnsi="Times New Roman"/>
          <w:sz w:val="18"/>
          <w:szCs w:val="18"/>
          <w:color w:val="auto"/>
        </w:rPr>
        <w:t>The assessment of multiple element arrangements requires judgment in order to determine the appropriate units of accounting and the points in time that, or periods over which, revenue should be recognized. Given that, as of December 31, 2014, we did not have the ability to estimate the amount of costs that would potentially be incurred under the loss sharing provision of the Sanofi License Agreement, we believe the fixed and determinable fee requirement for revenue recognition was not met.</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94" w:lineRule="exact"/>
        <w:rPr>
          <w:sz w:val="20"/>
          <w:szCs w:val="20"/>
          <w:color w:val="auto"/>
        </w:rPr>
      </w:pPr>
    </w:p>
    <w:p>
      <w:pPr>
        <w:ind w:right="40" w:firstLine="228"/>
        <w:spacing w:after="0" w:line="255" w:lineRule="auto"/>
        <w:rPr>
          <w:sz w:val="20"/>
          <w:szCs w:val="20"/>
          <w:color w:val="auto"/>
        </w:rPr>
      </w:pPr>
      <w:r>
        <w:rPr>
          <w:rFonts w:ascii="Times New Roman" w:cs="Times New Roman" w:eastAsia="Times New Roman" w:hAnsi="Times New Roman"/>
          <w:sz w:val="18"/>
          <w:szCs w:val="18"/>
          <w:color w:val="auto"/>
        </w:rPr>
        <w:t>Inventories are stated at the lower of cost or market value. We determine the cost of inventory using the first-in, first-out (“FIFO”) method. We capitalize inventory costs associated with AFREZZA based on management’s judgment and the future economic benefit expected to be realized; otherwise, such costs are expensed as research and development. We periodically analyzes our inventory levels to identify inventory that may expire or has a cost basis in excess of its estimated realizable value, and write down such inventories as appropriate. In addition, AFREZZA is subject to strict quality control and monitoring, which we perform throughout the manufacturing process. If certain batches of AFREZZA inhalation powder, the inhaler or cartridges, no longer meet quality specifications or become obsolete due to expiration, we will record a charge to write down such unmarketable inventory to its estimated realizable value.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Milestone Rights</w:t>
      </w:r>
    </w:p>
    <w:p>
      <w:pPr>
        <w:spacing w:after="0" w:line="94" w:lineRule="exact"/>
        <w:rPr>
          <w:sz w:val="20"/>
          <w:szCs w:val="20"/>
          <w:color w:val="auto"/>
        </w:rPr>
      </w:pPr>
    </w:p>
    <w:p>
      <w:pPr>
        <w:ind w:right="40" w:firstLine="228"/>
        <w:spacing w:after="0" w:line="254" w:lineRule="auto"/>
        <w:rPr>
          <w:sz w:val="20"/>
          <w:szCs w:val="20"/>
          <w:color w:val="auto"/>
        </w:rPr>
      </w:pPr>
      <w:r>
        <w:rPr>
          <w:rFonts w:ascii="Times New Roman" w:cs="Times New Roman" w:eastAsia="Times New Roman" w:hAnsi="Times New Roman"/>
          <w:sz w:val="18"/>
          <w:szCs w:val="18"/>
          <w:color w:val="auto"/>
        </w:rPr>
        <w:t xml:space="preserve">In connection with the execution of the Facility Agreement on July 1, 2013, we issued Milestone Rights to the Milestone Purchasers. The Milestone Rights provide the Milestone Purchasers certain rights to receive payments up to $90.0 million upon the occurrence of specified strategic and sales milestones, including the first commercial sale of an AFREZZA product, and the achievement of specified net sales figures. We analyzed the Milestone Rights under the provisions of Financial Accounting Standards Board (“FASB”) Accounting Standards Codification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referred to as ASC 815, and determined that the instruments do not meet the definition of a freestanding derivative. Since we have not elected to apply the fair value option to the Milestone Rights, we have recorded the Milestone Rights at their estimated fair value and accounted for the Milestone Rights as a liability by applying the indexed debt guidance contained in paragraphs ASC 470-10-25-3 and 35-4.</w:t>
      </w:r>
    </w:p>
    <w:p>
      <w:pPr>
        <w:spacing w:after="0" w:line="60" w:lineRule="exact"/>
        <w:rPr>
          <w:sz w:val="20"/>
          <w:szCs w:val="20"/>
          <w:color w:val="auto"/>
        </w:rPr>
      </w:pPr>
    </w:p>
    <w:p>
      <w:pPr>
        <w:ind w:right="640" w:firstLine="228"/>
        <w:spacing w:after="0" w:line="275" w:lineRule="auto"/>
        <w:rPr>
          <w:sz w:val="20"/>
          <w:szCs w:val="20"/>
          <w:color w:val="auto"/>
        </w:rPr>
      </w:pPr>
      <w:r>
        <w:rPr>
          <w:rFonts w:ascii="Times New Roman" w:cs="Times New Roman" w:eastAsia="Times New Roman" w:hAnsi="Times New Roman"/>
          <w:sz w:val="18"/>
          <w:szCs w:val="18"/>
          <w:color w:val="auto"/>
        </w:rPr>
        <w:t>The initial fair value estimate of the Milestone Rights was calculated using the income approach in which the cash flows associated with the specified contractual payments were adjusted for both the expected timing and the</w:t>
      </w:r>
    </w:p>
    <w:p>
      <w:pPr>
        <w:spacing w:after="0" w:line="1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00"/>
          </w:cols>
          <w:pgMar w:left="240" w:top="455" w:right="259" w:bottom="1440" w:gutter="0" w:footer="0" w:header="0"/>
        </w:sectPr>
      </w:pPr>
    </w:p>
    <w:bookmarkStart w:id="45" w:name="page46"/>
    <w:bookmarkEnd w:id="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probability of achieving the milestones and discounted to present value using a selected market discount rate. The expected timing and probability of achieving the milestones was developed with consideration given to both internal data, such as progress made to date and assessment of criteria required for achievement, and external data, such as market research studies. The discount rate was selected based on an estimation of required rate of returns for similar investment opportunities using available market data.</w:t>
      </w:r>
    </w:p>
    <w:p>
      <w:pPr>
        <w:spacing w:after="0" w:line="55" w:lineRule="exact"/>
        <w:rPr>
          <w:sz w:val="20"/>
          <w:szCs w:val="20"/>
          <w:color w:val="auto"/>
        </w:rPr>
      </w:pPr>
    </w:p>
    <w:p>
      <w:pPr>
        <w:ind w:right="40" w:firstLine="228"/>
        <w:spacing w:after="0" w:line="255" w:lineRule="auto"/>
        <w:rPr>
          <w:sz w:val="20"/>
          <w:szCs w:val="20"/>
          <w:color w:val="auto"/>
        </w:rPr>
      </w:pPr>
      <w:r>
        <w:rPr>
          <w:rFonts w:ascii="Times New Roman" w:cs="Times New Roman" w:eastAsia="Times New Roman" w:hAnsi="Times New Roman"/>
          <w:sz w:val="18"/>
          <w:szCs w:val="18"/>
          <w:color w:val="auto"/>
        </w:rPr>
        <w:t>The Milestone Rights liability will be remeasured as the specified milestone events are achieved. Specifically, as each milestone event is achieved, the portion of the initially recorded Milestone Rights liability that pertains to such milestone event being achieved, will be remeasured to the amount of the specified related milestone payment. The resulting change in the balance of the Milestone Rights liability due to remeasurement will be recorded in our Statement of Operations as interest expense. Furthermore, the Milestone Rights liability will be reduced upon each milestone payment being paid. As a result, each milestone payment would be effectively allocated between a reduction of the recorded Milestone Rights liability and an expense representing a return on a portion of the Milestone Rights liability paid to the investor for the achievement of the related milestone event.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Commitment Asset</w:t>
      </w:r>
    </w:p>
    <w:p>
      <w:pPr>
        <w:spacing w:after="0" w:line="94" w:lineRule="exact"/>
        <w:rPr>
          <w:sz w:val="20"/>
          <w:szCs w:val="20"/>
          <w:color w:val="auto"/>
        </w:rPr>
      </w:pPr>
    </w:p>
    <w:p>
      <w:pPr>
        <w:ind w:firstLine="228"/>
        <w:spacing w:after="0" w:line="253" w:lineRule="auto"/>
        <w:rPr>
          <w:sz w:val="20"/>
          <w:szCs w:val="20"/>
          <w:color w:val="auto"/>
        </w:rPr>
      </w:pPr>
      <w:r>
        <w:rPr>
          <w:rFonts w:ascii="Times New Roman" w:cs="Times New Roman" w:eastAsia="Times New Roman" w:hAnsi="Times New Roman"/>
          <w:sz w:val="18"/>
          <w:szCs w:val="18"/>
          <w:color w:val="auto"/>
        </w:rPr>
        <w:t>In connection with the issuance of the first tranche of the 2019 notes and the Milestone Rights, we recorded a commitment asset (the “Commitment Asset”) on July 1, 2013. The Commitment Asset represents the right to receive additional funding under future tranches of 2019 notes pursuant to the Facility Agreement. The initial value of the Commitment Asset was calculated using the income approach by estimating the fair value of the future tranches using a market debt rate commensurate with the risk of the future tranches and the fair value of the cash expected to be received by us and by assessing the probability of the commitments being funded in the future based on the operational hurdles required for funding being met. The Commitment Asset attributable to each future tranche of 2019 notes under the Facility Agreement is derecognized and recorded as a debt discount on the 2019 notes when issued. The debt discount is amortized using the effective interest rate method over the life of the 2019 notes. Prior to derecognition occurring, we monitor the Commitment Asset on an ongoing basis to determine whether an impairment indicator is present that would result in a full or partial write down of the Commitment Asset as a result of events that may lead to the subsequent tranches of 2019 notes not being issued. On December 30, 2014, we elected not to draw on the $70.0 million of funding remaining under the Facility Agreement, as amended, from the sale of the Tranche B notes. Consequently, the remaining carrying value of the Tranche B Commitment Asset of $1.8 million was written off.</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94" w:lineRule="exact"/>
        <w:rPr>
          <w:sz w:val="20"/>
          <w:szCs w:val="20"/>
          <w:color w:val="auto"/>
        </w:rPr>
      </w:pPr>
    </w:p>
    <w:p>
      <w:pPr>
        <w:ind w:right="320" w:firstLine="228"/>
        <w:spacing w:after="0" w:line="258" w:lineRule="auto"/>
        <w:rPr>
          <w:sz w:val="20"/>
          <w:szCs w:val="20"/>
          <w:color w:val="auto"/>
        </w:rPr>
      </w:pPr>
      <w:r>
        <w:rPr>
          <w:rFonts w:ascii="Times New Roman" w:cs="Times New Roman" w:eastAsia="Times New Roman" w:hAnsi="Times New Roman"/>
          <w:sz w:val="18"/>
          <w:szCs w:val="18"/>
          <w:color w:val="auto"/>
        </w:rPr>
        <w:t>Assessing long-lived assets for impairment requires us to make assumptions and judgments regarding the carrying value of these assets. We evaluate long-lived assets for impairment whenever events or changes in circumstances indicate that the carrying value of an asset may not be recoverable. The assets are considered to be impaired if we determine that the carrying value may not be recoverable based upon our assessment of the following events or changes in circumstances:</w:t>
      </w:r>
    </w:p>
    <w:p>
      <w:pPr>
        <w:spacing w:after="0" w:line="55" w:lineRule="exact"/>
        <w:rPr>
          <w:sz w:val="20"/>
          <w:szCs w:val="20"/>
          <w:color w:val="auto"/>
        </w:rPr>
      </w:pPr>
    </w:p>
    <w:p>
      <w:pPr>
        <w:ind w:left="440" w:hanging="216"/>
        <w:spacing w:after="0"/>
        <w:tabs>
          <w:tab w:leader="none" w:pos="4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changes in our strategic business objectives and utilization of the assets;</w:t>
      </w:r>
    </w:p>
    <w:p>
      <w:pPr>
        <w:spacing w:after="0" w:line="90" w:lineRule="exact"/>
        <w:rPr>
          <w:rFonts w:ascii="Times New Roman" w:cs="Times New Roman" w:eastAsia="Times New Roman" w:hAnsi="Times New Roman"/>
          <w:sz w:val="18"/>
          <w:szCs w:val="18"/>
          <w:color w:val="auto"/>
        </w:rPr>
      </w:pPr>
    </w:p>
    <w:p>
      <w:pPr>
        <w:ind w:left="440" w:hanging="216"/>
        <w:spacing w:after="0"/>
        <w:tabs>
          <w:tab w:leader="none" w:pos="4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that the carrying value of such assets cannot be recovered through undiscounted cash flows;</w:t>
      </w:r>
    </w:p>
    <w:p>
      <w:pPr>
        <w:spacing w:after="0" w:line="90" w:lineRule="exact"/>
        <w:rPr>
          <w:rFonts w:ascii="Times New Roman" w:cs="Times New Roman" w:eastAsia="Times New Roman" w:hAnsi="Times New Roman"/>
          <w:sz w:val="18"/>
          <w:szCs w:val="18"/>
          <w:color w:val="auto"/>
        </w:rPr>
      </w:pPr>
    </w:p>
    <w:p>
      <w:pPr>
        <w:ind w:left="440" w:hanging="216"/>
        <w:spacing w:after="0"/>
        <w:tabs>
          <w:tab w:leader="none" w:pos="4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legal ownership or title to the assets;</w:t>
      </w:r>
    </w:p>
    <w:p>
      <w:pPr>
        <w:spacing w:after="0" w:line="90" w:lineRule="exact"/>
        <w:rPr>
          <w:rFonts w:ascii="Times New Roman" w:cs="Times New Roman" w:eastAsia="Times New Roman" w:hAnsi="Times New Roman"/>
          <w:sz w:val="18"/>
          <w:szCs w:val="18"/>
          <w:color w:val="auto"/>
        </w:rPr>
      </w:pPr>
    </w:p>
    <w:p>
      <w:pPr>
        <w:ind w:left="440" w:right="260" w:hanging="216"/>
        <w:spacing w:after="0" w:line="275" w:lineRule="auto"/>
        <w:tabs>
          <w:tab w:leader="none" w:pos="4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adverse change in legal factors or in the business climate that could affect the value of a long-lived asset (asset group), including an adverse action or assessment by a regulator; or</w:t>
      </w:r>
    </w:p>
    <w:p>
      <w:pPr>
        <w:spacing w:after="0" w:line="38" w:lineRule="exact"/>
        <w:rPr>
          <w:rFonts w:ascii="Times New Roman" w:cs="Times New Roman" w:eastAsia="Times New Roman" w:hAnsi="Times New Roman"/>
          <w:sz w:val="18"/>
          <w:szCs w:val="18"/>
          <w:color w:val="auto"/>
        </w:rPr>
      </w:pPr>
    </w:p>
    <w:p>
      <w:pPr>
        <w:ind w:left="440" w:hanging="216"/>
        <w:spacing w:after="0"/>
        <w:tabs>
          <w:tab w:leader="none" w:pos="4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significant negative industry or economic trends.</w:t>
      </w:r>
    </w:p>
    <w:p>
      <w:pPr>
        <w:spacing w:after="0" w:line="90" w:lineRule="exact"/>
        <w:rPr>
          <w:sz w:val="20"/>
          <w:szCs w:val="20"/>
          <w:color w:val="auto"/>
        </w:rPr>
      </w:pPr>
    </w:p>
    <w:p>
      <w:pPr>
        <w:ind w:right="80" w:firstLine="228"/>
        <w:spacing w:after="0" w:line="258" w:lineRule="auto"/>
        <w:rPr>
          <w:sz w:val="20"/>
          <w:szCs w:val="20"/>
          <w:color w:val="auto"/>
        </w:rPr>
      </w:pPr>
      <w:r>
        <w:rPr>
          <w:rFonts w:ascii="Times New Roman" w:cs="Times New Roman" w:eastAsia="Times New Roman" w:hAnsi="Times New Roman"/>
          <w:sz w:val="18"/>
          <w:szCs w:val="18"/>
          <w:color w:val="auto"/>
        </w:rPr>
        <w:t>If we believe our assets to be impaired, the impairment we recognize is the amount by which the carrying value of the assets exceeds the fair value of the assets. Any write-downs would be treated as permanent reductions in the carrying amount of the asset and an operating loss would be recognized. In addition, we base the useful lives and related amortization or depreciation expense on our estimate of the useful lives of the assets. If a change were to occur in any of the above-mentioned factors or estimates, our reported results could materially change.</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20"/>
          </w:cols>
          <w:pgMar w:left="240" w:top="455" w:right="239" w:bottom="1440" w:gutter="0" w:footer="0" w:header="0"/>
        </w:sectPr>
      </w:pPr>
    </w:p>
    <w:bookmarkStart w:id="46" w:name="page47"/>
    <w:bookmarkEnd w:id="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480" w:firstLine="228"/>
        <w:spacing w:after="0" w:line="275" w:lineRule="auto"/>
        <w:rPr>
          <w:sz w:val="20"/>
          <w:szCs w:val="20"/>
          <w:color w:val="auto"/>
        </w:rPr>
      </w:pPr>
      <w:r>
        <w:rPr>
          <w:rFonts w:ascii="Times New Roman" w:cs="Times New Roman" w:eastAsia="Times New Roman" w:hAnsi="Times New Roman"/>
          <w:sz w:val="18"/>
          <w:szCs w:val="18"/>
          <w:color w:val="auto"/>
        </w:rPr>
        <w:t>To date, we have had recurring operating losses, and the recoverability of our long-lived assets is contingent upon executing our business plan. If we are unable to execute our business plan, we may be required to write down the value of our long-lived assets in future periods.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Clinical Trial Expenses</w:t>
      </w:r>
    </w:p>
    <w:p>
      <w:pPr>
        <w:spacing w:after="0" w:line="94" w:lineRule="exact"/>
        <w:rPr>
          <w:sz w:val="20"/>
          <w:szCs w:val="20"/>
          <w:color w:val="auto"/>
        </w:rPr>
      </w:pPr>
    </w:p>
    <w:p>
      <w:pPr>
        <w:ind w:right="20" w:firstLine="228"/>
        <w:spacing w:after="0" w:line="288" w:lineRule="auto"/>
        <w:rPr>
          <w:sz w:val="20"/>
          <w:szCs w:val="20"/>
          <w:color w:val="auto"/>
        </w:rPr>
      </w:pPr>
      <w:r>
        <w:rPr>
          <w:rFonts w:ascii="Times New Roman" w:cs="Times New Roman" w:eastAsia="Times New Roman" w:hAnsi="Times New Roman"/>
          <w:sz w:val="16"/>
          <w:szCs w:val="16"/>
          <w:color w:val="auto"/>
        </w:rPr>
        <w:t>Our clinical trial accrual process seeks to account for expenses resulting from our obligations under contract with vendors, consultants, and clinical site agreements in connection with conducting clinical trials. The financial terms of these contracts are subject to negotiations which vary from contract to contract and may result in payment flows that do not match the periods over which materials or services are provided to us under such contracts. Our objective is to reflect the appropriate trial expenses in our financial statements by matching period expenses with period services and efforts expended. We account for these expenses according to the progress of the trial as measured by patient progression and the timing of various aspects of the trial. We determine accrual estimates through discussions with internal clinical personnel and outside service providers as to the progress or state of completion of trials, or the services completed. Service provider status is then compared to the contractual obligated fee to be paid for such services. During the course of a clinical trial, we adjust our rate of clinical expense recognition if actual results differ from our estimates. In the event that we do not identify certain costs that have begun to be incurred or we underestimate or overestimate the level of services performed or the costs of such services, our reported expenses for a period would be too low or too high. The date on which certain services commence, the level of services performed on or before a given date and the cost of the services are often judgmental. We make these judgments based upon the facts and circumstances known to us in accordance with generally accepted accounting principles.</w:t>
      </w:r>
    </w:p>
    <w:p>
      <w:pPr>
        <w:spacing w:after="0" w:line="250" w:lineRule="exact"/>
        <w:rPr>
          <w:sz w:val="20"/>
          <w:szCs w:val="20"/>
          <w:color w:val="auto"/>
        </w:rPr>
      </w:pPr>
    </w:p>
    <w:p>
      <w:pPr>
        <w:jc w:val="both"/>
        <w:ind w:right="300" w:firstLine="228"/>
        <w:spacing w:after="0" w:line="262" w:lineRule="auto"/>
        <w:rPr>
          <w:sz w:val="20"/>
          <w:szCs w:val="20"/>
          <w:color w:val="auto"/>
        </w:rPr>
      </w:pPr>
      <w:r>
        <w:rPr>
          <w:rFonts w:ascii="Times New Roman" w:cs="Times New Roman" w:eastAsia="Times New Roman" w:hAnsi="Times New Roman"/>
          <w:sz w:val="18"/>
          <w:szCs w:val="18"/>
          <w:color w:val="auto"/>
        </w:rPr>
        <w:t>Although we do not expect our estimates to be materially different from amounts actually incurred, our understanding of the status and timing of services performed relative to the actual status and timing of services performed may vary and may result in our reporting amounts that are too high or too low for any particular period.</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92" w:lineRule="exact"/>
        <w:rPr>
          <w:sz w:val="20"/>
          <w:szCs w:val="20"/>
          <w:color w:val="auto"/>
        </w:rPr>
      </w:pPr>
    </w:p>
    <w:p>
      <w:pPr>
        <w:ind w:firstLine="228"/>
        <w:spacing w:after="0" w:line="253" w:lineRule="auto"/>
        <w:rPr>
          <w:sz w:val="20"/>
          <w:szCs w:val="20"/>
          <w:color w:val="auto"/>
        </w:rPr>
      </w:pPr>
      <w:r>
        <w:rPr>
          <w:rFonts w:ascii="Times New Roman" w:cs="Times New Roman" w:eastAsia="Times New Roman" w:hAnsi="Times New Roman"/>
          <w:sz w:val="18"/>
          <w:szCs w:val="18"/>
          <w:color w:val="auto"/>
        </w:rPr>
        <w:t xml:space="preserve">We account for stock-based compensation in accordance with ASC 718 </w:t>
      </w:r>
      <w:r>
        <w:rPr>
          <w:rFonts w:ascii="Times New Roman" w:cs="Times New Roman" w:eastAsia="Times New Roman" w:hAnsi="Times New Roman"/>
          <w:sz w:val="18"/>
          <w:szCs w:val="18"/>
          <w:i w:val="1"/>
          <w:iCs w:val="1"/>
          <w:color w:val="auto"/>
        </w:rPr>
        <w:t>Compensation — Stock Compensation</w:t>
      </w:r>
      <w:r>
        <w:rPr>
          <w:rFonts w:ascii="Times New Roman" w:cs="Times New Roman" w:eastAsia="Times New Roman" w:hAnsi="Times New Roman"/>
          <w:sz w:val="18"/>
          <w:szCs w:val="18"/>
          <w:color w:val="auto"/>
        </w:rPr>
        <w:t>. ASC 718 requires all share-based payments to employees, including grants of stock options, restricted stock units, performance-based awards and the compensatory elements of employee stock purchase plans, to be recognized in the income statement based upon the fair value of the awards at the grant date. We use the Black-Scholes option valuation model to estimate the grant date fair value of employee stock options and the compensatory elements of employee stock purchase plans. Option valuation models require the input of assumptions, including the expected life of the stock-based awards, the estimated stock price volatility, the risk-free interest rate, and the expected dividend yield. Beginning in the third quarter of 2014, we began to assess both historical and implied volatility in order to determine our estimated volatility rate. Implied volatility is now considered due to the change in our business, which occurred with the approval for the sale of AFREZZA. The expected volatility assumption is based on an assessment of the historical volatility and the implied volatility of our common stock, derived from an analysis of historical traded and quoted options on our common stock. Restricted stock units are valued based on the market price on the grant date. We evaluate stock awards with performance conditions as to the probability that the performance conditions will be met and estimate the date at which the performance conditions will be met in order to properly recognize stock-based compensation expense over the requisite service period.</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 Contracts</w:t>
      </w:r>
    </w:p>
    <w:p>
      <w:pPr>
        <w:spacing w:after="0" w:line="94" w:lineRule="exact"/>
        <w:rPr>
          <w:sz w:val="20"/>
          <w:szCs w:val="20"/>
          <w:color w:val="auto"/>
        </w:rPr>
      </w:pPr>
    </w:p>
    <w:p>
      <w:pPr>
        <w:ind w:right="220" w:firstLine="228"/>
        <w:spacing w:after="0" w:line="258" w:lineRule="auto"/>
        <w:rPr>
          <w:sz w:val="20"/>
          <w:szCs w:val="20"/>
          <w:color w:val="auto"/>
        </w:rPr>
      </w:pPr>
      <w:r>
        <w:rPr>
          <w:rFonts w:ascii="Times New Roman" w:cs="Times New Roman" w:eastAsia="Times New Roman" w:hAnsi="Times New Roman"/>
          <w:sz w:val="18"/>
          <w:szCs w:val="18"/>
          <w:color w:val="auto"/>
        </w:rPr>
        <w:t>In February and October 2012, we entered into agreements with The Mann Group whereby we agreed to sell and The Mann Group agreed to purchase common stock and/or warrants. These agreements have been accounted for as forward contracts, having met the definition of derivative instruments in accordance with the provisions of ASC 815. We determine the fair value of the forward contract upon its issuance, record fair value adjustments of the forward contract to Other income (expense) during the reporting period and through the settlement of the</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00"/>
          </w:cols>
          <w:pgMar w:left="240" w:top="455" w:right="259"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80"/>
        <w:spacing w:after="0" w:line="262" w:lineRule="auto"/>
        <w:rPr>
          <w:sz w:val="20"/>
          <w:szCs w:val="20"/>
          <w:color w:val="auto"/>
        </w:rPr>
      </w:pPr>
      <w:r>
        <w:rPr>
          <w:rFonts w:ascii="Times New Roman" w:cs="Times New Roman" w:eastAsia="Times New Roman" w:hAnsi="Times New Roman"/>
          <w:sz w:val="18"/>
          <w:szCs w:val="18"/>
          <w:color w:val="auto"/>
        </w:rPr>
        <w:t>forward contract, and reclassify the forward contract to equity upon settlement of the forward contract. The fair value of the forward purchase contract is highly sensitive to the discount applied for lack of marketability and the stock price, and changes in this discount and/or the stock price could cause the value of the forward purchase contract to change significantly. In the years ended December 31, 2014 and 2013, there were no forward purchase contracts.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for Income Taxes</w:t>
      </w:r>
    </w:p>
    <w:p>
      <w:pPr>
        <w:spacing w:after="0" w:line="94" w:lineRule="exact"/>
        <w:rPr>
          <w:sz w:val="20"/>
          <w:szCs w:val="20"/>
          <w:color w:val="auto"/>
        </w:rPr>
      </w:pPr>
    </w:p>
    <w:p>
      <w:pPr>
        <w:ind w:right="60" w:firstLine="228"/>
        <w:spacing w:after="0" w:line="255" w:lineRule="auto"/>
        <w:rPr>
          <w:sz w:val="20"/>
          <w:szCs w:val="20"/>
          <w:color w:val="auto"/>
        </w:rPr>
      </w:pPr>
      <w:r>
        <w:rPr>
          <w:rFonts w:ascii="Times New Roman" w:cs="Times New Roman" w:eastAsia="Times New Roman" w:hAnsi="Times New Roman"/>
          <w:sz w:val="18"/>
          <w:szCs w:val="18"/>
          <w:color w:val="auto"/>
        </w:rPr>
        <w:t>Our management must make judgments when determining our provision for income taxes, our deferred tax assets and liabilities and any valuation allowance recorded against our net deferred tax assets. At December 31, 2014, we had established a valuation allowance of $882.5 million against all of our net deferred tax asset balance, due to uncertainties related to the realizability of our deferred tax assets as a result of our history of operating losses. The valuation allowance is based on our estimates of taxable income by jurisdiction in which we operate and the period over which our deferred tax assets will be recoverable. In the event that actual results differ from these estimates or we adjust these estimates in future periods, we may need to change the valuation allowance, which could materially impact our financial position and results of operations.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Years ended December 31, 2014 and 2013</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During the years ended December 31, 2014 and 2013, we did not recognize any revenue.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92" w:lineRule="exact"/>
        <w:rPr>
          <w:sz w:val="20"/>
          <w:szCs w:val="20"/>
          <w:color w:val="auto"/>
        </w:rPr>
      </w:pPr>
    </w:p>
    <w:p>
      <w:pPr>
        <w:ind w:right="220" w:firstLine="228"/>
        <w:spacing w:after="0" w:line="275" w:lineRule="auto"/>
        <w:rPr>
          <w:sz w:val="20"/>
          <w:szCs w:val="20"/>
          <w:color w:val="auto"/>
        </w:rPr>
      </w:pPr>
      <w:r>
        <w:rPr>
          <w:rFonts w:ascii="Times New Roman" w:cs="Times New Roman" w:eastAsia="Times New Roman" w:hAnsi="Times New Roman"/>
          <w:sz w:val="18"/>
          <w:szCs w:val="18"/>
          <w:color w:val="auto"/>
        </w:rPr>
        <w:t>The following table provides a comparison of the research and development expense categories for the years ended December 31, 2014 and 2013 (dollars in thousands):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5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7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80" w:type="dxa"/>
            <w:vAlign w:val="bottom"/>
            <w:gridSpan w:val="5"/>
          </w:tcPr>
          <w:p>
            <w:pPr>
              <w:jc w:val="right"/>
              <w:ind w:right="10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gridSpan w:val="2"/>
            <w:vMerge w:val="restart"/>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w w:val="95"/>
              </w:rPr>
              <w:t>Change</w:t>
            </w:r>
          </w:p>
        </w:tc>
        <w:tc>
          <w:tcPr>
            <w:tcW w:w="880" w:type="dxa"/>
            <w:vAlign w:val="bottom"/>
            <w:gridSpan w:val="2"/>
            <w:vMerge w:val="restart"/>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w w:val="94"/>
              </w:rPr>
              <w:t>% Change</w:t>
            </w:r>
          </w:p>
        </w:tc>
        <w:tc>
          <w:tcPr>
            <w:tcW w:w="0" w:type="dxa"/>
            <w:vAlign w:val="bottom"/>
          </w:tcPr>
          <w:p>
            <w:pPr>
              <w:spacing w:after="0"/>
              <w:rPr>
                <w:sz w:val="1"/>
                <w:szCs w:val="1"/>
                <w:color w:val="auto"/>
              </w:rPr>
            </w:pPr>
          </w:p>
        </w:tc>
      </w:tr>
      <w:tr>
        <w:trPr>
          <w:trHeight w:val="142"/>
        </w:trPr>
        <w:tc>
          <w:tcPr>
            <w:tcW w:w="70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9"/>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5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5"/>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500" w:type="dxa"/>
            <w:vAlign w:val="bottom"/>
          </w:tcPr>
          <w:p>
            <w:pPr>
              <w:spacing w:after="0"/>
              <w:rPr>
                <w:sz w:val="12"/>
                <w:szCs w:val="12"/>
                <w:color w:val="auto"/>
              </w:rPr>
            </w:pPr>
          </w:p>
        </w:tc>
        <w:tc>
          <w:tcPr>
            <w:tcW w:w="140" w:type="dxa"/>
            <w:vAlign w:val="bottom"/>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Clinical</w:t>
            </w: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27,962</w:t>
            </w:r>
          </w:p>
        </w:tc>
        <w:tc>
          <w:tcPr>
            <w:tcW w:w="5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42,711</w:t>
            </w:r>
          </w:p>
        </w:tc>
        <w:tc>
          <w:tcPr>
            <w:tcW w:w="5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5"/>
              </w:rPr>
              <w:t>$ (14,749)</w:t>
            </w:r>
          </w:p>
        </w:tc>
        <w:tc>
          <w:tcPr>
            <w:tcW w:w="5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Manufacturing</w:t>
            </w:r>
          </w:p>
        </w:tc>
        <w:tc>
          <w:tcPr>
            <w:tcW w:w="80" w:type="dxa"/>
            <w:vAlign w:val="bottom"/>
          </w:tcPr>
          <w:p>
            <w:pPr>
              <w:spacing w:after="0"/>
              <w:rPr>
                <w:sz w:val="18"/>
                <w:szCs w:val="18"/>
                <w:color w:val="auto"/>
              </w:rPr>
            </w:pPr>
          </w:p>
        </w:tc>
        <w:tc>
          <w:tcPr>
            <w:tcW w:w="11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44,901</w:t>
            </w:r>
          </w:p>
        </w:tc>
        <w:tc>
          <w:tcPr>
            <w:tcW w:w="100" w:type="dxa"/>
            <w:vAlign w:val="bottom"/>
          </w:tcPr>
          <w:p>
            <w:pPr>
              <w:spacing w:after="0"/>
              <w:rPr>
                <w:sz w:val="18"/>
                <w:szCs w:val="18"/>
                <w:color w:val="auto"/>
              </w:rPr>
            </w:pPr>
          </w:p>
        </w:tc>
        <w:tc>
          <w:tcPr>
            <w:tcW w:w="10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40,530</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4,371</w:t>
            </w:r>
          </w:p>
        </w:tc>
        <w:tc>
          <w:tcPr>
            <w:tcW w:w="520" w:type="dxa"/>
            <w:vAlign w:val="bottom"/>
          </w:tcPr>
          <w:p>
            <w:pPr>
              <w:spacing w:after="0"/>
              <w:rPr>
                <w:sz w:val="18"/>
                <w:szCs w:val="18"/>
                <w:color w:val="auto"/>
              </w:rPr>
            </w:pPr>
          </w:p>
        </w:tc>
        <w:tc>
          <w:tcPr>
            <w:tcW w:w="88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5,841</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6,351</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(510)</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tax credit</w:t>
            </w:r>
          </w:p>
        </w:tc>
        <w:tc>
          <w:tcPr>
            <w:tcW w:w="8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(817)</w:t>
            </w:r>
          </w:p>
        </w:tc>
        <w:tc>
          <w:tcPr>
            <w:tcW w:w="10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(282)</w:t>
            </w:r>
          </w:p>
        </w:tc>
        <w:tc>
          <w:tcPr>
            <w:tcW w:w="14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(535)</w:t>
            </w:r>
          </w:p>
        </w:tc>
        <w:tc>
          <w:tcPr>
            <w:tcW w:w="88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190%</w:t>
            </w: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22,357</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20,409</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1,948</w:t>
            </w:r>
          </w:p>
        </w:tc>
        <w:tc>
          <w:tcPr>
            <w:tcW w:w="5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2"/>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100,244</w:t>
            </w:r>
          </w:p>
        </w:tc>
        <w:tc>
          <w:tcPr>
            <w:tcW w:w="5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109,719</w:t>
            </w:r>
          </w:p>
        </w:tc>
        <w:tc>
          <w:tcPr>
            <w:tcW w:w="5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(9,475)</w:t>
            </w:r>
          </w:p>
        </w:tc>
        <w:tc>
          <w:tcPr>
            <w:tcW w:w="52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bl>
    <w:p>
      <w:pPr>
        <w:spacing w:after="0" w:line="6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The decrease in research and development expenses for the year ended December 31, 2014 compared to the year ended December 31, 2013 was driven by 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decrease in clinical trial related expenses of $14.8 million with the completion of two Phase 3 clinical studies of AFREZZA in 2013. This decrease is offset by</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$4.4 million increased manufacturing spending due to supply purchases, increased headcount for commercial readiness and a $1.9 million increase in stock-based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compensation resulting from the net effect of $10.4 million in increased stock-based compensation expense due to the modification and settlement of value during</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2014 for certain performance awards. The foregoing increase in stock-based compensation in 2014 was partially offset by an overall decrease in stock-based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compensation of $7.1 million due to the decreased recognition period in 2014 as a result of the achievement of milestones under company-wide performance-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grants in the second and third quarters of 2014, in addition to a reduction of other option and award compensation of $1.4 million due to a reduction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force.</w:t>
      </w:r>
    </w:p>
    <w:p>
      <w:pPr>
        <w:spacing w:after="0" w:line="78" w:lineRule="exact"/>
        <w:rPr>
          <w:sz w:val="20"/>
          <w:szCs w:val="20"/>
          <w:color w:val="auto"/>
        </w:rPr>
      </w:pPr>
    </w:p>
    <w:p>
      <w:pPr>
        <w:ind w:right="240" w:firstLine="228"/>
        <w:spacing w:after="0" w:line="275" w:lineRule="auto"/>
        <w:rPr>
          <w:sz w:val="20"/>
          <w:szCs w:val="20"/>
          <w:color w:val="auto"/>
        </w:rPr>
      </w:pPr>
      <w:r>
        <w:rPr>
          <w:rFonts w:ascii="Times New Roman" w:cs="Times New Roman" w:eastAsia="Times New Roman" w:hAnsi="Times New Roman"/>
          <w:sz w:val="18"/>
          <w:szCs w:val="18"/>
          <w:color w:val="auto"/>
        </w:rPr>
        <w:t>We began commercial manufacturing in the latter part of the fourth quarter of 2014. As such, commercial manufacturing costs incurred in the fourth quarter and included in manufacturing expenses above are immaterial for the year ended December 31, 2014.</w:t>
      </w:r>
    </w:p>
    <w:p>
      <w:pPr>
        <w:spacing w:after="0" w:line="39" w:lineRule="exact"/>
        <w:rPr>
          <w:sz w:val="20"/>
          <w:szCs w:val="20"/>
          <w:color w:val="auto"/>
        </w:rPr>
      </w:pPr>
    </w:p>
    <w:p>
      <w:pPr>
        <w:ind w:right="200" w:firstLine="228"/>
        <w:spacing w:after="0" w:line="275" w:lineRule="auto"/>
        <w:rPr>
          <w:sz w:val="20"/>
          <w:szCs w:val="20"/>
          <w:color w:val="auto"/>
        </w:rPr>
      </w:pPr>
      <w:r>
        <w:rPr>
          <w:rFonts w:ascii="Times New Roman" w:cs="Times New Roman" w:eastAsia="Times New Roman" w:hAnsi="Times New Roman"/>
          <w:sz w:val="18"/>
          <w:szCs w:val="18"/>
          <w:color w:val="auto"/>
        </w:rPr>
        <w:t>We anticipate that our overall research and development expenses will decrease in 2015 compared to 2014 due to manufacturing efforts related to the Sanofi License Agreement and pursuing new product opportunities.</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420"/>
          </w:cols>
          <w:pgMar w:left="240" w:top="455" w:right="239" w:bottom="1440" w:gutter="0" w:footer="0" w:header="0"/>
        </w:sectPr>
      </w:pPr>
    </w:p>
    <w:bookmarkStart w:id="48" w:name="page49"/>
    <w:bookmarkEnd w:id="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92" w:lineRule="exact"/>
        <w:rPr>
          <w:sz w:val="20"/>
          <w:szCs w:val="20"/>
          <w:color w:val="auto"/>
        </w:rPr>
      </w:pPr>
    </w:p>
    <w:p>
      <w:pPr>
        <w:ind w:right="180" w:firstLine="228"/>
        <w:spacing w:after="0" w:line="275" w:lineRule="auto"/>
        <w:rPr>
          <w:sz w:val="20"/>
          <w:szCs w:val="20"/>
          <w:color w:val="auto"/>
        </w:rPr>
      </w:pPr>
      <w:r>
        <w:rPr>
          <w:rFonts w:ascii="Times New Roman" w:cs="Times New Roman" w:eastAsia="Times New Roman" w:hAnsi="Times New Roman"/>
          <w:sz w:val="18"/>
          <w:szCs w:val="18"/>
          <w:color w:val="auto"/>
        </w:rPr>
        <w:t>The following table provides a comparison of the general and administrative expense categories for the years ended December 31, 2014 and 2013 (dollars in thousands):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56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660" w:type="dxa"/>
            <w:vAlign w:val="bottom"/>
            <w:gridSpan w:val="3"/>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5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660" w:type="dxa"/>
            <w:vAlign w:val="bottom"/>
            <w:tcBorders>
              <w:bottom w:val="single" w:sz="8" w:color="auto"/>
            </w:tcBorders>
            <w:gridSpan w:val="3"/>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500" w:type="dxa"/>
            <w:vAlign w:val="bottom"/>
          </w:tcPr>
          <w:p>
            <w:pPr>
              <w:spacing w:after="0"/>
              <w:rPr>
                <w:sz w:val="14"/>
                <w:szCs w:val="14"/>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5"/>
              </w:rPr>
              <w:t>$ Change</w:t>
            </w:r>
          </w:p>
        </w:tc>
        <w:tc>
          <w:tcPr>
            <w:tcW w:w="500" w:type="dxa"/>
            <w:vAlign w:val="bottom"/>
          </w:tcPr>
          <w:p>
            <w:pPr>
              <w:spacing w:after="0"/>
              <w:rPr>
                <w:sz w:val="14"/>
                <w:szCs w:val="14"/>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4"/>
              </w:rPr>
              <w:t>% Change</w:t>
            </w:r>
          </w:p>
        </w:tc>
        <w:tc>
          <w:tcPr>
            <w:tcW w:w="20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60" w:type="dxa"/>
            <w:vAlign w:val="bottom"/>
            <w:tcBorders>
              <w:bottom w:val="single" w:sz="8" w:color="CCEEFF"/>
            </w:tcBorders>
          </w:tcPr>
          <w:p>
            <w:pPr>
              <w:spacing w:after="0"/>
              <w:rPr>
                <w:sz w:val="12"/>
                <w:szCs w:val="12"/>
                <w:color w:val="auto"/>
              </w:rPr>
            </w:pPr>
          </w:p>
        </w:tc>
        <w:tc>
          <w:tcPr>
            <w:tcW w:w="178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jc w:val="right"/>
              <w:ind w:right="84"/>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50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jc w:val="right"/>
              <w:ind w:right="79"/>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50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vMerge w:val="continue"/>
          </w:tcPr>
          <w:p>
            <w:pPr>
              <w:spacing w:after="0"/>
              <w:rPr>
                <w:sz w:val="12"/>
                <w:szCs w:val="12"/>
                <w:color w:val="auto"/>
              </w:rPr>
            </w:pPr>
          </w:p>
        </w:tc>
        <w:tc>
          <w:tcPr>
            <w:tcW w:w="50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vMerge w:val="continue"/>
          </w:tcPr>
          <w:p>
            <w:pPr>
              <w:spacing w:after="0"/>
              <w:rPr>
                <w:sz w:val="12"/>
                <w:szCs w:val="12"/>
                <w:color w:val="auto"/>
              </w:rPr>
            </w:pPr>
          </w:p>
        </w:tc>
        <w:tc>
          <w:tcPr>
            <w:tcW w:w="200" w:type="dxa"/>
            <w:vAlign w:val="bottom"/>
            <w:tcBorders>
              <w:bottom w:val="single" w:sz="8" w:color="CCEEFF"/>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Salaries, employee related and other general expenses</w:t>
            </w:r>
          </w:p>
        </w:tc>
        <w:tc>
          <w:tcPr>
            <w:tcW w:w="17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$53,118</w:t>
            </w: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$34,905</w:t>
            </w: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$18,213</w:t>
            </w:r>
          </w:p>
        </w:tc>
        <w:tc>
          <w:tcPr>
            <w:tcW w:w="5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78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26,265</w:t>
            </w:r>
          </w:p>
        </w:tc>
        <w:tc>
          <w:tcPr>
            <w:tcW w:w="50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24,777</w:t>
            </w:r>
          </w:p>
        </w:tc>
        <w:tc>
          <w:tcPr>
            <w:tcW w:w="50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1,488</w:t>
            </w:r>
          </w:p>
        </w:tc>
        <w:tc>
          <w:tcPr>
            <w:tcW w:w="13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$79,383</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$59,682</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$19,701</w:t>
            </w:r>
          </w:p>
        </w:tc>
        <w:tc>
          <w:tcPr>
            <w:tcW w:w="13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bl>
    <w:p>
      <w:pPr>
        <w:spacing w:after="0" w:line="67" w:lineRule="exact"/>
        <w:rPr>
          <w:sz w:val="20"/>
          <w:szCs w:val="20"/>
          <w:color w:val="auto"/>
        </w:rPr>
      </w:pPr>
    </w:p>
    <w:p>
      <w:pPr>
        <w:ind w:right="100" w:firstLine="228"/>
        <w:spacing w:after="0" w:line="254" w:lineRule="auto"/>
        <w:rPr>
          <w:sz w:val="20"/>
          <w:szCs w:val="20"/>
          <w:color w:val="auto"/>
        </w:rPr>
      </w:pPr>
      <w:r>
        <w:rPr>
          <w:rFonts w:ascii="Times New Roman" w:cs="Times New Roman" w:eastAsia="Times New Roman" w:hAnsi="Times New Roman"/>
          <w:sz w:val="18"/>
          <w:szCs w:val="18"/>
          <w:color w:val="auto"/>
        </w:rPr>
        <w:t>General and administrative expenses for the year ended December 31, 2014 increased compared to the prior year, driven by increased professional fees of $15.4 million associated with the closing of the Sanofi License Agreement, the amendment of the Facility Agreement and assessment of new product opportunities. Salaries and employee-related expenses increased $2.8 million in 2014 primarily due to increased compensation related to the achievement of significant corporate milestones and severance expense related to a reduction in force in the fourth quarter of 2014. Stock-based compensation expense increased $1.5 million resulting from the net effect of $12.6 million in increased stock-based compensation expense due to the modification and settlement of value during 2014 for certain performance awards, partially offset by an overall decrease in stock-based compensation of $9.5 million due to the decreased recognition period in 2014 as a result of the achievement of milestones under company-wide performance based grants in the second and third quarters of 2014, in addition to a reduction of other option and award compensation of $1.9 million due to a reduction in force.</w:t>
      </w:r>
    </w:p>
    <w:p>
      <w:pPr>
        <w:spacing w:after="0" w:line="57" w:lineRule="exact"/>
        <w:rPr>
          <w:sz w:val="20"/>
          <w:szCs w:val="20"/>
          <w:color w:val="auto"/>
        </w:rPr>
      </w:pPr>
    </w:p>
    <w:p>
      <w:pPr>
        <w:ind w:right="120" w:firstLine="228"/>
        <w:spacing w:after="0" w:line="275" w:lineRule="auto"/>
        <w:rPr>
          <w:sz w:val="20"/>
          <w:szCs w:val="20"/>
          <w:color w:val="auto"/>
        </w:rPr>
      </w:pPr>
      <w:r>
        <w:rPr>
          <w:rFonts w:ascii="Times New Roman" w:cs="Times New Roman" w:eastAsia="Times New Roman" w:hAnsi="Times New Roman"/>
          <w:sz w:val="18"/>
          <w:szCs w:val="18"/>
          <w:color w:val="auto"/>
        </w:rPr>
        <w:t>We expect general and administrative expenses to decrease in 2015 as compared to 2014 due to a decrease in professional fees and stock-based compensation expense.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w:t>
      </w:r>
    </w:p>
    <w:p>
      <w:pPr>
        <w:spacing w:after="0" w:line="92" w:lineRule="exact"/>
        <w:rPr>
          <w:sz w:val="20"/>
          <w:szCs w:val="20"/>
          <w:color w:val="auto"/>
        </w:rPr>
      </w:pPr>
    </w:p>
    <w:p>
      <w:pPr>
        <w:ind w:firstLine="228"/>
        <w:spacing w:after="0" w:line="258" w:lineRule="auto"/>
        <w:rPr>
          <w:sz w:val="20"/>
          <w:szCs w:val="20"/>
          <w:color w:val="auto"/>
        </w:rPr>
      </w:pPr>
      <w:r>
        <w:rPr>
          <w:rFonts w:ascii="Times New Roman" w:cs="Times New Roman" w:eastAsia="Times New Roman" w:hAnsi="Times New Roman"/>
          <w:sz w:val="18"/>
          <w:szCs w:val="18"/>
          <w:color w:val="auto"/>
        </w:rPr>
        <w:t>Other income for the year ended December 31, 2014 was $1.7 million resulting from the sale of intellectual property related to oncology in the third quarter of 2014 in the amount of $7.9 million, partially offset by a $6.4 million non-cash charge recognized upon the conversion of 2019 notes into equity. For the year ended December 31, 2013, other expense was $0.6 million related to the loss on conversion of debt to equity at the end of 2013 upon the conversion of 2019 notes into common stock in accordance with the Facility Agreement.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 and Expense</w:t>
      </w:r>
    </w:p>
    <w:p>
      <w:pPr>
        <w:spacing w:after="0" w:line="92" w:lineRule="exact"/>
        <w:rPr>
          <w:sz w:val="20"/>
          <w:szCs w:val="20"/>
          <w:color w:val="auto"/>
        </w:rPr>
      </w:pPr>
    </w:p>
    <w:p>
      <w:pPr>
        <w:ind w:right="80" w:firstLine="228"/>
        <w:spacing w:after="0" w:line="275" w:lineRule="auto"/>
        <w:rPr>
          <w:sz w:val="20"/>
          <w:szCs w:val="20"/>
          <w:color w:val="auto"/>
        </w:rPr>
      </w:pPr>
      <w:r>
        <w:rPr>
          <w:rFonts w:ascii="Times New Roman" w:cs="Times New Roman" w:eastAsia="Times New Roman" w:hAnsi="Times New Roman"/>
          <w:sz w:val="18"/>
          <w:szCs w:val="18"/>
          <w:color w:val="auto"/>
        </w:rPr>
        <w:t>Interest expense decreased $1.1 million from $21.5 million for the year ended December 31, 2013 to $20.4 million for the year ended December 31, 2014 due to lower principal balances resulting from the repayment of senior convertible notes and the conversion of 2019 notes into equity in 2014.</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Years ended December 31, 2013 and 2012</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92" w:lineRule="exact"/>
        <w:rPr>
          <w:sz w:val="20"/>
          <w:szCs w:val="20"/>
          <w:color w:val="auto"/>
        </w:rPr>
      </w:pPr>
    </w:p>
    <w:p>
      <w:pPr>
        <w:ind w:firstLine="228"/>
        <w:spacing w:after="0" w:line="275" w:lineRule="auto"/>
        <w:rPr>
          <w:sz w:val="20"/>
          <w:szCs w:val="20"/>
          <w:color w:val="auto"/>
        </w:rPr>
      </w:pPr>
      <w:r>
        <w:rPr>
          <w:rFonts w:ascii="Times New Roman" w:cs="Times New Roman" w:eastAsia="Times New Roman" w:hAnsi="Times New Roman"/>
          <w:sz w:val="18"/>
          <w:szCs w:val="18"/>
          <w:color w:val="auto"/>
        </w:rPr>
        <w:t>During the years ended December 31, 2013 we recognized no revenue and during the year ended December 31, 2012, we recognized $35,000 in revenue under a license agreement.</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420"/>
          </w:cols>
          <w:pgMar w:left="240" w:top="455" w:right="239" w:bottom="1440" w:gutter="0" w:footer="0" w:header="0"/>
        </w:sectPr>
      </w:pPr>
    </w:p>
    <w:bookmarkStart w:id="49" w:name="page50"/>
    <w:bookmarkEnd w:id="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92" w:lineRule="exact"/>
        <w:rPr>
          <w:sz w:val="20"/>
          <w:szCs w:val="20"/>
          <w:color w:val="auto"/>
        </w:rPr>
      </w:pPr>
    </w:p>
    <w:p>
      <w:pPr>
        <w:ind w:right="220" w:firstLine="228"/>
        <w:spacing w:after="0" w:line="275" w:lineRule="auto"/>
        <w:rPr>
          <w:sz w:val="20"/>
          <w:szCs w:val="20"/>
          <w:color w:val="auto"/>
        </w:rPr>
      </w:pPr>
      <w:r>
        <w:rPr>
          <w:rFonts w:ascii="Times New Roman" w:cs="Times New Roman" w:eastAsia="Times New Roman" w:hAnsi="Times New Roman"/>
          <w:sz w:val="18"/>
          <w:szCs w:val="18"/>
          <w:color w:val="auto"/>
        </w:rPr>
        <w:t>The following table provides a comparison of the research and development expense categories for the years ended December 31, 2013 and 2012 (dollars in thousands):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5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7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80" w:type="dxa"/>
            <w:vAlign w:val="bottom"/>
            <w:gridSpan w:val="5"/>
          </w:tcPr>
          <w:p>
            <w:pPr>
              <w:jc w:val="right"/>
              <w:ind w:right="10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80" w:type="dxa"/>
            <w:vAlign w:val="bottom"/>
            <w:gridSpan w:val="2"/>
            <w:vMerge w:val="restart"/>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w w:val="94"/>
              </w:rPr>
              <w:t>% Change</w:t>
            </w:r>
          </w:p>
        </w:tc>
        <w:tc>
          <w:tcPr>
            <w:tcW w:w="0" w:type="dxa"/>
            <w:vAlign w:val="bottom"/>
          </w:tcPr>
          <w:p>
            <w:pPr>
              <w:spacing w:after="0"/>
              <w:rPr>
                <w:sz w:val="1"/>
                <w:szCs w:val="1"/>
                <w:color w:val="auto"/>
              </w:rPr>
            </w:pPr>
          </w:p>
        </w:tc>
      </w:tr>
      <w:tr>
        <w:trPr>
          <w:trHeight w:val="142"/>
        </w:trPr>
        <w:tc>
          <w:tcPr>
            <w:tcW w:w="70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9"/>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5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5"/>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50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Clinical</w:t>
            </w: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42,711</w:t>
            </w:r>
          </w:p>
        </w:tc>
        <w:tc>
          <w:tcPr>
            <w:tcW w:w="5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47,936</w:t>
            </w:r>
          </w:p>
        </w:tc>
        <w:tc>
          <w:tcPr>
            <w:tcW w:w="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7"/>
              </w:rPr>
              <w:t>(5,225)</w:t>
            </w:r>
          </w:p>
        </w:tc>
        <w:tc>
          <w:tcPr>
            <w:tcW w:w="5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Manufacturing</w:t>
            </w:r>
          </w:p>
        </w:tc>
        <w:tc>
          <w:tcPr>
            <w:tcW w:w="80" w:type="dxa"/>
            <w:vAlign w:val="bottom"/>
          </w:tcPr>
          <w:p>
            <w:pPr>
              <w:spacing w:after="0"/>
              <w:rPr>
                <w:sz w:val="18"/>
                <w:szCs w:val="18"/>
                <w:color w:val="auto"/>
              </w:rPr>
            </w:pPr>
          </w:p>
        </w:tc>
        <w:tc>
          <w:tcPr>
            <w:tcW w:w="11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40,530</w:t>
            </w:r>
          </w:p>
        </w:tc>
        <w:tc>
          <w:tcPr>
            <w:tcW w:w="100" w:type="dxa"/>
            <w:vAlign w:val="bottom"/>
          </w:tcPr>
          <w:p>
            <w:pPr>
              <w:spacing w:after="0"/>
              <w:rPr>
                <w:sz w:val="18"/>
                <w:szCs w:val="18"/>
                <w:color w:val="auto"/>
              </w:rPr>
            </w:pPr>
          </w:p>
        </w:tc>
        <w:tc>
          <w:tcPr>
            <w:tcW w:w="10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40,094</w:t>
            </w:r>
          </w:p>
        </w:tc>
        <w:tc>
          <w:tcPr>
            <w:tcW w:w="100" w:type="dxa"/>
            <w:vAlign w:val="bottom"/>
          </w:tcPr>
          <w:p>
            <w:pPr>
              <w:spacing w:after="0"/>
              <w:rPr>
                <w:sz w:val="18"/>
                <w:szCs w:val="18"/>
                <w:color w:val="auto"/>
              </w:rPr>
            </w:pPr>
          </w:p>
        </w:tc>
        <w:tc>
          <w:tcPr>
            <w:tcW w:w="10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436</w:t>
            </w:r>
          </w:p>
        </w:tc>
        <w:tc>
          <w:tcPr>
            <w:tcW w:w="88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6,351</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7,614</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w w:val="98"/>
              </w:rPr>
              <w:t>(1,263)</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tax credit</w:t>
            </w:r>
          </w:p>
        </w:tc>
        <w:tc>
          <w:tcPr>
            <w:tcW w:w="8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(282)</w:t>
            </w:r>
          </w:p>
        </w:tc>
        <w:tc>
          <w:tcPr>
            <w:tcW w:w="10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(289)</w:t>
            </w:r>
          </w:p>
        </w:tc>
        <w:tc>
          <w:tcPr>
            <w:tcW w:w="100" w:type="dxa"/>
            <w:vAlign w:val="bottom"/>
          </w:tcPr>
          <w:p>
            <w:pPr>
              <w:spacing w:after="0"/>
              <w:rPr>
                <w:sz w:val="18"/>
                <w:szCs w:val="18"/>
                <w:color w:val="auto"/>
              </w:rPr>
            </w:pPr>
          </w:p>
        </w:tc>
        <w:tc>
          <w:tcPr>
            <w:tcW w:w="10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7</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20,409</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6,167</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w w:val="92"/>
              </w:rPr>
              <w:t>14,242</w:t>
            </w:r>
          </w:p>
        </w:tc>
        <w:tc>
          <w:tcPr>
            <w:tcW w:w="880" w:type="dxa"/>
            <w:vAlign w:val="bottom"/>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231%</w:t>
            </w:r>
          </w:p>
        </w:tc>
        <w:tc>
          <w:tcPr>
            <w:tcW w:w="0" w:type="dxa"/>
            <w:vAlign w:val="bottom"/>
          </w:tcPr>
          <w:p>
            <w:pPr>
              <w:spacing w:after="0"/>
              <w:rPr>
                <w:sz w:val="1"/>
                <w:szCs w:val="1"/>
                <w:color w:val="auto"/>
              </w:rPr>
            </w:pPr>
          </w:p>
        </w:tc>
      </w:tr>
      <w:tr>
        <w:trPr>
          <w:trHeight w:val="222"/>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109,719</w:t>
            </w:r>
          </w:p>
        </w:tc>
        <w:tc>
          <w:tcPr>
            <w:tcW w:w="5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101,522</w:t>
            </w:r>
          </w:p>
        </w:tc>
        <w:tc>
          <w:tcPr>
            <w:tcW w:w="50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8,197</w:t>
            </w:r>
          </w:p>
        </w:tc>
        <w:tc>
          <w:tcPr>
            <w:tcW w:w="520" w:type="dxa"/>
            <w:vAlign w:val="bottom"/>
          </w:tcPr>
          <w:p>
            <w:pPr>
              <w:spacing w:after="0"/>
              <w:rPr>
                <w:sz w:val="19"/>
                <w:szCs w:val="19"/>
                <w:color w:val="auto"/>
              </w:rPr>
            </w:pPr>
          </w:p>
        </w:tc>
        <w:tc>
          <w:tcPr>
            <w:tcW w:w="88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bl>
    <w:p>
      <w:pPr>
        <w:spacing w:after="0" w:line="68" w:lineRule="exact"/>
        <w:rPr>
          <w:sz w:val="20"/>
          <w:szCs w:val="20"/>
          <w:color w:val="auto"/>
        </w:rPr>
      </w:pPr>
    </w:p>
    <w:p>
      <w:pPr>
        <w:ind w:right="20" w:firstLine="228"/>
        <w:spacing w:after="0" w:line="255" w:lineRule="auto"/>
        <w:rPr>
          <w:sz w:val="20"/>
          <w:szCs w:val="20"/>
          <w:color w:val="auto"/>
        </w:rPr>
      </w:pPr>
      <w:r>
        <w:rPr>
          <w:rFonts w:ascii="Times New Roman" w:cs="Times New Roman" w:eastAsia="Times New Roman" w:hAnsi="Times New Roman"/>
          <w:sz w:val="18"/>
          <w:szCs w:val="18"/>
          <w:color w:val="auto"/>
        </w:rPr>
        <w:t>The increase in research and development expenses for the year ended December 31, 2013 compared to the year ended December 31, 2012 was driven by an increase in stock-based compensation expense of $14.2 million in connection with company-wide performance-based grants in the first and second quarters of 2013, as well as a full year of expense from grants in early 2012, and the achievement of certain milestones in the fourth quarter of 2013. This increase is offset by a decrease of $5.2 million in clinical study related expenses from the completion of two Phase 3 studies in the second quarter of 2013, and $1.3 million in reduced research expenses resulting from the positive effect of our cost cutting measures in addition to decreasing efforts in other non-AFREZZA related research as we focused on our primary objective of gaining approval of AFREZZA.</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92" w:lineRule="exact"/>
        <w:rPr>
          <w:sz w:val="20"/>
          <w:szCs w:val="20"/>
          <w:color w:val="auto"/>
        </w:rPr>
      </w:pPr>
    </w:p>
    <w:p>
      <w:pPr>
        <w:ind w:right="180" w:firstLine="228"/>
        <w:spacing w:after="0" w:line="275" w:lineRule="auto"/>
        <w:rPr>
          <w:sz w:val="20"/>
          <w:szCs w:val="20"/>
          <w:color w:val="auto"/>
        </w:rPr>
      </w:pPr>
      <w:r>
        <w:rPr>
          <w:rFonts w:ascii="Times New Roman" w:cs="Times New Roman" w:eastAsia="Times New Roman" w:hAnsi="Times New Roman"/>
          <w:sz w:val="18"/>
          <w:szCs w:val="18"/>
          <w:color w:val="auto"/>
        </w:rPr>
        <w:t>The following table provides a comparison of the general and administrative expense categories for the years ended December 31, 2013 and 2012 (dollars in thousands):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260" w:type="dxa"/>
            <w:vAlign w:val="bottom"/>
          </w:tcPr>
          <w:p>
            <w:pPr>
              <w:spacing w:after="0"/>
              <w:rPr>
                <w:sz w:val="13"/>
                <w:szCs w:val="13"/>
                <w:color w:val="auto"/>
              </w:rPr>
            </w:pPr>
          </w:p>
        </w:tc>
        <w:tc>
          <w:tcPr>
            <w:tcW w:w="2160" w:type="dxa"/>
            <w:vAlign w:val="bottom"/>
            <w:gridSpan w:val="4"/>
          </w:tcPr>
          <w:p>
            <w:pPr>
              <w:jc w:val="right"/>
              <w:ind w:right="9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5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60" w:type="dxa"/>
            <w:vAlign w:val="bottom"/>
          </w:tcPr>
          <w:p>
            <w:pPr>
              <w:spacing w:after="0"/>
              <w:rPr>
                <w:sz w:val="14"/>
                <w:szCs w:val="14"/>
                <w:color w:val="auto"/>
              </w:rPr>
            </w:pPr>
          </w:p>
        </w:tc>
        <w:tc>
          <w:tcPr>
            <w:tcW w:w="2160" w:type="dxa"/>
            <w:vAlign w:val="bottom"/>
            <w:gridSpan w:val="4"/>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 Change</w:t>
            </w:r>
          </w:p>
        </w:tc>
        <w:tc>
          <w:tcPr>
            <w:tcW w:w="520" w:type="dxa"/>
            <w:vAlign w:val="bottom"/>
            <w:vMerge w:val="restart"/>
          </w:tcPr>
          <w:p>
            <w:pPr>
              <w:spacing w:after="0"/>
              <w:rPr>
                <w:sz w:val="14"/>
                <w:szCs w:val="14"/>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4"/>
              </w:rPr>
              <w:t>% Change</w:t>
            </w:r>
          </w:p>
        </w:tc>
        <w:tc>
          <w:tcPr>
            <w:tcW w:w="26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6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62"/>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500" w:type="dxa"/>
            <w:vAlign w:val="bottom"/>
            <w:tcBorders>
              <w:top w:val="single" w:sz="8" w:color="auto"/>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57"/>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50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vMerge w:val="continue"/>
          </w:tcPr>
          <w:p>
            <w:pPr>
              <w:spacing w:after="0"/>
              <w:rPr>
                <w:sz w:val="12"/>
                <w:szCs w:val="12"/>
                <w:color w:val="auto"/>
              </w:rPr>
            </w:pPr>
          </w:p>
        </w:tc>
        <w:tc>
          <w:tcPr>
            <w:tcW w:w="520" w:type="dxa"/>
            <w:vAlign w:val="bottom"/>
            <w:tcBorders>
              <w:bottom w:val="single" w:sz="8" w:color="CCEEFF"/>
            </w:tcBorders>
            <w:vMerge w:val="continue"/>
          </w:tcPr>
          <w:p>
            <w:pPr>
              <w:spacing w:after="0"/>
              <w:rPr>
                <w:sz w:val="12"/>
                <w:szCs w:val="12"/>
                <w:color w:val="auto"/>
              </w:rPr>
            </w:pPr>
          </w:p>
        </w:tc>
        <w:tc>
          <w:tcPr>
            <w:tcW w:w="620" w:type="dxa"/>
            <w:vAlign w:val="bottom"/>
            <w:tcBorders>
              <w:bottom w:val="single" w:sz="8" w:color="auto"/>
            </w:tcBorders>
            <w:vMerge w:val="continue"/>
          </w:tcPr>
          <w:p>
            <w:pPr>
              <w:spacing w:after="0"/>
              <w:rPr>
                <w:sz w:val="12"/>
                <w:szCs w:val="12"/>
                <w:color w:val="auto"/>
              </w:rPr>
            </w:pPr>
          </w:p>
        </w:tc>
        <w:tc>
          <w:tcPr>
            <w:tcW w:w="260" w:type="dxa"/>
            <w:vAlign w:val="bottom"/>
            <w:tcBorders>
              <w:bottom w:val="single" w:sz="8" w:color="CCEEFF"/>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Salaries, employee related and other general expenses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$34,905</w:t>
            </w: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$38,348</w:t>
            </w: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4"/>
              </w:rPr>
              <w:t>$ (3,443)</w:t>
            </w:r>
          </w:p>
        </w:tc>
        <w:tc>
          <w:tcPr>
            <w:tcW w:w="5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24,777</w:t>
            </w:r>
          </w:p>
        </w:tc>
        <w:tc>
          <w:tcPr>
            <w:tcW w:w="500" w:type="dxa"/>
            <w:vAlign w:val="bottom"/>
          </w:tcPr>
          <w:p>
            <w:pPr>
              <w:spacing w:after="0"/>
              <w:rPr>
                <w:sz w:val="18"/>
                <w:szCs w:val="18"/>
                <w:color w:val="auto"/>
              </w:rPr>
            </w:pPr>
          </w:p>
        </w:tc>
        <w:tc>
          <w:tcPr>
            <w:tcW w:w="10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7,125</w:t>
            </w:r>
          </w:p>
        </w:tc>
        <w:tc>
          <w:tcPr>
            <w:tcW w:w="11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17,652</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$59,682</w:t>
            </w: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w w:val="95"/>
              </w:rPr>
              <w:t>$45,473</w:t>
            </w:r>
          </w:p>
        </w:tc>
        <w:tc>
          <w:tcPr>
            <w:tcW w:w="11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w w:val="95"/>
              </w:rPr>
              <w:t>$14,209</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bl>
    <w:p>
      <w:pPr>
        <w:spacing w:after="0" w:line="67" w:lineRule="exact"/>
        <w:rPr>
          <w:sz w:val="20"/>
          <w:szCs w:val="20"/>
          <w:color w:val="auto"/>
        </w:rPr>
      </w:pPr>
    </w:p>
    <w:p>
      <w:pPr>
        <w:ind w:right="60" w:firstLine="228"/>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for the year ended December 31, 2013 increased as compared to the prior year driven by an increase in stock-based compensation expense of $17.7 million in connection with company-wide performance-based grants to all employees, in the first and second quarters of 2013, as well as a full year of expense from grants in early 2012, and the achievement of certain milestones in the fourth quarter of 2013. This increase was partially offset by a $4.2 million decrease in legal and professional fees.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w:t>
      </w:r>
    </w:p>
    <w:p>
      <w:pPr>
        <w:spacing w:after="0" w:line="92" w:lineRule="exact"/>
        <w:rPr>
          <w:sz w:val="20"/>
          <w:szCs w:val="20"/>
          <w:color w:val="auto"/>
        </w:rPr>
      </w:pPr>
    </w:p>
    <w:p>
      <w:pPr>
        <w:ind w:right="20" w:firstLine="228"/>
        <w:spacing w:after="0" w:line="262" w:lineRule="auto"/>
        <w:rPr>
          <w:sz w:val="20"/>
          <w:szCs w:val="20"/>
          <w:color w:val="auto"/>
        </w:rPr>
      </w:pPr>
      <w:r>
        <w:rPr>
          <w:rFonts w:ascii="Times New Roman" w:cs="Times New Roman" w:eastAsia="Times New Roman" w:hAnsi="Times New Roman"/>
          <w:sz w:val="18"/>
          <w:szCs w:val="18"/>
          <w:color w:val="auto"/>
        </w:rPr>
        <w:t>Other expense for the year ended December 31, 2013 was $0.6 million as compared to other expense of $1.2 million for the year ended December 31, 2012. In 2013, other expense reflects the loss on conversion of debt to equity at the end of 2013 related to the conversion of 2019 notes in accordance with the Facility Agreement. In 2012, other expense reflects the adjustment in fair value of forward purchase contracts with our principal stockholder.</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 and Expense</w:t>
      </w:r>
    </w:p>
    <w:p>
      <w:pPr>
        <w:spacing w:after="0" w:line="92" w:lineRule="exact"/>
        <w:rPr>
          <w:sz w:val="20"/>
          <w:szCs w:val="20"/>
          <w:color w:val="auto"/>
        </w:rPr>
      </w:pPr>
    </w:p>
    <w:p>
      <w:pPr>
        <w:ind w:right="160" w:firstLine="228"/>
        <w:spacing w:after="0" w:line="262" w:lineRule="auto"/>
        <w:rPr>
          <w:sz w:val="20"/>
          <w:szCs w:val="20"/>
          <w:color w:val="auto"/>
        </w:rPr>
      </w:pPr>
      <w:r>
        <w:rPr>
          <w:rFonts w:ascii="Times New Roman" w:cs="Times New Roman" w:eastAsia="Times New Roman" w:hAnsi="Times New Roman"/>
          <w:sz w:val="18"/>
          <w:szCs w:val="18"/>
          <w:color w:val="auto"/>
        </w:rPr>
        <w:t>Interest expense for the year ended December 31, 2013 was relatively consistent compared to the year ended December 31, 2012, due to lower interest expense on our note payable to our principal stockholder in 2013 as a result of a lower carrying value being offset by higher interest expense associated with the 2019 notes issued in 2013.</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420"/>
          </w:cols>
          <w:pgMar w:left="240" w:top="455" w:right="239" w:bottom="1440" w:gutter="0" w:footer="0" w:header="0"/>
        </w:sectPr>
      </w:pPr>
    </w:p>
    <w:bookmarkStart w:id="50" w:name="page51"/>
    <w:bookmarkEnd w:id="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92" w:lineRule="exact"/>
        <w:rPr>
          <w:sz w:val="20"/>
          <w:szCs w:val="20"/>
          <w:color w:val="auto"/>
        </w:rPr>
      </w:pPr>
    </w:p>
    <w:p>
      <w:pPr>
        <w:ind w:firstLine="228"/>
        <w:spacing w:after="0" w:line="275" w:lineRule="auto"/>
        <w:rPr>
          <w:sz w:val="20"/>
          <w:szCs w:val="20"/>
          <w:color w:val="auto"/>
        </w:rPr>
      </w:pPr>
      <w:r>
        <w:rPr>
          <w:rFonts w:ascii="Times New Roman" w:cs="Times New Roman" w:eastAsia="Times New Roman" w:hAnsi="Times New Roman"/>
          <w:sz w:val="18"/>
          <w:szCs w:val="18"/>
          <w:color w:val="auto"/>
        </w:rPr>
        <w:t>To date, we have funded our operations through the sale of equity securities and convertible debt securities, borrowings under the Loan Arrangement with The Mann Group and borrowings under the Facility Agreement with Deerfield.</w:t>
      </w:r>
    </w:p>
    <w:p>
      <w:pPr>
        <w:spacing w:after="0" w:line="3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As of December 31, 2014, we had $229.5 million principal amount of outstanding debt, consisting of:</w:t>
      </w:r>
    </w:p>
    <w:p>
      <w:pPr>
        <w:spacing w:after="0" w:line="90" w:lineRule="exact"/>
        <w:rPr>
          <w:sz w:val="20"/>
          <w:szCs w:val="20"/>
          <w:color w:val="auto"/>
        </w:rPr>
      </w:pPr>
    </w:p>
    <w:p>
      <w:pPr>
        <w:ind w:left="440" w:hanging="216"/>
        <w:spacing w:after="0"/>
        <w:tabs>
          <w:tab w:leader="none" w:pos="4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 million principal amount of 2015 notes bearing interest at 5.75% per annum and maturing on August 15, 2015;</w:t>
      </w:r>
    </w:p>
    <w:p>
      <w:pPr>
        <w:spacing w:after="0" w:line="90" w:lineRule="exact"/>
        <w:rPr>
          <w:rFonts w:ascii="Times New Roman" w:cs="Times New Roman" w:eastAsia="Times New Roman" w:hAnsi="Times New Roman"/>
          <w:sz w:val="18"/>
          <w:szCs w:val="18"/>
          <w:color w:val="auto"/>
        </w:rPr>
      </w:pPr>
    </w:p>
    <w:p>
      <w:pPr>
        <w:ind w:left="440" w:right="60" w:hanging="216"/>
        <w:spacing w:after="0" w:line="262" w:lineRule="auto"/>
        <w:tabs>
          <w:tab w:leader="none" w:pos="4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$60.0 million principal amount of 2019 notes bearing interest at 9.75% per annum, $5.0 million of which is due and payable in July 2016, $15.0 million of which is due and payable in July 2017, $15.0 million of which is due and payable in July 2018 and $25.0 million of which is due and payable in July and December 2019;</w:t>
      </w:r>
    </w:p>
    <w:p>
      <w:pPr>
        <w:spacing w:after="0" w:line="51" w:lineRule="exact"/>
        <w:rPr>
          <w:rFonts w:ascii="Times New Roman" w:cs="Times New Roman" w:eastAsia="Times New Roman" w:hAnsi="Times New Roman"/>
          <w:sz w:val="18"/>
          <w:szCs w:val="18"/>
          <w:color w:val="auto"/>
        </w:rPr>
      </w:pPr>
    </w:p>
    <w:p>
      <w:pPr>
        <w:ind w:left="440" w:right="280" w:hanging="216"/>
        <w:spacing w:after="0" w:line="275" w:lineRule="auto"/>
        <w:tabs>
          <w:tab w:leader="none" w:pos="4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 million principal amount of Tranche B notes bearing interest at 8.75% per annum, $5.0 million of which is due and payable in each of May 2017, 2018 and 2019, the balance of which is due and payable in December 2019; and</w:t>
      </w:r>
    </w:p>
    <w:p>
      <w:pPr>
        <w:spacing w:after="0" w:line="38" w:lineRule="exact"/>
        <w:rPr>
          <w:rFonts w:ascii="Times New Roman" w:cs="Times New Roman" w:eastAsia="Times New Roman" w:hAnsi="Times New Roman"/>
          <w:sz w:val="18"/>
          <w:szCs w:val="18"/>
          <w:color w:val="auto"/>
        </w:rPr>
      </w:pPr>
    </w:p>
    <w:p>
      <w:pPr>
        <w:ind w:left="440" w:right="340" w:hanging="216"/>
        <w:spacing w:after="0" w:line="262" w:lineRule="auto"/>
        <w:tabs>
          <w:tab w:leader="none" w:pos="4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$49.5 million principal amount of indebtedness under the loan arrangement, dated as of October 2, 2007, between us and The Mann Group LLC (as amended, restated or otherwise modified as of the date hereof, the “Loan Arrangement”) bearing interest at 5.84% and maturing and due on January 5, 2020.</w:t>
      </w:r>
    </w:p>
    <w:p>
      <w:pPr>
        <w:spacing w:after="0" w:line="51" w:lineRule="exact"/>
        <w:rPr>
          <w:sz w:val="20"/>
          <w:szCs w:val="20"/>
          <w:color w:val="auto"/>
        </w:rPr>
      </w:pPr>
    </w:p>
    <w:p>
      <w:pPr>
        <w:ind w:right="80" w:firstLine="228"/>
        <w:spacing w:after="0" w:line="262" w:lineRule="auto"/>
        <w:rPr>
          <w:sz w:val="20"/>
          <w:szCs w:val="20"/>
          <w:color w:val="auto"/>
        </w:rPr>
      </w:pPr>
      <w:r>
        <w:rPr>
          <w:rFonts w:ascii="Times New Roman" w:cs="Times New Roman" w:eastAsia="Times New Roman" w:hAnsi="Times New Roman"/>
          <w:sz w:val="18"/>
          <w:szCs w:val="18"/>
          <w:color w:val="auto"/>
        </w:rPr>
        <w:t>As of December 31, 2014, the amount available for future borrowings under the Loan Arrangement was $30.1 million. We anticipate using a portion of these available borrowings to capitalize accrued interest into principal, upon mutual agreement of the parties, as it becomes due and payable under the Loan Arrangement.</w:t>
      </w:r>
    </w:p>
    <w:p>
      <w:pPr>
        <w:spacing w:after="0" w:line="51" w:lineRule="exact"/>
        <w:rPr>
          <w:sz w:val="20"/>
          <w:szCs w:val="20"/>
          <w:color w:val="auto"/>
        </w:rPr>
      </w:pPr>
    </w:p>
    <w:p>
      <w:pPr>
        <w:jc w:val="both"/>
        <w:ind w:right="240" w:firstLine="228"/>
        <w:spacing w:after="0" w:line="258" w:lineRule="auto"/>
        <w:rPr>
          <w:sz w:val="20"/>
          <w:szCs w:val="20"/>
          <w:color w:val="auto"/>
        </w:rPr>
      </w:pPr>
      <w:r>
        <w:rPr>
          <w:rFonts w:ascii="Times New Roman" w:cs="Times New Roman" w:eastAsia="Times New Roman" w:hAnsi="Times New Roman"/>
          <w:sz w:val="18"/>
          <w:szCs w:val="18"/>
          <w:color w:val="auto"/>
        </w:rPr>
        <w:t>In addition, we may borrow up to an aggregate $175.0 million pursuant to the Sanofi Loan Facility to fund our share of net losses under the Sanofi License Agreement. Subsequent to December 31, 2014, we borrowed $3.0 million under the Sanofi Loan Facility to settle the corresponding portion of the loss, which was reclassified from current deferred payments from collaboration to other long term liabilities. We will be required to make mandatory prepayments on any outstanding loans under the Sanofi Loan Facility from our share of any profits under the Sanofi License Agreement.</w:t>
      </w:r>
    </w:p>
    <w:p>
      <w:pPr>
        <w:spacing w:after="0" w:line="55" w:lineRule="exact"/>
        <w:rPr>
          <w:sz w:val="20"/>
          <w:szCs w:val="20"/>
          <w:color w:val="auto"/>
        </w:rPr>
      </w:pPr>
    </w:p>
    <w:p>
      <w:pPr>
        <w:ind w:right="180" w:firstLine="228"/>
        <w:spacing w:after="0" w:line="262" w:lineRule="auto"/>
        <w:rPr>
          <w:sz w:val="20"/>
          <w:szCs w:val="20"/>
          <w:color w:val="auto"/>
        </w:rPr>
      </w:pPr>
      <w:r>
        <w:rPr>
          <w:rFonts w:ascii="Times New Roman" w:cs="Times New Roman" w:eastAsia="Times New Roman" w:hAnsi="Times New Roman"/>
          <w:sz w:val="18"/>
          <w:szCs w:val="18"/>
          <w:color w:val="auto"/>
        </w:rPr>
        <w:t>In connection with the execution of the Facility Agreement, on July 1, 2013, we issued Milestone Rights to the Milestone Purchasers. The Milestone Rights provide the Milestone Purchasers certain rights to receive payments of up to $90.0 million upon the occurrence of specified strategic and sales milestones, including the first commercial sale of an AFREZZA product and the achievement of specified net sales figures.</w:t>
      </w:r>
    </w:p>
    <w:p>
      <w:pPr>
        <w:spacing w:after="0" w:line="51" w:lineRule="exact"/>
        <w:rPr>
          <w:sz w:val="20"/>
          <w:szCs w:val="20"/>
          <w:color w:val="auto"/>
        </w:rPr>
      </w:pPr>
    </w:p>
    <w:p>
      <w:pPr>
        <w:ind w:right="160" w:firstLine="228"/>
        <w:spacing w:after="0" w:line="334" w:lineRule="auto"/>
        <w:rPr>
          <w:sz w:val="20"/>
          <w:szCs w:val="20"/>
          <w:color w:val="auto"/>
        </w:rPr>
      </w:pPr>
      <w:r>
        <w:rPr>
          <w:rFonts w:ascii="Times New Roman" w:cs="Times New Roman" w:eastAsia="Times New Roman" w:hAnsi="Times New Roman"/>
          <w:sz w:val="16"/>
          <w:szCs w:val="16"/>
          <w:color w:val="auto"/>
        </w:rPr>
        <w:t>In the third quarter of 2014, the first milestone triggering event was achieved following our entry into the Sanofi License Agreement. In connection with the milestone triggering event, we paid a $5.0 million payment to Deerfield pursuant to the terms of the Milestone Agreement in the fourth quarter of 2014.</w:t>
      </w:r>
    </w:p>
    <w:p>
      <w:pPr>
        <w:spacing w:after="0" w:line="1" w:lineRule="exact"/>
        <w:rPr>
          <w:sz w:val="20"/>
          <w:szCs w:val="20"/>
          <w:color w:val="auto"/>
        </w:rPr>
      </w:pPr>
    </w:p>
    <w:p>
      <w:pPr>
        <w:ind w:firstLine="228"/>
        <w:spacing w:after="0" w:line="254" w:lineRule="auto"/>
        <w:rPr>
          <w:sz w:val="20"/>
          <w:szCs w:val="20"/>
          <w:color w:val="auto"/>
        </w:rPr>
      </w:pPr>
      <w:r>
        <w:rPr>
          <w:rFonts w:ascii="Times New Roman" w:cs="Times New Roman" w:eastAsia="Times New Roman" w:hAnsi="Times New Roman"/>
          <w:sz w:val="18"/>
          <w:szCs w:val="18"/>
          <w:color w:val="auto"/>
        </w:rPr>
        <w:t>In March 2014, we entered into an At-The-Market Issuance Sales Agreement with MLV &amp; Co. LLC (“MLV”) and an At-The-Market Issuance Sales Agreement with Meyers Associates, L.P. (doing business as Brinson Patrick, a division of Meyers Associates, L.P.) (“Brinson Patrick”). We refer to the foregoing agreements as the “ATM Agreements.” Under each ATM Agreement, we may issue or sell shares of our common stock having an aggregate offering price of up to $50.0 million from time to time through MLV or Brinson Patrick, as our sales agents, provided in no event may we sell more than $50.0 million of common stock under both agreements in the aggregate, and provided no sales may be made except pursuant to an effective registration statement. We expect that all or substantially all sales of our common stock made under the ATM Agreements will be made in “at the market” offerings as defined in Rule 415 of the Securities Act of 1933, as amended. We have not yet sold or issued any shares of our common stock under the ATM Agreements. There can be no assurance that we will be able to access capital through the ATM Agreements on a timely basis, or at all.</w:t>
      </w:r>
    </w:p>
    <w:p>
      <w:pPr>
        <w:spacing w:after="0" w:line="57" w:lineRule="exact"/>
        <w:rPr>
          <w:sz w:val="20"/>
          <w:szCs w:val="20"/>
          <w:color w:val="auto"/>
        </w:rPr>
      </w:pPr>
    </w:p>
    <w:p>
      <w:pPr>
        <w:ind w:right="240" w:firstLine="228"/>
        <w:spacing w:after="0" w:line="275" w:lineRule="auto"/>
        <w:rPr>
          <w:sz w:val="20"/>
          <w:szCs w:val="20"/>
          <w:color w:val="auto"/>
        </w:rPr>
      </w:pPr>
      <w:r>
        <w:rPr>
          <w:rFonts w:ascii="Times New Roman" w:cs="Times New Roman" w:eastAsia="Times New Roman" w:hAnsi="Times New Roman"/>
          <w:sz w:val="18"/>
          <w:szCs w:val="18"/>
          <w:color w:val="auto"/>
        </w:rPr>
        <w:t>On August 11, 2014, we and Sanofi executed the Sanofi License Agreement, which subsequently became effective on September 23, 2014. Pursuant to the Sanofi License Agreement, we received a $150.0 million</w:t>
      </w:r>
    </w:p>
    <w:p>
      <w:pPr>
        <w:spacing w:after="0" w:line="1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360"/>
          </w:cols>
          <w:pgMar w:left="240" w:top="455" w:right="299" w:bottom="1440" w:gutter="0" w:footer="0" w:header="0"/>
        </w:sectPr>
      </w:pPr>
    </w:p>
    <w:bookmarkStart w:id="51" w:name="page52"/>
    <w:bookmarkEnd w:id="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upfront payment and a subsequent $50.0 million in milestone payments upon satisfaction of certain manufacturing milestones specified in the Sanofi License Agreement. We are eligible to earn up to $725.0 million in further development, regulatory and sales milestones, and are also eligible to receive a share of profits on sales of AFREZZA. Worldwide profits and losses will be shared 65% by Sanofi and 35% by us. Pursuant to a separate supply agreement, we will manufacture AFREZZA at our manufacturing facility in Danbury, Connecticut to supply Sanofi’s demand for AFREZZA. Pursuant to the Insulin Supply Agreement with Amphastar, we have agreed to purchase annual minimum quantities of insulin under the Insulin Supply Agreement of an aggregate total of approximately €120.1 million in calendar years 2015 through 2019.</w:t>
      </w:r>
    </w:p>
    <w:p>
      <w:pPr>
        <w:spacing w:after="0" w:line="58" w:lineRule="exact"/>
        <w:rPr>
          <w:sz w:val="20"/>
          <w:szCs w:val="20"/>
          <w:color w:val="auto"/>
        </w:rPr>
      </w:pPr>
    </w:p>
    <w:p>
      <w:pPr>
        <w:ind w:right="20" w:firstLine="228"/>
        <w:spacing w:after="0" w:line="253" w:lineRule="auto"/>
        <w:rPr>
          <w:sz w:val="20"/>
          <w:szCs w:val="20"/>
          <w:color w:val="auto"/>
        </w:rPr>
      </w:pPr>
      <w:r>
        <w:rPr>
          <w:rFonts w:ascii="Times New Roman" w:cs="Times New Roman" w:eastAsia="Times New Roman" w:hAnsi="Times New Roman"/>
          <w:sz w:val="18"/>
          <w:szCs w:val="18"/>
          <w:color w:val="auto"/>
        </w:rPr>
        <w:t>During the year ended December 31, 2014, our operations provided $4.1 million of cash and we had a net loss of $198.4 million, which included $67.2 million of non-cash charges consisting of depreciation and accretion, and stock-based compensation. By comparison, during the year ended December 31, 2013, we used $128.7 million of cash for our operations and had a net loss of $191.5 million, which included $59.2 million of non-cash charges consisting of depreciation and accretion, and stock-based compensation. The operating cash outflow decreased by $132.8 million primarily due to the $150.0 million deferred up-front payment recorded from the up-front fee associated with the Sanofi License Agreement being partially offset by the $15.0 million deposit to Amphastar as prepayment for 2015 quantities of insulin as part of the Supply Agreement. For the year ended December 31, 2013, operating cash flow decreased by $10.6 million due to decreases in the following: accrued expenses associated with the clinical trials, accrued interest associated with our loan arrangement with The Mann Group due to the capitalization of the outstanding balance in October 2013, and accrued expenses related to equipment in 2013. As a result, cash used for operations for the years ended December 31, 2013 increased by $8.9 million compared to 2012. Going forward, we expect our operating cash flow to be negative at least until we achieve profitability with AFREZZA.</w:t>
      </w:r>
    </w:p>
    <w:p>
      <w:pPr>
        <w:spacing w:after="0" w:line="60" w:lineRule="exact"/>
        <w:rPr>
          <w:sz w:val="20"/>
          <w:szCs w:val="20"/>
          <w:color w:val="auto"/>
        </w:rPr>
      </w:pPr>
    </w:p>
    <w:p>
      <w:pPr>
        <w:ind w:right="100" w:firstLine="228"/>
        <w:spacing w:after="0" w:line="256" w:lineRule="auto"/>
        <w:rPr>
          <w:sz w:val="20"/>
          <w:szCs w:val="20"/>
          <w:color w:val="auto"/>
        </w:rPr>
      </w:pPr>
      <w:r>
        <w:rPr>
          <w:rFonts w:ascii="Times New Roman" w:cs="Times New Roman" w:eastAsia="Times New Roman" w:hAnsi="Times New Roman"/>
          <w:sz w:val="18"/>
          <w:szCs w:val="18"/>
          <w:color w:val="auto"/>
        </w:rPr>
        <w:t>We used $24.1 million of cash for investing activities during the year ended December 31, 2014, compared to $8.0 million for the year ended December 31, 2013. The $16.1 million increase was due to in purchases of machinery and equipment for the preparation for commercialization of AFREZZA. For the year ended December 31, 2013, the cash used for investing activities increased by $7.4 million of which $8.0 was due to the purchase of machinery and equipment to expand our manufacturing operations and our quality systems that supported clinical trials for AFREZZA in 2013, as compared to $0.6 million of machinery and equipment purchased in 2012.</w:t>
      </w:r>
    </w:p>
    <w:p>
      <w:pPr>
        <w:spacing w:after="0" w:line="58" w:lineRule="exact"/>
        <w:rPr>
          <w:sz w:val="20"/>
          <w:szCs w:val="20"/>
          <w:color w:val="auto"/>
        </w:rPr>
      </w:pPr>
    </w:p>
    <w:p>
      <w:pPr>
        <w:ind w:right="80" w:firstLine="228"/>
        <w:spacing w:after="0" w:line="285" w:lineRule="auto"/>
        <w:rPr>
          <w:sz w:val="20"/>
          <w:szCs w:val="20"/>
          <w:color w:val="auto"/>
        </w:rPr>
      </w:pPr>
      <w:r>
        <w:rPr>
          <w:rFonts w:ascii="Times New Roman" w:cs="Times New Roman" w:eastAsia="Times New Roman" w:hAnsi="Times New Roman"/>
          <w:sz w:val="16"/>
          <w:szCs w:val="16"/>
          <w:color w:val="auto"/>
        </w:rPr>
        <w:t>Our financing activities provided $70.1 million of cash for the year ended December 31, 2014, compared to $145.7 million for the year ended December 31, 2013. For the year ended December 31, 2014, cash provided by financing activities was comprised of $40.0 million in proceeds received from the issuance of the fourth tranche of 2019 notes to Deerfield, $20.0 million from the sale of Tranche B notes to Deerfield, $27.8 million from warrant exercises, and $12.3 million from the exercise of stock options, which were partially offset by $26.9 million paid for employment taxes related to vested restricted stock units and a</w:t>
      </w:r>
    </w:p>
    <w:p>
      <w:pPr>
        <w:spacing w:after="0" w:line="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$3.2 million milestone principal payment. For the year ended December 31, 2013 cash provided by financing activities was from $119.5 million in proceeds received from issuance of the 2019 notes and the Milestone Rights and $94.2 million net proceeds from warrants exercised. Additionally, there were $48.9 million in the net proceeds from use of our prior at-the market issuance sales agreements and on December 15, 2013, we paid $115.0 million to repay the 2013 notes upon maturity.</w:t>
      </w:r>
    </w:p>
    <w:p>
      <w:pPr>
        <w:spacing w:after="0" w:line="57" w:lineRule="exact"/>
        <w:rPr>
          <w:sz w:val="20"/>
          <w:szCs w:val="20"/>
          <w:color w:val="auto"/>
        </w:rPr>
      </w:pPr>
    </w:p>
    <w:p>
      <w:pPr>
        <w:ind w:firstLine="228"/>
        <w:spacing w:after="0" w:line="254" w:lineRule="auto"/>
        <w:rPr>
          <w:sz w:val="20"/>
          <w:szCs w:val="20"/>
          <w:color w:val="auto"/>
        </w:rPr>
      </w:pPr>
      <w:r>
        <w:rPr>
          <w:rFonts w:ascii="Times New Roman" w:cs="Times New Roman" w:eastAsia="Times New Roman" w:hAnsi="Times New Roman"/>
          <w:sz w:val="18"/>
          <w:szCs w:val="18"/>
          <w:color w:val="auto"/>
        </w:rPr>
        <w:t>As of December 31, 2014, we had $120.8 million in cash and cash equivalents. We expect to continue to incur significant expenditures to support commercial manufacturing of AFREZZA and the development of other product candidates. In addition, the 2015 notes in the aggregate principal amount of $100.0 million have a maturity date of August 15, 2015, and payment on the outstanding amount is due in full, if not converted into common shares, on that date. Based upon our current operating plan, including our expectation that we will be able to convert or refinance the 2015 notes, we believe that our existing cash and cash equivalents will enable us to fund our operating expenses and capital requirements for at least the next 12 months. We may need to raise additional capital, whether through the sale of equity or debt securities, additional strategic business collaborations, the establishment of other funding facilities, licensing arrangements, asset sales or other means.</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420"/>
          </w:cols>
          <w:pgMar w:left="240" w:top="455" w:right="239" w:bottom="1440" w:gutter="0" w:footer="0" w:header="0"/>
        </w:sectPr>
      </w:pPr>
    </w:p>
    <w:bookmarkStart w:id="52" w:name="page53"/>
    <w:bookmarkEnd w:id="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However, we cannot provide assurances that such additional capital, if needed, will be available through these or other means.</w:t>
      </w:r>
    </w:p>
    <w:p>
      <w:pPr>
        <w:spacing w:after="0" w:line="90" w:lineRule="exact"/>
        <w:rPr>
          <w:sz w:val="20"/>
          <w:szCs w:val="20"/>
          <w:color w:val="auto"/>
        </w:rPr>
      </w:pPr>
    </w:p>
    <w:p>
      <w:pPr>
        <w:ind w:right="60" w:firstLine="228"/>
        <w:spacing w:after="0" w:line="262" w:lineRule="auto"/>
        <w:rPr>
          <w:sz w:val="20"/>
          <w:szCs w:val="20"/>
          <w:color w:val="auto"/>
        </w:rPr>
      </w:pPr>
      <w:r>
        <w:rPr>
          <w:rFonts w:ascii="Times New Roman" w:cs="Times New Roman" w:eastAsia="Times New Roman" w:hAnsi="Times New Roman"/>
          <w:sz w:val="18"/>
          <w:szCs w:val="18"/>
          <w:color w:val="auto"/>
        </w:rPr>
        <w:t>We intend to use our capital resources to support the commercialization of AFREZZA. We are expending a portion of our capital resources to scale up our manufacturing capabilities in our Danbury facilities and to develop our other product candidates. We also intend to use our capital resources for general corporate purposes.</w:t>
      </w:r>
    </w:p>
    <w:p>
      <w:pPr>
        <w:spacing w:after="0" w:line="51" w:lineRule="exact"/>
        <w:rPr>
          <w:sz w:val="20"/>
          <w:szCs w:val="20"/>
          <w:color w:val="auto"/>
        </w:rPr>
      </w:pPr>
    </w:p>
    <w:p>
      <w:pPr>
        <w:ind w:right="60" w:firstLine="228"/>
        <w:spacing w:after="0" w:line="253" w:lineRule="auto"/>
        <w:rPr>
          <w:sz w:val="20"/>
          <w:szCs w:val="20"/>
          <w:color w:val="auto"/>
        </w:rPr>
      </w:pPr>
      <w:r>
        <w:rPr>
          <w:rFonts w:ascii="Times New Roman" w:cs="Times New Roman" w:eastAsia="Times New Roman" w:hAnsi="Times New Roman"/>
          <w:sz w:val="18"/>
          <w:szCs w:val="18"/>
          <w:color w:val="auto"/>
        </w:rPr>
        <w:t>If we enter into strategic business collaborations with respect to our other product candidates, we would expect, as part of the transaction, to receive additional capital. In addition, we expect to pursue the sale of equity and/or debt securities, including potentially sales of our common stock through the ATM Agreements, or the establishment of other funding facilities. Issuances of debt or additional equity could impact the rights of our existing stockholders, dilute the ownership percentages of our existing stockholders and may impose restrictions on our operations. These restrictions could include limitations on additional borrowing, specific restrictions on the use of our assets as well as prohibitions on our ability to create liens, pay dividends, redeem our stock or make investments. We also may seek to raise additional capital by pursuing opportunities for the licensing, sale or divestiture of certain intellectual property and other assets, including our Technosphere technology platform. There can be no assurance, however, that any strategic collaboration, sale of securities or sale or license of assets will be available to us on a timely basis or on acceptable terms, if at all. If we are unable to raise additional capital, we may be required to enter into agreements with third parties to develop or commercialize products or technologies that we otherwise would have sought to develop independently, and any such agreements may not be on terms as commercially favorable to us.</w:t>
      </w:r>
    </w:p>
    <w:p>
      <w:pPr>
        <w:spacing w:after="0" w:line="60" w:lineRule="exact"/>
        <w:rPr>
          <w:sz w:val="20"/>
          <w:szCs w:val="20"/>
          <w:color w:val="auto"/>
        </w:rPr>
      </w:pPr>
    </w:p>
    <w:p>
      <w:pPr>
        <w:ind w:firstLine="228"/>
        <w:spacing w:after="0" w:line="258" w:lineRule="auto"/>
        <w:rPr>
          <w:sz w:val="20"/>
          <w:szCs w:val="20"/>
          <w:color w:val="auto"/>
        </w:rPr>
      </w:pPr>
      <w:r>
        <w:rPr>
          <w:rFonts w:ascii="Times New Roman" w:cs="Times New Roman" w:eastAsia="Times New Roman" w:hAnsi="Times New Roman"/>
          <w:sz w:val="18"/>
          <w:szCs w:val="18"/>
          <w:color w:val="auto"/>
        </w:rPr>
        <w:t>We cannot provide assurances that our plans will not change or that changed circumstances will not result in the depletion of our capital resources more rapidly than we currently anticipate. If planned operating results are not achieved or we are not successful in raising additional capital, if needed, through equity or debt financing or entering business collaborations, we may be required to reduce expenses through the delay, reduction or curtailment of our projects, or further reduction of costs for facilities and administration, and there could be substantial doubt about our ability to continue as a going concern.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As of December 31, 2014, we did not have any off-balance sheet arrangements.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92" w:lineRule="exact"/>
        <w:rPr>
          <w:sz w:val="20"/>
          <w:szCs w:val="20"/>
          <w:color w:val="auto"/>
        </w:rPr>
      </w:pPr>
    </w:p>
    <w:p>
      <w:pPr>
        <w:ind w:right="100" w:firstLine="228"/>
        <w:spacing w:after="0" w:line="255" w:lineRule="auto"/>
        <w:rPr>
          <w:sz w:val="20"/>
          <w:szCs w:val="20"/>
          <w:color w:val="auto"/>
        </w:rPr>
      </w:pPr>
      <w:r>
        <w:rPr>
          <w:rFonts w:ascii="Times New Roman" w:cs="Times New Roman" w:eastAsia="Times New Roman" w:hAnsi="Times New Roman"/>
          <w:sz w:val="18"/>
          <w:szCs w:val="18"/>
          <w:color w:val="auto"/>
        </w:rPr>
        <w:t>Our contractual obligations represent future cash commitments and liabilities under agreements with third parties, and exclude contingent liabilities for which we cannot reasonably predict future payments. Accordingly, the table below excludes contractual obligations relating to milestone and royalty payments due to third parties, all of which are contingent upon certain future events. The expected timing of payment of the obligations presented (excluding payments in respect of the Milestone Rights) below are estimated based on current information. Future payments relate to operating lease obligations, the 2015 notes, the facility financing obligation, open purchase order and supply commitments, and contractual minimum purchase commitments under the Insulin Supply Agreement with Amphastar, and consisted of the following at December 31, 2014 (in thousands):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48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Payments Due in</w:t>
            </w: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14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Contractual Obligations</w:t>
            </w:r>
          </w:p>
        </w:tc>
        <w:tc>
          <w:tcPr>
            <w:tcW w:w="3080" w:type="dxa"/>
            <w:vAlign w:val="bottom"/>
            <w:vMerge w:val="restart"/>
          </w:tcPr>
          <w:p>
            <w:pPr>
              <w:spacing w:after="0"/>
              <w:rPr>
                <w:sz w:val="10"/>
                <w:szCs w:val="10"/>
                <w:color w:val="auto"/>
              </w:rPr>
            </w:pPr>
          </w:p>
        </w:tc>
        <w:tc>
          <w:tcPr>
            <w:tcW w:w="1680" w:type="dxa"/>
            <w:vAlign w:val="bottom"/>
          </w:tcPr>
          <w:p>
            <w:pPr>
              <w:spacing w:after="0"/>
              <w:rPr>
                <w:sz w:val="10"/>
                <w:szCs w:val="10"/>
                <w:color w:val="auto"/>
              </w:rPr>
            </w:pPr>
          </w:p>
        </w:tc>
        <w:tc>
          <w:tcPr>
            <w:tcW w:w="1100" w:type="dxa"/>
            <w:vAlign w:val="bottom"/>
            <w:gridSpan w:val="3"/>
          </w:tcPr>
          <w:p>
            <w:pPr>
              <w:jc w:val="right"/>
              <w:ind w:right="460"/>
              <w:spacing w:after="0" w:line="125" w:lineRule="exact"/>
              <w:rPr>
                <w:sz w:val="20"/>
                <w:szCs w:val="20"/>
                <w:color w:val="auto"/>
              </w:rPr>
            </w:pPr>
            <w:r>
              <w:rPr>
                <w:rFonts w:ascii="Times New Roman" w:cs="Times New Roman" w:eastAsia="Times New Roman" w:hAnsi="Times New Roman"/>
                <w:sz w:val="14"/>
                <w:szCs w:val="14"/>
                <w:b w:val="1"/>
                <w:bCs w:val="1"/>
                <w:color w:val="auto"/>
              </w:rPr>
              <w:t>Less Than</w:t>
            </w: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gridSpan w:val="3"/>
          </w:tcPr>
          <w:p>
            <w:pPr>
              <w:spacing w:after="0" w:line="125" w:lineRule="exact"/>
              <w:rPr>
                <w:sz w:val="20"/>
                <w:szCs w:val="20"/>
                <w:color w:val="auto"/>
              </w:rPr>
            </w:pPr>
            <w:r>
              <w:rPr>
                <w:rFonts w:ascii="Times New Roman" w:cs="Times New Roman" w:eastAsia="Times New Roman" w:hAnsi="Times New Roman"/>
                <w:sz w:val="14"/>
                <w:szCs w:val="14"/>
                <w:b w:val="1"/>
                <w:bCs w:val="1"/>
                <w:color w:val="auto"/>
              </w:rPr>
              <w:t>More Than</w:t>
            </w: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1480" w:type="dxa"/>
            <w:vAlign w:val="bottom"/>
            <w:tcBorders>
              <w:bottom w:val="single" w:sz="8" w:color="auto"/>
            </w:tcBorders>
            <w:vMerge w:val="continue"/>
          </w:tcPr>
          <w:p>
            <w:pPr>
              <w:spacing w:after="0"/>
              <w:rPr>
                <w:sz w:val="14"/>
                <w:szCs w:val="14"/>
                <w:color w:val="auto"/>
              </w:rPr>
            </w:pPr>
          </w:p>
        </w:tc>
        <w:tc>
          <w:tcPr>
            <w:tcW w:w="3080" w:type="dxa"/>
            <w:vAlign w:val="bottom"/>
            <w:vMerge w:val="continue"/>
          </w:tcPr>
          <w:p>
            <w:pPr>
              <w:spacing w:after="0"/>
              <w:rPr>
                <w:sz w:val="14"/>
                <w:szCs w:val="14"/>
                <w:color w:val="auto"/>
              </w:rPr>
            </w:pPr>
          </w:p>
        </w:tc>
        <w:tc>
          <w:tcPr>
            <w:tcW w:w="1680" w:type="dxa"/>
            <w:vAlign w:val="bottom"/>
          </w:tcPr>
          <w:p>
            <w:pPr>
              <w:spacing w:after="0"/>
              <w:rPr>
                <w:sz w:val="14"/>
                <w:szCs w:val="14"/>
                <w:color w:val="auto"/>
              </w:rPr>
            </w:pPr>
          </w:p>
        </w:tc>
        <w:tc>
          <w:tcPr>
            <w:tcW w:w="1100" w:type="dxa"/>
            <w:vAlign w:val="bottom"/>
            <w:gridSpan w:val="3"/>
          </w:tcPr>
          <w:p>
            <w:pPr>
              <w:jc w:val="right"/>
              <w:ind w:right="480"/>
              <w:spacing w:after="0" w:line="152" w:lineRule="exact"/>
              <w:rPr>
                <w:sz w:val="20"/>
                <w:szCs w:val="20"/>
                <w:color w:val="auto"/>
              </w:rPr>
            </w:pPr>
            <w:r>
              <w:rPr>
                <w:rFonts w:ascii="Times New Roman" w:cs="Times New Roman" w:eastAsia="Times New Roman" w:hAnsi="Times New Roman"/>
                <w:sz w:val="14"/>
                <w:szCs w:val="14"/>
                <w:b w:val="1"/>
                <w:bCs w:val="1"/>
                <w:color w:val="auto"/>
              </w:rPr>
              <w:t>One Year</w:t>
            </w:r>
          </w:p>
        </w:tc>
        <w:tc>
          <w:tcPr>
            <w:tcW w:w="680" w:type="dxa"/>
            <w:vAlign w:val="bottom"/>
            <w:gridSpan w:val="2"/>
          </w:tcPr>
          <w:p>
            <w:pPr>
              <w:jc w:val="right"/>
              <w:spacing w:after="0" w:line="152" w:lineRule="exact"/>
              <w:rPr>
                <w:sz w:val="20"/>
                <w:szCs w:val="20"/>
                <w:color w:val="auto"/>
              </w:rPr>
            </w:pPr>
            <w:r>
              <w:rPr>
                <w:rFonts w:ascii="Times New Roman" w:cs="Times New Roman" w:eastAsia="Times New Roman" w:hAnsi="Times New Roman"/>
                <w:sz w:val="14"/>
                <w:szCs w:val="14"/>
                <w:b w:val="1"/>
                <w:bCs w:val="1"/>
                <w:color w:val="auto"/>
              </w:rPr>
              <w:t>1-3 Years</w:t>
            </w:r>
          </w:p>
        </w:tc>
        <w:tc>
          <w:tcPr>
            <w:tcW w:w="420" w:type="dxa"/>
            <w:vAlign w:val="bottom"/>
          </w:tcPr>
          <w:p>
            <w:pPr>
              <w:spacing w:after="0"/>
              <w:rPr>
                <w:sz w:val="14"/>
                <w:szCs w:val="14"/>
                <w:color w:val="auto"/>
              </w:rPr>
            </w:pPr>
          </w:p>
        </w:tc>
        <w:tc>
          <w:tcPr>
            <w:tcW w:w="980" w:type="dxa"/>
            <w:vAlign w:val="bottom"/>
            <w:gridSpan w:val="3"/>
          </w:tcPr>
          <w:p>
            <w:pPr>
              <w:jc w:val="right"/>
              <w:ind w:right="360"/>
              <w:spacing w:after="0" w:line="152" w:lineRule="exact"/>
              <w:rPr>
                <w:sz w:val="20"/>
                <w:szCs w:val="20"/>
                <w:color w:val="auto"/>
              </w:rPr>
            </w:pPr>
            <w:r>
              <w:rPr>
                <w:rFonts w:ascii="Times New Roman" w:cs="Times New Roman" w:eastAsia="Times New Roman" w:hAnsi="Times New Roman"/>
                <w:sz w:val="14"/>
                <w:szCs w:val="14"/>
                <w:b w:val="1"/>
                <w:bCs w:val="1"/>
                <w:color w:val="auto"/>
              </w:rPr>
              <w:t>3-5 Years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ind w:left="20"/>
              <w:spacing w:after="0" w:line="152" w:lineRule="exact"/>
              <w:rPr>
                <w:sz w:val="20"/>
                <w:szCs w:val="20"/>
                <w:color w:val="auto"/>
              </w:rPr>
            </w:pPr>
            <w:r>
              <w:rPr>
                <w:rFonts w:ascii="Times New Roman" w:cs="Times New Roman" w:eastAsia="Times New Roman" w:hAnsi="Times New Roman"/>
                <w:sz w:val="14"/>
                <w:szCs w:val="14"/>
                <w:b w:val="1"/>
                <w:bCs w:val="1"/>
                <w:color w:val="auto"/>
              </w:rPr>
              <w:t>5 Years</w:t>
            </w:r>
          </w:p>
        </w:tc>
        <w:tc>
          <w:tcPr>
            <w:tcW w:w="80" w:type="dxa"/>
            <w:vAlign w:val="bottom"/>
          </w:tcPr>
          <w:p>
            <w:pPr>
              <w:spacing w:after="0"/>
              <w:rPr>
                <w:sz w:val="14"/>
                <w:szCs w:val="14"/>
                <w:color w:val="auto"/>
              </w:rPr>
            </w:pPr>
          </w:p>
        </w:tc>
        <w:tc>
          <w:tcPr>
            <w:tcW w:w="680" w:type="dxa"/>
            <w:vAlign w:val="bottom"/>
            <w:gridSpan w:val="2"/>
          </w:tcPr>
          <w:p>
            <w:pPr>
              <w:ind w:left="100"/>
              <w:spacing w:after="0" w:line="152"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3"/>
        </w:trPr>
        <w:tc>
          <w:tcPr>
            <w:tcW w:w="45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Open purchase order and supply commitments(1)</w:t>
            </w:r>
          </w:p>
        </w:tc>
        <w:tc>
          <w:tcPr>
            <w:tcW w:w="16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39,135</w:t>
            </w:r>
          </w:p>
        </w:tc>
        <w:tc>
          <w:tcPr>
            <w:tcW w:w="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325</w:t>
            </w:r>
          </w:p>
        </w:tc>
        <w:tc>
          <w:tcPr>
            <w:tcW w:w="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650</w:t>
            </w:r>
          </w:p>
        </w:tc>
        <w:tc>
          <w:tcPr>
            <w:tcW w:w="3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250</w:t>
            </w:r>
          </w:p>
        </w:tc>
        <w:tc>
          <w:tcPr>
            <w:tcW w:w="4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40,360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2015 notes(2)</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w w:val="95"/>
              </w:rPr>
              <w:t>103,610</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103,610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 payable to principal stockholder(3)</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64,243</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Facility financing obligation(4)</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7,600</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62,753</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37,338</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107,691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Insulin supply agreement (5)</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28,166</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84,782</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28,260</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141,208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 obligations</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348</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48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contractual obligations</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10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w w:val="95"/>
              </w:rPr>
              <w:t>178,859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147,885</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130,491</w:t>
            </w:r>
          </w:p>
        </w:tc>
        <w:tc>
          <w:tcPr>
            <w:tcW w:w="3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250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457,485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680" w:type="dxa"/>
            <w:vAlign w:val="bottom"/>
            <w:vMerge w:val="restart"/>
          </w:tcPr>
          <w:p>
            <w:pPr>
              <w:jc w:val="right"/>
              <w:ind w:right="352"/>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148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6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53" w:name="page54"/>
    <w:bookmarkEnd w:id="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7289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both"/>
        <w:ind w:left="460" w:right="120" w:hanging="452"/>
        <w:spacing w:after="0" w:line="305" w:lineRule="auto"/>
        <w:tabs>
          <w:tab w:leader="none" w:pos="46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included in open purchase order and supply commitments are subject to performance under the purchase order or contract by the supplier of the goods or services and do not become our obligation until such performance is rendered. The amount shown is principally for the purchase of materials for our clinical trials, the acquisition of manufacturing equipment, and commitments related to the expansion of our manufacturing plant.</w:t>
      </w:r>
    </w:p>
    <w:p>
      <w:pPr>
        <w:ind w:left="460" w:hanging="452"/>
        <w:spacing w:after="0"/>
        <w:tabs>
          <w:tab w:leader="none" w:pos="4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include future interest payments at fixed rates of 5.75% and payment of the 2015 notes in full upon maturity in 2015.</w:t>
      </w:r>
    </w:p>
    <w:p>
      <w:pPr>
        <w:spacing w:after="0" w:line="63" w:lineRule="exact"/>
        <w:rPr>
          <w:rFonts w:ascii="Times New Roman" w:cs="Times New Roman" w:eastAsia="Times New Roman" w:hAnsi="Times New Roman"/>
          <w:sz w:val="18"/>
          <w:szCs w:val="18"/>
          <w:color w:val="auto"/>
        </w:rPr>
      </w:pPr>
    </w:p>
    <w:p>
      <w:pPr>
        <w:ind w:left="460" w:hanging="452"/>
        <w:spacing w:after="0" w:line="262" w:lineRule="auto"/>
        <w:tabs>
          <w:tab w:leader="none" w:pos="4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 for the note payable to the principal stockholder includes future principal and interest payments related to the $49.5 million of borrowings as of December 31, 2014. Interest is accrued based on a fixed rate of 5.84% and the outstanding principal amount and all accrued interest thereon will be due on January 5, 2020.</w:t>
      </w:r>
    </w:p>
    <w:p>
      <w:pPr>
        <w:spacing w:after="0" w:line="24" w:lineRule="exact"/>
        <w:rPr>
          <w:rFonts w:ascii="Times New Roman" w:cs="Times New Roman" w:eastAsia="Times New Roman" w:hAnsi="Times New Roman"/>
          <w:sz w:val="18"/>
          <w:szCs w:val="18"/>
          <w:color w:val="auto"/>
        </w:rPr>
      </w:pPr>
    </w:p>
    <w:p>
      <w:pPr>
        <w:ind w:left="460" w:hanging="452"/>
        <w:spacing w:after="0" w:line="258" w:lineRule="auto"/>
        <w:tabs>
          <w:tab w:leader="none" w:pos="4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facility financing obligation includes future principal and interest payments on $60.0 million aggregate principal amount of 2019 notes issued in the first and fourth tranches under the Facility Agreement, and on $20.0 million aggregate principal amount of Tranche B notes, payable in accordance with the provisions of the Facility Agreement, as amended. Interest accrues on the 2019 notes at a fixed rate of 9.75% per annum and on the Tranche B notes at a fixed rate of 8.75% per annum.</w:t>
      </w:r>
    </w:p>
    <w:p>
      <w:pPr>
        <w:spacing w:after="0" w:line="28" w:lineRule="exact"/>
        <w:rPr>
          <w:rFonts w:ascii="Times New Roman" w:cs="Times New Roman" w:eastAsia="Times New Roman" w:hAnsi="Times New Roman"/>
          <w:sz w:val="18"/>
          <w:szCs w:val="18"/>
          <w:color w:val="auto"/>
        </w:rPr>
      </w:pPr>
    </w:p>
    <w:p>
      <w:pPr>
        <w:ind w:left="460" w:hanging="452"/>
        <w:spacing w:after="0" w:line="262" w:lineRule="auto"/>
        <w:tabs>
          <w:tab w:leader="none" w:pos="4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July 31, 2014, we entered into the Insulin Supply Agreement, pursuant to which we agreed to purchase certain annual minimum quantities of insulin for an aggregate total purchase price of approximately €120.1 million for calendar years 2015 through 2019. Future payments due were converted to U.S. dollars using the December 31, 2014 euro-to-dollar exchange.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Transactions</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For a description of our related party transactions see Note 7 — Related-Party Arrangements in the notes to our financial statements.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92" w:lineRule="exact"/>
        <w:rPr>
          <w:sz w:val="20"/>
          <w:szCs w:val="20"/>
          <w:color w:val="auto"/>
        </w:rPr>
      </w:pPr>
    </w:p>
    <w:p>
      <w:pPr>
        <w:ind w:right="20" w:firstLine="228"/>
        <w:spacing w:after="0" w:line="254" w:lineRule="auto"/>
        <w:rPr>
          <w:sz w:val="20"/>
          <w:szCs w:val="20"/>
          <w:color w:val="auto"/>
        </w:rPr>
      </w:pPr>
      <w:r>
        <w:rPr>
          <w:rFonts w:ascii="Times New Roman" w:cs="Times New Roman" w:eastAsia="Times New Roman" w:hAnsi="Times New Roman"/>
          <w:sz w:val="18"/>
          <w:szCs w:val="18"/>
          <w:color w:val="auto"/>
        </w:rPr>
        <w:t>In May 2014, a new standard was issued related to revenue recognition, which requires an entity to recognize the amount of revenue to which it expects to be entitled for the transfer of promised goods or services to customers. The new standard will replace most of the existing revenue recognition standards in U.S. GAAP when it becomes effective on January 1, 2017. Early adoption is not permitted. The new standard allows for either “full retrospective” adoption, whereby the new standard is applied to each prior reporting period presented or “modified retrospective” adoption, whereby the new standard is only applied to the most current period presented with the cumulative effect of the change recognized at the date of the initial application. We are assessing the potential impact of the new standard on its consolidated statements of financial position and results of operations and comprehensive income (loss) and has not yet selected a transition method.</w:t>
      </w:r>
    </w:p>
    <w:p>
      <w:pPr>
        <w:spacing w:after="0" w:line="60" w:lineRule="exact"/>
        <w:rPr>
          <w:sz w:val="20"/>
          <w:szCs w:val="20"/>
          <w:color w:val="auto"/>
        </w:rPr>
      </w:pPr>
    </w:p>
    <w:p>
      <w:pPr>
        <w:ind w:firstLine="228"/>
        <w:spacing w:after="0" w:line="253" w:lineRule="auto"/>
        <w:rPr>
          <w:sz w:val="20"/>
          <w:szCs w:val="20"/>
          <w:color w:val="auto"/>
        </w:rPr>
      </w:pPr>
      <w:r>
        <w:rPr>
          <w:rFonts w:ascii="Times New Roman" w:cs="Times New Roman" w:eastAsia="Times New Roman" w:hAnsi="Times New Roman"/>
          <w:sz w:val="18"/>
          <w:szCs w:val="18"/>
          <w:color w:val="auto"/>
        </w:rPr>
        <w:t>In June 2014, the FASB issued ASU No. 2014-10, Development Stage Entities (Topic 915): Elimination of Certain Financial Reporting Requirements, Including an Amendment to Variable Interest Entities Guidance in Topic 810, Consolidation. The amendments in this ASU remove all incremental financial reporting requirements from GAAP for development stage entities, including the removal of Topic 915, Development Stage Entities, from the FASB Accounting Standards Codification. In addition, the ASU: (a) adds an example disclosure in Topic 275, Risks and Uncertainties, to illustrate one way that an entity that has not begun planned principal operations could provide information about the risks and uncertainties related to the company’s current activities; and (b) removes an exception provided to development stage entities in Topic 810, Consolidation, for determining whether an entity is a variable interest entity. The presentation and disclosure requirements in Topic 915 will no longer be required for the first annual period beginning after December 15, 2014. The revised consolidation standards are effective one year later, in annual periods beginning after December 15, 2015. Early adoption is permitted. We early adopted ASU 2014-10 resulting in the elimination of certain presentation and disclosure requirements previously required by topic 915.</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400"/>
          </w:cols>
          <w:pgMar w:left="240" w:top="455" w:right="259" w:bottom="1440" w:gutter="0" w:footer="0" w:header="0"/>
        </w:sectPr>
      </w:pPr>
    </w:p>
    <w:bookmarkStart w:id="54" w:name="page55"/>
    <w:bookmarkEnd w:id="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firstLine="228"/>
        <w:spacing w:after="0" w:line="255" w:lineRule="auto"/>
        <w:rPr>
          <w:sz w:val="20"/>
          <w:szCs w:val="20"/>
          <w:color w:val="auto"/>
        </w:rPr>
      </w:pPr>
      <w:r>
        <w:rPr>
          <w:rFonts w:ascii="Times New Roman" w:cs="Times New Roman" w:eastAsia="Times New Roman" w:hAnsi="Times New Roman"/>
          <w:sz w:val="18"/>
          <w:szCs w:val="18"/>
          <w:color w:val="auto"/>
        </w:rPr>
        <w:t>On August 27, 2014, the FASB issued ASU 2014-15, which provides guidance on determining when and how reporting entities must disclose going-concern uncertainties in their financial statements. The new standard requires management to perform interim and annual assessments of an entity’s ability to continue as a going concern within one year of the date of issuance of the entity’s financial statements (or within one year after the date on which the financial statements are available to be issued, when applicable). Further, an entity must provide certain disclosures if there is “substantial doubt about the entity’s ability to continue as a going concern.” The ASU is effective for annual periods ending after December 15, 2016, and interim periods thereafter; early adoption is permitted. We are evaluating the impact the adoption of ASU 2014-15 will have on our consolidated financial statements.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7A. </w:t>
      </w: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94" w:lineRule="exact"/>
        <w:rPr>
          <w:sz w:val="20"/>
          <w:szCs w:val="20"/>
          <w:color w:val="auto"/>
        </w:rPr>
      </w:pPr>
    </w:p>
    <w:p>
      <w:pPr>
        <w:ind w:right="200" w:firstLine="228"/>
        <w:spacing w:after="0" w:line="339" w:lineRule="auto"/>
        <w:rPr>
          <w:sz w:val="20"/>
          <w:szCs w:val="20"/>
          <w:color w:val="auto"/>
        </w:rPr>
      </w:pPr>
      <w:r>
        <w:rPr>
          <w:rFonts w:ascii="Times New Roman" w:cs="Times New Roman" w:eastAsia="Times New Roman" w:hAnsi="Times New Roman"/>
          <w:sz w:val="16"/>
          <w:szCs w:val="16"/>
          <w:color w:val="auto"/>
        </w:rPr>
        <w:t>We are exposed to market risk related to changes in interest rates impacting our short-term investment portfolio as well as the interest rate on the promissory note underlying our Loan Arrangement with The Mann Group, Senior Convertible Notes due 2015, Tranche 1 and Tranche 4 notes, and Tranche B notes.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92" w:lineRule="exact"/>
        <w:rPr>
          <w:sz w:val="20"/>
          <w:szCs w:val="20"/>
          <w:color w:val="auto"/>
        </w:rPr>
      </w:pPr>
    </w:p>
    <w:p>
      <w:pPr>
        <w:ind w:right="20" w:firstLine="228"/>
        <w:spacing w:after="0" w:line="256" w:lineRule="auto"/>
        <w:rPr>
          <w:sz w:val="20"/>
          <w:szCs w:val="20"/>
          <w:color w:val="auto"/>
        </w:rPr>
      </w:pPr>
      <w:r>
        <w:rPr>
          <w:rFonts w:ascii="Times New Roman" w:cs="Times New Roman" w:eastAsia="Times New Roman" w:hAnsi="Times New Roman"/>
          <w:sz w:val="18"/>
          <w:szCs w:val="18"/>
          <w:color w:val="auto"/>
        </w:rPr>
        <w:t>Due to the fixed interest rates of our debt, we currently do not have an exposure to changes in our interest expense as a result of changes in interest rates. The interest rate on amounts borrowed under our Loan Arrangement with The Mann Group for the year ended December 31, 2014 was a fixed rate equal to 5.84%. As of December 31, 2014, the total principal amount outstanding under the Loan Arrangement was $49.5 million. We also have debt related to our Senior Convertible Notes due 2015 at a fixed interest rate of 5.75%, debt related to the Tranche 1 and Tranche 4 notes at a fixed interest rate of 9.75%, and debt related to the Tranche B notes at a fixed interest rate of 8.75%.</w:t>
      </w:r>
    </w:p>
    <w:p>
      <w:pPr>
        <w:spacing w:after="0" w:line="58" w:lineRule="exact"/>
        <w:rPr>
          <w:sz w:val="20"/>
          <w:szCs w:val="20"/>
          <w:color w:val="auto"/>
        </w:rPr>
      </w:pPr>
    </w:p>
    <w:p>
      <w:pPr>
        <w:jc w:val="both"/>
        <w:ind w:right="40" w:firstLine="228"/>
        <w:spacing w:after="0" w:line="262" w:lineRule="auto"/>
        <w:rPr>
          <w:sz w:val="20"/>
          <w:szCs w:val="20"/>
          <w:color w:val="auto"/>
        </w:rPr>
      </w:pPr>
      <w:r>
        <w:rPr>
          <w:rFonts w:ascii="Times New Roman" w:cs="Times New Roman" w:eastAsia="Times New Roman" w:hAnsi="Times New Roman"/>
          <w:sz w:val="18"/>
          <w:szCs w:val="18"/>
          <w:color w:val="auto"/>
        </w:rPr>
        <w:t>Our current policy requires us to maintain a highly liquid short-term investment portfolio consisting mainly of U.S. money market funds and investment-grade corporate, government and municipal debt. None of these investments are entered into for trading purposes. Our cash is deposited in and invested through highly rated financial institutions in North America.</w:t>
      </w:r>
    </w:p>
    <w:p>
      <w:pPr>
        <w:spacing w:after="0" w:line="51" w:lineRule="exact"/>
        <w:rPr>
          <w:sz w:val="20"/>
          <w:szCs w:val="20"/>
          <w:color w:val="auto"/>
        </w:rPr>
      </w:pPr>
    </w:p>
    <w:p>
      <w:pPr>
        <w:ind w:right="200" w:firstLine="228"/>
        <w:spacing w:after="0" w:line="275" w:lineRule="auto"/>
        <w:rPr>
          <w:sz w:val="20"/>
          <w:szCs w:val="20"/>
          <w:color w:val="auto"/>
        </w:rPr>
      </w:pPr>
      <w:r>
        <w:rPr>
          <w:rFonts w:ascii="Times New Roman" w:cs="Times New Roman" w:eastAsia="Times New Roman" w:hAnsi="Times New Roman"/>
          <w:sz w:val="18"/>
          <w:szCs w:val="18"/>
          <w:color w:val="auto"/>
        </w:rPr>
        <w:t>If a change in interest rates equal to 10% of the interest rates on December 31, 2014 were to have occurred, this change would not have had a material effect on the value of our short-term investment portfolio or on our interest expense obligations with respect to outstanding borrowed amounts.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Exchange Risk</w:t>
      </w:r>
    </w:p>
    <w:p>
      <w:pPr>
        <w:spacing w:after="0" w:line="92" w:lineRule="exact"/>
        <w:rPr>
          <w:sz w:val="20"/>
          <w:szCs w:val="20"/>
          <w:color w:val="auto"/>
        </w:rPr>
      </w:pPr>
    </w:p>
    <w:p>
      <w:pPr>
        <w:ind w:right="80" w:firstLine="228"/>
        <w:spacing w:after="0" w:line="254" w:lineRule="auto"/>
        <w:rPr>
          <w:sz w:val="20"/>
          <w:szCs w:val="20"/>
          <w:color w:val="auto"/>
        </w:rPr>
      </w:pPr>
      <w:r>
        <w:rPr>
          <w:rFonts w:ascii="Times New Roman" w:cs="Times New Roman" w:eastAsia="Times New Roman" w:hAnsi="Times New Roman"/>
          <w:sz w:val="18"/>
          <w:szCs w:val="18"/>
          <w:color w:val="auto"/>
        </w:rPr>
        <w:t>We will incur significant expenditures for insulin supply obligation under our supply agreement with Amphastar. Such obligations are denominated in the euros. At the end of each reporting period, these liabilities are converted to U.S. dollars at the then-applicable foreign exchange rate. As a result, our business is affected by fluctuations in exchange rates between the U.S. dollar and foreign currencies. We have not entered into foreign currency hedging transactions to mitigate our exposure to foreign currency exchange risks, but may enter into foreign currency hedging transactions in the future. Exchange rate fluctuations may adversely affect our expenses, results of operations, financial position and cash flows. If in 2014 we had been required to purchase the minimum quarterly supply purchases of insulin contemplated under our supply agreement with Amphastar, and. if a change in the U.S. dollar to euro exchange rate equal to 10% of the U.S. dollar to euro exchange rate on December 31, 2014 were to have occurred on December 31, 2014, this change would not have had a material effect on our results of operations or financial condition.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8. </w:t>
      </w:r>
      <w:r>
        <w:rPr>
          <w:rFonts w:ascii="Times New Roman" w:cs="Times New Roman" w:eastAsia="Times New Roman" w:hAnsi="Times New Roman"/>
          <w:sz w:val="18"/>
          <w:szCs w:val="18"/>
          <w:b w:val="1"/>
          <w:bCs w:val="1"/>
          <w:i w:val="1"/>
          <w:iCs w:val="1"/>
          <w:color w:val="auto"/>
        </w:rPr>
        <w:t>Financial Statements and Supplementary Data</w:t>
      </w:r>
    </w:p>
    <w:p>
      <w:pPr>
        <w:spacing w:after="0" w:line="9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information required by this Item is included in Items 15(a)(1) and (2) of Part IV of this Annual Report on Form 10-K.</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420"/>
          </w:cols>
          <w:pgMar w:left="240" w:top="455" w:right="239" w:bottom="1440" w:gutter="0" w:footer="0" w:header="0"/>
        </w:sectPr>
      </w:pPr>
    </w:p>
    <w:bookmarkStart w:id="55" w:name="page56"/>
    <w:bookmarkEnd w:id="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 </w:t>
      </w:r>
      <w:r>
        <w:rPr>
          <w:rFonts w:ascii="Times New Roman" w:cs="Times New Roman" w:eastAsia="Times New Roman" w:hAnsi="Times New Roman"/>
          <w:sz w:val="18"/>
          <w:szCs w:val="18"/>
          <w:b w:val="1"/>
          <w:bCs w:val="1"/>
          <w:i w:val="1"/>
          <w:iCs w:val="1"/>
          <w:color w:val="auto"/>
        </w:rPr>
        <w:t>Changes in and Disagreements With Accountants on Accounting and Financial Disclosure</w:t>
      </w:r>
    </w:p>
    <w:p>
      <w:pPr>
        <w:spacing w:after="0" w:line="9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9A. </w:t>
      </w:r>
      <w:r>
        <w:rPr>
          <w:rFonts w:ascii="Times New Roman" w:cs="Times New Roman" w:eastAsia="Times New Roman" w:hAnsi="Times New Roman"/>
          <w:sz w:val="18"/>
          <w:szCs w:val="18"/>
          <w:b w:val="1"/>
          <w:bCs w:val="1"/>
          <w:i w:val="1"/>
          <w:iCs w:val="1"/>
          <w:color w:val="auto"/>
        </w:rPr>
        <w:t>Controls and Procedures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92" w:lineRule="exact"/>
        <w:rPr>
          <w:sz w:val="20"/>
          <w:szCs w:val="20"/>
          <w:color w:val="auto"/>
        </w:rPr>
      </w:pPr>
    </w:p>
    <w:p>
      <w:pPr>
        <w:ind w:firstLine="228"/>
        <w:spacing w:after="0" w:line="252"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evaluated the effectiveness of our disclosure controls and procedures, as defined in Rules 13a-15(e) and 15d-15(e) under the Securities Exchange Act of 1934, as amended, or the Exchange Act, as of December 31, 2014.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December 31, 2014, our Chief Executive Officer and Chief Financial Officer concluded that, as of such date, our disclosure controls and procedures were effective at a reasonable assurance level.</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92" w:lineRule="exact"/>
        <w:rPr>
          <w:sz w:val="20"/>
          <w:szCs w:val="20"/>
          <w:color w:val="auto"/>
        </w:rPr>
      </w:pPr>
    </w:p>
    <w:p>
      <w:pPr>
        <w:ind w:right="80" w:firstLine="228"/>
        <w:spacing w:after="0" w:line="253" w:lineRule="auto"/>
        <w:rPr>
          <w:sz w:val="20"/>
          <w:szCs w:val="20"/>
          <w:color w:val="auto"/>
        </w:rPr>
      </w:pPr>
      <w:r>
        <w:rPr>
          <w:rFonts w:ascii="Times New Roman" w:cs="Times New Roman" w:eastAsia="Times New Roman" w:hAnsi="Times New Roman"/>
          <w:sz w:val="18"/>
          <w:szCs w:val="18"/>
          <w:color w:val="auto"/>
        </w:rPr>
        <w:t xml:space="preserve">Our management is responsible for establishing and maintaining adequate internal control over financial reporting. Internal control over financial reporting is defined in Rules 13a-15(f) and 15d-15(f) under the Securities Exchange Act as a process designed by, or under the supervision of, a company’s principal executive and principal financial officers and effected by a company’s board of directors, management and other personnel to provide reasonable assurance regarding the reliability of financial reporting and the preparation of financial statements for external purposes in accordance with U.S. GAAP. Under the supervision and with the participation of our management, including our Chief Executive Officer and Chief Financial Officer, we conducted an evaluation of the effectiveness of our internal control over financial reporting based on the framework set forth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Based on our evaluation under the framework set forth in </w:t>
      </w:r>
      <w:r>
        <w:rPr>
          <w:rFonts w:ascii="Times New Roman" w:cs="Times New Roman" w:eastAsia="Times New Roman" w:hAnsi="Times New Roman"/>
          <w:sz w:val="18"/>
          <w:szCs w:val="18"/>
          <w:i w:val="1"/>
          <w:iCs w:val="1"/>
          <w:color w:val="auto"/>
        </w:rPr>
        <w:t>Internal Control — Integrated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Framework (2013)</w:t>
      </w:r>
      <w:r>
        <w:rPr>
          <w:rFonts w:ascii="Times New Roman" w:cs="Times New Roman" w:eastAsia="Times New Roman" w:hAnsi="Times New Roman"/>
          <w:sz w:val="18"/>
          <w:szCs w:val="18"/>
          <w:color w:val="auto"/>
        </w:rPr>
        <w:t>, our management concluded that our internal control over financial reporting was effective as of December 31, 2014. Deloitte &amp; Touche LLP,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independent registered public accounting firm that audited the financial statements included in this 2014 Form 10-K, has issued an attestation report on our internal control over financial reporting as of December 31, 2014, which is included herein.</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92" w:lineRule="exact"/>
        <w:rPr>
          <w:sz w:val="20"/>
          <w:szCs w:val="20"/>
          <w:color w:val="auto"/>
        </w:rPr>
      </w:pPr>
    </w:p>
    <w:p>
      <w:pPr>
        <w:ind w:right="60" w:firstLine="228"/>
        <w:spacing w:after="0" w:line="256" w:lineRule="auto"/>
        <w:rPr>
          <w:sz w:val="20"/>
          <w:szCs w:val="20"/>
          <w:color w:val="auto"/>
        </w:rPr>
      </w:pPr>
      <w:r>
        <w:rPr>
          <w:rFonts w:ascii="Times New Roman" w:cs="Times New Roman" w:eastAsia="Times New Roman" w:hAnsi="Times New Roman"/>
          <w:sz w:val="18"/>
          <w:szCs w:val="18"/>
          <w:color w:val="auto"/>
        </w:rPr>
        <w:t>In June 2014, we obtained approval from the U.S. Food and Drug Administration to sell our first product, AFREZZA. Effective September 23, 2014 we also entered in to the Sanofi License Agreement, Sanofi Supply Agreement, Sanofi Loan Facility and we commenced commercial manufacturing in the fourth quarter of 2014. We have designed and implemented new processes and internal controls to address collaboration arrangements and inventory to ensure that information required to be disclosed by us is recorded, processed, summarized and reported. The addition of these new control processes is considered a material change in our system of internal controls over financial reporting.</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400"/>
          </w:cols>
          <w:pgMar w:left="240" w:top="455" w:right="259" w:bottom="1440" w:gutter="0" w:footer="0" w:header="0"/>
        </w:sectPr>
      </w:pPr>
    </w:p>
    <w:bookmarkStart w:id="56" w:name="page57"/>
    <w:bookmarkEnd w:id="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 of MannKind Corporation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Valencia, California</w:t>
      </w:r>
    </w:p>
    <w:p>
      <w:pPr>
        <w:spacing w:after="0" w:line="78" w:lineRule="exact"/>
        <w:rPr>
          <w:sz w:val="20"/>
          <w:szCs w:val="20"/>
          <w:color w:val="auto"/>
        </w:rPr>
      </w:pPr>
    </w:p>
    <w:p>
      <w:pPr>
        <w:ind w:right="40" w:firstLine="228"/>
        <w:spacing w:after="0" w:line="256" w:lineRule="auto"/>
        <w:rPr>
          <w:sz w:val="20"/>
          <w:szCs w:val="20"/>
          <w:color w:val="auto"/>
        </w:rPr>
      </w:pPr>
      <w:r>
        <w:rPr>
          <w:rFonts w:ascii="Times New Roman" w:cs="Times New Roman" w:eastAsia="Times New Roman" w:hAnsi="Times New Roman"/>
          <w:sz w:val="18"/>
          <w:szCs w:val="18"/>
          <w:color w:val="auto"/>
        </w:rPr>
        <w:t xml:space="preserve">We have audited the internal control over financial reporting of MannKind Corporation and subsidiaries (the “Company”) as of December 31, 2014,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58" w:lineRule="exact"/>
        <w:rPr>
          <w:sz w:val="20"/>
          <w:szCs w:val="20"/>
          <w:color w:val="auto"/>
        </w:rPr>
      </w:pPr>
    </w:p>
    <w:p>
      <w:pPr>
        <w:ind w:right="20" w:firstLine="228"/>
        <w:spacing w:after="0" w:line="256"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58" w:lineRule="exact"/>
        <w:rPr>
          <w:sz w:val="20"/>
          <w:szCs w:val="20"/>
          <w:color w:val="auto"/>
        </w:rPr>
      </w:pPr>
    </w:p>
    <w:p>
      <w:pPr>
        <w:ind w:firstLine="228"/>
        <w:spacing w:after="0" w:line="253"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62" w:lineRule="exact"/>
        <w:rPr>
          <w:sz w:val="20"/>
          <w:szCs w:val="20"/>
          <w:color w:val="auto"/>
        </w:rPr>
      </w:pPr>
    </w:p>
    <w:p>
      <w:pPr>
        <w:ind w:right="120" w:firstLine="228"/>
        <w:spacing w:after="0" w:line="258" w:lineRule="auto"/>
        <w:rPr>
          <w:sz w:val="20"/>
          <w:szCs w:val="20"/>
          <w:color w:val="auto"/>
        </w:rPr>
      </w:pPr>
      <w:r>
        <w:rPr>
          <w:rFonts w:ascii="Times New Roman" w:cs="Times New Roman" w:eastAsia="Times New Roman" w:hAnsi="Times New Roman"/>
          <w:sz w:val="18"/>
          <w:szCs w:val="18"/>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55" w:lineRule="exact"/>
        <w:rPr>
          <w:sz w:val="20"/>
          <w:szCs w:val="20"/>
          <w:color w:val="auto"/>
        </w:rPr>
      </w:pPr>
    </w:p>
    <w:p>
      <w:pPr>
        <w:jc w:val="both"/>
        <w:ind w:right="360" w:firstLine="228"/>
        <w:spacing w:after="0" w:line="334" w:lineRule="auto"/>
        <w:rPr>
          <w:sz w:val="20"/>
          <w:szCs w:val="20"/>
          <w:color w:val="auto"/>
        </w:rPr>
      </w:pPr>
      <w:r>
        <w:rPr>
          <w:rFonts w:ascii="Times New Roman" w:cs="Times New Roman" w:eastAsia="Times New Roman" w:hAnsi="Times New Roman"/>
          <w:sz w:val="16"/>
          <w:szCs w:val="16"/>
          <w:color w:val="auto"/>
        </w:rPr>
        <w:t xml:space="preserve">In our opinion, the Company maintained, in all material respects, effective internal control over financial reporting as of December 31, 2014, based on the criteria established in </w:t>
      </w:r>
      <w:r>
        <w:rPr>
          <w:rFonts w:ascii="Times New Roman" w:cs="Times New Roman" w:eastAsia="Times New Roman" w:hAnsi="Times New Roman"/>
          <w:sz w:val="16"/>
          <w:szCs w:val="16"/>
          <w:i w:val="1"/>
          <w:iCs w:val="1"/>
          <w:color w:val="auto"/>
        </w:rPr>
        <w:t>Internal Control — Integrated Framework (2013)</w:t>
      </w:r>
      <w:r>
        <w:rPr>
          <w:rFonts w:ascii="Times New Roman" w:cs="Times New Roman" w:eastAsia="Times New Roman" w:hAnsi="Times New Roman"/>
          <w:sz w:val="16"/>
          <w:szCs w:val="16"/>
          <w:color w:val="auto"/>
        </w:rPr>
        <w:t xml:space="preserve"> issued by the Committee of Sponsoring Organizations of the Treadway Commission.</w:t>
      </w:r>
    </w:p>
    <w:p>
      <w:pPr>
        <w:spacing w:after="0" w:line="1" w:lineRule="exact"/>
        <w:rPr>
          <w:sz w:val="20"/>
          <w:szCs w:val="20"/>
          <w:color w:val="auto"/>
        </w:rPr>
      </w:pPr>
    </w:p>
    <w:p>
      <w:pPr>
        <w:jc w:val="both"/>
        <w:ind w:right="540" w:firstLine="228"/>
        <w:spacing w:after="0" w:line="262"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the consolidated financial statements as of and for the year ended December 31, 2014 of the Company and our report dated March 2, 2015 expressed an unqualified opinion on those financial statements and includes an explanatory paragraph relating to the Company’s ability to continue as a going concern.</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 Angeles, California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 2015</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420"/>
          </w:cols>
          <w:pgMar w:left="240" w:top="455" w:right="239" w:bottom="1440" w:gutter="0" w:footer="0" w:header="0"/>
        </w:sectPr>
      </w:pPr>
    </w:p>
    <w:bookmarkStart w:id="57" w:name="page58"/>
    <w:bookmarkEnd w:id="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9B. </w:t>
      </w:r>
      <w:r>
        <w:rPr>
          <w:rFonts w:ascii="Times New Roman" w:cs="Times New Roman" w:eastAsia="Times New Roman" w:hAnsi="Times New Roman"/>
          <w:sz w:val="18"/>
          <w:szCs w:val="18"/>
          <w:b w:val="1"/>
          <w:bCs w:val="1"/>
          <w:i w:val="1"/>
          <w:iCs w:val="1"/>
          <w:color w:val="auto"/>
        </w:rPr>
        <w:t>Other Information.</w:t>
      </w:r>
    </w:p>
    <w:p>
      <w:pPr>
        <w:spacing w:after="0" w:line="9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None</w:t>
      </w: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73" w:lineRule="exact"/>
        <w:rPr>
          <w:sz w:val="20"/>
          <w:szCs w:val="20"/>
          <w:color w:val="auto"/>
        </w:rPr>
      </w:pPr>
    </w:p>
    <w:p>
      <w:pPr>
        <w:jc w:val="both"/>
        <w:ind w:right="80" w:firstLine="228"/>
        <w:spacing w:after="0" w:line="262" w:lineRule="auto"/>
        <w:rPr>
          <w:sz w:val="20"/>
          <w:szCs w:val="20"/>
          <w:color w:val="auto"/>
        </w:rPr>
      </w:pPr>
      <w:r>
        <w:rPr>
          <w:rFonts w:ascii="Times New Roman" w:cs="Times New Roman" w:eastAsia="Times New Roman" w:hAnsi="Times New Roman"/>
          <w:sz w:val="18"/>
          <w:szCs w:val="18"/>
          <w:color w:val="auto"/>
        </w:rPr>
        <w:t>Certain information required by Part III is omitted from this Annual Report on Form 10-K, because we will file our Proxy Statement within 120 days after the end of our fiscal year ended December 31, 2014 pursuant to Regulations 14A for our 2015 Annual Meeting of Stockholders, and the information included in the Proxy Statement is incorporated herein by reference.</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10. </w:t>
      </w:r>
      <w:r>
        <w:rPr>
          <w:rFonts w:ascii="Times New Roman" w:cs="Times New Roman" w:eastAsia="Times New Roman" w:hAnsi="Times New Roman"/>
          <w:sz w:val="18"/>
          <w:szCs w:val="18"/>
          <w:b w:val="1"/>
          <w:bCs w:val="1"/>
          <w:i w:val="1"/>
          <w:iCs w:val="1"/>
          <w:color w:val="auto"/>
        </w:rPr>
        <w:t>Directors, Executive Officers and Corporate Governance.</w:t>
      </w:r>
    </w:p>
    <w:p>
      <w:pPr>
        <w:spacing w:after="0" w:line="92" w:lineRule="exact"/>
        <w:rPr>
          <w:sz w:val="20"/>
          <w:szCs w:val="20"/>
          <w:color w:val="auto"/>
        </w:rPr>
      </w:pPr>
    </w:p>
    <w:p>
      <w:pPr>
        <w:ind w:right="640" w:firstLine="236"/>
        <w:spacing w:after="0" w:line="277" w:lineRule="auto"/>
        <w:tabs>
          <w:tab w:leader="none" w:pos="467"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Executive Officers — </w:t>
      </w:r>
      <w:r>
        <w:rPr>
          <w:rFonts w:ascii="Times New Roman" w:cs="Times New Roman" w:eastAsia="Times New Roman" w:hAnsi="Times New Roman"/>
          <w:sz w:val="18"/>
          <w:szCs w:val="18"/>
          <w:color w:val="auto"/>
        </w:rPr>
        <w:t>For information regarding the identification and business experience of our executive officers, see “Executive Officers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Registrant” in Part I, Item 1 of this Annual Report on Form 10-K.</w:t>
      </w:r>
    </w:p>
    <w:p>
      <w:pPr>
        <w:spacing w:after="0" w:line="35" w:lineRule="exact"/>
        <w:rPr>
          <w:rFonts w:ascii="Times New Roman" w:cs="Times New Roman" w:eastAsia="Times New Roman" w:hAnsi="Times New Roman"/>
          <w:sz w:val="18"/>
          <w:szCs w:val="18"/>
          <w:color w:val="auto"/>
        </w:rPr>
      </w:pPr>
    </w:p>
    <w:p>
      <w:pPr>
        <w:jc w:val="both"/>
        <w:ind w:right="120" w:firstLine="236"/>
        <w:spacing w:after="0" w:line="264" w:lineRule="auto"/>
        <w:tabs>
          <w:tab w:leader="none" w:pos="477"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Directors — </w:t>
      </w:r>
      <w:r>
        <w:rPr>
          <w:rFonts w:ascii="Times New Roman" w:cs="Times New Roman" w:eastAsia="Times New Roman" w:hAnsi="Times New Roman"/>
          <w:sz w:val="18"/>
          <w:szCs w:val="18"/>
          <w:color w:val="auto"/>
        </w:rPr>
        <w:t>The information required by this Item regarding the identification and business experience of our directors and corporate governance matters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contained in the section entitled “Proposal 1 — Election of Directors” and “Corporate Governance Principles and Board and Committee Matters” in the Proxy Statement, and is incorporated herein by reference.</w:t>
      </w:r>
    </w:p>
    <w:p>
      <w:pPr>
        <w:spacing w:after="0" w:line="48" w:lineRule="exact"/>
        <w:rPr>
          <w:sz w:val="20"/>
          <w:szCs w:val="20"/>
          <w:color w:val="auto"/>
        </w:rPr>
      </w:pPr>
    </w:p>
    <w:p>
      <w:pPr>
        <w:ind w:right="620" w:firstLine="228"/>
        <w:spacing w:after="0" w:line="275" w:lineRule="auto"/>
        <w:rPr>
          <w:sz w:val="20"/>
          <w:szCs w:val="20"/>
          <w:color w:val="auto"/>
        </w:rPr>
      </w:pPr>
      <w:r>
        <w:rPr>
          <w:rFonts w:ascii="Times New Roman" w:cs="Times New Roman" w:eastAsia="Times New Roman" w:hAnsi="Times New Roman"/>
          <w:sz w:val="18"/>
          <w:szCs w:val="18"/>
          <w:color w:val="auto"/>
        </w:rPr>
        <w:t>Additional information required by this Item is incorporated herein by reference to the section entitled “Section 16(a) Beneficial Ownership Reporting Compliance” in the Proxy Statement.</w:t>
      </w:r>
    </w:p>
    <w:p>
      <w:pPr>
        <w:spacing w:after="0" w:line="39" w:lineRule="exact"/>
        <w:rPr>
          <w:sz w:val="20"/>
          <w:szCs w:val="20"/>
          <w:color w:val="auto"/>
        </w:rPr>
      </w:pPr>
    </w:p>
    <w:p>
      <w:pPr>
        <w:ind w:right="40" w:firstLine="228"/>
        <w:spacing w:after="0" w:line="293" w:lineRule="auto"/>
        <w:rPr>
          <w:sz w:val="20"/>
          <w:szCs w:val="20"/>
          <w:color w:val="auto"/>
        </w:rPr>
      </w:pPr>
      <w:r>
        <w:rPr>
          <w:rFonts w:ascii="Times New Roman" w:cs="Times New Roman" w:eastAsia="Times New Roman" w:hAnsi="Times New Roman"/>
          <w:sz w:val="16"/>
          <w:szCs w:val="16"/>
          <w:color w:val="auto"/>
        </w:rPr>
        <w:t>We have adopted a Code of Business Conduct and Ethics Policy that applies to our directors and employees (including our principal executive officer, principal financial officer, principal accounting officer and controller), and have posted the text of the policy on our website (</w:t>
      </w:r>
      <w:r>
        <w:rPr>
          <w:rFonts w:ascii="Times New Roman" w:cs="Times New Roman" w:eastAsia="Times New Roman" w:hAnsi="Times New Roman"/>
          <w:sz w:val="16"/>
          <w:szCs w:val="16"/>
          <w:i w:val="1"/>
          <w:iCs w:val="1"/>
          <w:color w:val="auto"/>
        </w:rPr>
        <w:t>www.mannkindcorp.com</w:t>
      </w:r>
      <w:r>
        <w:rPr>
          <w:rFonts w:ascii="Times New Roman" w:cs="Times New Roman" w:eastAsia="Times New Roman" w:hAnsi="Times New Roman"/>
          <w:sz w:val="16"/>
          <w:szCs w:val="16"/>
          <w:color w:val="auto"/>
        </w:rPr>
        <w:t>) in connection with “Investors” materials. In addition, we intend to promptly disclose on our website (i) the nature of any amendment to the policy that applies to our principal executive officer, principal financial officer, principal accounting officer or controller, or persons performing similar functions and (ii) the nature of any waiver, including an implicit waiver, from a provision of the policy that is granted to one of these specified individuals, the name of such person who is granted the waiver and the date of the waiver, to the extent any such waiver is required to be disclosed pursuant to the rules and regulations of the SEC.</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11. </w:t>
      </w:r>
      <w:r>
        <w:rPr>
          <w:rFonts w:ascii="Times New Roman" w:cs="Times New Roman" w:eastAsia="Times New Roman" w:hAnsi="Times New Roman"/>
          <w:sz w:val="18"/>
          <w:szCs w:val="18"/>
          <w:b w:val="1"/>
          <w:bCs w:val="1"/>
          <w:i w:val="1"/>
          <w:iCs w:val="1"/>
          <w:color w:val="auto"/>
        </w:rPr>
        <w:t>Executive Compensation</w:t>
      </w:r>
    </w:p>
    <w:p>
      <w:pPr>
        <w:spacing w:after="0" w:line="94" w:lineRule="exact"/>
        <w:rPr>
          <w:sz w:val="20"/>
          <w:szCs w:val="20"/>
          <w:color w:val="auto"/>
        </w:rPr>
      </w:pPr>
    </w:p>
    <w:p>
      <w:pPr>
        <w:ind w:right="80" w:firstLine="228"/>
        <w:spacing w:after="0" w:line="275" w:lineRule="auto"/>
        <w:rPr>
          <w:sz w:val="20"/>
          <w:szCs w:val="20"/>
          <w:color w:val="auto"/>
        </w:rPr>
      </w:pPr>
      <w:r>
        <w:rPr>
          <w:rFonts w:ascii="Times New Roman" w:cs="Times New Roman" w:eastAsia="Times New Roman" w:hAnsi="Times New Roman"/>
          <w:sz w:val="18"/>
          <w:szCs w:val="18"/>
          <w:color w:val="auto"/>
        </w:rPr>
        <w:t>The information under the caption “Executive Compensation,” “Compensation of Directors,” “Compensation Committee Interlocks and Insider Participation” and “Compensation Committee Report” in the Proxy Statement is incorporated herein by reference.</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12. </w:t>
      </w:r>
      <w:r>
        <w:rPr>
          <w:rFonts w:ascii="Times New Roman" w:cs="Times New Roman" w:eastAsia="Times New Roman" w:hAnsi="Times New Roman"/>
          <w:sz w:val="18"/>
          <w:szCs w:val="18"/>
          <w:b w:val="1"/>
          <w:bCs w:val="1"/>
          <w:i w:val="1"/>
          <w:iCs w:val="1"/>
          <w:color w:val="auto"/>
        </w:rPr>
        <w:t>Security Ownership of Certain Beneficial Owners and Management and Related Stockholder Matters</w:t>
      </w:r>
    </w:p>
    <w:p>
      <w:pPr>
        <w:spacing w:after="0" w:line="94" w:lineRule="exact"/>
        <w:rPr>
          <w:sz w:val="20"/>
          <w:szCs w:val="20"/>
          <w:color w:val="auto"/>
        </w:rPr>
      </w:pPr>
    </w:p>
    <w:p>
      <w:pPr>
        <w:ind w:right="460" w:firstLine="228"/>
        <w:spacing w:after="0" w:line="275" w:lineRule="auto"/>
        <w:rPr>
          <w:sz w:val="20"/>
          <w:szCs w:val="20"/>
          <w:color w:val="auto"/>
        </w:rPr>
      </w:pPr>
      <w:r>
        <w:rPr>
          <w:rFonts w:ascii="Times New Roman" w:cs="Times New Roman" w:eastAsia="Times New Roman" w:hAnsi="Times New Roman"/>
          <w:sz w:val="18"/>
          <w:szCs w:val="18"/>
          <w:color w:val="auto"/>
        </w:rPr>
        <w:t>The information under the captions “Security Ownership of Certain Beneficial Owners and Management” and “Securities Authorized for Issuance under Equity Compensation Plans” in the Proxy Statement is incorporated herein by this reference.</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13. </w:t>
      </w:r>
      <w:r>
        <w:rPr>
          <w:rFonts w:ascii="Times New Roman" w:cs="Times New Roman" w:eastAsia="Times New Roman" w:hAnsi="Times New Roman"/>
          <w:sz w:val="18"/>
          <w:szCs w:val="18"/>
          <w:b w:val="1"/>
          <w:bCs w:val="1"/>
          <w:i w:val="1"/>
          <w:iCs w:val="1"/>
          <w:color w:val="auto"/>
        </w:rPr>
        <w:t>Certain Relationships, Related Transactions and Director Independence</w:t>
      </w:r>
    </w:p>
    <w:p>
      <w:pPr>
        <w:spacing w:after="0" w:line="94" w:lineRule="exact"/>
        <w:rPr>
          <w:sz w:val="20"/>
          <w:szCs w:val="20"/>
          <w:color w:val="auto"/>
        </w:rPr>
      </w:pPr>
    </w:p>
    <w:p>
      <w:pPr>
        <w:ind w:firstLine="228"/>
        <w:spacing w:after="0" w:line="275" w:lineRule="auto"/>
        <w:rPr>
          <w:sz w:val="20"/>
          <w:szCs w:val="20"/>
          <w:color w:val="auto"/>
        </w:rPr>
      </w:pPr>
      <w:r>
        <w:rPr>
          <w:rFonts w:ascii="Times New Roman" w:cs="Times New Roman" w:eastAsia="Times New Roman" w:hAnsi="Times New Roman"/>
          <w:sz w:val="18"/>
          <w:szCs w:val="18"/>
          <w:color w:val="auto"/>
        </w:rPr>
        <w:t>The information under the caption “Certain Transactions” and “Corporate Governance Principles and Board and Committee Matters” in the Proxy Statement is incorporated herein by reference.</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14. </w:t>
      </w:r>
      <w:r>
        <w:rPr>
          <w:rFonts w:ascii="Times New Roman" w:cs="Times New Roman" w:eastAsia="Times New Roman" w:hAnsi="Times New Roman"/>
          <w:sz w:val="18"/>
          <w:szCs w:val="18"/>
          <w:b w:val="1"/>
          <w:bCs w:val="1"/>
          <w:i w:val="1"/>
          <w:iCs w:val="1"/>
          <w:color w:val="auto"/>
        </w:rPr>
        <w:t>Principal Accounting Fees and Services</w:t>
      </w:r>
    </w:p>
    <w:p>
      <w:pPr>
        <w:spacing w:after="0" w:line="94" w:lineRule="exact"/>
        <w:rPr>
          <w:sz w:val="20"/>
          <w:szCs w:val="20"/>
          <w:color w:val="auto"/>
        </w:rPr>
      </w:pPr>
    </w:p>
    <w:p>
      <w:pPr>
        <w:ind w:right="800" w:firstLine="228"/>
        <w:spacing w:after="0" w:line="275" w:lineRule="auto"/>
        <w:rPr>
          <w:sz w:val="20"/>
          <w:szCs w:val="20"/>
          <w:color w:val="auto"/>
        </w:rPr>
      </w:pPr>
      <w:r>
        <w:rPr>
          <w:rFonts w:ascii="Times New Roman" w:cs="Times New Roman" w:eastAsia="Times New Roman" w:hAnsi="Times New Roman"/>
          <w:sz w:val="18"/>
          <w:szCs w:val="18"/>
          <w:color w:val="auto"/>
        </w:rPr>
        <w:t>The information under the caption “Principal Accounting Fees and Services” and “Pre-Approval Policies and Procedures” in the Proxy Statement is incorporated herein by reference.</w:t>
      </w:r>
    </w:p>
    <w:p>
      <w:pPr>
        <w:spacing w:after="0" w:line="39" w:lineRule="exact"/>
        <w:rPr>
          <w:sz w:val="20"/>
          <w:szCs w:val="20"/>
          <w:color w:val="auto"/>
        </w:rPr>
      </w:pPr>
    </w:p>
    <w:p>
      <w:pPr>
        <w:ind w:right="600" w:firstLine="228"/>
        <w:spacing w:after="0" w:line="262" w:lineRule="auto"/>
        <w:rPr>
          <w:sz w:val="20"/>
          <w:szCs w:val="20"/>
          <w:color w:val="auto"/>
        </w:rPr>
      </w:pPr>
      <w:r>
        <w:rPr>
          <w:rFonts w:ascii="Times New Roman" w:cs="Times New Roman" w:eastAsia="Times New Roman" w:hAnsi="Times New Roman"/>
          <w:sz w:val="18"/>
          <w:szCs w:val="18"/>
          <w:color w:val="auto"/>
        </w:rPr>
        <w:t>With the exception of the information specifically incorporated by reference from the Proxy Statement in this Annual Report on Form 10-K, the Proxy Statement shall not be deemed to be filed as part of this report. Without limiting the foregoing, the information under the captions “Report of the Audit Committee of the Board of Directors” in the Proxy Statement is not incorporated by reference.</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420"/>
          </w:cols>
          <w:pgMar w:left="240" w:top="455" w:right="239" w:bottom="1440" w:gutter="0" w:footer="0" w:header="0"/>
        </w:sectPr>
      </w:pPr>
    </w:p>
    <w:bookmarkStart w:id="58" w:name="page59"/>
    <w:bookmarkEnd w:id="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15. </w:t>
      </w:r>
      <w:r>
        <w:rPr>
          <w:rFonts w:ascii="Times New Roman" w:cs="Times New Roman" w:eastAsia="Times New Roman" w:hAnsi="Times New Roman"/>
          <w:sz w:val="18"/>
          <w:szCs w:val="18"/>
          <w:b w:val="1"/>
          <w:bCs w:val="1"/>
          <w:i w:val="1"/>
          <w:iCs w:val="1"/>
          <w:color w:val="auto"/>
        </w:rPr>
        <w:t>Exhibits, Financial Statement Schedules</w:t>
      </w:r>
    </w:p>
    <w:p>
      <w:pPr>
        <w:spacing w:after="0" w:line="9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(a) The following documents are filed as part of, or incorporated by reference into, this Annual Report on Form 10-K:</w:t>
      </w:r>
    </w:p>
    <w:p>
      <w:pPr>
        <w:spacing w:after="0" w:line="90" w:lineRule="exact"/>
        <w:rPr>
          <w:sz w:val="20"/>
          <w:szCs w:val="20"/>
          <w:color w:val="auto"/>
        </w:rPr>
      </w:pPr>
    </w:p>
    <w:p>
      <w:pPr>
        <w:ind w:left="460" w:right="100" w:firstLine="438"/>
        <w:spacing w:after="0" w:line="339" w:lineRule="auto"/>
        <w:rPr>
          <w:sz w:val="20"/>
          <w:szCs w:val="20"/>
          <w:color w:val="auto"/>
        </w:rPr>
      </w:pPr>
      <w:r>
        <w:rPr>
          <w:rFonts w:ascii="Times New Roman" w:cs="Times New Roman" w:eastAsia="Times New Roman" w:hAnsi="Times New Roman"/>
          <w:sz w:val="16"/>
          <w:szCs w:val="16"/>
          <w:color w:val="auto"/>
        </w:rPr>
        <w:t>(1)(2) Financial Statements and Financial Statement Schedules. The following Financial Statements of MannKind Corporation, Financial Statement Schedules and Report of Independent Registered Public Accounting Firm are included in a separate section of this report beginning on page 67:</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40" w:type="dxa"/>
            <w:vAlign w:val="bottom"/>
            <w:gridSpan w:val="8"/>
          </w:tcPr>
          <w:p>
            <w:pPr>
              <w:spacing w:after="0"/>
              <w:rPr>
                <w:rFonts w:ascii="Times New Roman" w:cs="Times New Roman" w:eastAsia="Times New Roman" w:hAnsi="Times New Roman"/>
                <w:sz w:val="18"/>
                <w:szCs w:val="18"/>
                <w:color w:val="0000EE"/>
              </w:rPr>
            </w:pPr>
            <w:hyperlink w:anchor="page66">
              <w:r>
                <w:rPr>
                  <w:rFonts w:ascii="Times New Roman" w:cs="Times New Roman" w:eastAsia="Times New Roman" w:hAnsi="Times New Roman"/>
                  <w:sz w:val="18"/>
                  <w:szCs w:val="18"/>
                  <w:color w:val="0000EE"/>
                </w:rPr>
                <w:t>Report of Independent Registered Public Accounting Firm</w:t>
              </w:r>
            </w:hyperlink>
          </w:p>
        </w:tc>
        <w:tc>
          <w:tcPr>
            <w:tcW w:w="3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196"/>
        </w:trPr>
        <w:tc>
          <w:tcPr>
            <w:tcW w:w="4120" w:type="dxa"/>
            <w:vAlign w:val="bottom"/>
            <w:tcBorders>
              <w:top w:val="single" w:sz="8" w:color="0000EE"/>
            </w:tcBorders>
            <w:gridSpan w:val="7"/>
          </w:tcPr>
          <w:p>
            <w:pPr>
              <w:spacing w:after="0" w:line="196" w:lineRule="exact"/>
              <w:rPr>
                <w:rFonts w:ascii="Times New Roman" w:cs="Times New Roman" w:eastAsia="Times New Roman" w:hAnsi="Times New Roman"/>
                <w:sz w:val="18"/>
                <w:szCs w:val="18"/>
                <w:color w:val="0000EE"/>
              </w:rPr>
            </w:pPr>
            <w:hyperlink w:anchor="page67">
              <w:r>
                <w:rPr>
                  <w:rFonts w:ascii="Times New Roman" w:cs="Times New Roman" w:eastAsia="Times New Roman" w:hAnsi="Times New Roman"/>
                  <w:sz w:val="18"/>
                  <w:szCs w:val="18"/>
                  <w:color w:val="0000EE"/>
                </w:rPr>
                <w:t>Consolidated Balance Sheets</w:t>
              </w:r>
            </w:hyperlink>
          </w:p>
        </w:tc>
        <w:tc>
          <w:tcPr>
            <w:tcW w:w="3520" w:type="dxa"/>
            <w:vAlign w:val="bottom"/>
          </w:tcPr>
          <w:p>
            <w:pPr>
              <w:spacing w:after="0"/>
              <w:rPr>
                <w:sz w:val="17"/>
                <w:szCs w:val="17"/>
                <w:color w:val="auto"/>
              </w:rPr>
            </w:pPr>
          </w:p>
        </w:tc>
        <w:tc>
          <w:tcPr>
            <w:tcW w:w="3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65</w:t>
            </w:r>
          </w:p>
        </w:tc>
      </w:tr>
      <w:tr>
        <w:trPr>
          <w:trHeight w:val="20"/>
        </w:trPr>
        <w:tc>
          <w:tcPr>
            <w:tcW w:w="204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160" w:type="dxa"/>
            <w:vAlign w:val="bottom"/>
            <w:gridSpan w:val="2"/>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r>
      <w:tr>
        <w:trPr>
          <w:trHeight w:val="196"/>
        </w:trPr>
        <w:tc>
          <w:tcPr>
            <w:tcW w:w="276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7"/>
              </w:rPr>
            </w:pPr>
            <w:hyperlink w:anchor="page68">
              <w:r>
                <w:rPr>
                  <w:rFonts w:ascii="Times New Roman" w:cs="Times New Roman" w:eastAsia="Times New Roman" w:hAnsi="Times New Roman"/>
                  <w:sz w:val="18"/>
                  <w:szCs w:val="18"/>
                  <w:color w:val="0000EE"/>
                  <w:w w:val="97"/>
                </w:rPr>
                <w:t>Consolidated Statements of Operations</w:t>
              </w:r>
            </w:hyperlink>
          </w:p>
        </w:tc>
        <w:tc>
          <w:tcPr>
            <w:tcW w:w="4880" w:type="dxa"/>
            <w:vAlign w:val="bottom"/>
            <w:gridSpan w:val="6"/>
          </w:tcPr>
          <w:p>
            <w:pPr>
              <w:spacing w:after="0"/>
              <w:rPr>
                <w:sz w:val="17"/>
                <w:szCs w:val="17"/>
                <w:color w:val="auto"/>
              </w:rPr>
            </w:pPr>
          </w:p>
        </w:tc>
        <w:tc>
          <w:tcPr>
            <w:tcW w:w="3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66</w:t>
            </w:r>
          </w:p>
        </w:tc>
      </w:tr>
      <w:tr>
        <w:trPr>
          <w:trHeight w:val="196"/>
        </w:trPr>
        <w:tc>
          <w:tcPr>
            <w:tcW w:w="7640" w:type="dxa"/>
            <w:vAlign w:val="bottom"/>
            <w:gridSpan w:val="8"/>
          </w:tcPr>
          <w:p>
            <w:pPr>
              <w:spacing w:after="0" w:line="196" w:lineRule="exact"/>
              <w:rPr>
                <w:rFonts w:ascii="Times New Roman" w:cs="Times New Roman" w:eastAsia="Times New Roman" w:hAnsi="Times New Roman"/>
                <w:sz w:val="18"/>
                <w:szCs w:val="18"/>
                <w:color w:val="0000EE"/>
              </w:rPr>
            </w:pPr>
            <w:hyperlink w:anchor="page69">
              <w:r>
                <w:rPr>
                  <w:rFonts w:ascii="Times New Roman" w:cs="Times New Roman" w:eastAsia="Times New Roman" w:hAnsi="Times New Roman"/>
                  <w:sz w:val="18"/>
                  <w:szCs w:val="18"/>
                  <w:color w:val="0000EE"/>
                </w:rPr>
                <w:t>Consolidated Statements of Comprehensive Loss</w:t>
              </w:r>
            </w:hyperlink>
          </w:p>
        </w:tc>
        <w:tc>
          <w:tcPr>
            <w:tcW w:w="3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67</w:t>
            </w:r>
          </w:p>
        </w:tc>
      </w:tr>
      <w:tr>
        <w:trPr>
          <w:trHeight w:val="20"/>
        </w:trPr>
        <w:tc>
          <w:tcPr>
            <w:tcW w:w="280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160" w:type="dxa"/>
            <w:vAlign w:val="bottom"/>
            <w:gridSpan w:val="2"/>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r>
      <w:tr>
        <w:trPr>
          <w:trHeight w:val="196"/>
        </w:trPr>
        <w:tc>
          <w:tcPr>
            <w:tcW w:w="7640" w:type="dxa"/>
            <w:vAlign w:val="bottom"/>
            <w:gridSpan w:val="8"/>
          </w:tcPr>
          <w:p>
            <w:pPr>
              <w:spacing w:after="0" w:line="196" w:lineRule="exact"/>
              <w:rPr>
                <w:rFonts w:ascii="Times New Roman" w:cs="Times New Roman" w:eastAsia="Times New Roman" w:hAnsi="Times New Roman"/>
                <w:sz w:val="18"/>
                <w:szCs w:val="18"/>
                <w:color w:val="0000EE"/>
              </w:rPr>
            </w:pPr>
            <w:hyperlink w:anchor="page70">
              <w:r>
                <w:rPr>
                  <w:rFonts w:ascii="Times New Roman" w:cs="Times New Roman" w:eastAsia="Times New Roman" w:hAnsi="Times New Roman"/>
                  <w:sz w:val="18"/>
                  <w:szCs w:val="18"/>
                  <w:color w:val="0000EE"/>
                </w:rPr>
                <w:t>Consolidated Statements of Stockholders’ Deficit</w:t>
              </w:r>
            </w:hyperlink>
          </w:p>
        </w:tc>
        <w:tc>
          <w:tcPr>
            <w:tcW w:w="3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68</w:t>
            </w:r>
          </w:p>
        </w:tc>
      </w:tr>
      <w:tr>
        <w:trPr>
          <w:trHeight w:val="196"/>
        </w:trPr>
        <w:tc>
          <w:tcPr>
            <w:tcW w:w="3480" w:type="dxa"/>
            <w:vAlign w:val="bottom"/>
            <w:tcBorders>
              <w:top w:val="single" w:sz="8" w:color="0000EE"/>
            </w:tcBorders>
            <w:gridSpan w:val="6"/>
          </w:tcPr>
          <w:p>
            <w:pPr>
              <w:spacing w:after="0" w:line="196" w:lineRule="exact"/>
              <w:rPr>
                <w:rFonts w:ascii="Times New Roman" w:cs="Times New Roman" w:eastAsia="Times New Roman" w:hAnsi="Times New Roman"/>
                <w:sz w:val="18"/>
                <w:szCs w:val="18"/>
                <w:color w:val="0000EE"/>
              </w:rPr>
            </w:pPr>
            <w:hyperlink w:anchor="page71">
              <w:r>
                <w:rPr>
                  <w:rFonts w:ascii="Times New Roman" w:cs="Times New Roman" w:eastAsia="Times New Roman" w:hAnsi="Times New Roman"/>
                  <w:sz w:val="18"/>
                  <w:szCs w:val="18"/>
                  <w:color w:val="0000EE"/>
                </w:rPr>
                <w:t>Consolidated Statements of Cash Flows</w:t>
              </w:r>
            </w:hyperlink>
          </w:p>
        </w:tc>
        <w:tc>
          <w:tcPr>
            <w:tcW w:w="4160" w:type="dxa"/>
            <w:vAlign w:val="bottom"/>
            <w:gridSpan w:val="2"/>
          </w:tcPr>
          <w:p>
            <w:pPr>
              <w:spacing w:after="0"/>
              <w:rPr>
                <w:sz w:val="17"/>
                <w:szCs w:val="17"/>
                <w:color w:val="auto"/>
              </w:rPr>
            </w:pPr>
          </w:p>
        </w:tc>
        <w:tc>
          <w:tcPr>
            <w:tcW w:w="3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69</w:t>
            </w:r>
          </w:p>
        </w:tc>
      </w:tr>
      <w:tr>
        <w:trPr>
          <w:trHeight w:val="20"/>
        </w:trPr>
        <w:tc>
          <w:tcPr>
            <w:tcW w:w="280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560" w:type="dxa"/>
            <w:vAlign w:val="bottom"/>
            <w:gridSpan w:val="4"/>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r>
      <w:tr>
        <w:trPr>
          <w:trHeight w:val="196"/>
        </w:trPr>
        <w:tc>
          <w:tcPr>
            <w:tcW w:w="7640" w:type="dxa"/>
            <w:vAlign w:val="bottom"/>
            <w:gridSpan w:val="8"/>
          </w:tcPr>
          <w:p>
            <w:pPr>
              <w:spacing w:after="0" w:line="196" w:lineRule="exact"/>
              <w:rPr>
                <w:rFonts w:ascii="Times New Roman" w:cs="Times New Roman" w:eastAsia="Times New Roman" w:hAnsi="Times New Roman"/>
                <w:sz w:val="18"/>
                <w:szCs w:val="18"/>
                <w:color w:val="0000EE"/>
              </w:rPr>
            </w:pPr>
            <w:hyperlink w:anchor="page72">
              <w:r>
                <w:rPr>
                  <w:rFonts w:ascii="Times New Roman" w:cs="Times New Roman" w:eastAsia="Times New Roman" w:hAnsi="Times New Roman"/>
                  <w:sz w:val="18"/>
                  <w:szCs w:val="18"/>
                  <w:color w:val="0000EE"/>
                </w:rPr>
                <w:t>Notes to Consolidated Financial Statements</w:t>
              </w:r>
            </w:hyperlink>
          </w:p>
        </w:tc>
        <w:tc>
          <w:tcPr>
            <w:tcW w:w="3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70</w:t>
            </w:r>
          </w:p>
        </w:tc>
      </w:tr>
      <w:tr>
        <w:trPr>
          <w:trHeight w:val="20"/>
        </w:trPr>
        <w:tc>
          <w:tcPr>
            <w:tcW w:w="20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r>
    </w:tbl>
    <w:p>
      <w:pPr>
        <w:spacing w:after="0" w:line="94" w:lineRule="exact"/>
        <w:rPr>
          <w:sz w:val="20"/>
          <w:szCs w:val="20"/>
          <w:color w:val="auto"/>
        </w:rPr>
      </w:pPr>
    </w:p>
    <w:p>
      <w:pPr>
        <w:ind w:right="700" w:firstLine="228"/>
        <w:spacing w:after="0" w:line="275" w:lineRule="auto"/>
        <w:rPr>
          <w:sz w:val="20"/>
          <w:szCs w:val="20"/>
          <w:color w:val="auto"/>
        </w:rPr>
      </w:pPr>
      <w:r>
        <w:rPr>
          <w:rFonts w:ascii="Times New Roman" w:cs="Times New Roman" w:eastAsia="Times New Roman" w:hAnsi="Times New Roman"/>
          <w:sz w:val="18"/>
          <w:szCs w:val="18"/>
          <w:color w:val="auto"/>
        </w:rPr>
        <w:t>All financial statement schedules have been omitted because the required information is not applicable or not present in amounts sufficient to require submission of the schedule, or because the information required is included in the consolidated financial statements or the notes thereto.</w:t>
      </w:r>
    </w:p>
    <w:p>
      <w:pPr>
        <w:spacing w:after="0" w:line="39" w:lineRule="exact"/>
        <w:rPr>
          <w:sz w:val="20"/>
          <w:szCs w:val="20"/>
          <w:color w:val="auto"/>
        </w:rPr>
      </w:pPr>
    </w:p>
    <w:p>
      <w:pPr>
        <w:ind w:right="40" w:firstLine="236"/>
        <w:spacing w:after="0" w:line="275" w:lineRule="auto"/>
        <w:tabs>
          <w:tab w:leader="none" w:pos="477"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 The exhibits listed under Item 15(b) hereof are filed or furnished with, or incorporated by reference into, this Annual Report on Form 10-K. Each management contract or compensatory plan or arrangement is identified separately in Item 15(b) hereof.</w:t>
      </w:r>
    </w:p>
    <w:p>
      <w:pPr>
        <w:spacing w:after="0" w:line="3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(b) Exhibits. The following exhibits are filed or furnished as part of, or incorporated by reference into, this Annual Report on Form 10-K:</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51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4220" w:type="dxa"/>
            <w:vAlign w:val="bottom"/>
          </w:tcPr>
          <w:p>
            <w:pPr>
              <w:spacing w:after="0"/>
              <w:rPr>
                <w:sz w:val="13"/>
                <w:szCs w:val="13"/>
                <w:color w:val="auto"/>
              </w:rPr>
            </w:pPr>
          </w:p>
        </w:tc>
      </w:tr>
      <w:tr>
        <w:trPr>
          <w:trHeight w:val="172"/>
        </w:trPr>
        <w:tc>
          <w:tcPr>
            <w:tcW w:w="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5120" w:type="dxa"/>
            <w:vAlign w:val="bottom"/>
          </w:tcPr>
          <w:p>
            <w:pPr>
              <w:spacing w:after="0"/>
              <w:rPr>
                <w:sz w:val="14"/>
                <w:szCs w:val="14"/>
                <w:color w:val="auto"/>
              </w:rPr>
            </w:pPr>
          </w:p>
        </w:tc>
        <w:tc>
          <w:tcPr>
            <w:tcW w:w="15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w w:val="99"/>
              </w:rPr>
              <w:t>Description of Document</w:t>
            </w:r>
          </w:p>
        </w:tc>
        <w:tc>
          <w:tcPr>
            <w:tcW w:w="4220" w:type="dxa"/>
            <w:vAlign w:val="bottom"/>
          </w:tcPr>
          <w:p>
            <w:pPr>
              <w:spacing w:after="0"/>
              <w:rPr>
                <w:sz w:val="14"/>
                <w:szCs w:val="14"/>
                <w:color w:val="auto"/>
              </w:rPr>
            </w:pPr>
          </w:p>
        </w:tc>
      </w:tr>
      <w:tr>
        <w:trPr>
          <w:trHeight w:val="310"/>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1088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Amended and Restated Certificate of Incorporation (incorporated by reference to MannKind’s Registration Statement on Form S-1 (File</w:t>
            </w:r>
          </w:p>
        </w:tc>
      </w:tr>
      <w:tr>
        <w:trPr>
          <w:trHeight w:val="228"/>
        </w:trPr>
        <w:tc>
          <w:tcPr>
            <w:tcW w:w="520" w:type="dxa"/>
            <w:vAlign w:val="bottom"/>
          </w:tcPr>
          <w:p>
            <w:pPr>
              <w:spacing w:after="0"/>
              <w:rPr>
                <w:sz w:val="19"/>
                <w:szCs w:val="19"/>
                <w:color w:val="auto"/>
              </w:rPr>
            </w:pPr>
          </w:p>
        </w:tc>
        <w:tc>
          <w:tcPr>
            <w:tcW w:w="1088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No. 333-115020), originally filed with the SEC on April 30, 2004, as amended).</w:t>
            </w:r>
          </w:p>
        </w:tc>
      </w:tr>
      <w:tr>
        <w:trPr>
          <w:trHeight w:val="31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1088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w w:val="97"/>
              </w:rPr>
              <w:t>Certificate of Amendment of Amended and Restated Certificate of Incorporation (incorporated by reference to MannKind’s Quarterly Report</w:t>
            </w:r>
          </w:p>
        </w:tc>
      </w:tr>
      <w:tr>
        <w:trPr>
          <w:trHeight w:val="228"/>
        </w:trPr>
        <w:tc>
          <w:tcPr>
            <w:tcW w:w="520" w:type="dxa"/>
            <w:vAlign w:val="bottom"/>
          </w:tcPr>
          <w:p>
            <w:pPr>
              <w:spacing w:after="0"/>
              <w:rPr>
                <w:sz w:val="19"/>
                <w:szCs w:val="19"/>
                <w:color w:val="auto"/>
              </w:rPr>
            </w:pPr>
          </w:p>
        </w:tc>
        <w:tc>
          <w:tcPr>
            <w:tcW w:w="1088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on Form 10-Q (File No. 000-50865), originally filed with the SEC on August 9, 2007).</w:t>
            </w:r>
          </w:p>
        </w:tc>
      </w:tr>
      <w:tr>
        <w:trPr>
          <w:trHeight w:val="31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3.3</w:t>
            </w:r>
          </w:p>
        </w:tc>
        <w:tc>
          <w:tcPr>
            <w:tcW w:w="1088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w w:val="98"/>
              </w:rPr>
              <w:t>Certificate of Amendment of Amended and Restated Certificate of Incorporation (incorporated by reference to MannKind’s Quarterly report</w:t>
            </w:r>
          </w:p>
        </w:tc>
      </w:tr>
      <w:tr>
        <w:trPr>
          <w:trHeight w:val="228"/>
        </w:trPr>
        <w:tc>
          <w:tcPr>
            <w:tcW w:w="520" w:type="dxa"/>
            <w:vAlign w:val="bottom"/>
          </w:tcPr>
          <w:p>
            <w:pPr>
              <w:spacing w:after="0"/>
              <w:rPr>
                <w:sz w:val="19"/>
                <w:szCs w:val="19"/>
                <w:color w:val="auto"/>
              </w:rPr>
            </w:pPr>
          </w:p>
        </w:tc>
        <w:tc>
          <w:tcPr>
            <w:tcW w:w="1088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on Form 10-Q (File No. 000-50865), originally filed with the SEC on August 2, 2010).</w:t>
            </w:r>
          </w:p>
        </w:tc>
      </w:tr>
      <w:tr>
        <w:trPr>
          <w:trHeight w:val="31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3.4</w:t>
            </w:r>
          </w:p>
        </w:tc>
        <w:tc>
          <w:tcPr>
            <w:tcW w:w="1088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w w:val="97"/>
              </w:rPr>
              <w:t>Certificate of Amendment of Amended and Restated Certificate of Incorporation (incorporated by reference to MannKind’s Current Report on</w:t>
            </w:r>
          </w:p>
        </w:tc>
      </w:tr>
      <w:tr>
        <w:trPr>
          <w:trHeight w:val="228"/>
        </w:trPr>
        <w:tc>
          <w:tcPr>
            <w:tcW w:w="520" w:type="dxa"/>
            <w:vAlign w:val="bottom"/>
          </w:tcPr>
          <w:p>
            <w:pPr>
              <w:spacing w:after="0"/>
              <w:rPr>
                <w:sz w:val="19"/>
                <w:szCs w:val="19"/>
                <w:color w:val="auto"/>
              </w:rPr>
            </w:pPr>
          </w:p>
        </w:tc>
        <w:tc>
          <w:tcPr>
            <w:tcW w:w="1088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Form 8-K (File No. 000-50865), originally filed with the SEC on July 1, 2013).</w:t>
            </w:r>
          </w:p>
        </w:tc>
      </w:tr>
      <w:tr>
        <w:trPr>
          <w:trHeight w:val="31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3.5</w:t>
            </w:r>
          </w:p>
        </w:tc>
        <w:tc>
          <w:tcPr>
            <w:tcW w:w="1088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w w:val="97"/>
              </w:rPr>
              <w:t>Amended and Restated Bylaws (incorporated by reference to MannKind’s Current Report on Form 8-K (File No. 000-50865), originally filed</w:t>
            </w:r>
          </w:p>
        </w:tc>
      </w:tr>
      <w:tr>
        <w:trPr>
          <w:trHeight w:val="228"/>
        </w:trPr>
        <w:tc>
          <w:tcPr>
            <w:tcW w:w="520" w:type="dxa"/>
            <w:vAlign w:val="bottom"/>
          </w:tcPr>
          <w:p>
            <w:pPr>
              <w:spacing w:after="0"/>
              <w:rPr>
                <w:sz w:val="19"/>
                <w:szCs w:val="19"/>
                <w:color w:val="auto"/>
              </w:rPr>
            </w:pPr>
          </w:p>
        </w:tc>
        <w:tc>
          <w:tcPr>
            <w:tcW w:w="1088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with the SEC on November 19, 2007).</w:t>
            </w:r>
          </w:p>
        </w:tc>
      </w:tr>
      <w:tr>
        <w:trPr>
          <w:trHeight w:val="31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1088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w w:val="98"/>
              </w:rPr>
              <w:t>Form of common stock certificate (incorporated by reference to MannKind’s Annual Report on Form 10-K (File No. 000-50865), originally</w:t>
            </w:r>
          </w:p>
        </w:tc>
      </w:tr>
      <w:tr>
        <w:trPr>
          <w:trHeight w:val="228"/>
        </w:trPr>
        <w:tc>
          <w:tcPr>
            <w:tcW w:w="520" w:type="dxa"/>
            <w:vAlign w:val="bottom"/>
          </w:tcPr>
          <w:p>
            <w:pPr>
              <w:spacing w:after="0"/>
              <w:rPr>
                <w:sz w:val="19"/>
                <w:szCs w:val="19"/>
                <w:color w:val="auto"/>
              </w:rPr>
            </w:pPr>
          </w:p>
        </w:tc>
        <w:tc>
          <w:tcPr>
            <w:tcW w:w="1088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filed with the SEC on March 18, 2013).</w:t>
            </w:r>
          </w:p>
        </w:tc>
      </w:tr>
      <w:tr>
        <w:trPr>
          <w:trHeight w:val="31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1088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w w:val="97"/>
              </w:rPr>
              <w:t>Indenture, by and between MannKind and Wells Fargo Bank, N.A., dated August 24, 2010 (incorporated by reference to MannKind’s Current</w:t>
            </w:r>
          </w:p>
        </w:tc>
      </w:tr>
      <w:tr>
        <w:trPr>
          <w:trHeight w:val="228"/>
        </w:trPr>
        <w:tc>
          <w:tcPr>
            <w:tcW w:w="520" w:type="dxa"/>
            <w:vAlign w:val="bottom"/>
          </w:tcPr>
          <w:p>
            <w:pPr>
              <w:spacing w:after="0"/>
              <w:rPr>
                <w:sz w:val="19"/>
                <w:szCs w:val="19"/>
                <w:color w:val="auto"/>
              </w:rPr>
            </w:pPr>
          </w:p>
        </w:tc>
        <w:tc>
          <w:tcPr>
            <w:tcW w:w="1088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Report on Form 8-K (File No. 000-50865), originally filed with the SEC on August 24, 2010).</w:t>
            </w:r>
          </w:p>
        </w:tc>
      </w:tr>
      <w:tr>
        <w:trPr>
          <w:trHeight w:val="365"/>
        </w:trPr>
        <w:tc>
          <w:tcPr>
            <w:tcW w:w="520" w:type="dxa"/>
            <w:vAlign w:val="bottom"/>
          </w:tcPr>
          <w:p>
            <w:pPr>
              <w:spacing w:after="0"/>
              <w:rPr>
                <w:sz w:val="24"/>
                <w:szCs w:val="24"/>
                <w:color w:val="auto"/>
              </w:rPr>
            </w:pPr>
          </w:p>
        </w:tc>
        <w:tc>
          <w:tcPr>
            <w:tcW w:w="6660" w:type="dxa"/>
            <w:vAlign w:val="bottom"/>
            <w:gridSpan w:val="2"/>
          </w:tcPr>
          <w:p>
            <w:pPr>
              <w:ind w:left="5100"/>
              <w:spacing w:after="0"/>
              <w:rPr>
                <w:sz w:val="20"/>
                <w:szCs w:val="20"/>
                <w:color w:val="auto"/>
              </w:rPr>
            </w:pPr>
            <w:r>
              <w:rPr>
                <w:rFonts w:ascii="Times New Roman" w:cs="Times New Roman" w:eastAsia="Times New Roman" w:hAnsi="Times New Roman"/>
                <w:sz w:val="18"/>
                <w:szCs w:val="18"/>
                <w:color w:val="auto"/>
              </w:rPr>
              <w:t>57</w:t>
            </w:r>
          </w:p>
        </w:tc>
        <w:tc>
          <w:tcPr>
            <w:tcW w:w="4220" w:type="dxa"/>
            <w:vAlign w:val="bottom"/>
          </w:tcPr>
          <w:p>
            <w:pPr>
              <w:spacing w:after="0"/>
              <w:rPr>
                <w:sz w:val="24"/>
                <w:szCs w:val="24"/>
                <w:color w:val="auto"/>
              </w:rPr>
            </w:pPr>
          </w:p>
        </w:tc>
      </w:tr>
    </w:tbl>
    <w:p>
      <w:pPr>
        <w:sectPr>
          <w:pgSz w:w="11900" w:h="16838" w:orient="portrait"/>
          <w:cols w:equalWidth="0" w:num="1">
            <w:col w:w="11400"/>
          </w:cols>
          <w:pgMar w:left="240" w:top="455" w:right="259" w:bottom="1440" w:gutter="0" w:footer="0" w:header="0"/>
        </w:sectPr>
      </w:pPr>
    </w:p>
    <w:bookmarkStart w:id="59" w:name="page60"/>
    <w:bookmarkEnd w:id="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50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4260" w:type="dxa"/>
            <w:vAlign w:val="bottom"/>
          </w:tcPr>
          <w:p>
            <w:pPr>
              <w:spacing w:after="0"/>
              <w:rPr>
                <w:sz w:val="13"/>
                <w:szCs w:val="13"/>
                <w:color w:val="auto"/>
              </w:rPr>
            </w:pPr>
          </w:p>
        </w:tc>
      </w:tr>
      <w:tr>
        <w:trPr>
          <w:trHeight w:val="172"/>
        </w:trPr>
        <w:tc>
          <w:tcPr>
            <w:tcW w:w="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5080" w:type="dxa"/>
            <w:vAlign w:val="bottom"/>
          </w:tcPr>
          <w:p>
            <w:pPr>
              <w:spacing w:after="0"/>
              <w:rPr>
                <w:sz w:val="14"/>
                <w:szCs w:val="14"/>
                <w:color w:val="auto"/>
              </w:rPr>
            </w:pPr>
          </w:p>
        </w:tc>
        <w:tc>
          <w:tcPr>
            <w:tcW w:w="15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w w:val="97"/>
              </w:rPr>
              <w:t>Description of Document</w:t>
            </w:r>
          </w:p>
        </w:tc>
        <w:tc>
          <w:tcPr>
            <w:tcW w:w="4260" w:type="dxa"/>
            <w:vAlign w:val="bottom"/>
          </w:tcPr>
          <w:p>
            <w:pPr>
              <w:spacing w:after="0"/>
              <w:rPr>
                <w:sz w:val="14"/>
                <w:szCs w:val="14"/>
                <w:color w:val="auto"/>
              </w:rPr>
            </w:pPr>
          </w:p>
        </w:tc>
      </w:tr>
      <w:tr>
        <w:trPr>
          <w:trHeight w:val="310"/>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1086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Form of 5.75% Senior Convertible Note due 2015 (incorporated by reference to MannKind’s Current Report on Form 8-K (File No. 000-</w:t>
            </w:r>
          </w:p>
        </w:tc>
      </w:tr>
      <w:tr>
        <w:trPr>
          <w:trHeight w:val="228"/>
        </w:trPr>
        <w:tc>
          <w:tcPr>
            <w:tcW w:w="520" w:type="dxa"/>
            <w:vAlign w:val="bottom"/>
          </w:tcPr>
          <w:p>
            <w:pPr>
              <w:spacing w:after="0"/>
              <w:rPr>
                <w:sz w:val="19"/>
                <w:szCs w:val="19"/>
                <w:color w:val="auto"/>
              </w:rPr>
            </w:pPr>
          </w:p>
        </w:tc>
        <w:tc>
          <w:tcPr>
            <w:tcW w:w="1086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50865), originally filed with the SEC on August 24, 2010).</w:t>
            </w:r>
          </w:p>
        </w:tc>
      </w:tr>
      <w:tr>
        <w:trPr>
          <w:trHeight w:val="31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4.4</w:t>
            </w:r>
          </w:p>
        </w:tc>
        <w:tc>
          <w:tcPr>
            <w:tcW w:w="1086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w w:val="98"/>
              </w:rPr>
              <w:t>Form of Warrant to Purchase Common Stock issued February 8, 2012 (incorporated by reference to MannKind’s Current Report on Form 8-K</w:t>
            </w:r>
          </w:p>
        </w:tc>
      </w:tr>
      <w:tr>
        <w:trPr>
          <w:trHeight w:val="228"/>
        </w:trPr>
        <w:tc>
          <w:tcPr>
            <w:tcW w:w="520" w:type="dxa"/>
            <w:vAlign w:val="bottom"/>
          </w:tcPr>
          <w:p>
            <w:pPr>
              <w:spacing w:after="0"/>
              <w:rPr>
                <w:sz w:val="19"/>
                <w:szCs w:val="19"/>
                <w:color w:val="auto"/>
              </w:rPr>
            </w:pPr>
          </w:p>
        </w:tc>
        <w:tc>
          <w:tcPr>
            <w:tcW w:w="1086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(File No. 000-50865), originally filed with the SEC on February 6, 2012).</w:t>
            </w:r>
          </w:p>
        </w:tc>
      </w:tr>
      <w:tr>
        <w:trPr>
          <w:trHeight w:val="31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4.5</w:t>
            </w:r>
          </w:p>
        </w:tc>
        <w:tc>
          <w:tcPr>
            <w:tcW w:w="1086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w w:val="98"/>
              </w:rPr>
              <w:t>Form of 9.75% Senior Secured Convertible Promissory Note due 2019 (incorporated by reference to MannKind’s current report on Form 8-K</w:t>
            </w:r>
          </w:p>
        </w:tc>
      </w:tr>
      <w:tr>
        <w:trPr>
          <w:trHeight w:val="228"/>
        </w:trPr>
        <w:tc>
          <w:tcPr>
            <w:tcW w:w="520" w:type="dxa"/>
            <w:vAlign w:val="bottom"/>
          </w:tcPr>
          <w:p>
            <w:pPr>
              <w:spacing w:after="0"/>
              <w:rPr>
                <w:sz w:val="19"/>
                <w:szCs w:val="19"/>
                <w:color w:val="auto"/>
              </w:rPr>
            </w:pPr>
          </w:p>
        </w:tc>
        <w:tc>
          <w:tcPr>
            <w:tcW w:w="1086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(File No. 000-50865), originally filed with the SEC on July 1, 2013).</w:t>
            </w:r>
          </w:p>
        </w:tc>
      </w:tr>
      <w:tr>
        <w:trPr>
          <w:trHeight w:val="31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4.6</w:t>
            </w:r>
          </w:p>
        </w:tc>
        <w:tc>
          <w:tcPr>
            <w:tcW w:w="1086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w w:val="98"/>
              </w:rPr>
              <w:t>Form of Amended and Restated 9.75% Senior Secured Convertible Promissory Note due 2019 2019 (incorporated by reference to Exhibit 4.7</w:t>
            </w:r>
          </w:p>
        </w:tc>
      </w:tr>
      <w:tr>
        <w:trPr>
          <w:trHeight w:val="228"/>
        </w:trPr>
        <w:tc>
          <w:tcPr>
            <w:tcW w:w="520" w:type="dxa"/>
            <w:vAlign w:val="bottom"/>
          </w:tcPr>
          <w:p>
            <w:pPr>
              <w:spacing w:after="0"/>
              <w:rPr>
                <w:sz w:val="19"/>
                <w:szCs w:val="19"/>
                <w:color w:val="auto"/>
              </w:rPr>
            </w:pPr>
          </w:p>
        </w:tc>
        <w:tc>
          <w:tcPr>
            <w:tcW w:w="1086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to MannKind’s Annual Report on Form 10-K (File No. 000-50865), filed with the SEC on March 3, 2014).</w:t>
            </w:r>
          </w:p>
        </w:tc>
      </w:tr>
      <w:tr>
        <w:trPr>
          <w:trHeight w:val="31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4.9</w:t>
            </w:r>
          </w:p>
        </w:tc>
        <w:tc>
          <w:tcPr>
            <w:tcW w:w="1086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w w:val="97"/>
              </w:rPr>
              <w:t>Milestone Rights Purchase Agreement, dated as of July 1, 2013, by and among MannKind, Deerfield Private Design Fund II, L.P. and Horizon</w:t>
            </w:r>
          </w:p>
        </w:tc>
      </w:tr>
      <w:tr>
        <w:trPr>
          <w:trHeight w:val="216"/>
        </w:trPr>
        <w:tc>
          <w:tcPr>
            <w:tcW w:w="520" w:type="dxa"/>
            <w:vAlign w:val="bottom"/>
          </w:tcPr>
          <w:p>
            <w:pPr>
              <w:spacing w:after="0"/>
              <w:rPr>
                <w:sz w:val="18"/>
                <w:szCs w:val="18"/>
                <w:color w:val="auto"/>
              </w:rPr>
            </w:pPr>
          </w:p>
        </w:tc>
        <w:tc>
          <w:tcPr>
            <w:tcW w:w="1086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Santé FLML SÁRL (incorporated by reference to MannKind’s Current Report on Form 8-K (File No. 000-50865), originally filed with the</w:t>
            </w:r>
          </w:p>
        </w:tc>
      </w:tr>
      <w:tr>
        <w:trPr>
          <w:trHeight w:val="228"/>
        </w:trPr>
        <w:tc>
          <w:tcPr>
            <w:tcW w:w="520" w:type="dxa"/>
            <w:vAlign w:val="bottom"/>
          </w:tcPr>
          <w:p>
            <w:pPr>
              <w:spacing w:after="0"/>
              <w:rPr>
                <w:sz w:val="19"/>
                <w:szCs w:val="19"/>
                <w:color w:val="auto"/>
              </w:rPr>
            </w:pPr>
          </w:p>
        </w:tc>
        <w:tc>
          <w:tcPr>
            <w:tcW w:w="1086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SEC on July 1, 2013).</w:t>
            </w:r>
          </w:p>
        </w:tc>
      </w:tr>
      <w:tr>
        <w:trPr>
          <w:trHeight w:val="31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4.10</w:t>
            </w:r>
          </w:p>
        </w:tc>
        <w:tc>
          <w:tcPr>
            <w:tcW w:w="1086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w w:val="97"/>
              </w:rPr>
              <w:t>Guaranty and Security Agreement, dated as of July 1, 2013, by and among MannKind, MannKind LLC, Deerfield Private Design Fund II, L.P.,</w:t>
            </w:r>
          </w:p>
        </w:tc>
      </w:tr>
      <w:tr>
        <w:trPr>
          <w:trHeight w:val="216"/>
        </w:trPr>
        <w:tc>
          <w:tcPr>
            <w:tcW w:w="520" w:type="dxa"/>
            <w:vAlign w:val="bottom"/>
          </w:tcPr>
          <w:p>
            <w:pPr>
              <w:spacing w:after="0"/>
              <w:rPr>
                <w:sz w:val="18"/>
                <w:szCs w:val="18"/>
                <w:color w:val="auto"/>
              </w:rPr>
            </w:pPr>
          </w:p>
        </w:tc>
        <w:tc>
          <w:tcPr>
            <w:tcW w:w="1086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w w:val="98"/>
              </w:rPr>
              <w:t>Deerfield Private Design International II, L.P. and Horizon Santé FLML SÁRL (incorporated by reference to MannKind’s Current Report on</w:t>
            </w:r>
          </w:p>
        </w:tc>
      </w:tr>
      <w:tr>
        <w:trPr>
          <w:trHeight w:val="228"/>
        </w:trPr>
        <w:tc>
          <w:tcPr>
            <w:tcW w:w="520" w:type="dxa"/>
            <w:vAlign w:val="bottom"/>
          </w:tcPr>
          <w:p>
            <w:pPr>
              <w:spacing w:after="0"/>
              <w:rPr>
                <w:sz w:val="19"/>
                <w:szCs w:val="19"/>
                <w:color w:val="auto"/>
              </w:rPr>
            </w:pPr>
          </w:p>
        </w:tc>
        <w:tc>
          <w:tcPr>
            <w:tcW w:w="1086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Form 8-K (File No. 000-50865), originally filed with the SEC on July 1, 2013).</w:t>
            </w:r>
          </w:p>
        </w:tc>
      </w:tr>
      <w:tr>
        <w:trPr>
          <w:trHeight w:val="31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4.11</w:t>
            </w:r>
          </w:p>
        </w:tc>
        <w:tc>
          <w:tcPr>
            <w:tcW w:w="1086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Registration Rights Agreement, dated as of July 1, 2013, by and among MannKind, Deerfield Private Design Fund II, L.P. and Deerfield</w:t>
            </w:r>
          </w:p>
        </w:tc>
      </w:tr>
      <w:tr>
        <w:trPr>
          <w:trHeight w:val="216"/>
        </w:trPr>
        <w:tc>
          <w:tcPr>
            <w:tcW w:w="520" w:type="dxa"/>
            <w:vAlign w:val="bottom"/>
          </w:tcPr>
          <w:p>
            <w:pPr>
              <w:spacing w:after="0"/>
              <w:rPr>
                <w:sz w:val="18"/>
                <w:szCs w:val="18"/>
                <w:color w:val="auto"/>
              </w:rPr>
            </w:pPr>
          </w:p>
        </w:tc>
        <w:tc>
          <w:tcPr>
            <w:tcW w:w="1086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w w:val="98"/>
              </w:rPr>
              <w:t>Private Design International II, L.P. (incorporated by reference to MannKind’s Current Report on Form 8-K (File No. 000-50865), originally</w:t>
            </w:r>
          </w:p>
        </w:tc>
      </w:tr>
      <w:tr>
        <w:trPr>
          <w:trHeight w:val="228"/>
        </w:trPr>
        <w:tc>
          <w:tcPr>
            <w:tcW w:w="520" w:type="dxa"/>
            <w:vAlign w:val="bottom"/>
          </w:tcPr>
          <w:p>
            <w:pPr>
              <w:spacing w:after="0"/>
              <w:rPr>
                <w:sz w:val="19"/>
                <w:szCs w:val="19"/>
                <w:color w:val="auto"/>
              </w:rPr>
            </w:pPr>
          </w:p>
        </w:tc>
        <w:tc>
          <w:tcPr>
            <w:tcW w:w="1086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filed with the SEC on July 1, 2013).</w:t>
            </w:r>
          </w:p>
        </w:tc>
      </w:tr>
      <w:tr>
        <w:trPr>
          <w:trHeight w:val="31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4.12</w:t>
            </w:r>
          </w:p>
        </w:tc>
        <w:tc>
          <w:tcPr>
            <w:tcW w:w="1086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Facility Agreement, dated as of July 1, 2013, by and among MannKind Corporation, Deerfield Private Design Fund II, L.P. and Deerfield</w:t>
            </w:r>
          </w:p>
        </w:tc>
      </w:tr>
      <w:tr>
        <w:trPr>
          <w:trHeight w:val="216"/>
        </w:trPr>
        <w:tc>
          <w:tcPr>
            <w:tcW w:w="520" w:type="dxa"/>
            <w:vAlign w:val="bottom"/>
          </w:tcPr>
          <w:p>
            <w:pPr>
              <w:spacing w:after="0"/>
              <w:rPr>
                <w:sz w:val="18"/>
                <w:szCs w:val="18"/>
                <w:color w:val="auto"/>
              </w:rPr>
            </w:pPr>
          </w:p>
        </w:tc>
        <w:tc>
          <w:tcPr>
            <w:tcW w:w="1086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w w:val="99"/>
              </w:rPr>
              <w:t>Private Design International II, L.P (incorporated by reference to MannKind’s Current Report on Form 8-K (File No. 000-50865), originally</w:t>
            </w:r>
          </w:p>
        </w:tc>
      </w:tr>
      <w:tr>
        <w:trPr>
          <w:trHeight w:val="228"/>
        </w:trPr>
        <w:tc>
          <w:tcPr>
            <w:tcW w:w="520" w:type="dxa"/>
            <w:vAlign w:val="bottom"/>
          </w:tcPr>
          <w:p>
            <w:pPr>
              <w:spacing w:after="0"/>
              <w:rPr>
                <w:sz w:val="19"/>
                <w:szCs w:val="19"/>
                <w:color w:val="auto"/>
              </w:rPr>
            </w:pPr>
          </w:p>
        </w:tc>
        <w:tc>
          <w:tcPr>
            <w:tcW w:w="1086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filed with the SEC on July 1, 2013).</w:t>
            </w:r>
          </w:p>
        </w:tc>
      </w:tr>
      <w:tr>
        <w:trPr>
          <w:trHeight w:val="31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4.13</w:t>
            </w:r>
          </w:p>
        </w:tc>
        <w:tc>
          <w:tcPr>
            <w:tcW w:w="1086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First Amendment to Facility Agreement and Registration Rights Agreement, dated as of February 28, 2014, by and among MannKind,</w:t>
            </w:r>
          </w:p>
        </w:tc>
      </w:tr>
      <w:tr>
        <w:trPr>
          <w:trHeight w:val="228"/>
        </w:trPr>
        <w:tc>
          <w:tcPr>
            <w:tcW w:w="520" w:type="dxa"/>
            <w:vAlign w:val="bottom"/>
          </w:tcPr>
          <w:p>
            <w:pPr>
              <w:spacing w:after="0"/>
              <w:rPr>
                <w:sz w:val="19"/>
                <w:szCs w:val="19"/>
                <w:color w:val="auto"/>
              </w:rPr>
            </w:pPr>
          </w:p>
        </w:tc>
        <w:tc>
          <w:tcPr>
            <w:tcW w:w="1086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Deerfield Private Design Fund II, L.P. and Deerfield Private Design International II, L.P. (see Exhibit 10.39).</w:t>
            </w:r>
          </w:p>
        </w:tc>
      </w:tr>
      <w:tr>
        <w:trPr>
          <w:trHeight w:val="31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4.14</w:t>
            </w:r>
          </w:p>
        </w:tc>
        <w:tc>
          <w:tcPr>
            <w:tcW w:w="1086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w w:val="99"/>
              </w:rPr>
              <w:t>Form of Tranche B Senior Secured Note due 2019 (incorporated by reference to Exhibit 4.8 to MannKind’s Quarterly Report on Form 10-Q</w:t>
            </w:r>
          </w:p>
        </w:tc>
      </w:tr>
      <w:tr>
        <w:trPr>
          <w:trHeight w:val="228"/>
        </w:trPr>
        <w:tc>
          <w:tcPr>
            <w:tcW w:w="520" w:type="dxa"/>
            <w:vAlign w:val="bottom"/>
          </w:tcPr>
          <w:p>
            <w:pPr>
              <w:spacing w:after="0"/>
              <w:rPr>
                <w:sz w:val="19"/>
                <w:szCs w:val="19"/>
                <w:color w:val="auto"/>
              </w:rPr>
            </w:pPr>
          </w:p>
        </w:tc>
        <w:tc>
          <w:tcPr>
            <w:tcW w:w="1086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(File No. 000-50865), filed with the SEC on May 12, 2014).</w:t>
            </w:r>
          </w:p>
        </w:tc>
      </w:tr>
      <w:tr>
        <w:trPr>
          <w:trHeight w:val="31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4.15</w:t>
            </w:r>
          </w:p>
        </w:tc>
        <w:tc>
          <w:tcPr>
            <w:tcW w:w="1086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Second Amendment to Facility Agreement and Registration Rights Agreement, dated as of August 11, 2014, by and among MannKind,</w:t>
            </w:r>
          </w:p>
        </w:tc>
      </w:tr>
      <w:tr>
        <w:trPr>
          <w:trHeight w:val="216"/>
        </w:trPr>
        <w:tc>
          <w:tcPr>
            <w:tcW w:w="520" w:type="dxa"/>
            <w:vAlign w:val="bottom"/>
          </w:tcPr>
          <w:p>
            <w:pPr>
              <w:spacing w:after="0"/>
              <w:rPr>
                <w:sz w:val="18"/>
                <w:szCs w:val="18"/>
                <w:color w:val="auto"/>
              </w:rPr>
            </w:pPr>
          </w:p>
        </w:tc>
        <w:tc>
          <w:tcPr>
            <w:tcW w:w="1086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Deerfield Private Design Fund II, L.P. and Deerfield Private Design International II, L.P. (incorporated by reference to Exhibit 4.14 to</w:t>
            </w:r>
          </w:p>
        </w:tc>
      </w:tr>
      <w:tr>
        <w:trPr>
          <w:trHeight w:val="228"/>
        </w:trPr>
        <w:tc>
          <w:tcPr>
            <w:tcW w:w="520" w:type="dxa"/>
            <w:vAlign w:val="bottom"/>
          </w:tcPr>
          <w:p>
            <w:pPr>
              <w:spacing w:after="0"/>
              <w:rPr>
                <w:sz w:val="19"/>
                <w:szCs w:val="19"/>
                <w:color w:val="auto"/>
              </w:rPr>
            </w:pPr>
          </w:p>
        </w:tc>
        <w:tc>
          <w:tcPr>
            <w:tcW w:w="1086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MannKind’s Quarterly Report on Form 10-Q (File No. 000-50865), filed with the SEC on November 10, 2014).</w:t>
            </w:r>
          </w:p>
        </w:tc>
      </w:tr>
      <w:tr>
        <w:trPr>
          <w:trHeight w:val="31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4.15</w:t>
            </w:r>
          </w:p>
        </w:tc>
        <w:tc>
          <w:tcPr>
            <w:tcW w:w="1086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Senior Secured Revolving Promissory Note, dated as of September 23, 2014, by and between MannKind Corporation and Aventisub LLC</w:t>
            </w:r>
          </w:p>
        </w:tc>
      </w:tr>
      <w:tr>
        <w:trPr>
          <w:trHeight w:val="216"/>
        </w:trPr>
        <w:tc>
          <w:tcPr>
            <w:tcW w:w="520" w:type="dxa"/>
            <w:vAlign w:val="bottom"/>
          </w:tcPr>
          <w:p>
            <w:pPr>
              <w:spacing w:after="0"/>
              <w:rPr>
                <w:sz w:val="18"/>
                <w:szCs w:val="18"/>
                <w:color w:val="auto"/>
              </w:rPr>
            </w:pPr>
          </w:p>
        </w:tc>
        <w:tc>
          <w:tcPr>
            <w:tcW w:w="1086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(incorporated by reference to Exhibit 99.1 to MannKind’s Current Report on Form 8-K (File No. 000-50865), filed with the SEC on</w:t>
            </w:r>
          </w:p>
        </w:tc>
      </w:tr>
      <w:tr>
        <w:trPr>
          <w:trHeight w:val="228"/>
        </w:trPr>
        <w:tc>
          <w:tcPr>
            <w:tcW w:w="520" w:type="dxa"/>
            <w:vAlign w:val="bottom"/>
          </w:tcPr>
          <w:p>
            <w:pPr>
              <w:spacing w:after="0"/>
              <w:rPr>
                <w:sz w:val="19"/>
                <w:szCs w:val="19"/>
                <w:color w:val="auto"/>
              </w:rPr>
            </w:pPr>
          </w:p>
        </w:tc>
        <w:tc>
          <w:tcPr>
            <w:tcW w:w="1086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September 29, 2014).</w:t>
            </w:r>
          </w:p>
        </w:tc>
      </w:tr>
      <w:tr>
        <w:trPr>
          <w:trHeight w:val="31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4.17</w:t>
            </w:r>
          </w:p>
        </w:tc>
        <w:tc>
          <w:tcPr>
            <w:tcW w:w="1086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Guaranty and Security Agreement, dated as of September 23, 2014, by and among MannKind Corporation, MannKind LLC and Aventisub</w:t>
            </w:r>
          </w:p>
        </w:tc>
      </w:tr>
      <w:tr>
        <w:trPr>
          <w:trHeight w:val="216"/>
        </w:trPr>
        <w:tc>
          <w:tcPr>
            <w:tcW w:w="520" w:type="dxa"/>
            <w:vAlign w:val="bottom"/>
          </w:tcPr>
          <w:p>
            <w:pPr>
              <w:spacing w:after="0"/>
              <w:rPr>
                <w:sz w:val="18"/>
                <w:szCs w:val="18"/>
                <w:color w:val="auto"/>
              </w:rPr>
            </w:pPr>
          </w:p>
        </w:tc>
        <w:tc>
          <w:tcPr>
            <w:tcW w:w="1086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LLC (incorporated by reference to Exhibit 99.2 to MannKind’s Current Report on Form 8-K (File No. 000-50865), filed with the SEC on</w:t>
            </w:r>
          </w:p>
        </w:tc>
      </w:tr>
      <w:tr>
        <w:trPr>
          <w:trHeight w:val="228"/>
        </w:trPr>
        <w:tc>
          <w:tcPr>
            <w:tcW w:w="520" w:type="dxa"/>
            <w:vAlign w:val="bottom"/>
          </w:tcPr>
          <w:p>
            <w:pPr>
              <w:spacing w:after="0"/>
              <w:rPr>
                <w:sz w:val="19"/>
                <w:szCs w:val="19"/>
                <w:color w:val="auto"/>
              </w:rPr>
            </w:pPr>
          </w:p>
        </w:tc>
        <w:tc>
          <w:tcPr>
            <w:tcW w:w="1086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September 29, 2014).</w:t>
            </w:r>
          </w:p>
        </w:tc>
      </w:tr>
      <w:tr>
        <w:trPr>
          <w:trHeight w:val="365"/>
        </w:trPr>
        <w:tc>
          <w:tcPr>
            <w:tcW w:w="520" w:type="dxa"/>
            <w:vAlign w:val="bottom"/>
          </w:tcPr>
          <w:p>
            <w:pPr>
              <w:spacing w:after="0"/>
              <w:rPr>
                <w:sz w:val="24"/>
                <w:szCs w:val="24"/>
                <w:color w:val="auto"/>
              </w:rPr>
            </w:pPr>
          </w:p>
        </w:tc>
        <w:tc>
          <w:tcPr>
            <w:tcW w:w="6600" w:type="dxa"/>
            <w:vAlign w:val="bottom"/>
            <w:gridSpan w:val="2"/>
          </w:tcPr>
          <w:p>
            <w:pPr>
              <w:ind w:left="5100"/>
              <w:spacing w:after="0"/>
              <w:rPr>
                <w:sz w:val="20"/>
                <w:szCs w:val="20"/>
                <w:color w:val="auto"/>
              </w:rPr>
            </w:pPr>
            <w:r>
              <w:rPr>
                <w:rFonts w:ascii="Times New Roman" w:cs="Times New Roman" w:eastAsia="Times New Roman" w:hAnsi="Times New Roman"/>
                <w:sz w:val="18"/>
                <w:szCs w:val="18"/>
                <w:color w:val="auto"/>
              </w:rPr>
              <w:t>58</w:t>
            </w:r>
          </w:p>
        </w:tc>
        <w:tc>
          <w:tcPr>
            <w:tcW w:w="4260" w:type="dxa"/>
            <w:vAlign w:val="bottom"/>
          </w:tcPr>
          <w:p>
            <w:pPr>
              <w:spacing w:after="0"/>
              <w:rPr>
                <w:sz w:val="24"/>
                <w:szCs w:val="24"/>
                <w:color w:val="auto"/>
              </w:rPr>
            </w:pPr>
          </w:p>
        </w:tc>
      </w:tr>
    </w:tbl>
    <w:p>
      <w:pPr>
        <w:sectPr>
          <w:pgSz w:w="11900" w:h="16838" w:orient="portrait"/>
          <w:cols w:equalWidth="0" w:num="1">
            <w:col w:w="11380"/>
          </w:cols>
          <w:pgMar w:left="240" w:top="455" w:right="279" w:bottom="1440" w:gutter="0" w:footer="0" w:header="0"/>
        </w:sectPr>
      </w:pPr>
    </w:p>
    <w:bookmarkStart w:id="60" w:name="page61"/>
    <w:bookmarkEnd w:id="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50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4200" w:type="dxa"/>
            <w:vAlign w:val="bottom"/>
          </w:tcPr>
          <w:p>
            <w:pPr>
              <w:spacing w:after="0"/>
              <w:rPr>
                <w:sz w:val="13"/>
                <w:szCs w:val="13"/>
                <w:color w:val="auto"/>
              </w:rPr>
            </w:pPr>
          </w:p>
        </w:tc>
      </w:tr>
      <w:tr>
        <w:trPr>
          <w:trHeight w:val="172"/>
        </w:trPr>
        <w:tc>
          <w:tcPr>
            <w:tcW w:w="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5020" w:type="dxa"/>
            <w:vAlign w:val="bottom"/>
          </w:tcPr>
          <w:p>
            <w:pPr>
              <w:spacing w:after="0"/>
              <w:rPr>
                <w:sz w:val="14"/>
                <w:szCs w:val="14"/>
                <w:color w:val="auto"/>
              </w:rPr>
            </w:pPr>
          </w:p>
        </w:tc>
        <w:tc>
          <w:tcPr>
            <w:tcW w:w="15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w w:val="99"/>
              </w:rPr>
              <w:t>Description of Document</w:t>
            </w:r>
          </w:p>
        </w:tc>
        <w:tc>
          <w:tcPr>
            <w:tcW w:w="4200" w:type="dxa"/>
            <w:vAlign w:val="bottom"/>
          </w:tcPr>
          <w:p>
            <w:pPr>
              <w:spacing w:after="0"/>
              <w:rPr>
                <w:sz w:val="14"/>
                <w:szCs w:val="14"/>
                <w:color w:val="auto"/>
              </w:rPr>
            </w:pPr>
          </w:p>
        </w:tc>
      </w:tr>
      <w:tr>
        <w:trPr>
          <w:trHeight w:val="310"/>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076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Amended and Restated Promissory Note made by MannKind in favor of The Mann Group LLC, dated October 18, 2012 (incorporated by</w:t>
            </w:r>
          </w:p>
        </w:tc>
      </w:tr>
      <w:tr>
        <w:trPr>
          <w:trHeight w:val="228"/>
        </w:trPr>
        <w:tc>
          <w:tcPr>
            <w:tcW w:w="520" w:type="dxa"/>
            <w:vAlign w:val="bottom"/>
          </w:tcPr>
          <w:p>
            <w:pPr>
              <w:spacing w:after="0"/>
              <w:rPr>
                <w:sz w:val="19"/>
                <w:szCs w:val="19"/>
                <w:color w:val="auto"/>
              </w:rPr>
            </w:pPr>
          </w:p>
        </w:tc>
        <w:tc>
          <w:tcPr>
            <w:tcW w:w="1076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reference to MannKind’s Current Report on Form 8-K (File No. 000-50865), filed with the SEC on October 19, 2012).</w:t>
            </w:r>
          </w:p>
        </w:tc>
      </w:tr>
      <w:tr>
        <w:trPr>
          <w:trHeight w:val="31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1076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w w:val="99"/>
              </w:rPr>
              <w:t>Agreement, dated September 13, 2006, between MannKind and Torcon, Inc. (incorporated by reference to MannKind’s Quarterly Report on</w:t>
            </w:r>
          </w:p>
        </w:tc>
      </w:tr>
      <w:tr>
        <w:trPr>
          <w:trHeight w:val="228"/>
        </w:trPr>
        <w:tc>
          <w:tcPr>
            <w:tcW w:w="520" w:type="dxa"/>
            <w:vAlign w:val="bottom"/>
          </w:tcPr>
          <w:p>
            <w:pPr>
              <w:spacing w:after="0"/>
              <w:rPr>
                <w:sz w:val="19"/>
                <w:szCs w:val="19"/>
                <w:color w:val="auto"/>
              </w:rPr>
            </w:pPr>
          </w:p>
        </w:tc>
        <w:tc>
          <w:tcPr>
            <w:tcW w:w="1076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Form 10-Q (File No. 000-50865), filed with the SEC on August 9, 2007).</w:t>
            </w:r>
          </w:p>
        </w:tc>
      </w:tr>
      <w:tr>
        <w:trPr>
          <w:trHeight w:val="31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1076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w w:val="97"/>
              </w:rPr>
              <w:t>Securities Purchase Agreement, dated August 2, 2005 by and among MannKind and the purchasers listed on Exhibit A thereto (incorporated by</w:t>
            </w:r>
          </w:p>
        </w:tc>
      </w:tr>
      <w:tr>
        <w:trPr>
          <w:trHeight w:val="228"/>
        </w:trPr>
        <w:tc>
          <w:tcPr>
            <w:tcW w:w="520" w:type="dxa"/>
            <w:vAlign w:val="bottom"/>
          </w:tcPr>
          <w:p>
            <w:pPr>
              <w:spacing w:after="0"/>
              <w:rPr>
                <w:sz w:val="19"/>
                <w:szCs w:val="19"/>
                <w:color w:val="auto"/>
              </w:rPr>
            </w:pPr>
          </w:p>
        </w:tc>
        <w:tc>
          <w:tcPr>
            <w:tcW w:w="1076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reference to MannKind’s Current Report on Form 8-K (File No. 000-50865), filed with the SEC on August 5, 2005).</w:t>
            </w:r>
          </w:p>
        </w:tc>
      </w:tr>
      <w:tr>
        <w:trPr>
          <w:trHeight w:val="31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76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w w:val="97"/>
              </w:rPr>
              <w:t>Supply Agreement, dated December 31, 2004, between MannKind and Vaupell, Inc. (incorporated by reference to MannKind’s Current Report</w:t>
            </w:r>
          </w:p>
        </w:tc>
      </w:tr>
      <w:tr>
        <w:trPr>
          <w:trHeight w:val="228"/>
        </w:trPr>
        <w:tc>
          <w:tcPr>
            <w:tcW w:w="520" w:type="dxa"/>
            <w:vAlign w:val="bottom"/>
          </w:tcPr>
          <w:p>
            <w:pPr>
              <w:spacing w:after="0"/>
              <w:rPr>
                <w:sz w:val="19"/>
                <w:szCs w:val="19"/>
                <w:color w:val="auto"/>
              </w:rPr>
            </w:pPr>
          </w:p>
        </w:tc>
        <w:tc>
          <w:tcPr>
            <w:tcW w:w="1076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on Form 8-K (File No. 000-50865), filed with the SEC on February 23, 2005).</w:t>
            </w:r>
          </w:p>
        </w:tc>
      </w:tr>
      <w:tr>
        <w:trPr>
          <w:trHeight w:val="31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1076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Form of Indemnity Agreement entered into between MannKind and each of its directors and officers</w:t>
            </w:r>
          </w:p>
        </w:tc>
      </w:tr>
      <w:tr>
        <w:trPr>
          <w:trHeight w:val="216"/>
        </w:trPr>
        <w:tc>
          <w:tcPr>
            <w:tcW w:w="520" w:type="dxa"/>
            <w:vAlign w:val="bottom"/>
          </w:tcPr>
          <w:p>
            <w:pPr>
              <w:spacing w:after="0"/>
              <w:rPr>
                <w:sz w:val="18"/>
                <w:szCs w:val="18"/>
                <w:color w:val="auto"/>
              </w:rPr>
            </w:pPr>
          </w:p>
        </w:tc>
        <w:tc>
          <w:tcPr>
            <w:tcW w:w="1076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w w:val="97"/>
              </w:rPr>
              <w:t>(incorporated by reference to MannKind’s Registration Statement on Form S-1 (File No. 333-115020), filed with the SEC on April 30, 2004, as</w:t>
            </w:r>
          </w:p>
        </w:tc>
      </w:tr>
      <w:tr>
        <w:trPr>
          <w:trHeight w:val="228"/>
        </w:trPr>
        <w:tc>
          <w:tcPr>
            <w:tcW w:w="520" w:type="dxa"/>
            <w:vAlign w:val="bottom"/>
          </w:tcPr>
          <w:p>
            <w:pPr>
              <w:spacing w:after="0"/>
              <w:rPr>
                <w:sz w:val="19"/>
                <w:szCs w:val="19"/>
                <w:color w:val="auto"/>
              </w:rPr>
            </w:pPr>
          </w:p>
        </w:tc>
        <w:tc>
          <w:tcPr>
            <w:tcW w:w="1076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amended).</w:t>
            </w:r>
          </w:p>
        </w:tc>
      </w:tr>
      <w:tr>
        <w:trPr>
          <w:trHeight w:val="31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1076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Description of Officers’ Incentive Program (incorporated by reference to MannKind’s Annual Report on Form 10-K (File No. 000-50865),</w:t>
            </w:r>
          </w:p>
        </w:tc>
      </w:tr>
      <w:tr>
        <w:trPr>
          <w:trHeight w:val="228"/>
        </w:trPr>
        <w:tc>
          <w:tcPr>
            <w:tcW w:w="520" w:type="dxa"/>
            <w:vAlign w:val="bottom"/>
          </w:tcPr>
          <w:p>
            <w:pPr>
              <w:spacing w:after="0"/>
              <w:rPr>
                <w:sz w:val="19"/>
                <w:szCs w:val="19"/>
                <w:color w:val="auto"/>
              </w:rPr>
            </w:pPr>
          </w:p>
        </w:tc>
        <w:tc>
          <w:tcPr>
            <w:tcW w:w="1076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originally filed with the SEC on March 16, 2006).</w:t>
            </w:r>
          </w:p>
        </w:tc>
      </w:tr>
      <w:tr>
        <w:trPr>
          <w:trHeight w:val="31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1076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w w:val="98"/>
              </w:rPr>
              <w:t>Executive Severance Agreement, dated October 10, 2007, between MannKind and Hakan Edstrom (incorporated by reference to MannKind’s</w:t>
            </w:r>
          </w:p>
        </w:tc>
      </w:tr>
      <w:tr>
        <w:trPr>
          <w:trHeight w:val="228"/>
        </w:trPr>
        <w:tc>
          <w:tcPr>
            <w:tcW w:w="520" w:type="dxa"/>
            <w:vAlign w:val="bottom"/>
          </w:tcPr>
          <w:p>
            <w:pPr>
              <w:spacing w:after="0"/>
              <w:rPr>
                <w:sz w:val="19"/>
                <w:szCs w:val="19"/>
                <w:color w:val="auto"/>
              </w:rPr>
            </w:pPr>
          </w:p>
        </w:tc>
        <w:tc>
          <w:tcPr>
            <w:tcW w:w="1076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Current Report on Form 8-K (File No. 000-50865), as amended, filed with the SEC on October 17, 2007).</w:t>
            </w:r>
          </w:p>
        </w:tc>
      </w:tr>
      <w:tr>
        <w:trPr>
          <w:trHeight w:val="31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1076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w w:val="98"/>
              </w:rPr>
              <w:t>Executive Severance Agreement, dated October 10, 2007, between MannKind and David Thomson (incorporated by reference to MannKind’s</w:t>
            </w:r>
          </w:p>
        </w:tc>
      </w:tr>
      <w:tr>
        <w:trPr>
          <w:trHeight w:val="228"/>
        </w:trPr>
        <w:tc>
          <w:tcPr>
            <w:tcW w:w="520" w:type="dxa"/>
            <w:vAlign w:val="bottom"/>
          </w:tcPr>
          <w:p>
            <w:pPr>
              <w:spacing w:after="0"/>
              <w:rPr>
                <w:sz w:val="19"/>
                <w:szCs w:val="19"/>
                <w:color w:val="auto"/>
              </w:rPr>
            </w:pPr>
          </w:p>
        </w:tc>
        <w:tc>
          <w:tcPr>
            <w:tcW w:w="1076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Current Report on Form 8-K (File No. 000-50865), as amended, filed with the SEC on October 17, 2007).</w:t>
            </w:r>
          </w:p>
        </w:tc>
      </w:tr>
      <w:tr>
        <w:trPr>
          <w:trHeight w:val="31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1076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w w:val="98"/>
              </w:rPr>
              <w:t>Executive Severance Agreement, dated October 10, 2007, between MannKind and Juergen Martens (incorporated by reference to MannKind’s</w:t>
            </w:r>
          </w:p>
        </w:tc>
      </w:tr>
      <w:tr>
        <w:trPr>
          <w:trHeight w:val="228"/>
        </w:trPr>
        <w:tc>
          <w:tcPr>
            <w:tcW w:w="520" w:type="dxa"/>
            <w:vAlign w:val="bottom"/>
          </w:tcPr>
          <w:p>
            <w:pPr>
              <w:spacing w:after="0"/>
              <w:rPr>
                <w:sz w:val="19"/>
                <w:szCs w:val="19"/>
                <w:color w:val="auto"/>
              </w:rPr>
            </w:pPr>
          </w:p>
        </w:tc>
        <w:tc>
          <w:tcPr>
            <w:tcW w:w="1076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Current Report on Form 8-K (File No. 000-50865), as amended, filed with the SEC on October 17, 2007).</w:t>
            </w:r>
          </w:p>
        </w:tc>
      </w:tr>
      <w:tr>
        <w:trPr>
          <w:trHeight w:val="31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10.10*</w:t>
            </w:r>
          </w:p>
        </w:tc>
        <w:tc>
          <w:tcPr>
            <w:tcW w:w="1076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w w:val="98"/>
              </w:rPr>
              <w:t>Executive Severance Agreement, dated October 10, 2007, between MannKind and Diane Palumbo (incorporated by reference to MannKind’s</w:t>
            </w:r>
          </w:p>
        </w:tc>
      </w:tr>
      <w:tr>
        <w:trPr>
          <w:trHeight w:val="228"/>
        </w:trPr>
        <w:tc>
          <w:tcPr>
            <w:tcW w:w="520" w:type="dxa"/>
            <w:vAlign w:val="bottom"/>
          </w:tcPr>
          <w:p>
            <w:pPr>
              <w:spacing w:after="0"/>
              <w:rPr>
                <w:sz w:val="19"/>
                <w:szCs w:val="19"/>
                <w:color w:val="auto"/>
              </w:rPr>
            </w:pPr>
          </w:p>
        </w:tc>
        <w:tc>
          <w:tcPr>
            <w:tcW w:w="1076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Current Report on Form 8-K (File No. 000-50865), as amended, filed with the SEC on October 17, 2007).</w:t>
            </w:r>
          </w:p>
        </w:tc>
      </w:tr>
      <w:tr>
        <w:trPr>
          <w:trHeight w:val="31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1076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w w:val="98"/>
              </w:rPr>
              <w:t>Executive Severance Agreement, dated April 21, 2008, between MannKind and Matthew J. Pfeffer (incorporated by reference to MannKind’s</w:t>
            </w:r>
          </w:p>
        </w:tc>
      </w:tr>
      <w:tr>
        <w:trPr>
          <w:trHeight w:val="228"/>
        </w:trPr>
        <w:tc>
          <w:tcPr>
            <w:tcW w:w="520" w:type="dxa"/>
            <w:vAlign w:val="bottom"/>
          </w:tcPr>
          <w:p>
            <w:pPr>
              <w:spacing w:after="0"/>
              <w:rPr>
                <w:sz w:val="19"/>
                <w:szCs w:val="19"/>
                <w:color w:val="auto"/>
              </w:rPr>
            </w:pPr>
          </w:p>
        </w:tc>
        <w:tc>
          <w:tcPr>
            <w:tcW w:w="1076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Current Report on Form 8-K (File No. 000-50865), as amended, filed with the SEC on October 17, 2007).</w:t>
            </w:r>
          </w:p>
        </w:tc>
      </w:tr>
      <w:tr>
        <w:trPr>
          <w:trHeight w:val="31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10.12*</w:t>
            </w:r>
          </w:p>
        </w:tc>
        <w:tc>
          <w:tcPr>
            <w:tcW w:w="1076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Change of Control Agreement, dated October 10, 2007, between MannKind and Hakan Edstrom (incorporated by reference to MannKind’s</w:t>
            </w:r>
          </w:p>
        </w:tc>
      </w:tr>
      <w:tr>
        <w:trPr>
          <w:trHeight w:val="228"/>
        </w:trPr>
        <w:tc>
          <w:tcPr>
            <w:tcW w:w="520" w:type="dxa"/>
            <w:vAlign w:val="bottom"/>
          </w:tcPr>
          <w:p>
            <w:pPr>
              <w:spacing w:after="0"/>
              <w:rPr>
                <w:sz w:val="19"/>
                <w:szCs w:val="19"/>
                <w:color w:val="auto"/>
              </w:rPr>
            </w:pPr>
          </w:p>
        </w:tc>
        <w:tc>
          <w:tcPr>
            <w:tcW w:w="1076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Current Report on Form 8-K (File No. 000-50865), as amended, filed with the SEC on October 17, 2007).</w:t>
            </w:r>
          </w:p>
        </w:tc>
      </w:tr>
      <w:tr>
        <w:trPr>
          <w:trHeight w:val="31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10.13*</w:t>
            </w:r>
          </w:p>
        </w:tc>
        <w:tc>
          <w:tcPr>
            <w:tcW w:w="1076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w w:val="99"/>
              </w:rPr>
              <w:t>Change of Control Agreement, dated October 10, 2007, between MannKind and David Thomson (incorporated by reference to MannKind’s</w:t>
            </w:r>
          </w:p>
        </w:tc>
      </w:tr>
      <w:tr>
        <w:trPr>
          <w:trHeight w:val="228"/>
        </w:trPr>
        <w:tc>
          <w:tcPr>
            <w:tcW w:w="520" w:type="dxa"/>
            <w:vAlign w:val="bottom"/>
          </w:tcPr>
          <w:p>
            <w:pPr>
              <w:spacing w:after="0"/>
              <w:rPr>
                <w:sz w:val="19"/>
                <w:szCs w:val="19"/>
                <w:color w:val="auto"/>
              </w:rPr>
            </w:pPr>
          </w:p>
        </w:tc>
        <w:tc>
          <w:tcPr>
            <w:tcW w:w="1076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Current Report on Form 8-K (File No. 000-50865), as amended, filed with the SEC on October 17, 2007).</w:t>
            </w:r>
          </w:p>
        </w:tc>
      </w:tr>
      <w:tr>
        <w:trPr>
          <w:trHeight w:val="31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10.14*</w:t>
            </w:r>
          </w:p>
        </w:tc>
        <w:tc>
          <w:tcPr>
            <w:tcW w:w="1076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w w:val="99"/>
              </w:rPr>
              <w:t>Change of Control Agreement, dated October 10, 2007, between MannKind and Juergen Martens (incorporated by reference to MannKind’s</w:t>
            </w:r>
          </w:p>
        </w:tc>
      </w:tr>
      <w:tr>
        <w:trPr>
          <w:trHeight w:val="228"/>
        </w:trPr>
        <w:tc>
          <w:tcPr>
            <w:tcW w:w="520" w:type="dxa"/>
            <w:vAlign w:val="bottom"/>
          </w:tcPr>
          <w:p>
            <w:pPr>
              <w:spacing w:after="0"/>
              <w:rPr>
                <w:sz w:val="19"/>
                <w:szCs w:val="19"/>
                <w:color w:val="auto"/>
              </w:rPr>
            </w:pPr>
          </w:p>
        </w:tc>
        <w:tc>
          <w:tcPr>
            <w:tcW w:w="1076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Current Report on Form 8-K (File No. 000-50865), as amended, filed with the SEC on October 17, 2007).</w:t>
            </w:r>
          </w:p>
        </w:tc>
      </w:tr>
      <w:tr>
        <w:trPr>
          <w:trHeight w:val="31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10.15*</w:t>
            </w:r>
          </w:p>
        </w:tc>
        <w:tc>
          <w:tcPr>
            <w:tcW w:w="1076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Change of Control Agreement, dated October 10, 2007, between MannKind and Diane Palumbo (incorporated by reference to MannKind’s</w:t>
            </w:r>
          </w:p>
        </w:tc>
      </w:tr>
      <w:tr>
        <w:trPr>
          <w:trHeight w:val="228"/>
        </w:trPr>
        <w:tc>
          <w:tcPr>
            <w:tcW w:w="520" w:type="dxa"/>
            <w:vAlign w:val="bottom"/>
          </w:tcPr>
          <w:p>
            <w:pPr>
              <w:spacing w:after="0"/>
              <w:rPr>
                <w:sz w:val="19"/>
                <w:szCs w:val="19"/>
                <w:color w:val="auto"/>
              </w:rPr>
            </w:pPr>
          </w:p>
        </w:tc>
        <w:tc>
          <w:tcPr>
            <w:tcW w:w="1076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Current Report on Form 8-K (File No. 000-50865), as amended, filed with the SEC on October 17, 2007).</w:t>
            </w:r>
          </w:p>
        </w:tc>
      </w:tr>
      <w:tr>
        <w:trPr>
          <w:trHeight w:val="365"/>
        </w:trPr>
        <w:tc>
          <w:tcPr>
            <w:tcW w:w="520" w:type="dxa"/>
            <w:vAlign w:val="bottom"/>
          </w:tcPr>
          <w:p>
            <w:pPr>
              <w:spacing w:after="0"/>
              <w:rPr>
                <w:sz w:val="24"/>
                <w:szCs w:val="24"/>
                <w:color w:val="auto"/>
              </w:rPr>
            </w:pPr>
          </w:p>
        </w:tc>
        <w:tc>
          <w:tcPr>
            <w:tcW w:w="6560" w:type="dxa"/>
            <w:vAlign w:val="bottom"/>
            <w:gridSpan w:val="2"/>
          </w:tcPr>
          <w:p>
            <w:pPr>
              <w:ind w:left="5100"/>
              <w:spacing w:after="0"/>
              <w:rPr>
                <w:sz w:val="20"/>
                <w:szCs w:val="20"/>
                <w:color w:val="auto"/>
              </w:rPr>
            </w:pPr>
            <w:r>
              <w:rPr>
                <w:rFonts w:ascii="Times New Roman" w:cs="Times New Roman" w:eastAsia="Times New Roman" w:hAnsi="Times New Roman"/>
                <w:sz w:val="18"/>
                <w:szCs w:val="18"/>
                <w:color w:val="auto"/>
              </w:rPr>
              <w:t>59</w:t>
            </w:r>
          </w:p>
        </w:tc>
        <w:tc>
          <w:tcPr>
            <w:tcW w:w="4200" w:type="dxa"/>
            <w:vAlign w:val="bottom"/>
          </w:tcPr>
          <w:p>
            <w:pPr>
              <w:spacing w:after="0"/>
              <w:rPr>
                <w:sz w:val="24"/>
                <w:szCs w:val="24"/>
                <w:color w:val="auto"/>
              </w:rPr>
            </w:pPr>
          </w:p>
        </w:tc>
      </w:tr>
    </w:tbl>
    <w:p>
      <w:pPr>
        <w:sectPr>
          <w:pgSz w:w="11900" w:h="16838" w:orient="portrait"/>
          <w:cols w:equalWidth="0" w:num="1">
            <w:col w:w="11280"/>
          </w:cols>
          <w:pgMar w:left="240" w:top="455" w:right="379" w:bottom="1440" w:gutter="0" w:footer="0" w:header="0"/>
        </w:sectPr>
      </w:pPr>
    </w:p>
    <w:bookmarkStart w:id="61" w:name="page62"/>
    <w:bookmarkEnd w:id="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9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46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4240" w:type="dxa"/>
            <w:vAlign w:val="bottom"/>
          </w:tcPr>
          <w:p>
            <w:pPr>
              <w:spacing w:after="0"/>
              <w:rPr>
                <w:sz w:val="13"/>
                <w:szCs w:val="13"/>
                <w:color w:val="auto"/>
              </w:rPr>
            </w:pPr>
          </w:p>
        </w:tc>
      </w:tr>
      <w:tr>
        <w:trPr>
          <w:trHeight w:val="172"/>
        </w:trPr>
        <w:tc>
          <w:tcPr>
            <w:tcW w:w="40" w:type="dxa"/>
            <w:vAlign w:val="bottom"/>
          </w:tcPr>
          <w:p>
            <w:pPr>
              <w:spacing w:after="0"/>
              <w:rPr>
                <w:sz w:val="14"/>
                <w:szCs w:val="14"/>
                <w:color w:val="auto"/>
              </w:rPr>
            </w:pPr>
          </w:p>
        </w:tc>
        <w:tc>
          <w:tcPr>
            <w:tcW w:w="9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4660" w:type="dxa"/>
            <w:vAlign w:val="bottom"/>
          </w:tcPr>
          <w:p>
            <w:pPr>
              <w:spacing w:after="0"/>
              <w:rPr>
                <w:sz w:val="14"/>
                <w:szCs w:val="14"/>
                <w:color w:val="auto"/>
              </w:rPr>
            </w:pPr>
          </w:p>
        </w:tc>
        <w:tc>
          <w:tcPr>
            <w:tcW w:w="15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w w:val="99"/>
              </w:rPr>
              <w:t>Description of Document</w:t>
            </w:r>
          </w:p>
        </w:tc>
        <w:tc>
          <w:tcPr>
            <w:tcW w:w="4240" w:type="dxa"/>
            <w:vAlign w:val="bottom"/>
          </w:tcPr>
          <w:p>
            <w:pPr>
              <w:spacing w:after="0"/>
              <w:rPr>
                <w:sz w:val="14"/>
                <w:szCs w:val="14"/>
                <w:color w:val="auto"/>
              </w:rPr>
            </w:pPr>
          </w:p>
        </w:tc>
      </w:tr>
      <w:tr>
        <w:trPr>
          <w:trHeight w:val="310"/>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10.16*</w:t>
            </w:r>
          </w:p>
        </w:tc>
        <w:tc>
          <w:tcPr>
            <w:tcW w:w="420" w:type="dxa"/>
            <w:vAlign w:val="bottom"/>
          </w:tcPr>
          <w:p>
            <w:pPr>
              <w:spacing w:after="0"/>
              <w:rPr>
                <w:sz w:val="24"/>
                <w:szCs w:val="24"/>
                <w:color w:val="auto"/>
              </w:rPr>
            </w:pPr>
          </w:p>
        </w:tc>
        <w:tc>
          <w:tcPr>
            <w:tcW w:w="1044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w w:val="99"/>
              </w:rPr>
              <w:t>Change of Control Agreement, dated April 21, 2008, between MannKind and Matthew J. Pfeffer (incorporated by reference to MannKind’s</w:t>
            </w:r>
          </w:p>
        </w:tc>
      </w:tr>
      <w:tr>
        <w:trPr>
          <w:trHeight w:val="228"/>
        </w:trPr>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4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Current Report on Form 8-K (File No. 000-50865), as amended, filed with the SEC on October 17, 2007).</w:t>
            </w:r>
          </w:p>
        </w:tc>
      </w:tr>
      <w:tr>
        <w:trPr>
          <w:trHeight w:val="312"/>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10.17*</w:t>
            </w:r>
          </w:p>
        </w:tc>
        <w:tc>
          <w:tcPr>
            <w:tcW w:w="420" w:type="dxa"/>
            <w:vAlign w:val="bottom"/>
          </w:tcPr>
          <w:p>
            <w:pPr>
              <w:spacing w:after="0"/>
              <w:rPr>
                <w:sz w:val="24"/>
                <w:szCs w:val="24"/>
                <w:color w:val="auto"/>
              </w:rPr>
            </w:pPr>
          </w:p>
        </w:tc>
        <w:tc>
          <w:tcPr>
            <w:tcW w:w="1044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w w:val="99"/>
              </w:rPr>
              <w:t>2004 Equity Incentive Plan, as amended (incorporated by reference to MannKind’s proxy statement on Schedule 14A (File No. 000-50865),</w:t>
            </w:r>
          </w:p>
        </w:tc>
      </w:tr>
      <w:tr>
        <w:trPr>
          <w:trHeight w:val="228"/>
        </w:trPr>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4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originally filed with the SEC on April 6, 2012).</w:t>
            </w:r>
          </w:p>
        </w:tc>
      </w:tr>
      <w:tr>
        <w:trPr>
          <w:trHeight w:val="312"/>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10.18*</w:t>
            </w:r>
          </w:p>
        </w:tc>
        <w:tc>
          <w:tcPr>
            <w:tcW w:w="420" w:type="dxa"/>
            <w:vAlign w:val="bottom"/>
          </w:tcPr>
          <w:p>
            <w:pPr>
              <w:spacing w:after="0"/>
              <w:rPr>
                <w:sz w:val="24"/>
                <w:szCs w:val="24"/>
                <w:color w:val="auto"/>
              </w:rPr>
            </w:pPr>
          </w:p>
        </w:tc>
        <w:tc>
          <w:tcPr>
            <w:tcW w:w="1044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w w:val="98"/>
              </w:rPr>
              <w:t>Form of Stock Option Agreement under the 2004 Equity Incentive Plan (incorporated by reference to MannKind’s Registration Statement on</w:t>
            </w:r>
          </w:p>
        </w:tc>
      </w:tr>
      <w:tr>
        <w:trPr>
          <w:trHeight w:val="228"/>
        </w:trPr>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4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Form S-1 (File No. 333-115020), originally filed with the SEC on April 30, 2004, as amended).</w:t>
            </w:r>
          </w:p>
        </w:tc>
      </w:tr>
      <w:tr>
        <w:trPr>
          <w:trHeight w:val="312"/>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10.19*</w:t>
            </w:r>
          </w:p>
        </w:tc>
        <w:tc>
          <w:tcPr>
            <w:tcW w:w="420" w:type="dxa"/>
            <w:vAlign w:val="bottom"/>
          </w:tcPr>
          <w:p>
            <w:pPr>
              <w:spacing w:after="0"/>
              <w:rPr>
                <w:sz w:val="24"/>
                <w:szCs w:val="24"/>
                <w:color w:val="auto"/>
              </w:rPr>
            </w:pPr>
          </w:p>
        </w:tc>
        <w:tc>
          <w:tcPr>
            <w:tcW w:w="1044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w w:val="97"/>
              </w:rPr>
              <w:t>Form of Phantom Stock Award Agreement under the 2004 Equity Incentive Plan (incorporated by reference to MannKind’s Current Report on</w:t>
            </w:r>
          </w:p>
        </w:tc>
      </w:tr>
      <w:tr>
        <w:trPr>
          <w:trHeight w:val="228"/>
        </w:trPr>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4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Form 8-K (File No. 000-50865), filed with the SEC on December 14, 2005).</w:t>
            </w:r>
          </w:p>
        </w:tc>
      </w:tr>
      <w:tr>
        <w:trPr>
          <w:trHeight w:val="312"/>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10.20*</w:t>
            </w:r>
          </w:p>
        </w:tc>
        <w:tc>
          <w:tcPr>
            <w:tcW w:w="420" w:type="dxa"/>
            <w:vAlign w:val="bottom"/>
          </w:tcPr>
          <w:p>
            <w:pPr>
              <w:spacing w:after="0"/>
              <w:rPr>
                <w:sz w:val="24"/>
                <w:szCs w:val="24"/>
                <w:color w:val="auto"/>
              </w:rPr>
            </w:pPr>
          </w:p>
        </w:tc>
        <w:tc>
          <w:tcPr>
            <w:tcW w:w="1044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w w:val="98"/>
              </w:rPr>
              <w:t>2004 Non-Employee Directors’ Stock Option Plan and form of stock option agreement there under (incorporated by reference to MannKind’s</w:t>
            </w:r>
          </w:p>
        </w:tc>
      </w:tr>
      <w:tr>
        <w:trPr>
          <w:trHeight w:val="228"/>
        </w:trPr>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4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Annual Report on Form 10-K (File No. 000-50865), filed with the SEC on March 16, 2006).</w:t>
            </w:r>
          </w:p>
        </w:tc>
      </w:tr>
      <w:tr>
        <w:trPr>
          <w:trHeight w:val="312"/>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10.21*</w:t>
            </w:r>
          </w:p>
        </w:tc>
        <w:tc>
          <w:tcPr>
            <w:tcW w:w="420" w:type="dxa"/>
            <w:vAlign w:val="bottom"/>
          </w:tcPr>
          <w:p>
            <w:pPr>
              <w:spacing w:after="0"/>
              <w:rPr>
                <w:sz w:val="24"/>
                <w:szCs w:val="24"/>
                <w:color w:val="auto"/>
              </w:rPr>
            </w:pPr>
          </w:p>
        </w:tc>
        <w:tc>
          <w:tcPr>
            <w:tcW w:w="1044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2004 Employee Stock Purchase Plan and form of offering document there under (incorporated by reference to MannKind’s Registration</w:t>
            </w:r>
          </w:p>
        </w:tc>
      </w:tr>
      <w:tr>
        <w:trPr>
          <w:trHeight w:val="228"/>
        </w:trPr>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4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Statement on Form S-1 (File No. 333-115020), originally filed with the SEC on April 30, 2004, as amended).</w:t>
            </w:r>
          </w:p>
        </w:tc>
      </w:tr>
      <w:tr>
        <w:trPr>
          <w:trHeight w:val="312"/>
        </w:trPr>
        <w:tc>
          <w:tcPr>
            <w:tcW w:w="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10.22**</w:t>
            </w:r>
          </w:p>
        </w:tc>
        <w:tc>
          <w:tcPr>
            <w:tcW w:w="1044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w w:val="99"/>
              </w:rPr>
              <w:t>Letter Agreement, dated June 4, 2011, between MannKind and N.V. Organon (incorporated by reference to MannKind’s Current Report on</w:t>
            </w:r>
          </w:p>
        </w:tc>
      </w:tr>
      <w:tr>
        <w:trPr>
          <w:trHeight w:val="228"/>
        </w:trPr>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4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Form 8-K (File No. 000-50865), filed with the SEC on July 1, 2013).</w:t>
            </w:r>
          </w:p>
        </w:tc>
      </w:tr>
      <w:tr>
        <w:trPr>
          <w:trHeight w:val="312"/>
        </w:trPr>
        <w:tc>
          <w:tcPr>
            <w:tcW w:w="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10.23**</w:t>
            </w:r>
          </w:p>
        </w:tc>
        <w:tc>
          <w:tcPr>
            <w:tcW w:w="1044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w w:val="98"/>
              </w:rPr>
              <w:t>Insulin Maintenance and Call-Option Agreement, dated June 19, 2009, by and among Pfizer Manufacturing Frankfurt GmbH, Pfizer Inc. and</w:t>
            </w:r>
          </w:p>
        </w:tc>
      </w:tr>
      <w:tr>
        <w:trPr>
          <w:trHeight w:val="216"/>
        </w:trPr>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4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MannKind (incorporated by reference to MannKind’s Quarterly Report on Form 10-Q (File No. 000-50865), filed with the SEC on May 4,</w:t>
            </w:r>
          </w:p>
        </w:tc>
      </w:tr>
      <w:tr>
        <w:trPr>
          <w:trHeight w:val="228"/>
        </w:trPr>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6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2009).</w:t>
            </w:r>
          </w:p>
        </w:tc>
        <w:tc>
          <w:tcPr>
            <w:tcW w:w="1540" w:type="dxa"/>
            <w:vAlign w:val="bottom"/>
          </w:tcPr>
          <w:p>
            <w:pPr>
              <w:spacing w:after="0"/>
              <w:rPr>
                <w:sz w:val="19"/>
                <w:szCs w:val="19"/>
                <w:color w:val="auto"/>
              </w:rPr>
            </w:pPr>
          </w:p>
        </w:tc>
        <w:tc>
          <w:tcPr>
            <w:tcW w:w="4240" w:type="dxa"/>
            <w:vAlign w:val="bottom"/>
          </w:tcPr>
          <w:p>
            <w:pPr>
              <w:spacing w:after="0"/>
              <w:rPr>
                <w:sz w:val="19"/>
                <w:szCs w:val="19"/>
                <w:color w:val="auto"/>
              </w:rPr>
            </w:pPr>
          </w:p>
        </w:tc>
      </w:tr>
      <w:tr>
        <w:trPr>
          <w:trHeight w:val="312"/>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10.24</w:t>
            </w:r>
          </w:p>
        </w:tc>
        <w:tc>
          <w:tcPr>
            <w:tcW w:w="420" w:type="dxa"/>
            <w:vAlign w:val="bottom"/>
          </w:tcPr>
          <w:p>
            <w:pPr>
              <w:spacing w:after="0"/>
              <w:rPr>
                <w:sz w:val="24"/>
                <w:szCs w:val="24"/>
                <w:color w:val="auto"/>
              </w:rPr>
            </w:pPr>
          </w:p>
        </w:tc>
        <w:tc>
          <w:tcPr>
            <w:tcW w:w="1044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Share Lending Agreement, dated August 18, 2010, by and between MannKind and Bank of America, N.A. (incorporated by reference to</w:t>
            </w:r>
          </w:p>
        </w:tc>
      </w:tr>
      <w:tr>
        <w:trPr>
          <w:trHeight w:val="228"/>
        </w:trPr>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4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MannKind’s Current Report on Form 8-K (File No. 000-50865), filed with the SEC on August 24, 2010).</w:t>
            </w:r>
          </w:p>
        </w:tc>
      </w:tr>
      <w:tr>
        <w:trPr>
          <w:trHeight w:val="312"/>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10.25</w:t>
            </w:r>
          </w:p>
        </w:tc>
        <w:tc>
          <w:tcPr>
            <w:tcW w:w="420" w:type="dxa"/>
            <w:vAlign w:val="bottom"/>
          </w:tcPr>
          <w:p>
            <w:pPr>
              <w:spacing w:after="0"/>
              <w:rPr>
                <w:sz w:val="24"/>
                <w:szCs w:val="24"/>
                <w:color w:val="auto"/>
              </w:rPr>
            </w:pPr>
          </w:p>
        </w:tc>
        <w:tc>
          <w:tcPr>
            <w:tcW w:w="1044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w w:val="97"/>
              </w:rPr>
              <w:t>At-The-Market Issuance Sales Agreement, dated March 3, 2014, by and between MannKind and MLV &amp; Co. LLC (incorporated by reference</w:t>
            </w:r>
          </w:p>
        </w:tc>
      </w:tr>
      <w:tr>
        <w:trPr>
          <w:trHeight w:val="228"/>
        </w:trPr>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4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to Exhibit 10.31 to MannKind’s Annual Report on Form 10-K (File No. 000-50865), filed with the SEC on March 3, 2014).</w:t>
            </w:r>
          </w:p>
        </w:tc>
      </w:tr>
      <w:tr>
        <w:trPr>
          <w:trHeight w:val="312"/>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10.26</w:t>
            </w:r>
          </w:p>
        </w:tc>
        <w:tc>
          <w:tcPr>
            <w:tcW w:w="420" w:type="dxa"/>
            <w:vAlign w:val="bottom"/>
          </w:tcPr>
          <w:p>
            <w:pPr>
              <w:spacing w:after="0"/>
              <w:rPr>
                <w:sz w:val="24"/>
                <w:szCs w:val="24"/>
                <w:color w:val="auto"/>
              </w:rPr>
            </w:pPr>
          </w:p>
        </w:tc>
        <w:tc>
          <w:tcPr>
            <w:tcW w:w="1044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w w:val="99"/>
              </w:rPr>
              <w:t>At-The-Market Issuance Sales Agreement, dated March 3, 2014, by and between MannKind and Meyers Associates, L.P. (doing business as</w:t>
            </w:r>
          </w:p>
        </w:tc>
      </w:tr>
      <w:tr>
        <w:trPr>
          <w:trHeight w:val="216"/>
        </w:trPr>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4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w w:val="97"/>
              </w:rPr>
              <w:t>Brinson Patrick, a division of Meyers Associates, L.P.) (incorporated by reference to Exhibit 10.32 to MannKind’s Annual Report on Form 10-</w:t>
            </w:r>
          </w:p>
        </w:tc>
      </w:tr>
      <w:tr>
        <w:trPr>
          <w:trHeight w:val="228"/>
        </w:trPr>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4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K (File No. 000-50865), filed with the SEC on March 3, 2014).</w:t>
            </w:r>
          </w:p>
        </w:tc>
      </w:tr>
      <w:tr>
        <w:trPr>
          <w:trHeight w:val="312"/>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10.27*</w:t>
            </w:r>
          </w:p>
        </w:tc>
        <w:tc>
          <w:tcPr>
            <w:tcW w:w="420" w:type="dxa"/>
            <w:vAlign w:val="bottom"/>
          </w:tcPr>
          <w:p>
            <w:pPr>
              <w:spacing w:after="0"/>
              <w:rPr>
                <w:sz w:val="24"/>
                <w:szCs w:val="24"/>
                <w:color w:val="auto"/>
              </w:rPr>
            </w:pPr>
          </w:p>
        </w:tc>
        <w:tc>
          <w:tcPr>
            <w:tcW w:w="1044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Acknowledgment and Agreement, dated as of October 31, 2013, by and between MannKind and The Mann Group LLC (incorporated by</w:t>
            </w:r>
          </w:p>
        </w:tc>
      </w:tr>
      <w:tr>
        <w:trPr>
          <w:trHeight w:val="228"/>
        </w:trPr>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4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reference to MannKind’s Current Report on Form 8-K (File No. 000-50865), filed with the SEC on November 4, 2013).</w:t>
            </w:r>
          </w:p>
        </w:tc>
      </w:tr>
      <w:tr>
        <w:trPr>
          <w:trHeight w:val="312"/>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10.28*</w:t>
            </w:r>
          </w:p>
        </w:tc>
        <w:tc>
          <w:tcPr>
            <w:tcW w:w="420" w:type="dxa"/>
            <w:vAlign w:val="bottom"/>
          </w:tcPr>
          <w:p>
            <w:pPr>
              <w:spacing w:after="0"/>
              <w:rPr>
                <w:sz w:val="24"/>
                <w:szCs w:val="24"/>
                <w:color w:val="auto"/>
              </w:rPr>
            </w:pPr>
          </w:p>
        </w:tc>
        <w:tc>
          <w:tcPr>
            <w:tcW w:w="1044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Non-Employee Director Compensation Program (incorporated by reference to MannKind’s Quarterly Report on Form 10-Q (File No. 000-</w:t>
            </w:r>
          </w:p>
        </w:tc>
      </w:tr>
      <w:tr>
        <w:trPr>
          <w:trHeight w:val="228"/>
        </w:trPr>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4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50865), filed with the SEC on August 9, 2013).</w:t>
            </w:r>
          </w:p>
        </w:tc>
      </w:tr>
      <w:tr>
        <w:trPr>
          <w:trHeight w:val="312"/>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10.29*</w:t>
            </w:r>
          </w:p>
        </w:tc>
        <w:tc>
          <w:tcPr>
            <w:tcW w:w="420" w:type="dxa"/>
            <w:vAlign w:val="bottom"/>
          </w:tcPr>
          <w:p>
            <w:pPr>
              <w:spacing w:after="0"/>
              <w:rPr>
                <w:sz w:val="24"/>
                <w:szCs w:val="24"/>
                <w:color w:val="auto"/>
              </w:rPr>
            </w:pPr>
          </w:p>
        </w:tc>
        <w:tc>
          <w:tcPr>
            <w:tcW w:w="1044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MannKind Corporation 2013 Equity Incentive Plan (incorporated by reference to MannKind’s registration statement on Form S-8 (File</w:t>
            </w:r>
          </w:p>
        </w:tc>
      </w:tr>
      <w:tr>
        <w:trPr>
          <w:trHeight w:val="228"/>
        </w:trPr>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4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No. 000-188790), filed with the SEC on May 23, 2013).</w:t>
            </w:r>
          </w:p>
        </w:tc>
      </w:tr>
      <w:tr>
        <w:trPr>
          <w:trHeight w:val="312"/>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10.30*</w:t>
            </w:r>
          </w:p>
        </w:tc>
        <w:tc>
          <w:tcPr>
            <w:tcW w:w="420" w:type="dxa"/>
            <w:vAlign w:val="bottom"/>
          </w:tcPr>
          <w:p>
            <w:pPr>
              <w:spacing w:after="0"/>
              <w:rPr>
                <w:sz w:val="24"/>
                <w:szCs w:val="24"/>
                <w:color w:val="auto"/>
              </w:rPr>
            </w:pPr>
          </w:p>
        </w:tc>
        <w:tc>
          <w:tcPr>
            <w:tcW w:w="1044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Form of Stock Option Grant Notice, Stock Option Agreement and Notice of Exercise under the MannKind 2013 Equity Incentive Plan</w:t>
            </w:r>
          </w:p>
        </w:tc>
      </w:tr>
      <w:tr>
        <w:trPr>
          <w:trHeight w:val="228"/>
        </w:trPr>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4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w w:val="99"/>
              </w:rPr>
              <w:t>(incorporated by reference to MannKind’s registration statement on Form S-8 (File No. 000-188790), filed with the SEC on May 23, 2013).</w:t>
            </w:r>
          </w:p>
        </w:tc>
      </w:tr>
      <w:tr>
        <w:trPr>
          <w:trHeight w:val="365"/>
        </w:trPr>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0" w:type="dxa"/>
            <w:vAlign w:val="bottom"/>
            <w:gridSpan w:val="2"/>
          </w:tcPr>
          <w:p>
            <w:pPr>
              <w:ind w:left="4660"/>
              <w:spacing w:after="0"/>
              <w:rPr>
                <w:sz w:val="20"/>
                <w:szCs w:val="20"/>
                <w:color w:val="auto"/>
              </w:rPr>
            </w:pPr>
            <w:r>
              <w:rPr>
                <w:rFonts w:ascii="Times New Roman" w:cs="Times New Roman" w:eastAsia="Times New Roman" w:hAnsi="Times New Roman"/>
                <w:sz w:val="18"/>
                <w:szCs w:val="18"/>
                <w:color w:val="auto"/>
              </w:rPr>
              <w:t>60</w:t>
            </w:r>
          </w:p>
        </w:tc>
        <w:tc>
          <w:tcPr>
            <w:tcW w:w="4240" w:type="dxa"/>
            <w:vAlign w:val="bottom"/>
          </w:tcPr>
          <w:p>
            <w:pPr>
              <w:spacing w:after="0"/>
              <w:rPr>
                <w:sz w:val="24"/>
                <w:szCs w:val="24"/>
                <w:color w:val="auto"/>
              </w:rPr>
            </w:pPr>
          </w:p>
        </w:tc>
      </w:tr>
    </w:tbl>
    <w:p>
      <w:pPr>
        <w:sectPr>
          <w:pgSz w:w="11900" w:h="16838" w:orient="portrait"/>
          <w:cols w:equalWidth="0" w:num="1">
            <w:col w:w="11400"/>
          </w:cols>
          <w:pgMar w:left="240" w:top="455" w:right="259" w:bottom="1440" w:gutter="0" w:footer="0" w:header="0"/>
        </w:sectPr>
      </w:pPr>
    </w:p>
    <w:bookmarkStart w:id="62" w:name="page63"/>
    <w:bookmarkEnd w:id="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9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6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4280" w:type="dxa"/>
            <w:vAlign w:val="bottom"/>
          </w:tcPr>
          <w:p>
            <w:pPr>
              <w:spacing w:after="0"/>
              <w:rPr>
                <w:sz w:val="13"/>
                <w:szCs w:val="13"/>
                <w:color w:val="auto"/>
              </w:rPr>
            </w:pPr>
          </w:p>
        </w:tc>
      </w:tr>
      <w:tr>
        <w:trPr>
          <w:trHeight w:val="172"/>
        </w:trPr>
        <w:tc>
          <w:tcPr>
            <w:tcW w:w="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38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5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w w:val="97"/>
              </w:rPr>
              <w:t>Description of Document</w:t>
            </w:r>
          </w:p>
        </w:tc>
        <w:tc>
          <w:tcPr>
            <w:tcW w:w="4280" w:type="dxa"/>
            <w:vAlign w:val="bottom"/>
          </w:tcPr>
          <w:p>
            <w:pPr>
              <w:spacing w:after="0"/>
              <w:rPr>
                <w:sz w:val="14"/>
                <w:szCs w:val="14"/>
                <w:color w:val="auto"/>
              </w:rPr>
            </w:pPr>
          </w:p>
        </w:tc>
      </w:tr>
      <w:tr>
        <w:trPr>
          <w:trHeight w:val="310"/>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10.31*</w:t>
            </w:r>
          </w:p>
        </w:tc>
        <w:tc>
          <w:tcPr>
            <w:tcW w:w="380" w:type="dxa"/>
            <w:vAlign w:val="bottom"/>
          </w:tcPr>
          <w:p>
            <w:pPr>
              <w:spacing w:after="0"/>
              <w:rPr>
                <w:sz w:val="24"/>
                <w:szCs w:val="24"/>
                <w:color w:val="auto"/>
              </w:rPr>
            </w:pPr>
          </w:p>
        </w:tc>
        <w:tc>
          <w:tcPr>
            <w:tcW w:w="104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Form of Restricted Stock Unit Grant Notice and Restricted Stock Unit Award Agreement under the MannKind 2013 Equity Incentive Plan</w:t>
            </w:r>
          </w:p>
        </w:tc>
      </w:tr>
      <w:tr>
        <w:trPr>
          <w:trHeight w:val="228"/>
        </w:trPr>
        <w:tc>
          <w:tcPr>
            <w:tcW w:w="5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(incorporated by reference to MannKind’s registration statement on Form S-8 (File No. 000-188790), filed with the SEC on May 23, 2013).</w:t>
            </w:r>
          </w:p>
        </w:tc>
      </w:tr>
      <w:tr>
        <w:trPr>
          <w:trHeight w:val="31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10.32</w:t>
            </w:r>
          </w:p>
        </w:tc>
        <w:tc>
          <w:tcPr>
            <w:tcW w:w="380" w:type="dxa"/>
            <w:vAlign w:val="bottom"/>
          </w:tcPr>
          <w:p>
            <w:pPr>
              <w:spacing w:after="0"/>
              <w:rPr>
                <w:sz w:val="24"/>
                <w:szCs w:val="24"/>
                <w:color w:val="auto"/>
              </w:rPr>
            </w:pPr>
          </w:p>
        </w:tc>
        <w:tc>
          <w:tcPr>
            <w:tcW w:w="104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w w:val="99"/>
              </w:rPr>
              <w:t>Facility Agreement, dated as of July 1, 2013, by and among MannKind, Deerfield Private Design Fund II, L.P. and Deerfield Private Design</w:t>
            </w:r>
          </w:p>
        </w:tc>
      </w:tr>
      <w:tr>
        <w:trPr>
          <w:trHeight w:val="216"/>
        </w:trPr>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International II, L.P. (incorporated by reference to MannKind’s Current Report on Form 8-K (File No. 000-50865), filed with the SEC on</w:t>
            </w:r>
          </w:p>
        </w:tc>
      </w:tr>
      <w:tr>
        <w:trPr>
          <w:trHeight w:val="228"/>
        </w:trPr>
        <w:tc>
          <w:tcPr>
            <w:tcW w:w="5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July 1, 2013).</w:t>
            </w:r>
          </w:p>
        </w:tc>
      </w:tr>
      <w:tr>
        <w:trPr>
          <w:trHeight w:val="31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10.33</w:t>
            </w:r>
          </w:p>
        </w:tc>
        <w:tc>
          <w:tcPr>
            <w:tcW w:w="380" w:type="dxa"/>
            <w:vAlign w:val="bottom"/>
          </w:tcPr>
          <w:p>
            <w:pPr>
              <w:spacing w:after="0"/>
              <w:rPr>
                <w:sz w:val="24"/>
                <w:szCs w:val="24"/>
                <w:color w:val="auto"/>
              </w:rPr>
            </w:pPr>
          </w:p>
        </w:tc>
        <w:tc>
          <w:tcPr>
            <w:tcW w:w="104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First Amendment to Facility Agreement and Registration Rights Agreement, dated as of February 28, 2014, by and among MannKind,</w:t>
            </w:r>
          </w:p>
        </w:tc>
      </w:tr>
      <w:tr>
        <w:trPr>
          <w:trHeight w:val="216"/>
        </w:trPr>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Deerfield Private Design Fund II, L.P., and Deerfield Private (incorporated by reference to Exhibit 10.39 to MannKind’s Annual Report on</w:t>
            </w:r>
          </w:p>
        </w:tc>
      </w:tr>
      <w:tr>
        <w:trPr>
          <w:trHeight w:val="228"/>
        </w:trPr>
        <w:tc>
          <w:tcPr>
            <w:tcW w:w="5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Form 10-K (File No. 000-50865), filed with the SEC on March 3, 2014).</w:t>
            </w:r>
          </w:p>
        </w:tc>
      </w:tr>
      <w:tr>
        <w:trPr>
          <w:trHeight w:val="312"/>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10.34**</w:t>
            </w:r>
          </w:p>
        </w:tc>
        <w:tc>
          <w:tcPr>
            <w:tcW w:w="104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w w:val="98"/>
              </w:rPr>
              <w:t>License and Collaboration Agreement, dated as of August 11, 2014, by and among MannKind Corporation, Technosphere International C.V.,</w:t>
            </w:r>
          </w:p>
        </w:tc>
      </w:tr>
      <w:tr>
        <w:trPr>
          <w:trHeight w:val="216"/>
        </w:trPr>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MannKind Netherlands B.V. and Sanofi-Aventis Deutschland GmbH (incorporated by reference to Exhibit 10.1 to MannKind’s Quarterly</w:t>
            </w:r>
          </w:p>
        </w:tc>
      </w:tr>
      <w:tr>
        <w:trPr>
          <w:trHeight w:val="228"/>
        </w:trPr>
        <w:tc>
          <w:tcPr>
            <w:tcW w:w="5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Report on Form 10-Q (File No. 000-50865), filed with the SEC on November 10, 2014).</w:t>
            </w:r>
          </w:p>
        </w:tc>
      </w:tr>
      <w:tr>
        <w:trPr>
          <w:trHeight w:val="312"/>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10.35**</w:t>
            </w:r>
          </w:p>
        </w:tc>
        <w:tc>
          <w:tcPr>
            <w:tcW w:w="104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w w:val="97"/>
              </w:rPr>
              <w:t>Supply Agreement, dated as of August 11, 2014, by and between MannKind and Sanofi-Aventis Deutschland GmbH (incorporated by reference</w:t>
            </w:r>
          </w:p>
        </w:tc>
      </w:tr>
      <w:tr>
        <w:trPr>
          <w:trHeight w:val="228"/>
        </w:trPr>
        <w:tc>
          <w:tcPr>
            <w:tcW w:w="5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to Exhibit 10.2 to MannKind’s Quarterly Report on Form 10-Q (File No. 000-50865), filed with the SEC on November 10, 2014).</w:t>
            </w:r>
          </w:p>
        </w:tc>
      </w:tr>
      <w:tr>
        <w:trPr>
          <w:trHeight w:val="312"/>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10.36**</w:t>
            </w:r>
          </w:p>
        </w:tc>
        <w:tc>
          <w:tcPr>
            <w:tcW w:w="104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Supply Agreement, dated as of July 31, 2014, by and between MannKind Corporation and Amphastar France Pharmaceuticals S.A.S.</w:t>
            </w:r>
          </w:p>
        </w:tc>
      </w:tr>
      <w:tr>
        <w:trPr>
          <w:trHeight w:val="216"/>
        </w:trPr>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(incorporated by reference to Exhibit 10.3 to MannKind’s Quarterly Report on Form 10-Q (File No. 000-50865), filed with the SEC on</w:t>
            </w:r>
          </w:p>
        </w:tc>
      </w:tr>
      <w:tr>
        <w:trPr>
          <w:trHeight w:val="228"/>
        </w:trPr>
        <w:tc>
          <w:tcPr>
            <w:tcW w:w="5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November 10, 2014).</w:t>
            </w:r>
          </w:p>
        </w:tc>
      </w:tr>
      <w:tr>
        <w:trPr>
          <w:trHeight w:val="32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380" w:type="dxa"/>
            <w:vAlign w:val="bottom"/>
          </w:tcPr>
          <w:p>
            <w:pPr>
              <w:spacing w:after="0"/>
              <w:rPr>
                <w:sz w:val="24"/>
                <w:szCs w:val="24"/>
                <w:color w:val="auto"/>
              </w:rPr>
            </w:pPr>
          </w:p>
        </w:tc>
        <w:tc>
          <w:tcPr>
            <w:tcW w:w="104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tc>
      </w:tr>
      <w:tr>
        <w:trPr>
          <w:trHeight w:val="32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380" w:type="dxa"/>
            <w:vAlign w:val="bottom"/>
          </w:tcPr>
          <w:p>
            <w:pPr>
              <w:spacing w:after="0"/>
              <w:rPr>
                <w:sz w:val="24"/>
                <w:szCs w:val="24"/>
                <w:color w:val="auto"/>
              </w:rPr>
            </w:pPr>
          </w:p>
        </w:tc>
        <w:tc>
          <w:tcPr>
            <w:tcW w:w="104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Power of Attorney (see signature page hereto).</w:t>
            </w:r>
          </w:p>
        </w:tc>
      </w:tr>
      <w:tr>
        <w:trPr>
          <w:trHeight w:val="32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380" w:type="dxa"/>
            <w:vAlign w:val="bottom"/>
          </w:tcPr>
          <w:p>
            <w:pPr>
              <w:spacing w:after="0"/>
              <w:rPr>
                <w:sz w:val="24"/>
                <w:szCs w:val="24"/>
                <w:color w:val="auto"/>
              </w:rPr>
            </w:pPr>
          </w:p>
        </w:tc>
        <w:tc>
          <w:tcPr>
            <w:tcW w:w="104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w w:val="99"/>
              </w:rPr>
              <w:t>Certification of the Chief Executive Officer pursuant to Rules 13a-14(a) and 15d-14(a) of the Securities Exchange Act of 1934, as amended.</w:t>
            </w:r>
          </w:p>
        </w:tc>
      </w:tr>
      <w:tr>
        <w:trPr>
          <w:trHeight w:val="32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380" w:type="dxa"/>
            <w:vAlign w:val="bottom"/>
          </w:tcPr>
          <w:p>
            <w:pPr>
              <w:spacing w:after="0"/>
              <w:rPr>
                <w:sz w:val="24"/>
                <w:szCs w:val="24"/>
                <w:color w:val="auto"/>
              </w:rPr>
            </w:pPr>
          </w:p>
        </w:tc>
        <w:tc>
          <w:tcPr>
            <w:tcW w:w="104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Certification of the Chief Financial Officer pursuant to Rules 13a-14(a) and 15d-14(a) of the Securities Exchange Act of 1934, as amended.</w:t>
            </w:r>
          </w:p>
        </w:tc>
      </w:tr>
    </w:tbl>
    <w:p>
      <w:pPr>
        <w:spacing w:after="0" w:line="96" w:lineRule="exact"/>
        <w:rPr>
          <w:sz w:val="20"/>
          <w:szCs w:val="20"/>
          <w:color w:val="auto"/>
        </w:rPr>
      </w:pPr>
    </w:p>
    <w:p>
      <w:pPr>
        <w:ind w:left="1300" w:right="20" w:hanging="1248"/>
        <w:spacing w:after="0" w:line="275" w:lineRule="auto"/>
        <w:tabs>
          <w:tab w:leader="none" w:pos="1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Certifications of the Chief Executive Officer and Chief Financial Officer pursuant to Rules 13a-14(b) and 15d-14(b) of the Securities Exchange Act of 1934, as amended and Section 1350 of Chapter 63 of Title 18 of the United States Code (18 U.S.C. §1350).</w:t>
      </w:r>
    </w:p>
    <w:p>
      <w:pPr>
        <w:spacing w:after="0" w:line="66" w:lineRule="exact"/>
        <w:rPr>
          <w:sz w:val="20"/>
          <w:szCs w:val="20"/>
          <w:color w:val="auto"/>
        </w:rPr>
      </w:pPr>
    </w:p>
    <w:p>
      <w:pPr>
        <w:ind w:left="1300" w:hanging="1248"/>
        <w:spacing w:after="0"/>
        <w:tabs>
          <w:tab w:leader="none" w:pos="130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Interactive Data Files pursuant to Rule 405 of Regulation S-T.</w:t>
      </w:r>
    </w:p>
    <w:p>
      <w:pPr>
        <w:spacing w:after="0" w:line="15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Indicates management contract or compensatory plan.</w:t>
      </w:r>
    </w:p>
    <w:p>
      <w:pPr>
        <w:spacing w:after="0" w:line="63"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Confidential treatment has been granted with respect to certain portions of this exhibit. Omitted portions have been filed separately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-318770</wp:posOffset>
            </wp:positionV>
            <wp:extent cx="7289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400"/>
          </w:cols>
          <w:pgMar w:left="240" w:top="455" w:right="259" w:bottom="1440" w:gutter="0" w:footer="0" w:header="0"/>
        </w:sectPr>
      </w:pPr>
    </w:p>
    <w:bookmarkStart w:id="63" w:name="page64"/>
    <w:bookmarkEnd w:id="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3" w:lineRule="exact"/>
        <w:rPr>
          <w:sz w:val="20"/>
          <w:szCs w:val="20"/>
          <w:color w:val="auto"/>
        </w:rPr>
      </w:pPr>
    </w:p>
    <w:p>
      <w:pPr>
        <w:ind w:right="40" w:firstLine="228"/>
        <w:spacing w:after="0" w:line="275"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4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M</w:t>
      </w:r>
      <w:r>
        <w:rPr>
          <w:rFonts w:ascii="Times New Roman" w:cs="Times New Roman" w:eastAsia="Times New Roman" w:hAnsi="Times New Roman"/>
          <w:sz w:val="14"/>
          <w:szCs w:val="14"/>
          <w:color w:val="auto"/>
        </w:rPr>
        <w:t>ANN</w:t>
      </w:r>
      <w:r>
        <w:rPr>
          <w:rFonts w:ascii="Times New Roman" w:cs="Times New Roman" w:eastAsia="Times New Roman" w:hAnsi="Times New Roman"/>
          <w:sz w:val="18"/>
          <w:szCs w:val="18"/>
          <w:color w:val="auto"/>
        </w:rPr>
        <w:t>K</w:t>
      </w:r>
      <w:r>
        <w:rPr>
          <w:rFonts w:ascii="Times New Roman" w:cs="Times New Roman" w:eastAsia="Times New Roman" w:hAnsi="Times New Roman"/>
          <w:sz w:val="14"/>
          <w:szCs w:val="14"/>
          <w:color w:val="auto"/>
        </w:rPr>
        <w:t>IND</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ORPORATION</w:t>
      </w:r>
    </w:p>
    <w:p>
      <w:pPr>
        <w:spacing w:after="0" w:line="225" w:lineRule="exact"/>
        <w:rPr>
          <w:sz w:val="20"/>
          <w:szCs w:val="20"/>
          <w:color w:val="auto"/>
        </w:rPr>
      </w:pPr>
    </w:p>
    <w:p>
      <w:pPr>
        <w:ind w:left="6860"/>
        <w:spacing w:after="0"/>
        <w:tabs>
          <w:tab w:leader="none" w:pos="7560" w:val="left"/>
        </w:tabs>
        <w:rPr>
          <w:sz w:val="20"/>
          <w:szCs w:val="20"/>
          <w:color w:val="auto"/>
        </w:rPr>
      </w:pPr>
      <w:r>
        <w:rPr>
          <w:rFonts w:ascii="Times New Roman" w:cs="Times New Roman" w:eastAsia="Times New Roman" w:hAnsi="Times New Roman"/>
          <w:sz w:val="18"/>
          <w:szCs w:val="18"/>
          <w:color w:val="auto"/>
        </w:rPr>
        <w:t>By:  /s/</w:t>
      </w:r>
      <w:r>
        <w:rPr>
          <w:sz w:val="20"/>
          <w:szCs w:val="20"/>
          <w:color w:val="auto"/>
        </w:rPr>
        <w:tab/>
      </w:r>
      <w:r>
        <w:rPr>
          <w:rFonts w:ascii="Times New Roman" w:cs="Times New Roman" w:eastAsia="Times New Roman" w:hAnsi="Times New Roman"/>
          <w:sz w:val="16"/>
          <w:szCs w:val="16"/>
          <w:color w:val="auto"/>
        </w:rPr>
        <w:t>Hakan S. Edstrom</w:t>
      </w:r>
    </w:p>
    <w:p>
      <w:pPr>
        <w:spacing w:after="0" w:line="23"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Hakan S. Edstrom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-130175</wp:posOffset>
            </wp:positionV>
            <wp:extent cx="271843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1"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March 2, 2015</w:t>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92" w:lineRule="exact"/>
        <w:rPr>
          <w:sz w:val="20"/>
          <w:szCs w:val="20"/>
          <w:color w:val="auto"/>
        </w:rPr>
      </w:pPr>
    </w:p>
    <w:p>
      <w:pPr>
        <w:ind w:right="60" w:firstLine="228"/>
        <w:spacing w:after="0" w:line="254" w:lineRule="auto"/>
        <w:rPr>
          <w:sz w:val="20"/>
          <w:szCs w:val="20"/>
          <w:color w:val="auto"/>
        </w:rPr>
      </w:pPr>
      <w:r>
        <w:rPr>
          <w:rFonts w:ascii="Times New Roman" w:cs="Times New Roman" w:eastAsia="Times New Roman" w:hAnsi="Times New Roman"/>
          <w:sz w:val="18"/>
          <w:szCs w:val="18"/>
          <w:color w:val="auto"/>
        </w:rPr>
        <w:t>KNOW ALL BY THESE PRESENTS, that each person whose signature appears below constitutes and appoints Hakan S. Edstrom, Matthew J. Pfeffer and David Thomson, and each of them, as his or her true and lawful attorneys-in-fact and agents, with full power of substitution and resubstitution, for him or her and in his or her name, place, and stead, in any and all capacities, to sign any and all amendments to this Report, and any other documents in connection therewith, and to file the same, with all exhibits thereto,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their or his substitute or substituted, may lawfully do or cause to be done by virtue hereof.</w:t>
      </w:r>
    </w:p>
    <w:p>
      <w:pPr>
        <w:spacing w:after="0" w:line="60" w:lineRule="exact"/>
        <w:rPr>
          <w:sz w:val="20"/>
          <w:szCs w:val="20"/>
          <w:color w:val="auto"/>
        </w:rPr>
      </w:pPr>
    </w:p>
    <w:p>
      <w:pPr>
        <w:ind w:right="180" w:firstLine="228"/>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5"/>
              </w:rPr>
              <w:t>Signature</w:t>
            </w:r>
          </w:p>
        </w:tc>
        <w:tc>
          <w:tcPr>
            <w:tcW w:w="1820" w:type="dxa"/>
            <w:vAlign w:val="bottom"/>
          </w:tcPr>
          <w:p>
            <w:pPr>
              <w:spacing w:after="0"/>
              <w:rPr>
                <w:sz w:val="14"/>
                <w:szCs w:val="14"/>
                <w:color w:val="auto"/>
              </w:rPr>
            </w:pPr>
          </w:p>
        </w:tc>
        <w:tc>
          <w:tcPr>
            <w:tcW w:w="5220" w:type="dxa"/>
            <w:vAlign w:val="bottom"/>
            <w:gridSpan w:val="3"/>
          </w:tcPr>
          <w:p>
            <w:pPr>
              <w:jc w:val="center"/>
              <w:ind w:left="174"/>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960" w:type="dxa"/>
            <w:vAlign w:val="bottom"/>
          </w:tcPr>
          <w:p>
            <w:pPr>
              <w:spacing w:after="0"/>
              <w:rPr>
                <w:sz w:val="14"/>
                <w:szCs w:val="14"/>
                <w:color w:val="auto"/>
              </w:rPr>
            </w:pPr>
          </w:p>
        </w:tc>
        <w:tc>
          <w:tcPr>
            <w:tcW w:w="100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w w:val="92"/>
              </w:rPr>
              <w:t>Date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82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8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vMerge w:val="continue"/>
          </w:tcPr>
          <w:p>
            <w:pPr>
              <w:spacing w:after="0"/>
              <w:rPr>
                <w:sz w:val="18"/>
                <w:szCs w:val="18"/>
                <w:color w:val="auto"/>
              </w:rPr>
            </w:pPr>
          </w:p>
        </w:tc>
        <w:tc>
          <w:tcPr>
            <w:tcW w:w="240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 Hakan S. Edstrom</w:t>
            </w:r>
          </w:p>
        </w:tc>
        <w:tc>
          <w:tcPr>
            <w:tcW w:w="1820" w:type="dxa"/>
            <w:vAlign w:val="bottom"/>
            <w:tcBorders>
              <w:bottom w:val="single" w:sz="8" w:color="auto"/>
            </w:tcBorders>
            <w:shd w:val="clear" w:color="auto" w:fill="CCEEFF"/>
          </w:tcPr>
          <w:p>
            <w:pPr>
              <w:spacing w:after="0"/>
              <w:rPr>
                <w:sz w:val="18"/>
                <w:szCs w:val="18"/>
                <w:color w:val="auto"/>
              </w:rPr>
            </w:pPr>
          </w:p>
        </w:tc>
        <w:tc>
          <w:tcPr>
            <w:tcW w:w="5220" w:type="dxa"/>
            <w:vAlign w:val="bottom"/>
            <w:tcBorders>
              <w:bottom w:val="single" w:sz="8" w:color="CCEEFF"/>
            </w:tcBorders>
            <w:gridSpan w:val="3"/>
            <w:shd w:val="clear" w:color="auto" w:fill="CCEEFF"/>
          </w:tcPr>
          <w:p>
            <w:pPr>
              <w:jc w:val="center"/>
              <w:ind w:left="174"/>
              <w:spacing w:after="0"/>
              <w:rPr>
                <w:sz w:val="20"/>
                <w:szCs w:val="20"/>
                <w:color w:val="auto"/>
              </w:rPr>
            </w:pPr>
            <w:r>
              <w:rPr>
                <w:rFonts w:ascii="Times New Roman" w:cs="Times New Roman" w:eastAsia="Times New Roman" w:hAnsi="Times New Roman"/>
                <w:sz w:val="18"/>
                <w:szCs w:val="18"/>
                <w:color w:val="auto"/>
                <w:w w:val="97"/>
              </w:rPr>
              <w:t>President, Chief Executive Officer and Director</w:t>
            </w:r>
          </w:p>
        </w:tc>
        <w:tc>
          <w:tcPr>
            <w:tcW w:w="1960" w:type="dxa"/>
            <w:vAlign w:val="bottom"/>
            <w:tcBorders>
              <w:bottom w:val="single" w:sz="8" w:color="CCEEFF"/>
            </w:tcBorders>
            <w:gridSpan w:val="3"/>
            <w:shd w:val="clear" w:color="auto" w:fill="CCEEFF"/>
          </w:tcPr>
          <w:p>
            <w:pPr>
              <w:jc w:val="center"/>
              <w:ind w:left="172"/>
              <w:spacing w:after="0"/>
              <w:rPr>
                <w:sz w:val="20"/>
                <w:szCs w:val="20"/>
                <w:color w:val="auto"/>
              </w:rPr>
            </w:pPr>
            <w:r>
              <w:rPr>
                <w:rFonts w:ascii="Times New Roman" w:cs="Times New Roman" w:eastAsia="Times New Roman" w:hAnsi="Times New Roman"/>
                <w:sz w:val="18"/>
                <w:szCs w:val="18"/>
                <w:color w:val="auto"/>
                <w:w w:val="96"/>
              </w:rPr>
              <w:t>March 2, 2015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Hakan S. Edstrom</w:t>
            </w:r>
          </w:p>
        </w:tc>
        <w:tc>
          <w:tcPr>
            <w:tcW w:w="1820" w:type="dxa"/>
            <w:vAlign w:val="bottom"/>
            <w:shd w:val="clear" w:color="auto" w:fill="CCEEFF"/>
          </w:tcPr>
          <w:p>
            <w:pPr>
              <w:spacing w:after="0"/>
              <w:rPr>
                <w:sz w:val="19"/>
                <w:szCs w:val="19"/>
                <w:color w:val="auto"/>
              </w:rPr>
            </w:pPr>
          </w:p>
        </w:tc>
        <w:tc>
          <w:tcPr>
            <w:tcW w:w="5220" w:type="dxa"/>
            <w:vAlign w:val="bottom"/>
            <w:gridSpan w:val="3"/>
            <w:shd w:val="clear" w:color="auto" w:fill="CCEEFF"/>
          </w:tcPr>
          <w:p>
            <w:pPr>
              <w:jc w:val="center"/>
              <w:ind w:left="174"/>
              <w:spacing w:after="0"/>
              <w:rPr>
                <w:sz w:val="20"/>
                <w:szCs w:val="20"/>
                <w:color w:val="auto"/>
              </w:rPr>
            </w:pPr>
            <w:r>
              <w:rPr>
                <w:rFonts w:ascii="Times New Roman" w:cs="Times New Roman" w:eastAsia="Times New Roman" w:hAnsi="Times New Roman"/>
                <w:sz w:val="18"/>
                <w:szCs w:val="18"/>
                <w:i w:val="1"/>
                <w:iCs w:val="1"/>
                <w:color w:val="auto"/>
                <w:w w:val="97"/>
              </w:rPr>
              <w:t>(Principal Executive Officer)</w:t>
            </w:r>
          </w:p>
        </w:tc>
        <w:tc>
          <w:tcPr>
            <w:tcW w:w="9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30"/>
        </w:trPr>
        <w:tc>
          <w:tcPr>
            <w:tcW w:w="24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Matthew J. Pfeffer</w:t>
            </w:r>
          </w:p>
        </w:tc>
        <w:tc>
          <w:tcPr>
            <w:tcW w:w="1820" w:type="dxa"/>
            <w:vAlign w:val="bottom"/>
            <w:tcBorders>
              <w:bottom w:val="single" w:sz="8" w:color="auto"/>
            </w:tcBorders>
          </w:tcPr>
          <w:p>
            <w:pPr>
              <w:spacing w:after="0"/>
              <w:rPr>
                <w:sz w:val="24"/>
                <w:szCs w:val="24"/>
                <w:color w:val="auto"/>
              </w:rPr>
            </w:pPr>
          </w:p>
        </w:tc>
        <w:tc>
          <w:tcPr>
            <w:tcW w:w="5220" w:type="dxa"/>
            <w:vAlign w:val="bottom"/>
            <w:gridSpan w:val="3"/>
          </w:tcPr>
          <w:p>
            <w:pPr>
              <w:jc w:val="center"/>
              <w:ind w:left="194"/>
              <w:spacing w:after="0"/>
              <w:rPr>
                <w:sz w:val="20"/>
                <w:szCs w:val="20"/>
                <w:color w:val="auto"/>
              </w:rPr>
            </w:pPr>
            <w:r>
              <w:rPr>
                <w:rFonts w:ascii="Times New Roman" w:cs="Times New Roman" w:eastAsia="Times New Roman" w:hAnsi="Times New Roman"/>
                <w:sz w:val="18"/>
                <w:szCs w:val="18"/>
                <w:color w:val="auto"/>
                <w:w w:val="97"/>
              </w:rPr>
              <w:t>Corporate Vice President and Chief Financial Officer</w:t>
            </w:r>
          </w:p>
        </w:tc>
        <w:tc>
          <w:tcPr>
            <w:tcW w:w="1960" w:type="dxa"/>
            <w:vAlign w:val="bottom"/>
            <w:gridSpan w:val="3"/>
          </w:tcPr>
          <w:p>
            <w:pPr>
              <w:jc w:val="center"/>
              <w:ind w:left="172"/>
              <w:spacing w:after="0"/>
              <w:rPr>
                <w:sz w:val="20"/>
                <w:szCs w:val="20"/>
                <w:color w:val="auto"/>
              </w:rPr>
            </w:pPr>
            <w:r>
              <w:rPr>
                <w:rFonts w:ascii="Times New Roman" w:cs="Times New Roman" w:eastAsia="Times New Roman" w:hAnsi="Times New Roman"/>
                <w:sz w:val="18"/>
                <w:szCs w:val="18"/>
                <w:color w:val="auto"/>
                <w:w w:val="96"/>
              </w:rPr>
              <w:t>March 2, 2015</w:t>
            </w:r>
          </w:p>
        </w:tc>
        <w:tc>
          <w:tcPr>
            <w:tcW w:w="0" w:type="dxa"/>
            <w:vAlign w:val="bottom"/>
          </w:tcPr>
          <w:p>
            <w:pPr>
              <w:spacing w:after="0"/>
              <w:rPr>
                <w:sz w:val="1"/>
                <w:szCs w:val="1"/>
                <w:color w:val="auto"/>
              </w:rPr>
            </w:pPr>
          </w:p>
        </w:tc>
      </w:tr>
      <w:tr>
        <w:trPr>
          <w:trHeight w:val="224"/>
        </w:trPr>
        <w:tc>
          <w:tcPr>
            <w:tcW w:w="2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Matthew J. Pfeffer</w:t>
            </w:r>
          </w:p>
        </w:tc>
        <w:tc>
          <w:tcPr>
            <w:tcW w:w="1820" w:type="dxa"/>
            <w:vAlign w:val="bottom"/>
          </w:tcPr>
          <w:p>
            <w:pPr>
              <w:spacing w:after="0"/>
              <w:rPr>
                <w:sz w:val="19"/>
                <w:szCs w:val="19"/>
                <w:color w:val="auto"/>
              </w:rPr>
            </w:pPr>
          </w:p>
        </w:tc>
        <w:tc>
          <w:tcPr>
            <w:tcW w:w="5220" w:type="dxa"/>
            <w:vAlign w:val="bottom"/>
            <w:gridSpan w:val="3"/>
          </w:tcPr>
          <w:p>
            <w:pPr>
              <w:jc w:val="center"/>
              <w:ind w:left="174"/>
              <w:spacing w:after="0"/>
              <w:rPr>
                <w:sz w:val="20"/>
                <w:szCs w:val="20"/>
                <w:color w:val="auto"/>
              </w:rPr>
            </w:pPr>
            <w:r>
              <w:rPr>
                <w:rFonts w:ascii="Times New Roman" w:cs="Times New Roman" w:eastAsia="Times New Roman" w:hAnsi="Times New Roman"/>
                <w:sz w:val="18"/>
                <w:szCs w:val="18"/>
                <w:i w:val="1"/>
                <w:iCs w:val="1"/>
                <w:color w:val="auto"/>
                <w:w w:val="97"/>
              </w:rPr>
              <w:t>(Principal Financial and Accounting Officer)</w:t>
            </w: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vMerge w:val="restart"/>
          </w:tcPr>
          <w:p>
            <w:pPr>
              <w:spacing w:after="0"/>
              <w:rPr>
                <w:sz w:val="18"/>
                <w:szCs w:val="18"/>
                <w:color w:val="auto"/>
              </w:rPr>
            </w:pPr>
          </w:p>
        </w:tc>
        <w:tc>
          <w:tcPr>
            <w:tcW w:w="18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vMerge w:val="continue"/>
          </w:tcPr>
          <w:p>
            <w:pPr>
              <w:spacing w:after="0"/>
              <w:rPr>
                <w:sz w:val="18"/>
                <w:szCs w:val="18"/>
                <w:color w:val="auto"/>
              </w:rPr>
            </w:pPr>
          </w:p>
        </w:tc>
        <w:tc>
          <w:tcPr>
            <w:tcW w:w="240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 Alfred E. Mann</w:t>
            </w:r>
          </w:p>
        </w:tc>
        <w:tc>
          <w:tcPr>
            <w:tcW w:w="1820" w:type="dxa"/>
            <w:vAlign w:val="bottom"/>
            <w:tcBorders>
              <w:bottom w:val="single" w:sz="8" w:color="auto"/>
            </w:tcBorders>
            <w:shd w:val="clear" w:color="auto" w:fill="CCEEFF"/>
          </w:tcPr>
          <w:p>
            <w:pPr>
              <w:spacing w:after="0"/>
              <w:rPr>
                <w:sz w:val="18"/>
                <w:szCs w:val="18"/>
                <w:color w:val="auto"/>
              </w:rPr>
            </w:pPr>
          </w:p>
        </w:tc>
        <w:tc>
          <w:tcPr>
            <w:tcW w:w="5220" w:type="dxa"/>
            <w:vAlign w:val="bottom"/>
            <w:tcBorders>
              <w:bottom w:val="single" w:sz="8" w:color="CCEEFF"/>
            </w:tcBorders>
            <w:gridSpan w:val="3"/>
            <w:shd w:val="clear" w:color="auto" w:fill="CCEEFF"/>
          </w:tcPr>
          <w:p>
            <w:pPr>
              <w:jc w:val="center"/>
              <w:ind w:left="174"/>
              <w:spacing w:after="0"/>
              <w:rPr>
                <w:sz w:val="20"/>
                <w:szCs w:val="20"/>
                <w:color w:val="auto"/>
              </w:rPr>
            </w:pPr>
            <w:r>
              <w:rPr>
                <w:rFonts w:ascii="Times New Roman" w:cs="Times New Roman" w:eastAsia="Times New Roman" w:hAnsi="Times New Roman"/>
                <w:sz w:val="18"/>
                <w:szCs w:val="18"/>
                <w:color w:val="auto"/>
                <w:w w:val="97"/>
              </w:rPr>
              <w:t>Executive Chairman of the Board of Directors</w:t>
            </w:r>
          </w:p>
        </w:tc>
        <w:tc>
          <w:tcPr>
            <w:tcW w:w="1960" w:type="dxa"/>
            <w:vAlign w:val="bottom"/>
            <w:tcBorders>
              <w:bottom w:val="single" w:sz="8" w:color="CCEEFF"/>
            </w:tcBorders>
            <w:gridSpan w:val="3"/>
            <w:shd w:val="clear" w:color="auto" w:fill="CCEEFF"/>
          </w:tcPr>
          <w:p>
            <w:pPr>
              <w:jc w:val="center"/>
              <w:ind w:left="172"/>
              <w:spacing w:after="0"/>
              <w:rPr>
                <w:sz w:val="20"/>
                <w:szCs w:val="20"/>
                <w:color w:val="auto"/>
              </w:rPr>
            </w:pPr>
            <w:r>
              <w:rPr>
                <w:rFonts w:ascii="Times New Roman" w:cs="Times New Roman" w:eastAsia="Times New Roman" w:hAnsi="Times New Roman"/>
                <w:sz w:val="18"/>
                <w:szCs w:val="18"/>
                <w:color w:val="auto"/>
                <w:w w:val="96"/>
              </w:rPr>
              <w:t>March 2, 2015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Alfred E. Mann</w:t>
            </w:r>
          </w:p>
        </w:tc>
        <w:tc>
          <w:tcPr>
            <w:tcW w:w="1820" w:type="dxa"/>
            <w:vAlign w:val="bottom"/>
            <w:shd w:val="clear" w:color="auto" w:fill="CCEEFF"/>
          </w:tcPr>
          <w:p>
            <w:pPr>
              <w:spacing w:after="0"/>
              <w:rPr>
                <w:sz w:val="19"/>
                <w:szCs w:val="19"/>
                <w:color w:val="auto"/>
              </w:rPr>
            </w:pPr>
          </w:p>
        </w:tc>
        <w:tc>
          <w:tcPr>
            <w:tcW w:w="26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3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24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Ronald J. Consiglio</w:t>
            </w:r>
          </w:p>
        </w:tc>
        <w:tc>
          <w:tcPr>
            <w:tcW w:w="1820" w:type="dxa"/>
            <w:vAlign w:val="bottom"/>
            <w:tcBorders>
              <w:bottom w:val="single" w:sz="8" w:color="auto"/>
            </w:tcBorders>
          </w:tcPr>
          <w:p>
            <w:pPr>
              <w:spacing w:after="0"/>
              <w:rPr>
                <w:sz w:val="24"/>
                <w:szCs w:val="24"/>
                <w:color w:val="auto"/>
              </w:rPr>
            </w:pPr>
          </w:p>
        </w:tc>
        <w:tc>
          <w:tcPr>
            <w:tcW w:w="5220" w:type="dxa"/>
            <w:vAlign w:val="bottom"/>
            <w:gridSpan w:val="3"/>
          </w:tcPr>
          <w:p>
            <w:pPr>
              <w:jc w:val="center"/>
              <w:ind w:left="194"/>
              <w:spacing w:after="0"/>
              <w:rPr>
                <w:sz w:val="20"/>
                <w:szCs w:val="20"/>
                <w:color w:val="auto"/>
              </w:rPr>
            </w:pPr>
            <w:r>
              <w:rPr>
                <w:rFonts w:ascii="Times New Roman" w:cs="Times New Roman" w:eastAsia="Times New Roman" w:hAnsi="Times New Roman"/>
                <w:sz w:val="18"/>
                <w:szCs w:val="18"/>
                <w:color w:val="auto"/>
                <w:w w:val="96"/>
              </w:rPr>
              <w:t>Director</w:t>
            </w:r>
          </w:p>
        </w:tc>
        <w:tc>
          <w:tcPr>
            <w:tcW w:w="1960" w:type="dxa"/>
            <w:vAlign w:val="bottom"/>
            <w:gridSpan w:val="3"/>
          </w:tcPr>
          <w:p>
            <w:pPr>
              <w:jc w:val="center"/>
              <w:ind w:left="172"/>
              <w:spacing w:after="0"/>
              <w:rPr>
                <w:sz w:val="20"/>
                <w:szCs w:val="20"/>
                <w:color w:val="auto"/>
              </w:rPr>
            </w:pPr>
            <w:r>
              <w:rPr>
                <w:rFonts w:ascii="Times New Roman" w:cs="Times New Roman" w:eastAsia="Times New Roman" w:hAnsi="Times New Roman"/>
                <w:sz w:val="18"/>
                <w:szCs w:val="18"/>
                <w:color w:val="auto"/>
                <w:w w:val="96"/>
              </w:rPr>
              <w:t>March 2, 2015</w:t>
            </w:r>
          </w:p>
        </w:tc>
        <w:tc>
          <w:tcPr>
            <w:tcW w:w="0" w:type="dxa"/>
            <w:vAlign w:val="bottom"/>
          </w:tcPr>
          <w:p>
            <w:pPr>
              <w:spacing w:after="0"/>
              <w:rPr>
                <w:sz w:val="1"/>
                <w:szCs w:val="1"/>
                <w:color w:val="auto"/>
              </w:rPr>
            </w:pPr>
          </w:p>
        </w:tc>
      </w:tr>
      <w:tr>
        <w:trPr>
          <w:trHeight w:val="223"/>
        </w:trPr>
        <w:tc>
          <w:tcPr>
            <w:tcW w:w="2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Ronald J. Consiglio</w:t>
            </w:r>
          </w:p>
        </w:tc>
        <w:tc>
          <w:tcPr>
            <w:tcW w:w="18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vMerge w:val="restart"/>
          </w:tcPr>
          <w:p>
            <w:pPr>
              <w:spacing w:after="0"/>
              <w:rPr>
                <w:sz w:val="18"/>
                <w:szCs w:val="18"/>
                <w:color w:val="auto"/>
              </w:rPr>
            </w:pPr>
          </w:p>
        </w:tc>
        <w:tc>
          <w:tcPr>
            <w:tcW w:w="18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vMerge w:val="continue"/>
          </w:tcPr>
          <w:p>
            <w:pPr>
              <w:spacing w:after="0"/>
              <w:rPr>
                <w:sz w:val="18"/>
                <w:szCs w:val="18"/>
                <w:color w:val="auto"/>
              </w:rPr>
            </w:pPr>
          </w:p>
        </w:tc>
        <w:tc>
          <w:tcPr>
            <w:tcW w:w="240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 Michael Friedman</w:t>
            </w:r>
          </w:p>
        </w:tc>
        <w:tc>
          <w:tcPr>
            <w:tcW w:w="1820" w:type="dxa"/>
            <w:vAlign w:val="bottom"/>
            <w:tcBorders>
              <w:bottom w:val="single" w:sz="8" w:color="auto"/>
            </w:tcBorders>
            <w:shd w:val="clear" w:color="auto" w:fill="CCEEFF"/>
          </w:tcPr>
          <w:p>
            <w:pPr>
              <w:spacing w:after="0"/>
              <w:rPr>
                <w:sz w:val="18"/>
                <w:szCs w:val="18"/>
                <w:color w:val="auto"/>
              </w:rPr>
            </w:pPr>
          </w:p>
        </w:tc>
        <w:tc>
          <w:tcPr>
            <w:tcW w:w="5220" w:type="dxa"/>
            <w:vAlign w:val="bottom"/>
            <w:tcBorders>
              <w:bottom w:val="single" w:sz="8" w:color="CCEEFF"/>
            </w:tcBorders>
            <w:gridSpan w:val="3"/>
            <w:shd w:val="clear" w:color="auto" w:fill="CCEEFF"/>
          </w:tcPr>
          <w:p>
            <w:pPr>
              <w:jc w:val="center"/>
              <w:ind w:left="194"/>
              <w:spacing w:after="0"/>
              <w:rPr>
                <w:sz w:val="20"/>
                <w:szCs w:val="20"/>
                <w:color w:val="auto"/>
              </w:rPr>
            </w:pPr>
            <w:r>
              <w:rPr>
                <w:rFonts w:ascii="Times New Roman" w:cs="Times New Roman" w:eastAsia="Times New Roman" w:hAnsi="Times New Roman"/>
                <w:sz w:val="18"/>
                <w:szCs w:val="18"/>
                <w:color w:val="auto"/>
                <w:w w:val="96"/>
              </w:rPr>
              <w:t>Director</w:t>
            </w:r>
          </w:p>
        </w:tc>
        <w:tc>
          <w:tcPr>
            <w:tcW w:w="1960" w:type="dxa"/>
            <w:vAlign w:val="bottom"/>
            <w:tcBorders>
              <w:bottom w:val="single" w:sz="8" w:color="CCEEFF"/>
            </w:tcBorders>
            <w:gridSpan w:val="3"/>
            <w:shd w:val="clear" w:color="auto" w:fill="CCEEFF"/>
          </w:tcPr>
          <w:p>
            <w:pPr>
              <w:jc w:val="center"/>
              <w:ind w:left="172"/>
              <w:spacing w:after="0"/>
              <w:rPr>
                <w:sz w:val="20"/>
                <w:szCs w:val="20"/>
                <w:color w:val="auto"/>
              </w:rPr>
            </w:pPr>
            <w:r>
              <w:rPr>
                <w:rFonts w:ascii="Times New Roman" w:cs="Times New Roman" w:eastAsia="Times New Roman" w:hAnsi="Times New Roman"/>
                <w:sz w:val="18"/>
                <w:szCs w:val="18"/>
                <w:color w:val="auto"/>
                <w:w w:val="96"/>
              </w:rPr>
              <w:t>March 2, 2015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Friedman, M.D.</w:t>
            </w:r>
          </w:p>
        </w:tc>
        <w:tc>
          <w:tcPr>
            <w:tcW w:w="1820" w:type="dxa"/>
            <w:vAlign w:val="bottom"/>
            <w:shd w:val="clear" w:color="auto" w:fill="CCEEFF"/>
          </w:tcPr>
          <w:p>
            <w:pPr>
              <w:spacing w:after="0"/>
              <w:rPr>
                <w:sz w:val="19"/>
                <w:szCs w:val="19"/>
                <w:color w:val="auto"/>
              </w:rPr>
            </w:pPr>
          </w:p>
        </w:tc>
        <w:tc>
          <w:tcPr>
            <w:tcW w:w="26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3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24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Kent Kresa</w:t>
            </w:r>
          </w:p>
        </w:tc>
        <w:tc>
          <w:tcPr>
            <w:tcW w:w="1820" w:type="dxa"/>
            <w:vAlign w:val="bottom"/>
            <w:tcBorders>
              <w:bottom w:val="single" w:sz="8" w:color="auto"/>
            </w:tcBorders>
          </w:tcPr>
          <w:p>
            <w:pPr>
              <w:spacing w:after="0"/>
              <w:rPr>
                <w:sz w:val="24"/>
                <w:szCs w:val="24"/>
                <w:color w:val="auto"/>
              </w:rPr>
            </w:pPr>
          </w:p>
        </w:tc>
        <w:tc>
          <w:tcPr>
            <w:tcW w:w="5220" w:type="dxa"/>
            <w:vAlign w:val="bottom"/>
            <w:gridSpan w:val="3"/>
          </w:tcPr>
          <w:p>
            <w:pPr>
              <w:jc w:val="center"/>
              <w:ind w:left="194"/>
              <w:spacing w:after="0"/>
              <w:rPr>
                <w:sz w:val="20"/>
                <w:szCs w:val="20"/>
                <w:color w:val="auto"/>
              </w:rPr>
            </w:pPr>
            <w:r>
              <w:rPr>
                <w:rFonts w:ascii="Times New Roman" w:cs="Times New Roman" w:eastAsia="Times New Roman" w:hAnsi="Times New Roman"/>
                <w:sz w:val="18"/>
                <w:szCs w:val="18"/>
                <w:color w:val="auto"/>
                <w:w w:val="96"/>
              </w:rPr>
              <w:t>Director</w:t>
            </w:r>
          </w:p>
        </w:tc>
        <w:tc>
          <w:tcPr>
            <w:tcW w:w="1960" w:type="dxa"/>
            <w:vAlign w:val="bottom"/>
            <w:gridSpan w:val="3"/>
          </w:tcPr>
          <w:p>
            <w:pPr>
              <w:jc w:val="center"/>
              <w:ind w:left="172"/>
              <w:spacing w:after="0"/>
              <w:rPr>
                <w:sz w:val="20"/>
                <w:szCs w:val="20"/>
                <w:color w:val="auto"/>
              </w:rPr>
            </w:pPr>
            <w:r>
              <w:rPr>
                <w:rFonts w:ascii="Times New Roman" w:cs="Times New Roman" w:eastAsia="Times New Roman" w:hAnsi="Times New Roman"/>
                <w:sz w:val="18"/>
                <w:szCs w:val="18"/>
                <w:color w:val="auto"/>
                <w:w w:val="96"/>
              </w:rPr>
              <w:t>March 2, 2015</w:t>
            </w:r>
          </w:p>
        </w:tc>
        <w:tc>
          <w:tcPr>
            <w:tcW w:w="0" w:type="dxa"/>
            <w:vAlign w:val="bottom"/>
          </w:tcPr>
          <w:p>
            <w:pPr>
              <w:spacing w:after="0"/>
              <w:rPr>
                <w:sz w:val="1"/>
                <w:szCs w:val="1"/>
                <w:color w:val="auto"/>
              </w:rPr>
            </w:pPr>
          </w:p>
        </w:tc>
      </w:tr>
      <w:tr>
        <w:trPr>
          <w:trHeight w:val="223"/>
        </w:trPr>
        <w:tc>
          <w:tcPr>
            <w:tcW w:w="2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Kent Kresa</w:t>
            </w:r>
          </w:p>
        </w:tc>
        <w:tc>
          <w:tcPr>
            <w:tcW w:w="18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vMerge w:val="restart"/>
          </w:tcPr>
          <w:p>
            <w:pPr>
              <w:spacing w:after="0"/>
              <w:rPr>
                <w:sz w:val="18"/>
                <w:szCs w:val="18"/>
                <w:color w:val="auto"/>
              </w:rPr>
            </w:pPr>
          </w:p>
        </w:tc>
        <w:tc>
          <w:tcPr>
            <w:tcW w:w="18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vMerge w:val="continue"/>
          </w:tcPr>
          <w:p>
            <w:pPr>
              <w:spacing w:after="0"/>
              <w:rPr>
                <w:sz w:val="18"/>
                <w:szCs w:val="18"/>
                <w:color w:val="auto"/>
              </w:rPr>
            </w:pPr>
          </w:p>
        </w:tc>
        <w:tc>
          <w:tcPr>
            <w:tcW w:w="240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 David H. MacCallum</w:t>
            </w:r>
          </w:p>
        </w:tc>
        <w:tc>
          <w:tcPr>
            <w:tcW w:w="1820" w:type="dxa"/>
            <w:vAlign w:val="bottom"/>
            <w:tcBorders>
              <w:bottom w:val="single" w:sz="8" w:color="auto"/>
            </w:tcBorders>
            <w:shd w:val="clear" w:color="auto" w:fill="CCEEFF"/>
          </w:tcPr>
          <w:p>
            <w:pPr>
              <w:spacing w:after="0"/>
              <w:rPr>
                <w:sz w:val="18"/>
                <w:szCs w:val="18"/>
                <w:color w:val="auto"/>
              </w:rPr>
            </w:pPr>
          </w:p>
        </w:tc>
        <w:tc>
          <w:tcPr>
            <w:tcW w:w="5220" w:type="dxa"/>
            <w:vAlign w:val="bottom"/>
            <w:tcBorders>
              <w:bottom w:val="single" w:sz="8" w:color="CCEEFF"/>
            </w:tcBorders>
            <w:gridSpan w:val="3"/>
            <w:shd w:val="clear" w:color="auto" w:fill="CCEEFF"/>
          </w:tcPr>
          <w:p>
            <w:pPr>
              <w:jc w:val="center"/>
              <w:ind w:left="194"/>
              <w:spacing w:after="0"/>
              <w:rPr>
                <w:sz w:val="20"/>
                <w:szCs w:val="20"/>
                <w:color w:val="auto"/>
              </w:rPr>
            </w:pPr>
            <w:r>
              <w:rPr>
                <w:rFonts w:ascii="Times New Roman" w:cs="Times New Roman" w:eastAsia="Times New Roman" w:hAnsi="Times New Roman"/>
                <w:sz w:val="18"/>
                <w:szCs w:val="18"/>
                <w:color w:val="auto"/>
                <w:w w:val="96"/>
              </w:rPr>
              <w:t>Director</w:t>
            </w:r>
          </w:p>
        </w:tc>
        <w:tc>
          <w:tcPr>
            <w:tcW w:w="1960" w:type="dxa"/>
            <w:vAlign w:val="bottom"/>
            <w:tcBorders>
              <w:bottom w:val="single" w:sz="8" w:color="CCEEFF"/>
            </w:tcBorders>
            <w:gridSpan w:val="3"/>
            <w:shd w:val="clear" w:color="auto" w:fill="CCEEFF"/>
          </w:tcPr>
          <w:p>
            <w:pPr>
              <w:jc w:val="center"/>
              <w:ind w:left="172"/>
              <w:spacing w:after="0"/>
              <w:rPr>
                <w:sz w:val="20"/>
                <w:szCs w:val="20"/>
                <w:color w:val="auto"/>
              </w:rPr>
            </w:pPr>
            <w:r>
              <w:rPr>
                <w:rFonts w:ascii="Times New Roman" w:cs="Times New Roman" w:eastAsia="Times New Roman" w:hAnsi="Times New Roman"/>
                <w:sz w:val="18"/>
                <w:szCs w:val="18"/>
                <w:color w:val="auto"/>
                <w:w w:val="96"/>
              </w:rPr>
              <w:t>March 2, 2015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H. MacCallum</w:t>
            </w:r>
          </w:p>
        </w:tc>
        <w:tc>
          <w:tcPr>
            <w:tcW w:w="1820" w:type="dxa"/>
            <w:vAlign w:val="bottom"/>
            <w:shd w:val="clear" w:color="auto" w:fill="CCEEFF"/>
          </w:tcPr>
          <w:p>
            <w:pPr>
              <w:spacing w:after="0"/>
              <w:rPr>
                <w:sz w:val="19"/>
                <w:szCs w:val="19"/>
                <w:color w:val="auto"/>
              </w:rPr>
            </w:pPr>
          </w:p>
        </w:tc>
        <w:tc>
          <w:tcPr>
            <w:tcW w:w="26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3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24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Henry L. Nordhoff</w:t>
            </w:r>
          </w:p>
        </w:tc>
        <w:tc>
          <w:tcPr>
            <w:tcW w:w="1820" w:type="dxa"/>
            <w:vAlign w:val="bottom"/>
            <w:tcBorders>
              <w:bottom w:val="single" w:sz="8" w:color="auto"/>
            </w:tcBorders>
          </w:tcPr>
          <w:p>
            <w:pPr>
              <w:spacing w:after="0"/>
              <w:rPr>
                <w:sz w:val="24"/>
                <w:szCs w:val="24"/>
                <w:color w:val="auto"/>
              </w:rPr>
            </w:pPr>
          </w:p>
        </w:tc>
        <w:tc>
          <w:tcPr>
            <w:tcW w:w="5220" w:type="dxa"/>
            <w:vAlign w:val="bottom"/>
            <w:gridSpan w:val="3"/>
          </w:tcPr>
          <w:p>
            <w:pPr>
              <w:jc w:val="center"/>
              <w:ind w:left="194"/>
              <w:spacing w:after="0"/>
              <w:rPr>
                <w:sz w:val="20"/>
                <w:szCs w:val="20"/>
                <w:color w:val="auto"/>
              </w:rPr>
            </w:pPr>
            <w:r>
              <w:rPr>
                <w:rFonts w:ascii="Times New Roman" w:cs="Times New Roman" w:eastAsia="Times New Roman" w:hAnsi="Times New Roman"/>
                <w:sz w:val="18"/>
                <w:szCs w:val="18"/>
                <w:color w:val="auto"/>
                <w:w w:val="96"/>
              </w:rPr>
              <w:t>Director</w:t>
            </w:r>
          </w:p>
        </w:tc>
        <w:tc>
          <w:tcPr>
            <w:tcW w:w="1960" w:type="dxa"/>
            <w:vAlign w:val="bottom"/>
            <w:gridSpan w:val="3"/>
          </w:tcPr>
          <w:p>
            <w:pPr>
              <w:jc w:val="center"/>
              <w:ind w:left="172"/>
              <w:spacing w:after="0"/>
              <w:rPr>
                <w:sz w:val="20"/>
                <w:szCs w:val="20"/>
                <w:color w:val="auto"/>
              </w:rPr>
            </w:pPr>
            <w:r>
              <w:rPr>
                <w:rFonts w:ascii="Times New Roman" w:cs="Times New Roman" w:eastAsia="Times New Roman" w:hAnsi="Times New Roman"/>
                <w:sz w:val="18"/>
                <w:szCs w:val="18"/>
                <w:color w:val="auto"/>
                <w:w w:val="96"/>
              </w:rPr>
              <w:t>March 2, 2015</w:t>
            </w:r>
          </w:p>
        </w:tc>
        <w:tc>
          <w:tcPr>
            <w:tcW w:w="0" w:type="dxa"/>
            <w:vAlign w:val="bottom"/>
          </w:tcPr>
          <w:p>
            <w:pPr>
              <w:spacing w:after="0"/>
              <w:rPr>
                <w:sz w:val="1"/>
                <w:szCs w:val="1"/>
                <w:color w:val="auto"/>
              </w:rPr>
            </w:pPr>
          </w:p>
        </w:tc>
      </w:tr>
      <w:tr>
        <w:trPr>
          <w:trHeight w:val="223"/>
        </w:trPr>
        <w:tc>
          <w:tcPr>
            <w:tcW w:w="2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Henry L. Nordhoff</w:t>
            </w:r>
          </w:p>
        </w:tc>
        <w:tc>
          <w:tcPr>
            <w:tcW w:w="18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4"/>
        </w:trPr>
        <w:tc>
          <w:tcPr>
            <w:tcW w:w="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40" w:type="dxa"/>
            <w:vAlign w:val="bottom"/>
            <w:gridSpan w:val="2"/>
          </w:tcPr>
          <w:p>
            <w:pPr>
              <w:jc w:val="right"/>
              <w:ind w:right="974"/>
              <w:spacing w:after="0"/>
              <w:rPr>
                <w:sz w:val="20"/>
                <w:szCs w:val="20"/>
                <w:color w:val="auto"/>
              </w:rPr>
            </w:pPr>
            <w:r>
              <w:rPr>
                <w:rFonts w:ascii="Times New Roman" w:cs="Times New Roman" w:eastAsia="Times New Roman" w:hAnsi="Times New Roman"/>
                <w:sz w:val="18"/>
                <w:szCs w:val="18"/>
                <w:color w:val="auto"/>
              </w:rPr>
              <w:t>62</w:t>
            </w:r>
          </w:p>
        </w:tc>
        <w:tc>
          <w:tcPr>
            <w:tcW w:w="2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64" w:name="page65"/>
    <w:bookmarkEnd w:id="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980" w:type="dxa"/>
            <w:vAlign w:val="bottom"/>
            <w:gridSpan w:val="2"/>
          </w:tcPr>
          <w:p>
            <w:pPr>
              <w:jc w:val="center"/>
              <w:ind w:right="1412"/>
              <w:spacing w:after="0"/>
              <w:rPr>
                <w:sz w:val="20"/>
                <w:szCs w:val="20"/>
                <w:color w:val="auto"/>
              </w:rPr>
            </w:pPr>
            <w:r>
              <w:rPr>
                <w:rFonts w:ascii="Times New Roman" w:cs="Times New Roman" w:eastAsia="Times New Roman" w:hAnsi="Times New Roman"/>
                <w:sz w:val="18"/>
                <w:szCs w:val="18"/>
                <w:b w:val="1"/>
                <w:bCs w:val="1"/>
                <w:color w:val="auto"/>
                <w:w w:val="97"/>
              </w:rPr>
              <w:t>MANNKIND CORPORATION AND SUBSIDIARIES</w:t>
            </w:r>
          </w:p>
        </w:tc>
        <w:tc>
          <w:tcPr>
            <w:tcW w:w="1860" w:type="dxa"/>
            <w:vAlign w:val="bottom"/>
          </w:tcPr>
          <w:p>
            <w:pPr>
              <w:spacing w:after="0"/>
              <w:rPr>
                <w:sz w:val="20"/>
                <w:szCs w:val="20"/>
                <w:color w:val="auto"/>
              </w:rPr>
            </w:pPr>
          </w:p>
        </w:tc>
      </w:tr>
      <w:tr>
        <w:trPr>
          <w:trHeight w:val="297"/>
        </w:trPr>
        <w:tc>
          <w:tcPr>
            <w:tcW w:w="20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340" w:type="dxa"/>
            <w:vAlign w:val="bottom"/>
          </w:tcPr>
          <w:p>
            <w:pPr>
              <w:jc w:val="center"/>
              <w:ind w:right="2052"/>
              <w:spacing w:after="0"/>
              <w:rPr>
                <w:sz w:val="20"/>
                <w:szCs w:val="20"/>
                <w:color w:val="auto"/>
              </w:rPr>
            </w:pPr>
            <w:r>
              <w:rPr>
                <w:rFonts w:ascii="Times New Roman" w:cs="Times New Roman" w:eastAsia="Times New Roman" w:hAnsi="Times New Roman"/>
                <w:sz w:val="18"/>
                <w:szCs w:val="18"/>
                <w:b w:val="1"/>
                <w:bCs w:val="1"/>
                <w:color w:val="auto"/>
                <w:w w:val="96"/>
              </w:rPr>
              <w:t>INDEX TO FINANCIAL STATEMENTS</w:t>
            </w:r>
          </w:p>
        </w:tc>
        <w:tc>
          <w:tcPr>
            <w:tcW w:w="1860" w:type="dxa"/>
            <w:vAlign w:val="bottom"/>
          </w:tcPr>
          <w:p>
            <w:pPr>
              <w:spacing w:after="0"/>
              <w:rPr>
                <w:sz w:val="24"/>
                <w:szCs w:val="24"/>
                <w:color w:val="auto"/>
              </w:rPr>
            </w:pPr>
          </w:p>
        </w:tc>
      </w:tr>
      <w:tr>
        <w:trPr>
          <w:trHeight w:val="259"/>
        </w:trPr>
        <w:tc>
          <w:tcPr>
            <w:tcW w:w="9460" w:type="dxa"/>
            <w:vAlign w:val="bottom"/>
            <w:gridSpan w:val="8"/>
          </w:tcPr>
          <w:p>
            <w:pPr>
              <w:spacing w:after="0"/>
              <w:rPr>
                <w:rFonts w:ascii="Times New Roman" w:cs="Times New Roman" w:eastAsia="Times New Roman" w:hAnsi="Times New Roman"/>
                <w:sz w:val="18"/>
                <w:szCs w:val="18"/>
                <w:color w:val="0000EE"/>
              </w:rPr>
            </w:pPr>
            <w:hyperlink w:anchor="page66">
              <w:r>
                <w:rPr>
                  <w:rFonts w:ascii="Times New Roman" w:cs="Times New Roman" w:eastAsia="Times New Roman" w:hAnsi="Times New Roman"/>
                  <w:sz w:val="18"/>
                  <w:szCs w:val="18"/>
                  <w:color w:val="0000EE"/>
                </w:rPr>
                <w:t>Report of Independent Registered Public Accounting Firm</w:t>
              </w:r>
            </w:hyperlink>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196"/>
        </w:trPr>
        <w:tc>
          <w:tcPr>
            <w:tcW w:w="4120" w:type="dxa"/>
            <w:vAlign w:val="bottom"/>
            <w:tcBorders>
              <w:top w:val="single" w:sz="8" w:color="0000EE"/>
            </w:tcBorders>
            <w:gridSpan w:val="7"/>
          </w:tcPr>
          <w:p>
            <w:pPr>
              <w:spacing w:after="0" w:line="196" w:lineRule="exact"/>
              <w:rPr>
                <w:rFonts w:ascii="Times New Roman" w:cs="Times New Roman" w:eastAsia="Times New Roman" w:hAnsi="Times New Roman"/>
                <w:sz w:val="18"/>
                <w:szCs w:val="18"/>
                <w:color w:val="0000EE"/>
              </w:rPr>
            </w:pPr>
            <w:hyperlink w:anchor="page67">
              <w:r>
                <w:rPr>
                  <w:rFonts w:ascii="Times New Roman" w:cs="Times New Roman" w:eastAsia="Times New Roman" w:hAnsi="Times New Roman"/>
                  <w:sz w:val="18"/>
                  <w:szCs w:val="18"/>
                  <w:color w:val="0000EE"/>
                </w:rPr>
                <w:t>Consolidated Balance Sheets</w:t>
              </w:r>
            </w:hyperlink>
          </w:p>
        </w:tc>
        <w:tc>
          <w:tcPr>
            <w:tcW w:w="5340" w:type="dxa"/>
            <w:vAlign w:val="bottom"/>
          </w:tcPr>
          <w:p>
            <w:pPr>
              <w:spacing w:after="0"/>
              <w:rPr>
                <w:sz w:val="17"/>
                <w:szCs w:val="17"/>
                <w:color w:val="auto"/>
              </w:rPr>
            </w:pPr>
          </w:p>
        </w:tc>
        <w:tc>
          <w:tcPr>
            <w:tcW w:w="1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65</w:t>
            </w:r>
          </w:p>
        </w:tc>
      </w:tr>
      <w:tr>
        <w:trPr>
          <w:trHeight w:val="20"/>
        </w:trPr>
        <w:tc>
          <w:tcPr>
            <w:tcW w:w="204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980" w:type="dxa"/>
            <w:vAlign w:val="bottom"/>
            <w:gridSpan w:val="2"/>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196"/>
        </w:trPr>
        <w:tc>
          <w:tcPr>
            <w:tcW w:w="276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7"/>
              </w:rPr>
            </w:pPr>
            <w:hyperlink w:anchor="page68">
              <w:r>
                <w:rPr>
                  <w:rFonts w:ascii="Times New Roman" w:cs="Times New Roman" w:eastAsia="Times New Roman" w:hAnsi="Times New Roman"/>
                  <w:sz w:val="18"/>
                  <w:szCs w:val="18"/>
                  <w:color w:val="0000EE"/>
                  <w:w w:val="97"/>
                </w:rPr>
                <w:t>Consolidated Statements of Operations</w:t>
              </w:r>
            </w:hyperlink>
          </w:p>
        </w:tc>
        <w:tc>
          <w:tcPr>
            <w:tcW w:w="6700" w:type="dxa"/>
            <w:vAlign w:val="bottom"/>
            <w:gridSpan w:val="6"/>
          </w:tcPr>
          <w:p>
            <w:pPr>
              <w:spacing w:after="0"/>
              <w:rPr>
                <w:sz w:val="17"/>
                <w:szCs w:val="17"/>
                <w:color w:val="auto"/>
              </w:rPr>
            </w:pPr>
          </w:p>
        </w:tc>
        <w:tc>
          <w:tcPr>
            <w:tcW w:w="1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66</w:t>
            </w:r>
          </w:p>
        </w:tc>
      </w:tr>
      <w:tr>
        <w:trPr>
          <w:trHeight w:val="196"/>
        </w:trPr>
        <w:tc>
          <w:tcPr>
            <w:tcW w:w="9460" w:type="dxa"/>
            <w:vAlign w:val="bottom"/>
            <w:gridSpan w:val="8"/>
          </w:tcPr>
          <w:p>
            <w:pPr>
              <w:spacing w:after="0" w:line="196" w:lineRule="exact"/>
              <w:rPr>
                <w:rFonts w:ascii="Times New Roman" w:cs="Times New Roman" w:eastAsia="Times New Roman" w:hAnsi="Times New Roman"/>
                <w:sz w:val="18"/>
                <w:szCs w:val="18"/>
                <w:color w:val="0000EE"/>
              </w:rPr>
            </w:pPr>
            <w:hyperlink w:anchor="page69">
              <w:r>
                <w:rPr>
                  <w:rFonts w:ascii="Times New Roman" w:cs="Times New Roman" w:eastAsia="Times New Roman" w:hAnsi="Times New Roman"/>
                  <w:sz w:val="18"/>
                  <w:szCs w:val="18"/>
                  <w:color w:val="0000EE"/>
                </w:rPr>
                <w:t>Consolidated Statements of Comprehensive Loss</w:t>
              </w:r>
            </w:hyperlink>
          </w:p>
        </w:tc>
        <w:tc>
          <w:tcPr>
            <w:tcW w:w="1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67</w:t>
            </w:r>
          </w:p>
        </w:tc>
      </w:tr>
      <w:tr>
        <w:trPr>
          <w:trHeight w:val="20"/>
        </w:trPr>
        <w:tc>
          <w:tcPr>
            <w:tcW w:w="280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980" w:type="dxa"/>
            <w:vAlign w:val="bottom"/>
            <w:gridSpan w:val="2"/>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196"/>
        </w:trPr>
        <w:tc>
          <w:tcPr>
            <w:tcW w:w="9460" w:type="dxa"/>
            <w:vAlign w:val="bottom"/>
            <w:gridSpan w:val="8"/>
          </w:tcPr>
          <w:p>
            <w:pPr>
              <w:spacing w:after="0" w:line="196" w:lineRule="exact"/>
              <w:rPr>
                <w:rFonts w:ascii="Times New Roman" w:cs="Times New Roman" w:eastAsia="Times New Roman" w:hAnsi="Times New Roman"/>
                <w:sz w:val="18"/>
                <w:szCs w:val="18"/>
                <w:color w:val="0000EE"/>
              </w:rPr>
            </w:pPr>
            <w:hyperlink w:anchor="page70">
              <w:r>
                <w:rPr>
                  <w:rFonts w:ascii="Times New Roman" w:cs="Times New Roman" w:eastAsia="Times New Roman" w:hAnsi="Times New Roman"/>
                  <w:sz w:val="18"/>
                  <w:szCs w:val="18"/>
                  <w:color w:val="0000EE"/>
                </w:rPr>
                <w:t>Consolidated Statements of Stockholders’ Deficit</w:t>
              </w:r>
            </w:hyperlink>
          </w:p>
        </w:tc>
        <w:tc>
          <w:tcPr>
            <w:tcW w:w="1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68</w:t>
            </w:r>
          </w:p>
        </w:tc>
      </w:tr>
      <w:tr>
        <w:trPr>
          <w:trHeight w:val="196"/>
        </w:trPr>
        <w:tc>
          <w:tcPr>
            <w:tcW w:w="3480" w:type="dxa"/>
            <w:vAlign w:val="bottom"/>
            <w:tcBorders>
              <w:top w:val="single" w:sz="8" w:color="0000EE"/>
            </w:tcBorders>
            <w:gridSpan w:val="6"/>
          </w:tcPr>
          <w:p>
            <w:pPr>
              <w:spacing w:after="0" w:line="196" w:lineRule="exact"/>
              <w:rPr>
                <w:rFonts w:ascii="Times New Roman" w:cs="Times New Roman" w:eastAsia="Times New Roman" w:hAnsi="Times New Roman"/>
                <w:sz w:val="18"/>
                <w:szCs w:val="18"/>
                <w:color w:val="0000EE"/>
              </w:rPr>
            </w:pPr>
            <w:hyperlink w:anchor="page71">
              <w:r>
                <w:rPr>
                  <w:rFonts w:ascii="Times New Roman" w:cs="Times New Roman" w:eastAsia="Times New Roman" w:hAnsi="Times New Roman"/>
                  <w:sz w:val="18"/>
                  <w:szCs w:val="18"/>
                  <w:color w:val="0000EE"/>
                </w:rPr>
                <w:t>Consolidated Statements of Cash Flows</w:t>
              </w:r>
            </w:hyperlink>
          </w:p>
        </w:tc>
        <w:tc>
          <w:tcPr>
            <w:tcW w:w="5980" w:type="dxa"/>
            <w:vAlign w:val="bottom"/>
            <w:gridSpan w:val="2"/>
          </w:tcPr>
          <w:p>
            <w:pPr>
              <w:spacing w:after="0"/>
              <w:rPr>
                <w:sz w:val="17"/>
                <w:szCs w:val="17"/>
                <w:color w:val="auto"/>
              </w:rPr>
            </w:pPr>
          </w:p>
        </w:tc>
        <w:tc>
          <w:tcPr>
            <w:tcW w:w="1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69</w:t>
            </w:r>
          </w:p>
        </w:tc>
      </w:tr>
      <w:tr>
        <w:trPr>
          <w:trHeight w:val="20"/>
        </w:trPr>
        <w:tc>
          <w:tcPr>
            <w:tcW w:w="280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380" w:type="dxa"/>
            <w:vAlign w:val="bottom"/>
            <w:gridSpan w:val="4"/>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196"/>
        </w:trPr>
        <w:tc>
          <w:tcPr>
            <w:tcW w:w="9460" w:type="dxa"/>
            <w:vAlign w:val="bottom"/>
            <w:gridSpan w:val="8"/>
          </w:tcPr>
          <w:p>
            <w:pPr>
              <w:spacing w:after="0" w:line="196" w:lineRule="exact"/>
              <w:rPr>
                <w:rFonts w:ascii="Times New Roman" w:cs="Times New Roman" w:eastAsia="Times New Roman" w:hAnsi="Times New Roman"/>
                <w:sz w:val="18"/>
                <w:szCs w:val="18"/>
                <w:color w:val="0000EE"/>
              </w:rPr>
            </w:pPr>
            <w:hyperlink w:anchor="page72">
              <w:r>
                <w:rPr>
                  <w:rFonts w:ascii="Times New Roman" w:cs="Times New Roman" w:eastAsia="Times New Roman" w:hAnsi="Times New Roman"/>
                  <w:sz w:val="18"/>
                  <w:szCs w:val="18"/>
                  <w:color w:val="0000EE"/>
                </w:rPr>
                <w:t>Notes to Consolidated Financial Statements</w:t>
              </w:r>
            </w:hyperlink>
          </w:p>
        </w:tc>
        <w:tc>
          <w:tcPr>
            <w:tcW w:w="1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70</w:t>
            </w:r>
          </w:p>
        </w:tc>
      </w:tr>
      <w:tr>
        <w:trPr>
          <w:trHeight w:val="383"/>
        </w:trPr>
        <w:tc>
          <w:tcPr>
            <w:tcW w:w="3080" w:type="dxa"/>
            <w:vAlign w:val="bottom"/>
            <w:tcBorders>
              <w:top w:val="single" w:sz="8" w:color="0000EE"/>
            </w:tcBorders>
            <w:gridSpan w:val="4"/>
          </w:tcPr>
          <w:p>
            <w:pPr>
              <w:spacing w:after="0"/>
              <w:rPr>
                <w:sz w:val="24"/>
                <w:szCs w:val="24"/>
                <w:color w:val="auto"/>
              </w:rPr>
            </w:pPr>
          </w:p>
        </w:tc>
        <w:tc>
          <w:tcPr>
            <w:tcW w:w="6380" w:type="dxa"/>
            <w:vAlign w:val="bottom"/>
            <w:gridSpan w:val="4"/>
          </w:tcPr>
          <w:p>
            <w:pPr>
              <w:jc w:val="center"/>
              <w:ind w:right="1032"/>
              <w:spacing w:after="0"/>
              <w:rPr>
                <w:sz w:val="20"/>
                <w:szCs w:val="20"/>
                <w:color w:val="auto"/>
              </w:rPr>
            </w:pPr>
            <w:r>
              <w:rPr>
                <w:rFonts w:ascii="Times New Roman" w:cs="Times New Roman" w:eastAsia="Times New Roman" w:hAnsi="Times New Roman"/>
                <w:sz w:val="18"/>
                <w:szCs w:val="18"/>
                <w:color w:val="auto"/>
                <w:w w:val="99"/>
              </w:rPr>
              <w:t>63</w:t>
            </w:r>
          </w:p>
        </w:tc>
        <w:tc>
          <w:tcPr>
            <w:tcW w:w="1860" w:type="dxa"/>
            <w:vAlign w:val="bottom"/>
          </w:tcPr>
          <w:p>
            <w:pPr>
              <w:spacing w:after="0"/>
              <w:rPr>
                <w:sz w:val="24"/>
                <w:szCs w:val="24"/>
                <w:color w:val="auto"/>
              </w:rPr>
            </w:pPr>
          </w:p>
        </w:tc>
      </w:tr>
    </w:tbl>
    <w:p>
      <w:pPr>
        <w:sectPr>
          <w:pgSz w:w="11900" w:h="16838" w:orient="portrait"/>
          <w:cols w:equalWidth="0" w:num="1">
            <w:col w:w="11320"/>
          </w:cols>
          <w:pgMar w:left="240" w:top="455" w:right="339" w:bottom="1440" w:gutter="0" w:footer="0" w:header="0"/>
        </w:sectPr>
      </w:pPr>
    </w:p>
    <w:bookmarkStart w:id="65" w:name="page66"/>
    <w:bookmarkEnd w:id="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 of MannKind Corporation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Valencia, California</w:t>
      </w:r>
    </w:p>
    <w:p>
      <w:pPr>
        <w:spacing w:after="0" w:line="78" w:lineRule="exact"/>
        <w:rPr>
          <w:sz w:val="20"/>
          <w:szCs w:val="20"/>
          <w:color w:val="auto"/>
        </w:rPr>
      </w:pPr>
    </w:p>
    <w:p>
      <w:pPr>
        <w:jc w:val="both"/>
        <w:ind w:right="280" w:firstLine="228"/>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MannKind Corporation and subsidiaries (the “Company”) as of December 31, 2014 and 2013 and the related consolidated statements of operations, comprehensive loss, stockholders’ deficit, and cash flows for each of the three years in the period ended December 31, 2014. These financial statements are the responsibility of the Company’s management. Our responsibility is to express an opinion on the financial statements based on our audits.</w:t>
      </w:r>
    </w:p>
    <w:p>
      <w:pPr>
        <w:spacing w:after="0" w:line="55" w:lineRule="exact"/>
        <w:rPr>
          <w:sz w:val="20"/>
          <w:szCs w:val="20"/>
          <w:color w:val="auto"/>
        </w:rPr>
      </w:pPr>
    </w:p>
    <w:p>
      <w:pPr>
        <w:ind w:right="20" w:firstLine="228"/>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58" w:lineRule="exact"/>
        <w:rPr>
          <w:sz w:val="20"/>
          <w:szCs w:val="20"/>
          <w:color w:val="auto"/>
        </w:rPr>
      </w:pPr>
    </w:p>
    <w:p>
      <w:pPr>
        <w:jc w:val="both"/>
        <w:ind w:right="120" w:firstLine="228"/>
        <w:spacing w:after="0" w:line="262" w:lineRule="auto"/>
        <w:rPr>
          <w:sz w:val="20"/>
          <w:szCs w:val="20"/>
          <w:color w:val="auto"/>
        </w:rPr>
      </w:pPr>
      <w:r>
        <w:rPr>
          <w:rFonts w:ascii="Times New Roman" w:cs="Times New Roman" w:eastAsia="Times New Roman" w:hAnsi="Times New Roman"/>
          <w:sz w:val="18"/>
          <w:szCs w:val="18"/>
          <w:color w:val="auto"/>
        </w:rPr>
        <w:t>In our opinion, such consolidated financial statements present fairly, in all material respects, the financial position of MannKind Corporation and subsidiaries as of December 31, 2014 and 2013, and the results of their operations and their cash flows for each of the three years in the period ended December 31, 2014, in conformity with accounting principles generally accepted in the United States of America.</w:t>
      </w:r>
    </w:p>
    <w:p>
      <w:pPr>
        <w:spacing w:after="0" w:line="51" w:lineRule="exact"/>
        <w:rPr>
          <w:sz w:val="20"/>
          <w:szCs w:val="20"/>
          <w:color w:val="auto"/>
        </w:rPr>
      </w:pPr>
    </w:p>
    <w:p>
      <w:pPr>
        <w:ind w:firstLine="228"/>
        <w:spacing w:after="0" w:line="258"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assuming that the Company will continue as a going concern. As discussed in Note 1 to the consolidated financial statements, the Company’s existing cash resources and its operating losses since inception raise substantial doubt about its ability to continue as a going concern. Management’s plans concerning these matters are also described in Note 1 to the consolidated financial statements. The consolidated financial statements do not include any adjustments that might result from the outcome of these uncertainties.</w:t>
      </w:r>
    </w:p>
    <w:p>
      <w:pPr>
        <w:spacing w:after="0" w:line="55" w:lineRule="exact"/>
        <w:rPr>
          <w:sz w:val="20"/>
          <w:szCs w:val="20"/>
          <w:color w:val="auto"/>
        </w:rPr>
      </w:pPr>
    </w:p>
    <w:p>
      <w:pPr>
        <w:ind w:right="100" w:firstLine="228"/>
        <w:spacing w:after="0" w:line="258" w:lineRule="auto"/>
        <w:rPr>
          <w:sz w:val="20"/>
          <w:szCs w:val="20"/>
          <w:color w:val="auto"/>
        </w:rPr>
      </w:pPr>
      <w:r>
        <w:rPr>
          <w:rFonts w:ascii="Times New Roman" w:cs="Times New Roman" w:eastAsia="Times New Roman" w:hAnsi="Times New Roman"/>
          <w:sz w:val="18"/>
          <w:szCs w:val="18"/>
          <w:color w:val="auto"/>
        </w:rPr>
        <w:t xml:space="preserve">We have also audited, in accordance with the standards of the Public Company Accounting Oversight Board (United States), the Company’s internal control over financial reporting as of December 31, 2014, based on the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and our report dated March 2, 2015 expressed an unqualified opinion on the Company’s internal control over financial reporting.</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 Angeles, California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 2015</w:t>
      </w:r>
    </w:p>
    <w:p>
      <w:pPr>
        <w:spacing w:after="0" w:line="1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400"/>
          </w:cols>
          <w:pgMar w:left="240" w:top="455" w:right="259" w:bottom="1440" w:gutter="0" w:footer="0" w:header="0"/>
        </w:sectPr>
      </w:pPr>
    </w:p>
    <w:bookmarkStart w:id="66" w:name="page67"/>
    <w:bookmarkEnd w:id="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MANNKIND CORPORATION AND SUBSIDIARIES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8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center"/>
              <w:ind w:left="574"/>
              <w:spacing w:after="0"/>
              <w:rPr>
                <w:sz w:val="20"/>
                <w:szCs w:val="20"/>
                <w:color w:val="auto"/>
              </w:rPr>
            </w:pPr>
            <w:r>
              <w:rPr>
                <w:rFonts w:ascii="Times New Roman" w:cs="Times New Roman" w:eastAsia="Times New Roman" w:hAnsi="Times New Roman"/>
                <w:sz w:val="14"/>
                <w:szCs w:val="14"/>
                <w:b w:val="1"/>
                <w:bCs w:val="1"/>
                <w:color w:val="auto"/>
                <w:w w:val="95"/>
              </w:rPr>
              <w:t>December 31,</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14"/>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6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13"/>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89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300" w:type="dxa"/>
            <w:vAlign w:val="bottom"/>
            <w:gridSpan w:val="4"/>
          </w:tcPr>
          <w:p>
            <w:pPr>
              <w:jc w:val="center"/>
              <w:ind w:right="13"/>
              <w:spacing w:after="0" w:line="125" w:lineRule="exact"/>
              <w:rPr>
                <w:sz w:val="20"/>
                <w:szCs w:val="20"/>
                <w:color w:val="auto"/>
              </w:rPr>
            </w:pPr>
            <w:r>
              <w:rPr>
                <w:rFonts w:ascii="Times New Roman" w:cs="Times New Roman" w:eastAsia="Times New Roman" w:hAnsi="Times New Roman"/>
                <w:sz w:val="14"/>
                <w:szCs w:val="14"/>
                <w:b w:val="1"/>
                <w:bCs w:val="1"/>
                <w:color w:val="auto"/>
                <w:w w:val="97"/>
              </w:rPr>
              <w:t>(In thousands, except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8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share data)</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8920" w:type="dxa"/>
            <w:vAlign w:val="bottom"/>
            <w:shd w:val="clear" w:color="auto" w:fill="CCEEFF"/>
          </w:tcPr>
          <w:p>
            <w:pPr>
              <w:ind w:left="386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120,841</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70,790</w:t>
            </w:r>
          </w:p>
        </w:tc>
        <w:tc>
          <w:tcPr>
            <w:tcW w:w="0" w:type="dxa"/>
            <w:vAlign w:val="bottom"/>
          </w:tcPr>
          <w:p>
            <w:pPr>
              <w:spacing w:after="0"/>
              <w:rPr>
                <w:sz w:val="1"/>
                <w:szCs w:val="1"/>
                <w:color w:val="auto"/>
              </w:rPr>
            </w:pPr>
          </w:p>
        </w:tc>
      </w:tr>
      <w:tr>
        <w:trPr>
          <w:trHeight w:val="216"/>
        </w:trPr>
        <w:tc>
          <w:tcPr>
            <w:tcW w:w="8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Receivables from collaboration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50,436</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Inventory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9,670</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20,206</w:t>
            </w: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9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current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201,153</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76,275</w:t>
            </w:r>
          </w:p>
        </w:tc>
        <w:tc>
          <w:tcPr>
            <w:tcW w:w="0" w:type="dxa"/>
            <w:vAlign w:val="bottom"/>
          </w:tcPr>
          <w:p>
            <w:pPr>
              <w:spacing w:after="0"/>
              <w:rPr>
                <w:sz w:val="1"/>
                <w:szCs w:val="1"/>
                <w:color w:val="auto"/>
              </w:rPr>
            </w:pPr>
          </w:p>
        </w:tc>
      </w:tr>
      <w:tr>
        <w:trPr>
          <w:trHeight w:val="216"/>
        </w:trPr>
        <w:tc>
          <w:tcPr>
            <w:tcW w:w="892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192,127</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176,557</w:t>
            </w:r>
          </w:p>
        </w:tc>
        <w:tc>
          <w:tcPr>
            <w:tcW w:w="0" w:type="dxa"/>
            <w:vAlign w:val="bottom"/>
          </w:tcPr>
          <w:p>
            <w:pPr>
              <w:spacing w:after="0"/>
              <w:rPr>
                <w:sz w:val="1"/>
                <w:szCs w:val="1"/>
                <w:color w:val="auto"/>
              </w:rPr>
            </w:pPr>
          </w:p>
        </w:tc>
      </w:tr>
      <w:tr>
        <w:trPr>
          <w:trHeight w:val="216"/>
        </w:trPr>
        <w:tc>
          <w:tcPr>
            <w:tcW w:w="8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 research and development credit exchange receivable — net of current portion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298</w:t>
            </w:r>
          </w:p>
        </w:tc>
        <w:tc>
          <w:tcPr>
            <w:tcW w:w="0" w:type="dxa"/>
            <w:vAlign w:val="bottom"/>
          </w:tcPr>
          <w:p>
            <w:pPr>
              <w:spacing w:after="0"/>
              <w:rPr>
                <w:sz w:val="1"/>
                <w:szCs w:val="1"/>
                <w:color w:val="auto"/>
              </w:rPr>
            </w:pPr>
          </w:p>
        </w:tc>
      </w:tr>
      <w:tr>
        <w:trPr>
          <w:trHeight w:val="223"/>
        </w:trPr>
        <w:tc>
          <w:tcPr>
            <w:tcW w:w="892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9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394,439</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258,646</w:t>
            </w:r>
          </w:p>
        </w:tc>
        <w:tc>
          <w:tcPr>
            <w:tcW w:w="0" w:type="dxa"/>
            <w:vAlign w:val="bottom"/>
          </w:tcPr>
          <w:p>
            <w:pPr>
              <w:spacing w:after="0"/>
              <w:rPr>
                <w:sz w:val="1"/>
                <w:szCs w:val="1"/>
                <w:color w:val="auto"/>
              </w:rPr>
            </w:pPr>
          </w:p>
        </w:tc>
      </w:tr>
      <w:tr>
        <w:trPr>
          <w:trHeight w:val="20"/>
        </w:trPr>
        <w:tc>
          <w:tcPr>
            <w:tcW w:w="8920" w:type="dxa"/>
            <w:vAlign w:val="bottom"/>
            <w:vMerge w:val="restart"/>
          </w:tcPr>
          <w:p>
            <w:pPr>
              <w:ind w:left="2260"/>
              <w:spacing w:after="0"/>
              <w:rPr>
                <w:sz w:val="20"/>
                <w:szCs w:val="20"/>
                <w:color w:val="auto"/>
              </w:rPr>
            </w:pPr>
            <w:r>
              <w:rPr>
                <w:rFonts w:ascii="Times New Roman" w:cs="Times New Roman" w:eastAsia="Times New Roman" w:hAnsi="Times New Roman"/>
                <w:sz w:val="18"/>
                <w:szCs w:val="18"/>
                <w:b w:val="1"/>
                <w:bCs w:val="1"/>
                <w:color w:val="auto"/>
              </w:rPr>
              <w:t>LIABILITIES AND STOCKHOLDERS’ DEFICIT</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9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8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7,394</w:t>
            </w:r>
          </w:p>
        </w:tc>
        <w:tc>
          <w:tcPr>
            <w:tcW w:w="6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3,860</w:t>
            </w:r>
          </w:p>
        </w:tc>
        <w:tc>
          <w:tcPr>
            <w:tcW w:w="0" w:type="dxa"/>
            <w:vAlign w:val="bottom"/>
          </w:tcPr>
          <w:p>
            <w:pPr>
              <w:spacing w:after="0"/>
              <w:rPr>
                <w:sz w:val="1"/>
                <w:szCs w:val="1"/>
                <w:color w:val="auto"/>
              </w:rPr>
            </w:pPr>
          </w:p>
        </w:tc>
      </w:tr>
      <w:tr>
        <w:trPr>
          <w:trHeight w:val="216"/>
        </w:trPr>
        <w:tc>
          <w:tcPr>
            <w:tcW w:w="8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26,206</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21,634</w:t>
            </w:r>
          </w:p>
        </w:tc>
        <w:tc>
          <w:tcPr>
            <w:tcW w:w="0" w:type="dxa"/>
            <w:vAlign w:val="bottom"/>
          </w:tcPr>
          <w:p>
            <w:pPr>
              <w:spacing w:after="0"/>
              <w:rPr>
                <w:sz w:val="1"/>
                <w:szCs w:val="1"/>
                <w:color w:val="auto"/>
              </w:rPr>
            </w:pPr>
          </w:p>
        </w:tc>
      </w:tr>
      <w:tr>
        <w:trPr>
          <w:trHeight w:val="216"/>
        </w:trPr>
        <w:tc>
          <w:tcPr>
            <w:tcW w:w="8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Facility financing obligation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72,995</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102,300</w:t>
            </w:r>
          </w:p>
        </w:tc>
        <w:tc>
          <w:tcPr>
            <w:tcW w:w="0" w:type="dxa"/>
            <w:vAlign w:val="bottom"/>
          </w:tcPr>
          <w:p>
            <w:pPr>
              <w:spacing w:after="0"/>
              <w:rPr>
                <w:sz w:val="1"/>
                <w:szCs w:val="1"/>
                <w:color w:val="auto"/>
              </w:rPr>
            </w:pPr>
          </w:p>
        </w:tc>
      </w:tr>
      <w:tr>
        <w:trPr>
          <w:trHeight w:val="216"/>
        </w:trPr>
        <w:tc>
          <w:tcPr>
            <w:tcW w:w="8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Senior convertible notes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99,355</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payments from collaboration</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197,403</w:t>
            </w: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9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403,353</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127,794</w:t>
            </w:r>
          </w:p>
        </w:tc>
        <w:tc>
          <w:tcPr>
            <w:tcW w:w="0" w:type="dxa"/>
            <w:vAlign w:val="bottom"/>
          </w:tcPr>
          <w:p>
            <w:pPr>
              <w:spacing w:after="0"/>
              <w:rPr>
                <w:sz w:val="1"/>
                <w:szCs w:val="1"/>
                <w:color w:val="auto"/>
              </w:rPr>
            </w:pPr>
          </w:p>
        </w:tc>
      </w:tr>
      <w:tr>
        <w:trPr>
          <w:trHeight w:val="216"/>
        </w:trPr>
        <w:tc>
          <w:tcPr>
            <w:tcW w:w="8920" w:type="dxa"/>
            <w:vAlign w:val="bottom"/>
          </w:tcPr>
          <w:p>
            <w:pPr>
              <w:spacing w:after="0"/>
              <w:rPr>
                <w:sz w:val="20"/>
                <w:szCs w:val="20"/>
                <w:color w:val="auto"/>
              </w:rPr>
            </w:pPr>
            <w:r>
              <w:rPr>
                <w:rFonts w:ascii="Times New Roman" w:cs="Times New Roman" w:eastAsia="Times New Roman" w:hAnsi="Times New Roman"/>
                <w:sz w:val="18"/>
                <w:szCs w:val="18"/>
                <w:color w:val="auto"/>
              </w:rPr>
              <w:t>Senior convertible notes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2"/>
          </w:tcPr>
          <w:p>
            <w:pPr>
              <w:jc w:val="right"/>
              <w:ind w:right="59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98,439</w:t>
            </w:r>
          </w:p>
        </w:tc>
        <w:tc>
          <w:tcPr>
            <w:tcW w:w="0" w:type="dxa"/>
            <w:vAlign w:val="bottom"/>
          </w:tcPr>
          <w:p>
            <w:pPr>
              <w:spacing w:after="0"/>
              <w:rPr>
                <w:sz w:val="1"/>
                <w:szCs w:val="1"/>
                <w:color w:val="auto"/>
              </w:rPr>
            </w:pPr>
          </w:p>
        </w:tc>
      </w:tr>
      <w:tr>
        <w:trPr>
          <w:trHeight w:val="216"/>
        </w:trPr>
        <w:tc>
          <w:tcPr>
            <w:tcW w:w="8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 payable to principal stockholder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49,521</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49,521</w:t>
            </w:r>
          </w:p>
        </w:tc>
        <w:tc>
          <w:tcPr>
            <w:tcW w:w="0" w:type="dxa"/>
            <w:vAlign w:val="bottom"/>
          </w:tcPr>
          <w:p>
            <w:pPr>
              <w:spacing w:after="0"/>
              <w:rPr>
                <w:sz w:val="1"/>
                <w:szCs w:val="1"/>
                <w:color w:val="auto"/>
              </w:rPr>
            </w:pPr>
          </w:p>
        </w:tc>
      </w:tr>
      <w:tr>
        <w:trPr>
          <w:trHeight w:val="223"/>
        </w:trPr>
        <w:tc>
          <w:tcPr>
            <w:tcW w:w="892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15,335</w:t>
            </w: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9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468,209</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289,359</w:t>
            </w:r>
          </w:p>
        </w:tc>
        <w:tc>
          <w:tcPr>
            <w:tcW w:w="0" w:type="dxa"/>
            <w:vAlign w:val="bottom"/>
          </w:tcPr>
          <w:p>
            <w:pPr>
              <w:spacing w:after="0"/>
              <w:rPr>
                <w:sz w:val="1"/>
                <w:szCs w:val="1"/>
                <w:color w:val="auto"/>
              </w:rPr>
            </w:pPr>
          </w:p>
        </w:tc>
      </w:tr>
      <w:tr>
        <w:trPr>
          <w:trHeight w:val="221"/>
        </w:trPr>
        <w:tc>
          <w:tcPr>
            <w:tcW w:w="892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8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deficit: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92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Undesignated preferred stock, $0.01 par value — 10,000,000 shares authorized; no shares issued or outstanding at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8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December 31, 2014 and 2013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gridSpan w:val="2"/>
          </w:tcPr>
          <w:p>
            <w:pPr>
              <w:jc w:val="right"/>
              <w:ind w:right="59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4"/>
        </w:trPr>
        <w:tc>
          <w:tcPr>
            <w:tcW w:w="8920" w:type="dxa"/>
            <w:vAlign w:val="bottom"/>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Common stock, $0.01 par value — 550,000,000 shares authorized at December 31, 2014 and 2013, respectively;</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406,059,089 and 369,391,972 shares issued and outstanding at December 31, 2014 and 2013, respectively</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4,061</w:t>
            </w: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3,697</w:t>
            </w:r>
          </w:p>
        </w:tc>
        <w:tc>
          <w:tcPr>
            <w:tcW w:w="0" w:type="dxa"/>
            <w:vAlign w:val="bottom"/>
          </w:tcPr>
          <w:p>
            <w:pPr>
              <w:spacing w:after="0"/>
              <w:rPr>
                <w:sz w:val="1"/>
                <w:szCs w:val="1"/>
                <w:color w:val="auto"/>
              </w:rPr>
            </w:pPr>
          </w:p>
        </w:tc>
      </w:tr>
      <w:tr>
        <w:trPr>
          <w:trHeight w:val="216"/>
        </w:trPr>
        <w:tc>
          <w:tcPr>
            <w:tcW w:w="892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2,416,967</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2,261,996</w:t>
            </w:r>
          </w:p>
        </w:tc>
        <w:tc>
          <w:tcPr>
            <w:tcW w:w="0" w:type="dxa"/>
            <w:vAlign w:val="bottom"/>
          </w:tcPr>
          <w:p>
            <w:pPr>
              <w:spacing w:after="0"/>
              <w:rPr>
                <w:sz w:val="1"/>
                <w:szCs w:val="1"/>
                <w:color w:val="auto"/>
              </w:rPr>
            </w:pPr>
          </w:p>
        </w:tc>
      </w:tr>
      <w:tr>
        <w:trPr>
          <w:trHeight w:val="216"/>
        </w:trPr>
        <w:tc>
          <w:tcPr>
            <w:tcW w:w="8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32"/>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892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2"/>
          </w:tcPr>
          <w:p>
            <w:pPr>
              <w:jc w:val="right"/>
              <w:ind w:right="532"/>
              <w:spacing w:after="0"/>
              <w:rPr>
                <w:sz w:val="20"/>
                <w:szCs w:val="20"/>
                <w:color w:val="auto"/>
              </w:rPr>
            </w:pPr>
            <w:r>
              <w:rPr>
                <w:rFonts w:ascii="Times New Roman" w:cs="Times New Roman" w:eastAsia="Times New Roman" w:hAnsi="Times New Roman"/>
                <w:sz w:val="18"/>
                <w:szCs w:val="18"/>
                <w:color w:val="auto"/>
                <w:w w:val="95"/>
              </w:rPr>
              <w:t>(2,494,784)</w:t>
            </w: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7"/>
              </w:rPr>
              <w:t>(2,296,402)</w:t>
            </w:r>
          </w:p>
        </w:tc>
        <w:tc>
          <w:tcPr>
            <w:tcW w:w="0" w:type="dxa"/>
            <w:vAlign w:val="bottom"/>
          </w:tcPr>
          <w:p>
            <w:pPr>
              <w:spacing w:after="0"/>
              <w:rPr>
                <w:sz w:val="1"/>
                <w:szCs w:val="1"/>
                <w:color w:val="auto"/>
              </w:rPr>
            </w:pPr>
          </w:p>
        </w:tc>
      </w:tr>
      <w:tr>
        <w:trPr>
          <w:trHeight w:val="27"/>
        </w:trPr>
        <w:tc>
          <w:tcPr>
            <w:tcW w:w="89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9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32"/>
              <w:spacing w:after="0"/>
              <w:rPr>
                <w:sz w:val="20"/>
                <w:szCs w:val="20"/>
                <w:color w:val="auto"/>
              </w:rPr>
            </w:pPr>
            <w:r>
              <w:rPr>
                <w:rFonts w:ascii="Times New Roman" w:cs="Times New Roman" w:eastAsia="Times New Roman" w:hAnsi="Times New Roman"/>
                <w:sz w:val="18"/>
                <w:szCs w:val="18"/>
                <w:color w:val="auto"/>
              </w:rPr>
              <w:t>(73,770)</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(30,713)</w:t>
            </w:r>
          </w:p>
        </w:tc>
        <w:tc>
          <w:tcPr>
            <w:tcW w:w="0" w:type="dxa"/>
            <w:vAlign w:val="bottom"/>
          </w:tcPr>
          <w:p>
            <w:pPr>
              <w:spacing w:after="0"/>
              <w:rPr>
                <w:sz w:val="1"/>
                <w:szCs w:val="1"/>
                <w:color w:val="auto"/>
              </w:rPr>
            </w:pPr>
          </w:p>
        </w:tc>
      </w:tr>
      <w:tr>
        <w:trPr>
          <w:trHeight w:val="223"/>
        </w:trPr>
        <w:tc>
          <w:tcPr>
            <w:tcW w:w="89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394,439</w:t>
            </w: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258,646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420"/>
          </w:cols>
          <w:pgMar w:left="240" w:top="455" w:right="239" w:bottom="1440" w:gutter="0" w:footer="0" w:header="0"/>
        </w:sectPr>
      </w:pPr>
    </w:p>
    <w:bookmarkStart w:id="67" w:name="page68"/>
    <w:bookmarkEnd w:id="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b w:val="1"/>
          <w:bCs w:val="1"/>
          <w:color w:val="auto"/>
        </w:rPr>
        <w:t>MANNKIND CORPORATION AND SUBSIDIARIES</w:t>
      </w:r>
    </w:p>
    <w:p>
      <w:pPr>
        <w:spacing w:after="0" w:line="90"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8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Year Ended December 31,</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35"/>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6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center"/>
              <w:ind w:right="14"/>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2013</w:t>
            </w:r>
          </w:p>
        </w:tc>
        <w:tc>
          <w:tcPr>
            <w:tcW w:w="4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4"/>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0" w:type="dxa"/>
            <w:vAlign w:val="bottom"/>
            <w:gridSpan w:val="9"/>
          </w:tcPr>
          <w:p>
            <w:pPr>
              <w:jc w:val="center"/>
              <w:ind w:right="14"/>
              <w:spacing w:after="0" w:line="142" w:lineRule="exact"/>
              <w:rPr>
                <w:sz w:val="20"/>
                <w:szCs w:val="20"/>
                <w:color w:val="auto"/>
              </w:rPr>
            </w:pPr>
            <w:r>
              <w:rPr>
                <w:rFonts w:ascii="Times New Roman" w:cs="Times New Roman" w:eastAsia="Times New Roman" w:hAnsi="Times New Roman"/>
                <w:sz w:val="14"/>
                <w:szCs w:val="14"/>
                <w:b w:val="1"/>
                <w:bCs w:val="1"/>
                <w:color w:val="auto"/>
                <w:w w:val="96"/>
              </w:rPr>
              <w:t>(In thousands, except per share data)</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33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22"/>
        </w:trPr>
        <w:tc>
          <w:tcPr>
            <w:tcW w:w="8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100,244</w:t>
            </w: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38"/>
              <w:spacing w:after="0"/>
              <w:rPr>
                <w:sz w:val="20"/>
                <w:szCs w:val="20"/>
                <w:color w:val="auto"/>
              </w:rPr>
            </w:pPr>
            <w:r>
              <w:rPr>
                <w:rFonts w:ascii="Times New Roman" w:cs="Times New Roman" w:eastAsia="Times New Roman" w:hAnsi="Times New Roman"/>
                <w:sz w:val="18"/>
                <w:szCs w:val="18"/>
                <w:color w:val="auto"/>
              </w:rPr>
              <w:t>109,719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101,522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79,383</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59,682</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179,627</w:t>
            </w: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38"/>
              <w:spacing w:after="0"/>
              <w:rPr>
                <w:sz w:val="20"/>
                <w:szCs w:val="20"/>
                <w:color w:val="auto"/>
              </w:rPr>
            </w:pPr>
            <w:r>
              <w:rPr>
                <w:rFonts w:ascii="Times New Roman" w:cs="Times New Roman" w:eastAsia="Times New Roman" w:hAnsi="Times New Roman"/>
                <w:sz w:val="18"/>
                <w:szCs w:val="18"/>
                <w:color w:val="auto"/>
              </w:rPr>
              <w:t>169,401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146,995</w:t>
            </w:r>
          </w:p>
        </w:tc>
        <w:tc>
          <w:tcPr>
            <w:tcW w:w="0" w:type="dxa"/>
            <w:vAlign w:val="bottom"/>
          </w:tcPr>
          <w:p>
            <w:pPr>
              <w:spacing w:after="0"/>
              <w:rPr>
                <w:sz w:val="1"/>
                <w:szCs w:val="1"/>
                <w:color w:val="auto"/>
              </w:rPr>
            </w:pPr>
          </w:p>
        </w:tc>
      </w:tr>
      <w:tr>
        <w:trPr>
          <w:trHeight w:val="222"/>
        </w:trPr>
        <w:tc>
          <w:tcPr>
            <w:tcW w:w="8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(179,627)</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(169,401)</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(146,960)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1,679</w:t>
            </w: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78"/>
              <w:spacing w:after="0"/>
              <w:rPr>
                <w:sz w:val="20"/>
                <w:szCs w:val="20"/>
                <w:color w:val="auto"/>
              </w:rPr>
            </w:pPr>
            <w:r>
              <w:rPr>
                <w:rFonts w:ascii="Times New Roman" w:cs="Times New Roman" w:eastAsia="Times New Roman" w:hAnsi="Times New Roman"/>
                <w:sz w:val="18"/>
                <w:szCs w:val="18"/>
                <w:color w:val="auto"/>
              </w:rPr>
              <w:t>(635)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on note payable to principal stockholder</w:t>
            </w:r>
          </w:p>
        </w:tc>
        <w:tc>
          <w:tcPr>
            <w:tcW w:w="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(2,894)</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78"/>
              <w:spacing w:after="0"/>
              <w:rPr>
                <w:sz w:val="20"/>
                <w:szCs w:val="20"/>
                <w:color w:val="auto"/>
              </w:rPr>
            </w:pPr>
            <w:r>
              <w:rPr>
                <w:rFonts w:ascii="Times New Roman" w:cs="Times New Roman" w:eastAsia="Times New Roman" w:hAnsi="Times New Roman"/>
                <w:sz w:val="18"/>
                <w:szCs w:val="18"/>
                <w:color w:val="auto"/>
              </w:rPr>
              <w:t>(6,309)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on notes</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(17,549)</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78"/>
              <w:spacing w:after="0"/>
              <w:rPr>
                <w:sz w:val="20"/>
                <w:szCs w:val="20"/>
                <w:color w:val="auto"/>
              </w:rPr>
            </w:pPr>
            <w:r>
              <w:rPr>
                <w:rFonts w:ascii="Times New Roman" w:cs="Times New Roman" w:eastAsia="Times New Roman" w:hAnsi="Times New Roman"/>
                <w:sz w:val="18"/>
                <w:szCs w:val="18"/>
                <w:color w:val="auto"/>
              </w:rPr>
              <w:t>(15,153)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benefit for income taxes</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(198,382)</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78"/>
              <w:spacing w:after="0"/>
              <w:rPr>
                <w:sz w:val="20"/>
                <w:szCs w:val="20"/>
                <w:color w:val="auto"/>
              </w:rPr>
            </w:pPr>
            <w:r>
              <w:rPr>
                <w:rFonts w:ascii="Times New Roman" w:cs="Times New Roman" w:eastAsia="Times New Roman" w:hAnsi="Times New Roman"/>
                <w:sz w:val="18"/>
                <w:szCs w:val="18"/>
                <w:color w:val="auto"/>
                <w:w w:val="96"/>
              </w:rPr>
              <w:t>(191,490)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(169,774)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38"/>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rPr>
              <w:t>408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(198,382)</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78"/>
              <w:spacing w:after="0"/>
              <w:rPr>
                <w:sz w:val="20"/>
                <w:szCs w:val="20"/>
                <w:color w:val="auto"/>
              </w:rPr>
            </w:pPr>
            <w:r>
              <w:rPr>
                <w:rFonts w:ascii="Times New Roman" w:cs="Times New Roman" w:eastAsia="Times New Roman" w:hAnsi="Times New Roman"/>
                <w:sz w:val="18"/>
                <w:szCs w:val="18"/>
                <w:color w:val="auto"/>
                <w:w w:val="96"/>
              </w:rPr>
              <w:t>(191,490)</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(169,366)</w:t>
            </w:r>
          </w:p>
        </w:tc>
        <w:tc>
          <w:tcPr>
            <w:tcW w:w="0" w:type="dxa"/>
            <w:vAlign w:val="bottom"/>
          </w:tcPr>
          <w:p>
            <w:pPr>
              <w:spacing w:after="0"/>
              <w:rPr>
                <w:sz w:val="1"/>
                <w:szCs w:val="1"/>
                <w:color w:val="auto"/>
              </w:rPr>
            </w:pPr>
          </w:p>
        </w:tc>
      </w:tr>
      <w:tr>
        <w:trPr>
          <w:trHeight w:val="20"/>
        </w:trPr>
        <w:tc>
          <w:tcPr>
            <w:tcW w:w="82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Net loss per share — basic and diluted</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240" w:type="dxa"/>
            <w:vAlign w:val="bottom"/>
            <w:gridSpan w:val="2"/>
            <w:vMerge w:val="continue"/>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(0.64</w:t>
            </w:r>
          </w:p>
        </w:tc>
        <w:tc>
          <w:tcPr>
            <w:tcW w:w="4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(0.94</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used to compute basic and diluted net loss per share</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385,229</w:t>
            </w: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38"/>
              <w:spacing w:after="0"/>
              <w:rPr>
                <w:sz w:val="20"/>
                <w:szCs w:val="20"/>
                <w:color w:val="auto"/>
              </w:rPr>
            </w:pPr>
            <w:r>
              <w:rPr>
                <w:rFonts w:ascii="Times New Roman" w:cs="Times New Roman" w:eastAsia="Times New Roman" w:hAnsi="Times New Roman"/>
                <w:sz w:val="18"/>
                <w:szCs w:val="18"/>
                <w:color w:val="auto"/>
              </w:rPr>
              <w:t>299,591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180,855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420"/>
          </w:cols>
          <w:pgMar w:left="240" w:top="455" w:right="239" w:bottom="1440" w:gutter="0" w:footer="0" w:header="0"/>
        </w:sectPr>
      </w:pPr>
    </w:p>
    <w:bookmarkStart w:id="68" w:name="page69"/>
    <w:bookmarkEnd w:id="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MANNKIND CORPORATION AND SUBSIDIARIES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LOSS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8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6"/>
          </w:tcPr>
          <w:p>
            <w:pPr>
              <w:jc w:val="right"/>
              <w:ind w:right="38"/>
              <w:spacing w:after="0"/>
              <w:rPr>
                <w:sz w:val="20"/>
                <w:szCs w:val="20"/>
                <w:color w:val="auto"/>
              </w:rPr>
            </w:pPr>
            <w:r>
              <w:rPr>
                <w:rFonts w:ascii="Times New Roman" w:cs="Times New Roman" w:eastAsia="Times New Roman" w:hAnsi="Times New Roman"/>
                <w:sz w:val="14"/>
                <w:szCs w:val="14"/>
                <w:b w:val="1"/>
                <w:bCs w:val="1"/>
                <w:color w:val="auto"/>
                <w:w w:val="93"/>
              </w:rPr>
              <w:t>Year ended December 31,</w:t>
            </w:r>
          </w:p>
        </w:tc>
        <w:tc>
          <w:tcPr>
            <w:tcW w:w="6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42"/>
        </w:trPr>
        <w:tc>
          <w:tcPr>
            <w:tcW w:w="82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75"/>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95"/>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3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5"/>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140" w:type="dxa"/>
            <w:vAlign w:val="bottom"/>
          </w:tcPr>
          <w:p>
            <w:pPr>
              <w:spacing w:after="0"/>
              <w:rPr>
                <w:sz w:val="12"/>
                <w:szCs w:val="12"/>
                <w:color w:val="auto"/>
              </w:rPr>
            </w:pPr>
          </w:p>
        </w:tc>
      </w:tr>
      <w:tr>
        <w:trPr>
          <w:trHeight w:val="142"/>
        </w:trPr>
        <w:tc>
          <w:tcPr>
            <w:tcW w:w="8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216"/>
        </w:trPr>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3"/>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99"/>
              </w:rPr>
              <w:t>(198,382)</w:t>
            </w: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98"/>
              <w:spacing w:after="0"/>
              <w:rPr>
                <w:sz w:val="20"/>
                <w:szCs w:val="20"/>
                <w:color w:val="auto"/>
              </w:rPr>
            </w:pPr>
            <w:r>
              <w:rPr>
                <w:rFonts w:ascii="Times New Roman" w:cs="Times New Roman" w:eastAsia="Times New Roman" w:hAnsi="Times New Roman"/>
                <w:sz w:val="18"/>
                <w:szCs w:val="18"/>
                <w:color w:val="auto"/>
              </w:rPr>
              <w:t>(191,490)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(169,366)</w:t>
            </w:r>
          </w:p>
        </w:tc>
      </w:tr>
      <w:tr>
        <w:trPr>
          <w:trHeight w:val="216"/>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Cumulative translation (loss) gain</w:t>
            </w:r>
          </w:p>
        </w:tc>
        <w:tc>
          <w:tcPr>
            <w:tcW w:w="1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58"/>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Unrealized gain (loss) on investments:</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2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Less: reclassification adjustment for gains (losses) included in net loss</w:t>
            </w:r>
          </w:p>
        </w:tc>
        <w:tc>
          <w:tcPr>
            <w:tcW w:w="1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5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30"/>
        </w:trPr>
        <w:tc>
          <w:tcPr>
            <w:tcW w:w="8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unrealized gain (loss) on investments</w:t>
            </w:r>
          </w:p>
        </w:tc>
        <w:tc>
          <w:tcPr>
            <w:tcW w:w="14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40" w:type="dxa"/>
            <w:vAlign w:val="bottom"/>
          </w:tcPr>
          <w:p>
            <w:pPr>
              <w:spacing w:after="0"/>
              <w:rPr>
                <w:sz w:val="20"/>
                <w:szCs w:val="20"/>
                <w:color w:val="auto"/>
              </w:rPr>
            </w:pPr>
          </w:p>
        </w:tc>
      </w:tr>
      <w:tr>
        <w:trPr>
          <w:trHeight w:val="216"/>
        </w:trPr>
        <w:tc>
          <w:tcPr>
            <w:tcW w:w="82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58"/>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23"/>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(198,392</w:t>
            </w:r>
          </w:p>
        </w:tc>
        <w:tc>
          <w:tcPr>
            <w:tcW w:w="200" w:type="dxa"/>
            <w:vAlign w:val="bottom"/>
            <w:gridSpan w:val="2"/>
          </w:tcPr>
          <w:p>
            <w:pPr>
              <w:jc w:val="right"/>
              <w:ind w:right="72"/>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(191,488</w:t>
            </w:r>
          </w:p>
        </w:tc>
        <w:tc>
          <w:tcPr>
            <w:tcW w:w="3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(169,416</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8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420"/>
          </w:cols>
          <w:pgMar w:left="240" w:top="455" w:right="239" w:bottom="1440" w:gutter="0" w:footer="0" w:header="0"/>
        </w:sectPr>
      </w:pPr>
    </w:p>
    <w:bookmarkStart w:id="69" w:name="page70"/>
    <w:bookmarkEnd w:id="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MANNKIND CORPORATION AND SUBSIDIARIES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DEFICIT</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380" w:type="dxa"/>
            <w:vAlign w:val="bottom"/>
            <w:gridSpan w:val="5"/>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5"/>
              </w:rPr>
              <w:t>Accumulated</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6160" w:type="dxa"/>
            <w:vAlign w:val="bottom"/>
            <w:vMerge w:val="continue"/>
          </w:tcPr>
          <w:p>
            <w:pPr>
              <w:spacing w:after="0"/>
              <w:rPr>
                <w:sz w:val="13"/>
                <w:szCs w:val="13"/>
                <w:color w:val="auto"/>
              </w:rPr>
            </w:pPr>
          </w:p>
        </w:tc>
        <w:tc>
          <w:tcPr>
            <w:tcW w:w="1380" w:type="dxa"/>
            <w:vAlign w:val="bottom"/>
            <w:gridSpan w:val="5"/>
            <w:vMerge w:val="continue"/>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2"/>
          </w:tcPr>
          <w:p>
            <w:pPr>
              <w:jc w:val="right"/>
              <w:ind w:right="160"/>
              <w:spacing w:after="0" w:line="152" w:lineRule="exact"/>
              <w:rPr>
                <w:sz w:val="20"/>
                <w:szCs w:val="20"/>
                <w:color w:val="auto"/>
              </w:rPr>
            </w:pPr>
            <w:r>
              <w:rPr>
                <w:rFonts w:ascii="Times New Roman" w:cs="Times New Roman" w:eastAsia="Times New Roman" w:hAnsi="Times New Roman"/>
                <w:sz w:val="14"/>
                <w:szCs w:val="14"/>
                <w:b w:val="1"/>
                <w:bCs w:val="1"/>
                <w:color w:val="auto"/>
                <w:w w:val="93"/>
              </w:rPr>
              <w:t>Additional</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gridSpan w:val="2"/>
          </w:tcPr>
          <w:p>
            <w:pPr>
              <w:jc w:val="center"/>
              <w:ind w:right="360"/>
              <w:spacing w:after="0" w:line="152" w:lineRule="exact"/>
              <w:rPr>
                <w:sz w:val="20"/>
                <w:szCs w:val="20"/>
                <w:color w:val="auto"/>
              </w:rPr>
            </w:pPr>
            <w:r>
              <w:rPr>
                <w:rFonts w:ascii="Times New Roman" w:cs="Times New Roman" w:eastAsia="Times New Roman" w:hAnsi="Times New Roman"/>
                <w:sz w:val="14"/>
                <w:szCs w:val="14"/>
                <w:b w:val="1"/>
                <w:bCs w:val="1"/>
                <w:color w:val="auto"/>
                <w:w w:val="93"/>
              </w:rPr>
              <w:t>other</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6160" w:type="dxa"/>
            <w:vAlign w:val="bottom"/>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gridSpan w:val="2"/>
          </w:tcPr>
          <w:p>
            <w:pPr>
              <w:jc w:val="right"/>
              <w:ind w:right="260"/>
              <w:spacing w:after="0" w:line="125" w:lineRule="exact"/>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10"/>
                <w:szCs w:val="10"/>
                <w:color w:val="auto"/>
              </w:rPr>
            </w:pPr>
          </w:p>
        </w:tc>
        <w:tc>
          <w:tcPr>
            <w:tcW w:w="1040" w:type="dxa"/>
            <w:vAlign w:val="bottom"/>
            <w:gridSpan w:val="3"/>
          </w:tcPr>
          <w:p>
            <w:pPr>
              <w:jc w:val="center"/>
              <w:ind w:right="180"/>
              <w:spacing w:after="0" w:line="125" w:lineRule="exact"/>
              <w:rPr>
                <w:sz w:val="20"/>
                <w:szCs w:val="20"/>
                <w:color w:val="auto"/>
              </w:rPr>
            </w:pPr>
            <w:r>
              <w:rPr>
                <w:rFonts w:ascii="Times New Roman" w:cs="Times New Roman" w:eastAsia="Times New Roman" w:hAnsi="Times New Roman"/>
                <w:sz w:val="14"/>
                <w:szCs w:val="14"/>
                <w:b w:val="1"/>
                <w:bCs w:val="1"/>
                <w:color w:val="auto"/>
                <w:w w:val="96"/>
              </w:rPr>
              <w:t>comprehensive</w:t>
            </w:r>
          </w:p>
        </w:tc>
        <w:tc>
          <w:tcPr>
            <w:tcW w:w="120" w:type="dxa"/>
            <w:vAlign w:val="bottom"/>
          </w:tcPr>
          <w:p>
            <w:pPr>
              <w:spacing w:after="0"/>
              <w:rPr>
                <w:sz w:val="10"/>
                <w:szCs w:val="10"/>
                <w:color w:val="auto"/>
              </w:rPr>
            </w:pPr>
          </w:p>
        </w:tc>
        <w:tc>
          <w:tcPr>
            <w:tcW w:w="920" w:type="dxa"/>
            <w:vAlign w:val="bottom"/>
            <w:gridSpan w:val="3"/>
          </w:tcPr>
          <w:p>
            <w:pPr>
              <w:jc w:val="right"/>
              <w:ind w:right="160"/>
              <w:spacing w:after="0" w:line="125" w:lineRule="exact"/>
              <w:rPr>
                <w:sz w:val="20"/>
                <w:szCs w:val="20"/>
                <w:color w:val="auto"/>
              </w:rPr>
            </w:pPr>
            <w:r>
              <w:rPr>
                <w:rFonts w:ascii="Times New Roman" w:cs="Times New Roman" w:eastAsia="Times New Roman" w:hAnsi="Times New Roman"/>
                <w:sz w:val="14"/>
                <w:szCs w:val="14"/>
                <w:b w:val="1"/>
                <w:bCs w:val="1"/>
                <w:color w:val="auto"/>
                <w:w w:val="93"/>
              </w:rPr>
              <w:t>Accumulated</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61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60" w:type="dxa"/>
            <w:vAlign w:val="bottom"/>
          </w:tcPr>
          <w:p>
            <w:pPr>
              <w:spacing w:after="0"/>
              <w:rPr>
                <w:sz w:val="14"/>
                <w:szCs w:val="14"/>
                <w:color w:val="auto"/>
              </w:rPr>
            </w:pPr>
          </w:p>
        </w:tc>
        <w:tc>
          <w:tcPr>
            <w:tcW w:w="6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4"/>
                <w:szCs w:val="14"/>
                <w:color w:val="auto"/>
              </w:rPr>
            </w:pP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4"/>
                <w:szCs w:val="14"/>
                <w:color w:val="auto"/>
              </w:rPr>
            </w:pPr>
          </w:p>
        </w:tc>
        <w:tc>
          <w:tcPr>
            <w:tcW w:w="104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5"/>
              </w:rPr>
              <w:t>income (loss)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2"/>
        </w:trPr>
        <w:tc>
          <w:tcPr>
            <w:tcW w:w="616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BALANCE, JANUARY 1, 2012</w:t>
            </w:r>
          </w:p>
        </w:tc>
        <w:tc>
          <w:tcPr>
            <w:tcW w:w="5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131,523</w:t>
            </w:r>
          </w:p>
        </w:tc>
        <w:tc>
          <w:tcPr>
            <w:tcW w:w="2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1,315</w:t>
            </w: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95"/>
              </w:rPr>
              <w:t>$1,620,535</w:t>
            </w: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32"/>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44</w:t>
            </w:r>
          </w:p>
        </w:tc>
        <w:tc>
          <w:tcPr>
            <w:tcW w:w="1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94"/>
              </w:rPr>
              <w:t>(1,935,546)</w:t>
            </w: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3"/>
              </w:rPr>
              <w:t>(313,652)</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160" w:type="dxa"/>
            <w:vAlign w:val="bottom"/>
          </w:tcPr>
          <w:p>
            <w:pPr>
              <w:ind w:left="440"/>
              <w:spacing w:after="0" w:line="149" w:lineRule="exact"/>
              <w:rPr>
                <w:sz w:val="20"/>
                <w:szCs w:val="20"/>
                <w:color w:val="auto"/>
              </w:rPr>
            </w:pPr>
            <w:r>
              <w:rPr>
                <w:rFonts w:ascii="Times New Roman" w:cs="Times New Roman" w:eastAsia="Times New Roman" w:hAnsi="Times New Roman"/>
                <w:sz w:val="14"/>
                <w:szCs w:val="14"/>
                <w:color w:val="auto"/>
              </w:rPr>
              <w:t>Exercise of stock options</w:t>
            </w: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9</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149"/>
        </w:trPr>
        <w:tc>
          <w:tcPr>
            <w:tcW w:w="6160" w:type="dxa"/>
            <w:vAlign w:val="bottom"/>
            <w:shd w:val="clear" w:color="auto" w:fill="CCEEFF"/>
          </w:tcPr>
          <w:p>
            <w:pPr>
              <w:ind w:left="440"/>
              <w:spacing w:after="0" w:line="149" w:lineRule="exact"/>
              <w:rPr>
                <w:sz w:val="20"/>
                <w:szCs w:val="20"/>
                <w:color w:val="auto"/>
              </w:rPr>
            </w:pPr>
            <w:r>
              <w:rPr>
                <w:rFonts w:ascii="Times New Roman" w:cs="Times New Roman" w:eastAsia="Times New Roman" w:hAnsi="Times New Roman"/>
                <w:sz w:val="14"/>
                <w:szCs w:val="14"/>
                <w:color w:val="auto"/>
              </w:rPr>
              <w:t>Issuance of common shares from the release of restricted stock units</w:t>
            </w: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886</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9</w:t>
            </w:r>
          </w:p>
        </w:tc>
        <w:tc>
          <w:tcPr>
            <w:tcW w:w="920" w:type="dxa"/>
            <w:vAlign w:val="bottom"/>
            <w:gridSpan w:val="3"/>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(915)</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(906)</w:t>
            </w:r>
          </w:p>
        </w:tc>
        <w:tc>
          <w:tcPr>
            <w:tcW w:w="0" w:type="dxa"/>
            <w:vAlign w:val="bottom"/>
          </w:tcPr>
          <w:p>
            <w:pPr>
              <w:spacing w:after="0"/>
              <w:rPr>
                <w:sz w:val="1"/>
                <w:szCs w:val="1"/>
                <w:color w:val="auto"/>
              </w:rPr>
            </w:pPr>
          </w:p>
        </w:tc>
      </w:tr>
      <w:tr>
        <w:trPr>
          <w:trHeight w:val="149"/>
        </w:trPr>
        <w:tc>
          <w:tcPr>
            <w:tcW w:w="6160" w:type="dxa"/>
            <w:vAlign w:val="bottom"/>
          </w:tcPr>
          <w:p>
            <w:pPr>
              <w:ind w:left="440"/>
              <w:spacing w:after="0" w:line="149" w:lineRule="exact"/>
              <w:rPr>
                <w:sz w:val="20"/>
                <w:szCs w:val="20"/>
                <w:color w:val="auto"/>
              </w:rPr>
            </w:pPr>
            <w:r>
              <w:rPr>
                <w:rFonts w:ascii="Times New Roman" w:cs="Times New Roman" w:eastAsia="Times New Roman" w:hAnsi="Times New Roman"/>
                <w:sz w:val="14"/>
                <w:szCs w:val="14"/>
                <w:color w:val="auto"/>
              </w:rPr>
              <w:t>Issuance of common shares pursuant to underwritten public offerings</w:t>
            </w: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81,938</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819</w:t>
            </w:r>
          </w:p>
        </w:tc>
        <w:tc>
          <w:tcPr>
            <w:tcW w:w="7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166,045</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166,864</w:t>
            </w:r>
          </w:p>
        </w:tc>
        <w:tc>
          <w:tcPr>
            <w:tcW w:w="0" w:type="dxa"/>
            <w:vAlign w:val="bottom"/>
          </w:tcPr>
          <w:p>
            <w:pPr>
              <w:spacing w:after="0"/>
              <w:rPr>
                <w:sz w:val="1"/>
                <w:szCs w:val="1"/>
                <w:color w:val="auto"/>
              </w:rPr>
            </w:pPr>
          </w:p>
        </w:tc>
      </w:tr>
      <w:tr>
        <w:trPr>
          <w:trHeight w:val="136"/>
        </w:trPr>
        <w:tc>
          <w:tcPr>
            <w:tcW w:w="6160" w:type="dxa"/>
            <w:vAlign w:val="bottom"/>
            <w:shd w:val="clear" w:color="auto" w:fill="CCEEFF"/>
          </w:tcPr>
          <w:p>
            <w:pPr>
              <w:ind w:left="440"/>
              <w:spacing w:after="0" w:line="136" w:lineRule="exact"/>
              <w:rPr>
                <w:sz w:val="20"/>
                <w:szCs w:val="20"/>
                <w:color w:val="auto"/>
              </w:rPr>
            </w:pPr>
            <w:r>
              <w:rPr>
                <w:rFonts w:ascii="Times New Roman" w:cs="Times New Roman" w:eastAsia="Times New Roman" w:hAnsi="Times New Roman"/>
                <w:sz w:val="14"/>
                <w:szCs w:val="14"/>
                <w:color w:val="auto"/>
              </w:rPr>
              <w:t>Issuance of common shares in exchange for cancelling equal amounts of note payable to principal</w:t>
            </w:r>
          </w:p>
        </w:tc>
        <w:tc>
          <w:tcPr>
            <w:tcW w:w="5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1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stockholder</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71,250</w:t>
            </w: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713</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183,824</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184,537</w:t>
            </w:r>
          </w:p>
        </w:tc>
        <w:tc>
          <w:tcPr>
            <w:tcW w:w="0" w:type="dxa"/>
            <w:vAlign w:val="bottom"/>
          </w:tcPr>
          <w:p>
            <w:pPr>
              <w:spacing w:after="0"/>
              <w:rPr>
                <w:sz w:val="1"/>
                <w:szCs w:val="1"/>
                <w:color w:val="auto"/>
              </w:rPr>
            </w:pPr>
          </w:p>
        </w:tc>
      </w:tr>
      <w:tr>
        <w:trPr>
          <w:trHeight w:val="149"/>
        </w:trPr>
        <w:tc>
          <w:tcPr>
            <w:tcW w:w="6160" w:type="dxa"/>
            <w:vAlign w:val="bottom"/>
          </w:tcPr>
          <w:p>
            <w:pPr>
              <w:ind w:left="440"/>
              <w:spacing w:after="0" w:line="149" w:lineRule="exact"/>
              <w:rPr>
                <w:sz w:val="20"/>
                <w:szCs w:val="20"/>
                <w:color w:val="auto"/>
              </w:rPr>
            </w:pPr>
            <w:r>
              <w:rPr>
                <w:rFonts w:ascii="Times New Roman" w:cs="Times New Roman" w:eastAsia="Times New Roman" w:hAnsi="Times New Roman"/>
                <w:sz w:val="14"/>
                <w:szCs w:val="14"/>
                <w:color w:val="auto"/>
              </w:rPr>
              <w:t>Fair value of forward purchase contracts</w:t>
            </w: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1,237</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1,237</w:t>
            </w:r>
          </w:p>
        </w:tc>
        <w:tc>
          <w:tcPr>
            <w:tcW w:w="0" w:type="dxa"/>
            <w:vAlign w:val="bottom"/>
          </w:tcPr>
          <w:p>
            <w:pPr>
              <w:spacing w:after="0"/>
              <w:rPr>
                <w:sz w:val="1"/>
                <w:szCs w:val="1"/>
                <w:color w:val="auto"/>
              </w:rPr>
            </w:pPr>
          </w:p>
        </w:tc>
      </w:tr>
      <w:tr>
        <w:trPr>
          <w:trHeight w:val="149"/>
        </w:trPr>
        <w:tc>
          <w:tcPr>
            <w:tcW w:w="6160" w:type="dxa"/>
            <w:vAlign w:val="bottom"/>
            <w:shd w:val="clear" w:color="auto" w:fill="CCEEFF"/>
          </w:tcPr>
          <w:p>
            <w:pPr>
              <w:ind w:left="440"/>
              <w:spacing w:after="0" w:line="149" w:lineRule="exact"/>
              <w:rPr>
                <w:sz w:val="20"/>
                <w:szCs w:val="20"/>
                <w:color w:val="auto"/>
              </w:rPr>
            </w:pPr>
            <w:r>
              <w:rPr>
                <w:rFonts w:ascii="Times New Roman" w:cs="Times New Roman" w:eastAsia="Times New Roman" w:hAnsi="Times New Roman"/>
                <w:sz w:val="14"/>
                <w:szCs w:val="14"/>
                <w:color w:val="auto"/>
              </w:rPr>
              <w:t>Issuance of common shares pursuant to litigation settlement</w:t>
            </w: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225</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w:t>
            </w:r>
          </w:p>
        </w:tc>
        <w:tc>
          <w:tcPr>
            <w:tcW w:w="7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436</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438</w:t>
            </w:r>
          </w:p>
        </w:tc>
        <w:tc>
          <w:tcPr>
            <w:tcW w:w="0" w:type="dxa"/>
            <w:vAlign w:val="bottom"/>
          </w:tcPr>
          <w:p>
            <w:pPr>
              <w:spacing w:after="0"/>
              <w:rPr>
                <w:sz w:val="1"/>
                <w:szCs w:val="1"/>
                <w:color w:val="auto"/>
              </w:rPr>
            </w:pPr>
          </w:p>
        </w:tc>
      </w:tr>
      <w:tr>
        <w:trPr>
          <w:trHeight w:val="149"/>
        </w:trPr>
        <w:tc>
          <w:tcPr>
            <w:tcW w:w="6160" w:type="dxa"/>
            <w:vAlign w:val="bottom"/>
          </w:tcPr>
          <w:p>
            <w:pPr>
              <w:ind w:left="440"/>
              <w:spacing w:after="0" w:line="149" w:lineRule="exact"/>
              <w:rPr>
                <w:sz w:val="20"/>
                <w:szCs w:val="20"/>
                <w:color w:val="auto"/>
              </w:rPr>
            </w:pPr>
            <w:r>
              <w:rPr>
                <w:rFonts w:ascii="Times New Roman" w:cs="Times New Roman" w:eastAsia="Times New Roman" w:hAnsi="Times New Roman"/>
                <w:sz w:val="14"/>
                <w:szCs w:val="14"/>
                <w:color w:val="auto"/>
              </w:rPr>
              <w:t>Commitment to deliver common shares pursuant to litigation settlement to additional paid-in capital</w:t>
            </w: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6,056</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6,056</w:t>
            </w:r>
          </w:p>
        </w:tc>
        <w:tc>
          <w:tcPr>
            <w:tcW w:w="0" w:type="dxa"/>
            <w:vAlign w:val="bottom"/>
          </w:tcPr>
          <w:p>
            <w:pPr>
              <w:spacing w:after="0"/>
              <w:rPr>
                <w:sz w:val="1"/>
                <w:szCs w:val="1"/>
                <w:color w:val="auto"/>
              </w:rPr>
            </w:pPr>
          </w:p>
        </w:tc>
      </w:tr>
      <w:tr>
        <w:trPr>
          <w:trHeight w:val="149"/>
        </w:trPr>
        <w:tc>
          <w:tcPr>
            <w:tcW w:w="6160" w:type="dxa"/>
            <w:vAlign w:val="bottom"/>
            <w:shd w:val="clear" w:color="auto" w:fill="CCEEFF"/>
          </w:tcPr>
          <w:p>
            <w:pPr>
              <w:ind w:left="440"/>
              <w:spacing w:after="0" w:line="149" w:lineRule="exact"/>
              <w:rPr>
                <w:sz w:val="20"/>
                <w:szCs w:val="20"/>
                <w:color w:val="auto"/>
              </w:rPr>
            </w:pPr>
            <w:r>
              <w:rPr>
                <w:rFonts w:ascii="Times New Roman" w:cs="Times New Roman" w:eastAsia="Times New Roman" w:hAnsi="Times New Roman"/>
                <w:sz w:val="14"/>
                <w:szCs w:val="14"/>
                <w:color w:val="auto"/>
              </w:rPr>
              <w:t>Issuance of common shares under Employee Stock Purchase Plan</w:t>
            </w: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211</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w:t>
            </w:r>
          </w:p>
        </w:tc>
        <w:tc>
          <w:tcPr>
            <w:tcW w:w="7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860</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862</w:t>
            </w:r>
          </w:p>
        </w:tc>
        <w:tc>
          <w:tcPr>
            <w:tcW w:w="0" w:type="dxa"/>
            <w:vAlign w:val="bottom"/>
          </w:tcPr>
          <w:p>
            <w:pPr>
              <w:spacing w:after="0"/>
              <w:rPr>
                <w:sz w:val="1"/>
                <w:szCs w:val="1"/>
                <w:color w:val="auto"/>
              </w:rPr>
            </w:pPr>
          </w:p>
        </w:tc>
      </w:tr>
      <w:tr>
        <w:trPr>
          <w:trHeight w:val="149"/>
        </w:trPr>
        <w:tc>
          <w:tcPr>
            <w:tcW w:w="6160" w:type="dxa"/>
            <w:vAlign w:val="bottom"/>
          </w:tcPr>
          <w:p>
            <w:pPr>
              <w:ind w:left="440"/>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13,292</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13,292</w:t>
            </w:r>
          </w:p>
        </w:tc>
        <w:tc>
          <w:tcPr>
            <w:tcW w:w="0" w:type="dxa"/>
            <w:vAlign w:val="bottom"/>
          </w:tcPr>
          <w:p>
            <w:pPr>
              <w:spacing w:after="0"/>
              <w:rPr>
                <w:sz w:val="1"/>
                <w:szCs w:val="1"/>
                <w:color w:val="auto"/>
              </w:rPr>
            </w:pPr>
          </w:p>
        </w:tc>
      </w:tr>
      <w:tr>
        <w:trPr>
          <w:trHeight w:val="149"/>
        </w:trPr>
        <w:tc>
          <w:tcPr>
            <w:tcW w:w="6160" w:type="dxa"/>
            <w:vAlign w:val="bottom"/>
            <w:shd w:val="clear" w:color="auto" w:fill="CCEEFF"/>
          </w:tcPr>
          <w:p>
            <w:pPr>
              <w:ind w:left="440"/>
              <w:spacing w:after="0" w:line="149" w:lineRule="exact"/>
              <w:rPr>
                <w:sz w:val="20"/>
                <w:szCs w:val="20"/>
                <w:color w:val="auto"/>
              </w:rPr>
            </w:pPr>
            <w:r>
              <w:rPr>
                <w:rFonts w:ascii="Times New Roman" w:cs="Times New Roman" w:eastAsia="Times New Roman" w:hAnsi="Times New Roman"/>
                <w:sz w:val="14"/>
                <w:szCs w:val="14"/>
                <w:color w:val="auto"/>
              </w:rPr>
              <w:t>Cumulative translation (loss) gain</w:t>
            </w: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49"/>
        </w:trPr>
        <w:tc>
          <w:tcPr>
            <w:tcW w:w="6160" w:type="dxa"/>
            <w:vAlign w:val="bottom"/>
          </w:tcPr>
          <w:p>
            <w:pPr>
              <w:ind w:left="440"/>
              <w:spacing w:after="0" w:line="149" w:lineRule="exact"/>
              <w:rPr>
                <w:sz w:val="20"/>
                <w:szCs w:val="20"/>
                <w:color w:val="auto"/>
              </w:rPr>
            </w:pPr>
            <w:r>
              <w:rPr>
                <w:rFonts w:ascii="Times New Roman" w:cs="Times New Roman" w:eastAsia="Times New Roman" w:hAnsi="Times New Roman"/>
                <w:sz w:val="14"/>
                <w:szCs w:val="14"/>
                <w:color w:val="auto"/>
              </w:rPr>
              <w:t>Reclassification adjustment for gains (losses) included in net loss</w:t>
            </w: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(48)</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(48)</w:t>
            </w:r>
          </w:p>
        </w:tc>
        <w:tc>
          <w:tcPr>
            <w:tcW w:w="0" w:type="dxa"/>
            <w:vAlign w:val="bottom"/>
          </w:tcPr>
          <w:p>
            <w:pPr>
              <w:spacing w:after="0"/>
              <w:rPr>
                <w:sz w:val="1"/>
                <w:szCs w:val="1"/>
                <w:color w:val="auto"/>
              </w:rPr>
            </w:pPr>
          </w:p>
        </w:tc>
      </w:tr>
      <w:tr>
        <w:trPr>
          <w:trHeight w:val="149"/>
        </w:trPr>
        <w:tc>
          <w:tcPr>
            <w:tcW w:w="6160" w:type="dxa"/>
            <w:vAlign w:val="bottom"/>
            <w:shd w:val="clear" w:color="auto" w:fill="CCEEFF"/>
          </w:tcPr>
          <w:p>
            <w:pPr>
              <w:ind w:left="44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(169,366)</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w w:val="91"/>
              </w:rPr>
              <w:t>(169,366)</w:t>
            </w:r>
          </w:p>
        </w:tc>
        <w:tc>
          <w:tcPr>
            <w:tcW w:w="0" w:type="dxa"/>
            <w:vAlign w:val="bottom"/>
          </w:tcPr>
          <w:p>
            <w:pPr>
              <w:spacing w:after="0"/>
              <w:rPr>
                <w:sz w:val="1"/>
                <w:szCs w:val="1"/>
                <w:color w:val="auto"/>
              </w:rPr>
            </w:pPr>
          </w:p>
        </w:tc>
      </w:tr>
      <w:tr>
        <w:trPr>
          <w:trHeight w:val="20"/>
        </w:trPr>
        <w:tc>
          <w:tcPr>
            <w:tcW w:w="61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BALANCE, DECEMBER 31, 2012</w:t>
            </w: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160" w:type="dxa"/>
            <w:vAlign w:val="bottom"/>
            <w:vMerge w:val="continue"/>
          </w:tcPr>
          <w:p>
            <w:pPr>
              <w:spacing w:after="0"/>
              <w:rPr>
                <w:sz w:val="13"/>
                <w:szCs w:val="13"/>
                <w:color w:val="auto"/>
              </w:rPr>
            </w:pPr>
          </w:p>
        </w:tc>
        <w:tc>
          <w:tcPr>
            <w:tcW w:w="5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286,035</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gridSpan w:val="2"/>
          </w:tcPr>
          <w:p>
            <w:pPr>
              <w:jc w:val="right"/>
              <w:ind w:right="140"/>
              <w:spacing w:after="0" w:line="155" w:lineRule="exact"/>
              <w:rPr>
                <w:sz w:val="20"/>
                <w:szCs w:val="20"/>
                <w:color w:val="auto"/>
              </w:rPr>
            </w:pPr>
            <w:r>
              <w:rPr>
                <w:rFonts w:ascii="Times New Roman" w:cs="Times New Roman" w:eastAsia="Times New Roman" w:hAnsi="Times New Roman"/>
                <w:sz w:val="14"/>
                <w:szCs w:val="14"/>
                <w:color w:val="auto"/>
              </w:rPr>
              <w:t>2,860</w:t>
            </w:r>
          </w:p>
        </w:tc>
        <w:tc>
          <w:tcPr>
            <w:tcW w:w="76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1,991,379</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gridSpan w:val="2"/>
          </w:tcPr>
          <w:p>
            <w:pPr>
              <w:jc w:val="right"/>
              <w:ind w:right="120"/>
              <w:spacing w:after="0" w:line="155" w:lineRule="exact"/>
              <w:rPr>
                <w:sz w:val="20"/>
                <w:szCs w:val="20"/>
                <w:color w:val="auto"/>
              </w:rPr>
            </w:pPr>
            <w:r>
              <w:rPr>
                <w:rFonts w:ascii="Times New Roman" w:cs="Times New Roman" w:eastAsia="Times New Roman" w:hAnsi="Times New Roman"/>
                <w:sz w:val="14"/>
                <w:szCs w:val="14"/>
                <w:color w:val="auto"/>
              </w:rPr>
              <w:t>(6)</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jc w:val="right"/>
              <w:ind w:right="120"/>
              <w:spacing w:after="0" w:line="155" w:lineRule="exact"/>
              <w:rPr>
                <w:sz w:val="20"/>
                <w:szCs w:val="20"/>
                <w:color w:val="auto"/>
              </w:rPr>
            </w:pPr>
            <w:r>
              <w:rPr>
                <w:rFonts w:ascii="Times New Roman" w:cs="Times New Roman" w:eastAsia="Times New Roman" w:hAnsi="Times New Roman"/>
                <w:sz w:val="14"/>
                <w:szCs w:val="14"/>
                <w:color w:val="auto"/>
              </w:rPr>
              <w:t>(2,104,912)</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jc w:val="right"/>
              <w:ind w:right="40"/>
              <w:spacing w:after="0" w:line="155" w:lineRule="exact"/>
              <w:rPr>
                <w:sz w:val="20"/>
                <w:szCs w:val="20"/>
                <w:color w:val="auto"/>
              </w:rPr>
            </w:pPr>
            <w:r>
              <w:rPr>
                <w:rFonts w:ascii="Times New Roman" w:cs="Times New Roman" w:eastAsia="Times New Roman" w:hAnsi="Times New Roman"/>
                <w:sz w:val="14"/>
                <w:szCs w:val="14"/>
                <w:color w:val="auto"/>
                <w:w w:val="91"/>
              </w:rPr>
              <w:t>(110,679)</w:t>
            </w:r>
          </w:p>
        </w:tc>
        <w:tc>
          <w:tcPr>
            <w:tcW w:w="0" w:type="dxa"/>
            <w:vAlign w:val="bottom"/>
          </w:tcPr>
          <w:p>
            <w:pPr>
              <w:spacing w:after="0"/>
              <w:rPr>
                <w:sz w:val="1"/>
                <w:szCs w:val="1"/>
                <w:color w:val="auto"/>
              </w:rPr>
            </w:pPr>
          </w:p>
        </w:tc>
      </w:tr>
      <w:tr>
        <w:trPr>
          <w:trHeight w:val="149"/>
        </w:trPr>
        <w:tc>
          <w:tcPr>
            <w:tcW w:w="6160" w:type="dxa"/>
            <w:vAlign w:val="bottom"/>
            <w:shd w:val="clear" w:color="auto" w:fill="CCEEFF"/>
          </w:tcPr>
          <w:p>
            <w:pPr>
              <w:ind w:left="440"/>
              <w:spacing w:after="0" w:line="149" w:lineRule="exact"/>
              <w:rPr>
                <w:sz w:val="20"/>
                <w:szCs w:val="20"/>
                <w:color w:val="auto"/>
              </w:rPr>
            </w:pPr>
            <w:r>
              <w:rPr>
                <w:rFonts w:ascii="Times New Roman" w:cs="Times New Roman" w:eastAsia="Times New Roman" w:hAnsi="Times New Roman"/>
                <w:sz w:val="14"/>
                <w:szCs w:val="14"/>
                <w:color w:val="auto"/>
              </w:rPr>
              <w:t>Exercise of stock options</w:t>
            </w: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880</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9</w:t>
            </w:r>
          </w:p>
        </w:tc>
        <w:tc>
          <w:tcPr>
            <w:tcW w:w="7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2,261</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2,270</w:t>
            </w:r>
          </w:p>
        </w:tc>
        <w:tc>
          <w:tcPr>
            <w:tcW w:w="0" w:type="dxa"/>
            <w:vAlign w:val="bottom"/>
          </w:tcPr>
          <w:p>
            <w:pPr>
              <w:spacing w:after="0"/>
              <w:rPr>
                <w:sz w:val="1"/>
                <w:szCs w:val="1"/>
                <w:color w:val="auto"/>
              </w:rPr>
            </w:pPr>
          </w:p>
        </w:tc>
      </w:tr>
      <w:tr>
        <w:trPr>
          <w:trHeight w:val="149"/>
        </w:trPr>
        <w:tc>
          <w:tcPr>
            <w:tcW w:w="6160" w:type="dxa"/>
            <w:vAlign w:val="bottom"/>
          </w:tcPr>
          <w:p>
            <w:pPr>
              <w:ind w:left="440"/>
              <w:spacing w:after="0" w:line="149" w:lineRule="exact"/>
              <w:rPr>
                <w:sz w:val="20"/>
                <w:szCs w:val="20"/>
                <w:color w:val="auto"/>
              </w:rPr>
            </w:pPr>
            <w:r>
              <w:rPr>
                <w:rFonts w:ascii="Times New Roman" w:cs="Times New Roman" w:eastAsia="Times New Roman" w:hAnsi="Times New Roman"/>
                <w:sz w:val="14"/>
                <w:szCs w:val="14"/>
                <w:color w:val="auto"/>
              </w:rPr>
              <w:t>Issuance of common shares from the release of restricted stock units</w:t>
            </w: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1,870</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20</w:t>
            </w:r>
          </w:p>
        </w:tc>
        <w:tc>
          <w:tcPr>
            <w:tcW w:w="920" w:type="dxa"/>
            <w:vAlign w:val="bottom"/>
            <w:gridSpan w:val="3"/>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(4,821)</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(4,801)</w:t>
            </w:r>
          </w:p>
        </w:tc>
        <w:tc>
          <w:tcPr>
            <w:tcW w:w="0" w:type="dxa"/>
            <w:vAlign w:val="bottom"/>
          </w:tcPr>
          <w:p>
            <w:pPr>
              <w:spacing w:after="0"/>
              <w:rPr>
                <w:sz w:val="1"/>
                <w:szCs w:val="1"/>
                <w:color w:val="auto"/>
              </w:rPr>
            </w:pPr>
          </w:p>
        </w:tc>
      </w:tr>
      <w:tr>
        <w:trPr>
          <w:trHeight w:val="149"/>
        </w:trPr>
        <w:tc>
          <w:tcPr>
            <w:tcW w:w="6160" w:type="dxa"/>
            <w:vAlign w:val="bottom"/>
            <w:shd w:val="clear" w:color="auto" w:fill="CCEEFF"/>
          </w:tcPr>
          <w:p>
            <w:pPr>
              <w:ind w:left="440"/>
              <w:spacing w:after="0" w:line="149" w:lineRule="exact"/>
              <w:rPr>
                <w:sz w:val="20"/>
                <w:szCs w:val="20"/>
                <w:color w:val="auto"/>
              </w:rPr>
            </w:pPr>
            <w:r>
              <w:rPr>
                <w:rFonts w:ascii="Times New Roman" w:cs="Times New Roman" w:eastAsia="Times New Roman" w:hAnsi="Times New Roman"/>
                <w:sz w:val="14"/>
                <w:szCs w:val="14"/>
                <w:color w:val="auto"/>
              </w:rPr>
              <w:t>Issuance of common shares pursuant to warrant exercises</w:t>
            </w: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66,353</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664</w:t>
            </w:r>
          </w:p>
        </w:tc>
        <w:tc>
          <w:tcPr>
            <w:tcW w:w="7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171,485</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172,149</w:t>
            </w:r>
          </w:p>
        </w:tc>
        <w:tc>
          <w:tcPr>
            <w:tcW w:w="0" w:type="dxa"/>
            <w:vAlign w:val="bottom"/>
          </w:tcPr>
          <w:p>
            <w:pPr>
              <w:spacing w:after="0"/>
              <w:rPr>
                <w:sz w:val="1"/>
                <w:szCs w:val="1"/>
                <w:color w:val="auto"/>
              </w:rPr>
            </w:pPr>
          </w:p>
        </w:tc>
      </w:tr>
      <w:tr>
        <w:trPr>
          <w:trHeight w:val="149"/>
        </w:trPr>
        <w:tc>
          <w:tcPr>
            <w:tcW w:w="6160" w:type="dxa"/>
            <w:vAlign w:val="bottom"/>
          </w:tcPr>
          <w:p>
            <w:pPr>
              <w:ind w:left="440"/>
              <w:spacing w:after="0" w:line="149" w:lineRule="exact"/>
              <w:rPr>
                <w:sz w:val="20"/>
                <w:szCs w:val="20"/>
                <w:color w:val="auto"/>
              </w:rPr>
            </w:pPr>
            <w:r>
              <w:rPr>
                <w:rFonts w:ascii="Times New Roman" w:cs="Times New Roman" w:eastAsia="Times New Roman" w:hAnsi="Times New Roman"/>
                <w:sz w:val="14"/>
                <w:szCs w:val="14"/>
                <w:color w:val="auto"/>
              </w:rPr>
              <w:t>Issuance of common shares pursuant to debt conversions by Deerfield</w:t>
            </w: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1,095</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7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5,489</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5,501</w:t>
            </w:r>
          </w:p>
        </w:tc>
        <w:tc>
          <w:tcPr>
            <w:tcW w:w="0" w:type="dxa"/>
            <w:vAlign w:val="bottom"/>
          </w:tcPr>
          <w:p>
            <w:pPr>
              <w:spacing w:after="0"/>
              <w:rPr>
                <w:sz w:val="1"/>
                <w:szCs w:val="1"/>
                <w:color w:val="auto"/>
              </w:rPr>
            </w:pPr>
          </w:p>
        </w:tc>
      </w:tr>
      <w:tr>
        <w:trPr>
          <w:trHeight w:val="149"/>
        </w:trPr>
        <w:tc>
          <w:tcPr>
            <w:tcW w:w="6160" w:type="dxa"/>
            <w:vAlign w:val="bottom"/>
            <w:shd w:val="clear" w:color="auto" w:fill="CCEEFF"/>
          </w:tcPr>
          <w:p>
            <w:pPr>
              <w:ind w:left="440"/>
              <w:spacing w:after="0" w:line="149" w:lineRule="exact"/>
              <w:rPr>
                <w:sz w:val="20"/>
                <w:szCs w:val="20"/>
                <w:color w:val="auto"/>
              </w:rPr>
            </w:pPr>
            <w:r>
              <w:rPr>
                <w:rFonts w:ascii="Times New Roman" w:cs="Times New Roman" w:eastAsia="Times New Roman" w:hAnsi="Times New Roman"/>
                <w:sz w:val="14"/>
                <w:szCs w:val="14"/>
                <w:color w:val="auto"/>
              </w:rPr>
              <w:t>Issuance of common stock pursuant to ATM issuances</w:t>
            </w: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9,824</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99</w:t>
            </w:r>
          </w:p>
        </w:tc>
        <w:tc>
          <w:tcPr>
            <w:tcW w:w="7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48,789</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48,888</w:t>
            </w:r>
          </w:p>
        </w:tc>
        <w:tc>
          <w:tcPr>
            <w:tcW w:w="0" w:type="dxa"/>
            <w:vAlign w:val="bottom"/>
          </w:tcPr>
          <w:p>
            <w:pPr>
              <w:spacing w:after="0"/>
              <w:rPr>
                <w:sz w:val="1"/>
                <w:szCs w:val="1"/>
                <w:color w:val="auto"/>
              </w:rPr>
            </w:pPr>
          </w:p>
        </w:tc>
      </w:tr>
      <w:tr>
        <w:trPr>
          <w:trHeight w:val="149"/>
        </w:trPr>
        <w:tc>
          <w:tcPr>
            <w:tcW w:w="6160" w:type="dxa"/>
            <w:vAlign w:val="bottom"/>
          </w:tcPr>
          <w:p>
            <w:pPr>
              <w:ind w:left="440"/>
              <w:spacing w:after="0" w:line="149" w:lineRule="exact"/>
              <w:rPr>
                <w:sz w:val="20"/>
                <w:szCs w:val="20"/>
                <w:color w:val="auto"/>
              </w:rPr>
            </w:pPr>
            <w:r>
              <w:rPr>
                <w:rFonts w:ascii="Times New Roman" w:cs="Times New Roman" w:eastAsia="Times New Roman" w:hAnsi="Times New Roman"/>
                <w:sz w:val="14"/>
                <w:szCs w:val="14"/>
                <w:color w:val="auto"/>
              </w:rPr>
              <w:t>Issuance of common shares pursuant to litigation settlement</w:t>
            </w: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2,778</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28</w:t>
            </w:r>
          </w:p>
        </w:tc>
        <w:tc>
          <w:tcPr>
            <w:tcW w:w="920" w:type="dxa"/>
            <w:vAlign w:val="bottom"/>
            <w:gridSpan w:val="3"/>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(28)</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6160" w:type="dxa"/>
            <w:vAlign w:val="bottom"/>
            <w:shd w:val="clear" w:color="auto" w:fill="CCEEFF"/>
          </w:tcPr>
          <w:p>
            <w:pPr>
              <w:ind w:left="440"/>
              <w:spacing w:after="0" w:line="149" w:lineRule="exact"/>
              <w:rPr>
                <w:sz w:val="20"/>
                <w:szCs w:val="20"/>
                <w:color w:val="auto"/>
              </w:rPr>
            </w:pPr>
            <w:r>
              <w:rPr>
                <w:rFonts w:ascii="Times New Roman" w:cs="Times New Roman" w:eastAsia="Times New Roman" w:hAnsi="Times New Roman"/>
                <w:sz w:val="14"/>
                <w:szCs w:val="14"/>
                <w:color w:val="auto"/>
              </w:rPr>
              <w:t>Issuance of common shares under Employee Stock Purchase Plan</w:t>
            </w: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557</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5</w:t>
            </w:r>
          </w:p>
        </w:tc>
        <w:tc>
          <w:tcPr>
            <w:tcW w:w="7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1,258</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1,263</w:t>
            </w:r>
          </w:p>
        </w:tc>
        <w:tc>
          <w:tcPr>
            <w:tcW w:w="0" w:type="dxa"/>
            <w:vAlign w:val="bottom"/>
          </w:tcPr>
          <w:p>
            <w:pPr>
              <w:spacing w:after="0"/>
              <w:rPr>
                <w:sz w:val="1"/>
                <w:szCs w:val="1"/>
                <w:color w:val="auto"/>
              </w:rPr>
            </w:pPr>
          </w:p>
        </w:tc>
      </w:tr>
      <w:tr>
        <w:trPr>
          <w:trHeight w:val="149"/>
        </w:trPr>
        <w:tc>
          <w:tcPr>
            <w:tcW w:w="6160" w:type="dxa"/>
            <w:vAlign w:val="bottom"/>
          </w:tcPr>
          <w:p>
            <w:pPr>
              <w:ind w:left="440"/>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45,186</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45,186</w:t>
            </w:r>
          </w:p>
        </w:tc>
        <w:tc>
          <w:tcPr>
            <w:tcW w:w="0" w:type="dxa"/>
            <w:vAlign w:val="bottom"/>
          </w:tcPr>
          <w:p>
            <w:pPr>
              <w:spacing w:after="0"/>
              <w:rPr>
                <w:sz w:val="1"/>
                <w:szCs w:val="1"/>
                <w:color w:val="auto"/>
              </w:rPr>
            </w:pPr>
          </w:p>
        </w:tc>
      </w:tr>
      <w:tr>
        <w:trPr>
          <w:trHeight w:val="149"/>
        </w:trPr>
        <w:tc>
          <w:tcPr>
            <w:tcW w:w="6160" w:type="dxa"/>
            <w:vAlign w:val="bottom"/>
            <w:shd w:val="clear" w:color="auto" w:fill="CCEEFF"/>
          </w:tcPr>
          <w:p>
            <w:pPr>
              <w:ind w:left="440"/>
              <w:spacing w:after="0" w:line="149" w:lineRule="exact"/>
              <w:rPr>
                <w:sz w:val="20"/>
                <w:szCs w:val="20"/>
                <w:color w:val="auto"/>
              </w:rPr>
            </w:pPr>
            <w:r>
              <w:rPr>
                <w:rFonts w:ascii="Times New Roman" w:cs="Times New Roman" w:eastAsia="Times New Roman" w:hAnsi="Times New Roman"/>
                <w:sz w:val="14"/>
                <w:szCs w:val="14"/>
                <w:color w:val="auto"/>
              </w:rPr>
              <w:t>Cumulative translation (loss) gain</w:t>
            </w: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49"/>
        </w:trPr>
        <w:tc>
          <w:tcPr>
            <w:tcW w:w="6160" w:type="dxa"/>
            <w:vAlign w:val="bottom"/>
          </w:tcPr>
          <w:p>
            <w:pPr>
              <w:ind w:left="440"/>
              <w:spacing w:after="0" w:line="149" w:lineRule="exact"/>
              <w:rPr>
                <w:sz w:val="20"/>
                <w:szCs w:val="20"/>
                <w:color w:val="auto"/>
              </w:rPr>
            </w:pPr>
            <w:r>
              <w:rPr>
                <w:rFonts w:ascii="Times New Roman" w:cs="Times New Roman" w:eastAsia="Times New Roman" w:hAnsi="Times New Roman"/>
                <w:sz w:val="14"/>
                <w:szCs w:val="14"/>
                <w:color w:val="auto"/>
              </w:rPr>
              <w:t>Commitment to deliver common shares pursuant to Deerfield conversion to additional paid-in capital</w:t>
            </w: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998</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998</w:t>
            </w:r>
          </w:p>
        </w:tc>
        <w:tc>
          <w:tcPr>
            <w:tcW w:w="0" w:type="dxa"/>
            <w:vAlign w:val="bottom"/>
          </w:tcPr>
          <w:p>
            <w:pPr>
              <w:spacing w:after="0"/>
              <w:rPr>
                <w:sz w:val="1"/>
                <w:szCs w:val="1"/>
                <w:color w:val="auto"/>
              </w:rPr>
            </w:pPr>
          </w:p>
        </w:tc>
      </w:tr>
      <w:tr>
        <w:trPr>
          <w:trHeight w:val="149"/>
        </w:trPr>
        <w:tc>
          <w:tcPr>
            <w:tcW w:w="6160" w:type="dxa"/>
            <w:vAlign w:val="bottom"/>
            <w:shd w:val="clear" w:color="auto" w:fill="CCEEFF"/>
          </w:tcPr>
          <w:p>
            <w:pPr>
              <w:ind w:left="44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(191,490)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w w:val="91"/>
              </w:rPr>
              <w:t>(191,490)</w:t>
            </w:r>
          </w:p>
        </w:tc>
        <w:tc>
          <w:tcPr>
            <w:tcW w:w="0" w:type="dxa"/>
            <w:vAlign w:val="bottom"/>
          </w:tcPr>
          <w:p>
            <w:pPr>
              <w:spacing w:after="0"/>
              <w:rPr>
                <w:sz w:val="1"/>
                <w:szCs w:val="1"/>
                <w:color w:val="auto"/>
              </w:rPr>
            </w:pPr>
          </w:p>
        </w:tc>
      </w:tr>
      <w:tr>
        <w:trPr>
          <w:trHeight w:val="20"/>
        </w:trPr>
        <w:tc>
          <w:tcPr>
            <w:tcW w:w="61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BALANCE, DECEMBER 31, 2013</w:t>
            </w: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160" w:type="dxa"/>
            <w:vAlign w:val="bottom"/>
            <w:vMerge w:val="continue"/>
          </w:tcPr>
          <w:p>
            <w:pPr>
              <w:spacing w:after="0"/>
              <w:rPr>
                <w:sz w:val="13"/>
                <w:szCs w:val="13"/>
                <w:color w:val="auto"/>
              </w:rPr>
            </w:pPr>
          </w:p>
        </w:tc>
        <w:tc>
          <w:tcPr>
            <w:tcW w:w="5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369,392</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gridSpan w:val="2"/>
          </w:tcPr>
          <w:p>
            <w:pPr>
              <w:jc w:val="right"/>
              <w:ind w:right="140"/>
              <w:spacing w:after="0" w:line="155" w:lineRule="exact"/>
              <w:rPr>
                <w:sz w:val="20"/>
                <w:szCs w:val="20"/>
                <w:color w:val="auto"/>
              </w:rPr>
            </w:pPr>
            <w:r>
              <w:rPr>
                <w:rFonts w:ascii="Times New Roman" w:cs="Times New Roman" w:eastAsia="Times New Roman" w:hAnsi="Times New Roman"/>
                <w:sz w:val="14"/>
                <w:szCs w:val="14"/>
                <w:color w:val="auto"/>
              </w:rPr>
              <w:t>3,697</w:t>
            </w:r>
          </w:p>
        </w:tc>
        <w:tc>
          <w:tcPr>
            <w:tcW w:w="76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2,261,996</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gridSpan w:val="2"/>
          </w:tcPr>
          <w:p>
            <w:pPr>
              <w:jc w:val="right"/>
              <w:ind w:right="120"/>
              <w:spacing w:after="0" w:line="155" w:lineRule="exact"/>
              <w:rPr>
                <w:sz w:val="20"/>
                <w:szCs w:val="20"/>
                <w:color w:val="auto"/>
              </w:rPr>
            </w:pPr>
            <w:r>
              <w:rPr>
                <w:rFonts w:ascii="Times New Roman" w:cs="Times New Roman" w:eastAsia="Times New Roman" w:hAnsi="Times New Roman"/>
                <w:sz w:val="14"/>
                <w:szCs w:val="14"/>
                <w:color w:val="auto"/>
              </w:rPr>
              <w:t>(4)</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jc w:val="right"/>
              <w:ind w:right="120"/>
              <w:spacing w:after="0" w:line="155" w:lineRule="exact"/>
              <w:rPr>
                <w:sz w:val="20"/>
                <w:szCs w:val="20"/>
                <w:color w:val="auto"/>
              </w:rPr>
            </w:pPr>
            <w:r>
              <w:rPr>
                <w:rFonts w:ascii="Times New Roman" w:cs="Times New Roman" w:eastAsia="Times New Roman" w:hAnsi="Times New Roman"/>
                <w:sz w:val="14"/>
                <w:szCs w:val="14"/>
                <w:color w:val="auto"/>
              </w:rPr>
              <w:t>(2,296,402)</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jc w:val="right"/>
              <w:ind w:right="40"/>
              <w:spacing w:after="0" w:line="155" w:lineRule="exact"/>
              <w:rPr>
                <w:sz w:val="20"/>
                <w:szCs w:val="20"/>
                <w:color w:val="auto"/>
              </w:rPr>
            </w:pPr>
            <w:r>
              <w:rPr>
                <w:rFonts w:ascii="Times New Roman" w:cs="Times New Roman" w:eastAsia="Times New Roman" w:hAnsi="Times New Roman"/>
                <w:sz w:val="14"/>
                <w:szCs w:val="14"/>
                <w:color w:val="auto"/>
              </w:rPr>
              <w:t>(30,713)</w:t>
            </w:r>
          </w:p>
        </w:tc>
        <w:tc>
          <w:tcPr>
            <w:tcW w:w="0" w:type="dxa"/>
            <w:vAlign w:val="bottom"/>
          </w:tcPr>
          <w:p>
            <w:pPr>
              <w:spacing w:after="0"/>
              <w:rPr>
                <w:sz w:val="1"/>
                <w:szCs w:val="1"/>
                <w:color w:val="auto"/>
              </w:rPr>
            </w:pPr>
          </w:p>
        </w:tc>
      </w:tr>
      <w:tr>
        <w:trPr>
          <w:trHeight w:val="149"/>
        </w:trPr>
        <w:tc>
          <w:tcPr>
            <w:tcW w:w="6160" w:type="dxa"/>
            <w:vAlign w:val="bottom"/>
            <w:shd w:val="clear" w:color="auto" w:fill="CCEEFF"/>
          </w:tcPr>
          <w:p>
            <w:pPr>
              <w:ind w:left="440"/>
              <w:spacing w:after="0" w:line="149" w:lineRule="exact"/>
              <w:rPr>
                <w:sz w:val="20"/>
                <w:szCs w:val="20"/>
                <w:color w:val="auto"/>
              </w:rPr>
            </w:pPr>
            <w:r>
              <w:rPr>
                <w:rFonts w:ascii="Times New Roman" w:cs="Times New Roman" w:eastAsia="Times New Roman" w:hAnsi="Times New Roman"/>
                <w:sz w:val="14"/>
                <w:szCs w:val="14"/>
                <w:color w:val="auto"/>
              </w:rPr>
              <w:t>Exercise of stock options</w:t>
            </w: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3,251</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35</w:t>
            </w:r>
          </w:p>
        </w:tc>
        <w:tc>
          <w:tcPr>
            <w:tcW w:w="7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10,943</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10,978</w:t>
            </w:r>
          </w:p>
        </w:tc>
        <w:tc>
          <w:tcPr>
            <w:tcW w:w="0" w:type="dxa"/>
            <w:vAlign w:val="bottom"/>
          </w:tcPr>
          <w:p>
            <w:pPr>
              <w:spacing w:after="0"/>
              <w:rPr>
                <w:sz w:val="1"/>
                <w:szCs w:val="1"/>
                <w:color w:val="auto"/>
              </w:rPr>
            </w:pPr>
          </w:p>
        </w:tc>
      </w:tr>
      <w:tr>
        <w:trPr>
          <w:trHeight w:val="149"/>
        </w:trPr>
        <w:tc>
          <w:tcPr>
            <w:tcW w:w="6160" w:type="dxa"/>
            <w:vAlign w:val="bottom"/>
          </w:tcPr>
          <w:p>
            <w:pPr>
              <w:ind w:left="440"/>
              <w:spacing w:after="0" w:line="149" w:lineRule="exact"/>
              <w:rPr>
                <w:sz w:val="20"/>
                <w:szCs w:val="20"/>
                <w:color w:val="auto"/>
              </w:rPr>
            </w:pPr>
            <w:r>
              <w:rPr>
                <w:rFonts w:ascii="Times New Roman" w:cs="Times New Roman" w:eastAsia="Times New Roman" w:hAnsi="Times New Roman"/>
                <w:sz w:val="14"/>
                <w:szCs w:val="14"/>
                <w:color w:val="auto"/>
              </w:rPr>
              <w:t>Issuance of common shares from the release of restricted stock units</w:t>
            </w: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3,996</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38</w:t>
            </w:r>
          </w:p>
        </w:tc>
        <w:tc>
          <w:tcPr>
            <w:tcW w:w="920" w:type="dxa"/>
            <w:vAlign w:val="bottom"/>
            <w:gridSpan w:val="3"/>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(26,946)</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(26,908)</w:t>
            </w:r>
          </w:p>
        </w:tc>
        <w:tc>
          <w:tcPr>
            <w:tcW w:w="0" w:type="dxa"/>
            <w:vAlign w:val="bottom"/>
          </w:tcPr>
          <w:p>
            <w:pPr>
              <w:spacing w:after="0"/>
              <w:rPr>
                <w:sz w:val="1"/>
                <w:szCs w:val="1"/>
                <w:color w:val="auto"/>
              </w:rPr>
            </w:pPr>
          </w:p>
        </w:tc>
      </w:tr>
      <w:tr>
        <w:trPr>
          <w:trHeight w:val="149"/>
        </w:trPr>
        <w:tc>
          <w:tcPr>
            <w:tcW w:w="6160" w:type="dxa"/>
            <w:vAlign w:val="bottom"/>
            <w:shd w:val="clear" w:color="auto" w:fill="CCEEFF"/>
          </w:tcPr>
          <w:p>
            <w:pPr>
              <w:ind w:left="440"/>
              <w:spacing w:after="0" w:line="149" w:lineRule="exact"/>
              <w:rPr>
                <w:sz w:val="20"/>
                <w:szCs w:val="20"/>
                <w:color w:val="auto"/>
              </w:rPr>
            </w:pPr>
            <w:r>
              <w:rPr>
                <w:rFonts w:ascii="Times New Roman" w:cs="Times New Roman" w:eastAsia="Times New Roman" w:hAnsi="Times New Roman"/>
                <w:sz w:val="14"/>
                <w:szCs w:val="14"/>
                <w:color w:val="auto"/>
              </w:rPr>
              <w:t>Issuance of common shares pursuant to warrant exercises</w:t>
            </w: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11,575</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115</w:t>
            </w:r>
          </w:p>
        </w:tc>
        <w:tc>
          <w:tcPr>
            <w:tcW w:w="7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27,664</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27,779</w:t>
            </w:r>
          </w:p>
        </w:tc>
        <w:tc>
          <w:tcPr>
            <w:tcW w:w="0" w:type="dxa"/>
            <w:vAlign w:val="bottom"/>
          </w:tcPr>
          <w:p>
            <w:pPr>
              <w:spacing w:after="0"/>
              <w:rPr>
                <w:sz w:val="1"/>
                <w:szCs w:val="1"/>
                <w:color w:val="auto"/>
              </w:rPr>
            </w:pPr>
          </w:p>
        </w:tc>
      </w:tr>
      <w:tr>
        <w:trPr>
          <w:trHeight w:val="149"/>
        </w:trPr>
        <w:tc>
          <w:tcPr>
            <w:tcW w:w="6160" w:type="dxa"/>
            <w:vAlign w:val="bottom"/>
          </w:tcPr>
          <w:p>
            <w:pPr>
              <w:ind w:left="440"/>
              <w:spacing w:after="0" w:line="149" w:lineRule="exact"/>
              <w:rPr>
                <w:sz w:val="20"/>
                <w:szCs w:val="20"/>
                <w:color w:val="auto"/>
              </w:rPr>
            </w:pPr>
            <w:r>
              <w:rPr>
                <w:rFonts w:ascii="Times New Roman" w:cs="Times New Roman" w:eastAsia="Times New Roman" w:hAnsi="Times New Roman"/>
                <w:sz w:val="14"/>
                <w:szCs w:val="14"/>
                <w:color w:val="auto"/>
              </w:rPr>
              <w:t>Issuance of common shares pursuant to debt conversions by Deerfield</w:t>
            </w: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17,521</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174</w:t>
            </w:r>
          </w:p>
        </w:tc>
        <w:tc>
          <w:tcPr>
            <w:tcW w:w="7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93,327</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93,501</w:t>
            </w:r>
          </w:p>
        </w:tc>
        <w:tc>
          <w:tcPr>
            <w:tcW w:w="0" w:type="dxa"/>
            <w:vAlign w:val="bottom"/>
          </w:tcPr>
          <w:p>
            <w:pPr>
              <w:spacing w:after="0"/>
              <w:rPr>
                <w:sz w:val="1"/>
                <w:szCs w:val="1"/>
                <w:color w:val="auto"/>
              </w:rPr>
            </w:pPr>
          </w:p>
        </w:tc>
      </w:tr>
      <w:tr>
        <w:trPr>
          <w:trHeight w:val="149"/>
        </w:trPr>
        <w:tc>
          <w:tcPr>
            <w:tcW w:w="6160" w:type="dxa"/>
            <w:vAlign w:val="bottom"/>
            <w:shd w:val="clear" w:color="auto" w:fill="CCEEFF"/>
          </w:tcPr>
          <w:p>
            <w:pPr>
              <w:ind w:left="440"/>
              <w:spacing w:after="0" w:line="149" w:lineRule="exact"/>
              <w:rPr>
                <w:sz w:val="20"/>
                <w:szCs w:val="20"/>
                <w:color w:val="auto"/>
              </w:rPr>
            </w:pPr>
            <w:r>
              <w:rPr>
                <w:rFonts w:ascii="Times New Roman" w:cs="Times New Roman" w:eastAsia="Times New Roman" w:hAnsi="Times New Roman"/>
                <w:sz w:val="14"/>
                <w:szCs w:val="14"/>
                <w:color w:val="auto"/>
              </w:rPr>
              <w:t>Issuance of common shares under Employee Stock Purchase Plan</w:t>
            </w: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324</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w:t>
            </w:r>
          </w:p>
        </w:tc>
        <w:tc>
          <w:tcPr>
            <w:tcW w:w="7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1,361</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1,363</w:t>
            </w:r>
          </w:p>
        </w:tc>
        <w:tc>
          <w:tcPr>
            <w:tcW w:w="0" w:type="dxa"/>
            <w:vAlign w:val="bottom"/>
          </w:tcPr>
          <w:p>
            <w:pPr>
              <w:spacing w:after="0"/>
              <w:rPr>
                <w:sz w:val="1"/>
                <w:szCs w:val="1"/>
                <w:color w:val="auto"/>
              </w:rPr>
            </w:pPr>
          </w:p>
        </w:tc>
      </w:tr>
      <w:tr>
        <w:trPr>
          <w:trHeight w:val="149"/>
        </w:trPr>
        <w:tc>
          <w:tcPr>
            <w:tcW w:w="6160" w:type="dxa"/>
            <w:vAlign w:val="bottom"/>
          </w:tcPr>
          <w:p>
            <w:pPr>
              <w:ind w:left="440"/>
              <w:spacing w:after="0" w:line="149" w:lineRule="exact"/>
              <w:rPr>
                <w:sz w:val="20"/>
                <w:szCs w:val="20"/>
                <w:color w:val="auto"/>
              </w:rPr>
            </w:pPr>
            <w:r>
              <w:rPr>
                <w:rFonts w:ascii="Times New Roman" w:cs="Times New Roman" w:eastAsia="Times New Roman" w:hAnsi="Times New Roman"/>
                <w:sz w:val="14"/>
                <w:szCs w:val="14"/>
                <w:color w:val="auto"/>
              </w:rPr>
              <w:t>Remeasurement of performance based grants pursuant to the modification of terms</w:t>
            </w: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22,962</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22,962</w:t>
            </w:r>
          </w:p>
        </w:tc>
        <w:tc>
          <w:tcPr>
            <w:tcW w:w="0" w:type="dxa"/>
            <w:vAlign w:val="bottom"/>
          </w:tcPr>
          <w:p>
            <w:pPr>
              <w:spacing w:after="0"/>
              <w:rPr>
                <w:sz w:val="1"/>
                <w:szCs w:val="1"/>
                <w:color w:val="auto"/>
              </w:rPr>
            </w:pPr>
          </w:p>
        </w:tc>
      </w:tr>
      <w:tr>
        <w:trPr>
          <w:trHeight w:val="149"/>
        </w:trPr>
        <w:tc>
          <w:tcPr>
            <w:tcW w:w="6160" w:type="dxa"/>
            <w:vAlign w:val="bottom"/>
            <w:shd w:val="clear" w:color="auto" w:fill="CCEEFF"/>
          </w:tcPr>
          <w:p>
            <w:pPr>
              <w:ind w:left="440"/>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25,660</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25,660</w:t>
            </w:r>
          </w:p>
        </w:tc>
        <w:tc>
          <w:tcPr>
            <w:tcW w:w="0" w:type="dxa"/>
            <w:vAlign w:val="bottom"/>
          </w:tcPr>
          <w:p>
            <w:pPr>
              <w:spacing w:after="0"/>
              <w:rPr>
                <w:sz w:val="1"/>
                <w:szCs w:val="1"/>
                <w:color w:val="auto"/>
              </w:rPr>
            </w:pPr>
          </w:p>
        </w:tc>
      </w:tr>
      <w:tr>
        <w:trPr>
          <w:trHeight w:val="149"/>
        </w:trPr>
        <w:tc>
          <w:tcPr>
            <w:tcW w:w="6160" w:type="dxa"/>
            <w:vAlign w:val="bottom"/>
          </w:tcPr>
          <w:p>
            <w:pPr>
              <w:ind w:left="440"/>
              <w:spacing w:after="0" w:line="149" w:lineRule="exact"/>
              <w:rPr>
                <w:sz w:val="20"/>
                <w:szCs w:val="20"/>
                <w:color w:val="auto"/>
              </w:rPr>
            </w:pPr>
            <w:r>
              <w:rPr>
                <w:rFonts w:ascii="Times New Roman" w:cs="Times New Roman" w:eastAsia="Times New Roman" w:hAnsi="Times New Roman"/>
                <w:sz w:val="14"/>
                <w:szCs w:val="14"/>
                <w:color w:val="auto"/>
              </w:rPr>
              <w:t>Cumulative translation (loss) gain</w:t>
            </w: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49"/>
        </w:trPr>
        <w:tc>
          <w:tcPr>
            <w:tcW w:w="6160" w:type="dxa"/>
            <w:vAlign w:val="bottom"/>
            <w:shd w:val="clear" w:color="auto" w:fill="CCEEFF"/>
          </w:tcPr>
          <w:p>
            <w:pPr>
              <w:ind w:left="44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(198,382)</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w w:val="91"/>
              </w:rPr>
              <w:t>(198,382)</w:t>
            </w:r>
          </w:p>
        </w:tc>
        <w:tc>
          <w:tcPr>
            <w:tcW w:w="0" w:type="dxa"/>
            <w:vAlign w:val="bottom"/>
          </w:tcPr>
          <w:p>
            <w:pPr>
              <w:spacing w:after="0"/>
              <w:rPr>
                <w:sz w:val="1"/>
                <w:szCs w:val="1"/>
                <w:color w:val="auto"/>
              </w:rPr>
            </w:pPr>
          </w:p>
        </w:tc>
      </w:tr>
      <w:tr>
        <w:trPr>
          <w:trHeight w:val="20"/>
        </w:trPr>
        <w:tc>
          <w:tcPr>
            <w:tcW w:w="61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BALANCE, DECEMBER 31, 2014</w:t>
            </w: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160" w:type="dxa"/>
            <w:vAlign w:val="bottom"/>
            <w:vMerge w:val="continue"/>
          </w:tcPr>
          <w:p>
            <w:pPr>
              <w:spacing w:after="0"/>
              <w:rPr>
                <w:sz w:val="13"/>
                <w:szCs w:val="13"/>
                <w:color w:val="auto"/>
              </w:rPr>
            </w:pPr>
          </w:p>
        </w:tc>
        <w:tc>
          <w:tcPr>
            <w:tcW w:w="5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406,059</w:t>
            </w:r>
          </w:p>
        </w:tc>
        <w:tc>
          <w:tcPr>
            <w:tcW w:w="260" w:type="dxa"/>
            <w:vAlign w:val="bottom"/>
          </w:tcPr>
          <w:p>
            <w:pPr>
              <w:spacing w:after="0"/>
              <w:rPr>
                <w:sz w:val="13"/>
                <w:szCs w:val="13"/>
                <w:color w:val="auto"/>
              </w:rPr>
            </w:pPr>
          </w:p>
        </w:tc>
        <w:tc>
          <w:tcPr>
            <w:tcW w:w="12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tcPr>
          <w:p>
            <w:pPr>
              <w:jc w:val="right"/>
              <w:ind w:right="140"/>
              <w:spacing w:after="0" w:line="155" w:lineRule="exact"/>
              <w:rPr>
                <w:sz w:val="20"/>
                <w:szCs w:val="20"/>
                <w:color w:val="auto"/>
              </w:rPr>
            </w:pPr>
            <w:r>
              <w:rPr>
                <w:rFonts w:ascii="Times New Roman" w:cs="Times New Roman" w:eastAsia="Times New Roman" w:hAnsi="Times New Roman"/>
                <w:sz w:val="14"/>
                <w:szCs w:val="14"/>
                <w:color w:val="auto"/>
              </w:rPr>
              <w:t>4,061</w:t>
            </w:r>
          </w:p>
        </w:tc>
        <w:tc>
          <w:tcPr>
            <w:tcW w:w="76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2,416,967</w:t>
            </w:r>
          </w:p>
        </w:tc>
        <w:tc>
          <w:tcPr>
            <w:tcW w:w="160" w:type="dxa"/>
            <w:vAlign w:val="bottom"/>
          </w:tcPr>
          <w:p>
            <w:pPr>
              <w:spacing w:after="0"/>
              <w:rPr>
                <w:sz w:val="13"/>
                <w:szCs w:val="13"/>
                <w:color w:val="auto"/>
              </w:rPr>
            </w:pPr>
          </w:p>
        </w:tc>
        <w:tc>
          <w:tcPr>
            <w:tcW w:w="300" w:type="dxa"/>
            <w:vAlign w:val="bottom"/>
            <w:gridSpan w:val="2"/>
          </w:tcPr>
          <w:p>
            <w:pPr>
              <w:jc w:val="right"/>
              <w:ind w:right="32"/>
              <w:spacing w:after="0" w:line="155"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120"/>
              <w:spacing w:after="0" w:line="155" w:lineRule="exact"/>
              <w:rPr>
                <w:sz w:val="20"/>
                <w:szCs w:val="20"/>
                <w:color w:val="auto"/>
              </w:rPr>
            </w:pPr>
            <w:r>
              <w:rPr>
                <w:rFonts w:ascii="Times New Roman" w:cs="Times New Roman" w:eastAsia="Times New Roman" w:hAnsi="Times New Roman"/>
                <w:sz w:val="14"/>
                <w:szCs w:val="14"/>
                <w:color w:val="auto"/>
              </w:rPr>
              <w:t>(14)</w:t>
            </w:r>
          </w:p>
        </w:tc>
        <w:tc>
          <w:tcPr>
            <w:tcW w:w="24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20"/>
              <w:spacing w:after="0" w:line="155" w:lineRule="exact"/>
              <w:rPr>
                <w:sz w:val="20"/>
                <w:szCs w:val="20"/>
                <w:color w:val="auto"/>
              </w:rPr>
            </w:pPr>
            <w:r>
              <w:rPr>
                <w:rFonts w:ascii="Times New Roman" w:cs="Times New Roman" w:eastAsia="Times New Roman" w:hAnsi="Times New Roman"/>
                <w:sz w:val="14"/>
                <w:szCs w:val="14"/>
                <w:color w:val="auto"/>
              </w:rPr>
              <w:t>(2,494,784)</w:t>
            </w:r>
          </w:p>
        </w:tc>
        <w:tc>
          <w:tcPr>
            <w:tcW w:w="20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tcPr>
          <w:p>
            <w:pPr>
              <w:jc w:val="right"/>
              <w:ind w:right="40"/>
              <w:spacing w:after="0" w:line="155" w:lineRule="exact"/>
              <w:rPr>
                <w:sz w:val="20"/>
                <w:szCs w:val="20"/>
                <w:color w:val="auto"/>
              </w:rPr>
            </w:pPr>
            <w:r>
              <w:rPr>
                <w:rFonts w:ascii="Times New Roman" w:cs="Times New Roman" w:eastAsia="Times New Roman" w:hAnsi="Times New Roman"/>
                <w:sz w:val="14"/>
                <w:szCs w:val="14"/>
                <w:color w:val="auto"/>
              </w:rPr>
              <w:t>(73,770)</w:t>
            </w: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420"/>
          </w:cols>
          <w:pgMar w:left="240" w:top="455" w:right="239" w:bottom="1440" w:gutter="0" w:footer="0" w:header="0"/>
        </w:sectPr>
      </w:pPr>
    </w:p>
    <w:bookmarkStart w:id="70" w:name="page71"/>
    <w:bookmarkEnd w:id="7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b w:val="1"/>
          <w:bCs w:val="1"/>
          <w:color w:val="auto"/>
        </w:rPr>
        <w:t>MANNKIND CORPORATION AND SUBSIDIARIES</w:t>
      </w:r>
    </w:p>
    <w:p>
      <w:pPr>
        <w:spacing w:after="0" w:line="90"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85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7"/>
          </w:tcPr>
          <w:p>
            <w:pPr>
              <w:jc w:val="center"/>
              <w:ind w:left="352"/>
              <w:spacing w:after="0"/>
              <w:rPr>
                <w:sz w:val="20"/>
                <w:szCs w:val="20"/>
                <w:color w:val="auto"/>
              </w:rPr>
            </w:pPr>
            <w:r>
              <w:rPr>
                <w:rFonts w:ascii="Times New Roman" w:cs="Times New Roman" w:eastAsia="Times New Roman" w:hAnsi="Times New Roman"/>
                <w:sz w:val="14"/>
                <w:szCs w:val="14"/>
                <w:b w:val="1"/>
                <w:bCs w:val="1"/>
                <w:color w:val="auto"/>
                <w:w w:val="94"/>
              </w:rPr>
              <w:t>Year Ended December 31,</w:t>
            </w:r>
          </w:p>
        </w:tc>
        <w:tc>
          <w:tcPr>
            <w:tcW w:w="5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5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1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center"/>
              <w:ind w:right="72"/>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2013</w:t>
            </w:r>
          </w:p>
        </w:tc>
        <w:tc>
          <w:tcPr>
            <w:tcW w:w="3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4"/>
          </w:tcPr>
          <w:p>
            <w:pPr>
              <w:jc w:val="center"/>
              <w:ind w:right="120"/>
              <w:spacing w:after="0" w:line="142" w:lineRule="exact"/>
              <w:rPr>
                <w:sz w:val="20"/>
                <w:szCs w:val="20"/>
                <w:color w:val="auto"/>
              </w:rPr>
            </w:pPr>
            <w:r>
              <w:rPr>
                <w:rFonts w:ascii="Times New Roman" w:cs="Times New Roman" w:eastAsia="Times New Roman" w:hAnsi="Times New Roman"/>
                <w:sz w:val="14"/>
                <w:szCs w:val="14"/>
                <w:b w:val="1"/>
                <w:bCs w:val="1"/>
                <w:color w:val="auto"/>
                <w:w w:val="96"/>
              </w:rPr>
              <w:t>(In thousands)</w:t>
            </w: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FLOWS FROM OPERATING ACTIVITIES:</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(198,382)</w:t>
            </w:r>
          </w:p>
        </w:tc>
        <w:tc>
          <w:tcPr>
            <w:tcW w:w="3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(191,490)</w:t>
            </w:r>
          </w:p>
        </w:tc>
        <w:tc>
          <w:tcPr>
            <w:tcW w:w="180" w:type="dxa"/>
            <w:vAlign w:val="bottom"/>
          </w:tcPr>
          <w:p>
            <w:pPr>
              <w:jc w:val="right"/>
              <w:ind w:right="32"/>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(169,366)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2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Adjustments to reconcile net loss to net cash provide by (used in) operating activities:</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Depreciation and accretion</w:t>
            </w: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18,575</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14,057</w:t>
            </w:r>
          </w:p>
        </w:tc>
        <w:tc>
          <w:tcPr>
            <w:tcW w:w="1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14,402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2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48,622</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45,186</w:t>
            </w: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13,292</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Loss (gain) on sale, abandonment/disposal or impairment of property and equipment</w:t>
            </w: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97</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817</w:t>
            </w:r>
          </w:p>
        </w:tc>
        <w:tc>
          <w:tcPr>
            <w:tcW w:w="1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682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2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Loss on available-for-sale securities</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117</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Write-off of derivative liability</w:t>
            </w:r>
          </w:p>
        </w:tc>
        <w:tc>
          <w:tcPr>
            <w:tcW w:w="14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(363)</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6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Write-off Tranche B Commitment Asset</w:t>
            </w: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1,753</w:t>
            </w: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Fair value of forward purchase contract</w:t>
            </w:r>
          </w:p>
        </w:tc>
        <w:tc>
          <w:tcPr>
            <w:tcW w:w="140" w:type="dxa"/>
            <w:vAlign w:val="bottom"/>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1,237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2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Common shares issued pursuant to litigation settlement</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438</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Commitment to deliver common shares pursuant to litigation settlement</w:t>
            </w:r>
          </w:p>
        </w:tc>
        <w:tc>
          <w:tcPr>
            <w:tcW w:w="140" w:type="dxa"/>
            <w:vAlign w:val="bottom"/>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6,056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2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Other, net</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2</w:t>
            </w:r>
          </w:p>
        </w:tc>
        <w:tc>
          <w:tcPr>
            <w:tcW w:w="1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Changes in assets and liabilities:</w:t>
            </w: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2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State research and development credit exchange receivable</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466</w:t>
            </w:r>
          </w:p>
        </w:tc>
        <w:tc>
          <w:tcPr>
            <w:tcW w:w="1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(290)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2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Inventory</w:t>
            </w:r>
          </w:p>
        </w:tc>
        <w:tc>
          <w:tcPr>
            <w:tcW w:w="14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(9,670)</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6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2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Receivables from collaboration</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(50,436)</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2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Prepaid expenses and other current assets</w:t>
            </w:r>
          </w:p>
        </w:tc>
        <w:tc>
          <w:tcPr>
            <w:tcW w:w="14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(14,721)</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(965)</w:t>
            </w:r>
          </w:p>
        </w:tc>
        <w:tc>
          <w:tcPr>
            <w:tcW w:w="18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(1,545)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2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Other assets</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(615)</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2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3,622</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(1,071)</w:t>
            </w:r>
          </w:p>
        </w:tc>
        <w:tc>
          <w:tcPr>
            <w:tcW w:w="1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2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2,276</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3,675</w:t>
            </w: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15,075</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2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Deferred cash payments from collaboration</w:t>
            </w: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200,436</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6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2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Other liabilities</w:t>
            </w:r>
          </w:p>
        </w:tc>
        <w:tc>
          <w:tcPr>
            <w:tcW w:w="14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2,915</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591</w:t>
            </w:r>
          </w:p>
        </w:tc>
        <w:tc>
          <w:tcPr>
            <w:tcW w:w="30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520" w:type="dxa"/>
            <w:vAlign w:val="bottom"/>
          </w:tcPr>
          <w:p>
            <w:pPr>
              <w:ind w:left="640"/>
              <w:spacing w:after="0" w:line="155" w:lineRule="exact"/>
              <w:rPr>
                <w:sz w:val="20"/>
                <w:szCs w:val="20"/>
                <w:color w:val="auto"/>
              </w:rPr>
            </w:pPr>
            <w:r>
              <w:rPr>
                <w:rFonts w:ascii="Times New Roman" w:cs="Times New Roman" w:eastAsia="Times New Roman" w:hAnsi="Times New Roman"/>
                <w:sz w:val="14"/>
                <w:szCs w:val="14"/>
                <w:color w:val="auto"/>
              </w:rPr>
              <w:t>Net cash provided by (used in) operating activities</w:t>
            </w:r>
          </w:p>
        </w:tc>
        <w:tc>
          <w:tcPr>
            <w:tcW w:w="140" w:type="dxa"/>
            <w:vAlign w:val="bottom"/>
          </w:tcPr>
          <w:p>
            <w:pPr>
              <w:spacing w:after="0"/>
              <w:rPr>
                <w:sz w:val="14"/>
                <w:szCs w:val="14"/>
                <w:color w:val="auto"/>
              </w:rPr>
            </w:pPr>
          </w:p>
        </w:tc>
        <w:tc>
          <w:tcPr>
            <w:tcW w:w="5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4,086</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right"/>
              <w:ind w:right="260"/>
              <w:spacing w:after="0" w:line="155" w:lineRule="exact"/>
              <w:rPr>
                <w:sz w:val="20"/>
                <w:szCs w:val="20"/>
                <w:color w:val="auto"/>
              </w:rPr>
            </w:pPr>
            <w:r>
              <w:rPr>
                <w:rFonts w:ascii="Times New Roman" w:cs="Times New Roman" w:eastAsia="Times New Roman" w:hAnsi="Times New Roman"/>
                <w:sz w:val="14"/>
                <w:szCs w:val="14"/>
                <w:color w:val="auto"/>
              </w:rPr>
              <w:t>(128,732)</w:t>
            </w:r>
          </w:p>
        </w:tc>
        <w:tc>
          <w:tcPr>
            <w:tcW w:w="180" w:type="dxa"/>
            <w:vAlign w:val="bottom"/>
          </w:tcPr>
          <w:p>
            <w:pPr>
              <w:spacing w:after="0"/>
              <w:rPr>
                <w:sz w:val="14"/>
                <w:szCs w:val="14"/>
                <w:color w:val="auto"/>
              </w:rPr>
            </w:pPr>
          </w:p>
        </w:tc>
        <w:tc>
          <w:tcPr>
            <w:tcW w:w="680" w:type="dxa"/>
            <w:vAlign w:val="bottom"/>
            <w:gridSpan w:val="2"/>
          </w:tcPr>
          <w:p>
            <w:pPr>
              <w:jc w:val="right"/>
              <w:ind w:right="80"/>
              <w:spacing w:after="0" w:line="155" w:lineRule="exact"/>
              <w:rPr>
                <w:sz w:val="20"/>
                <w:szCs w:val="20"/>
                <w:color w:val="auto"/>
              </w:rPr>
            </w:pPr>
            <w:r>
              <w:rPr>
                <w:rFonts w:ascii="Times New Roman" w:cs="Times New Roman" w:eastAsia="Times New Roman" w:hAnsi="Times New Roman"/>
                <w:sz w:val="14"/>
                <w:szCs w:val="14"/>
                <w:color w:val="auto"/>
              </w:rPr>
              <w:t>(119,860)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FLOWS FROM INVESTING ACTIVITIES:</w:t>
            </w:r>
          </w:p>
        </w:tc>
        <w:tc>
          <w:tcPr>
            <w:tcW w:w="14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Purchase of property and equipment</w:t>
            </w:r>
          </w:p>
        </w:tc>
        <w:tc>
          <w:tcPr>
            <w:tcW w:w="14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(24,097)</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(7,987)</w:t>
            </w:r>
          </w:p>
        </w:tc>
        <w:tc>
          <w:tcPr>
            <w:tcW w:w="18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(637)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Proceeds from sale of property and equipment</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77</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20" w:type="dxa"/>
            <w:vAlign w:val="bottom"/>
            <w:vMerge w:val="restart"/>
          </w:tcPr>
          <w:p>
            <w:pPr>
              <w:ind w:left="64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85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right"/>
              <w:ind w:right="100"/>
              <w:spacing w:after="0" w:line="155" w:lineRule="exact"/>
              <w:rPr>
                <w:sz w:val="20"/>
                <w:szCs w:val="20"/>
                <w:color w:val="auto"/>
              </w:rPr>
            </w:pPr>
            <w:r>
              <w:rPr>
                <w:rFonts w:ascii="Times New Roman" w:cs="Times New Roman" w:eastAsia="Times New Roman" w:hAnsi="Times New Roman"/>
                <w:sz w:val="14"/>
                <w:szCs w:val="14"/>
                <w:color w:val="auto"/>
              </w:rPr>
              <w:t>(24,097)</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right"/>
              <w:ind w:right="260"/>
              <w:spacing w:after="0" w:line="155" w:lineRule="exact"/>
              <w:rPr>
                <w:sz w:val="20"/>
                <w:szCs w:val="20"/>
                <w:color w:val="auto"/>
              </w:rPr>
            </w:pPr>
            <w:r>
              <w:rPr>
                <w:rFonts w:ascii="Times New Roman" w:cs="Times New Roman" w:eastAsia="Times New Roman" w:hAnsi="Times New Roman"/>
                <w:sz w:val="14"/>
                <w:szCs w:val="14"/>
                <w:color w:val="auto"/>
              </w:rPr>
              <w:t>(7,987)</w:t>
            </w:r>
          </w:p>
        </w:tc>
        <w:tc>
          <w:tcPr>
            <w:tcW w:w="180" w:type="dxa"/>
            <w:vAlign w:val="bottom"/>
          </w:tcPr>
          <w:p>
            <w:pPr>
              <w:spacing w:after="0"/>
              <w:rPr>
                <w:sz w:val="14"/>
                <w:szCs w:val="14"/>
                <w:color w:val="auto"/>
              </w:rPr>
            </w:pPr>
          </w:p>
        </w:tc>
        <w:tc>
          <w:tcPr>
            <w:tcW w:w="680" w:type="dxa"/>
            <w:vAlign w:val="bottom"/>
            <w:gridSpan w:val="2"/>
          </w:tcPr>
          <w:p>
            <w:pPr>
              <w:jc w:val="right"/>
              <w:ind w:right="80"/>
              <w:spacing w:after="0" w:line="155" w:lineRule="exact"/>
              <w:rPr>
                <w:sz w:val="20"/>
                <w:szCs w:val="20"/>
                <w:color w:val="auto"/>
              </w:rPr>
            </w:pPr>
            <w:r>
              <w:rPr>
                <w:rFonts w:ascii="Times New Roman" w:cs="Times New Roman" w:eastAsia="Times New Roman" w:hAnsi="Times New Roman"/>
                <w:sz w:val="14"/>
                <w:szCs w:val="14"/>
                <w:color w:val="auto"/>
              </w:rPr>
              <w:t>(560)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FLOWS FROM FINANCING ACTIVITIES:</w:t>
            </w:r>
          </w:p>
        </w:tc>
        <w:tc>
          <w:tcPr>
            <w:tcW w:w="14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Issuance of common stock and warrants, net of issuance costs</w:t>
            </w: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40,120</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52,421</w:t>
            </w:r>
          </w:p>
        </w:tc>
        <w:tc>
          <w:tcPr>
            <w:tcW w:w="1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167,735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Exercise of warrants for common stock</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94,147</w:t>
            </w:r>
          </w:p>
        </w:tc>
        <w:tc>
          <w:tcPr>
            <w:tcW w:w="1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Payment of 2013 notes</w:t>
            </w:r>
          </w:p>
        </w:tc>
        <w:tc>
          <w:tcPr>
            <w:tcW w:w="140" w:type="dxa"/>
            <w:vAlign w:val="bottom"/>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(115,000)</w:t>
            </w:r>
          </w:p>
        </w:tc>
        <w:tc>
          <w:tcPr>
            <w:tcW w:w="180" w:type="dxa"/>
            <w:vAlign w:val="bottom"/>
          </w:tcPr>
          <w:p>
            <w:pPr>
              <w:spacing w:after="0"/>
              <w:rPr>
                <w:sz w:val="12"/>
                <w:szCs w:val="12"/>
                <w:color w:val="auto"/>
              </w:rPr>
            </w:pPr>
          </w:p>
        </w:tc>
        <w:tc>
          <w:tcPr>
            <w:tcW w:w="6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Proceeds from issuance of facility financing obligation &amp; milestone rights</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40,000</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119,500</w:t>
            </w:r>
          </w:p>
        </w:tc>
        <w:tc>
          <w:tcPr>
            <w:tcW w:w="1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Proceeds from issuance of Tranche B of the facility financing obligation</w:t>
            </w: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20,000</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6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Facility financing obligation &amp; milestone rights issuance costs</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(598)</w:t>
            </w:r>
          </w:p>
        </w:tc>
        <w:tc>
          <w:tcPr>
            <w:tcW w:w="1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Payment of milestone rights</w:t>
            </w:r>
          </w:p>
        </w:tc>
        <w:tc>
          <w:tcPr>
            <w:tcW w:w="14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(3,150)</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6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Borrowings on notes payable to principal stockholder</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12,750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5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Payment of employment taxes related to vested restricted stock units</w:t>
            </w:r>
          </w:p>
        </w:tc>
        <w:tc>
          <w:tcPr>
            <w:tcW w:w="140" w:type="dxa"/>
            <w:vAlign w:val="bottom"/>
          </w:tcPr>
          <w:p>
            <w:pPr>
              <w:spacing w:after="0"/>
              <w:rPr>
                <w:sz w:val="13"/>
                <w:szCs w:val="13"/>
                <w:color w:val="auto"/>
              </w:rPr>
            </w:pPr>
          </w:p>
        </w:tc>
        <w:tc>
          <w:tcPr>
            <w:tcW w:w="7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(26,908)</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(4,801)</w:t>
            </w:r>
          </w:p>
        </w:tc>
        <w:tc>
          <w:tcPr>
            <w:tcW w:w="180" w:type="dxa"/>
            <w:vAlign w:val="bottom"/>
          </w:tcPr>
          <w:p>
            <w:pPr>
              <w:spacing w:after="0"/>
              <w:rPr>
                <w:sz w:val="13"/>
                <w:szCs w:val="13"/>
                <w:color w:val="auto"/>
              </w:rPr>
            </w:pPr>
          </w:p>
        </w:tc>
        <w:tc>
          <w:tcPr>
            <w:tcW w:w="6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(906)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20" w:type="dxa"/>
            <w:vAlign w:val="bottom"/>
            <w:shd w:val="clear" w:color="auto" w:fill="CCEEFF"/>
          </w:tcPr>
          <w:p>
            <w:pPr>
              <w:ind w:left="640"/>
              <w:spacing w:after="0" w:line="149" w:lineRule="exact"/>
              <w:rPr>
                <w:sz w:val="20"/>
                <w:szCs w:val="20"/>
                <w:color w:val="auto"/>
              </w:rPr>
            </w:pPr>
            <w:r>
              <w:rPr>
                <w:rFonts w:ascii="Times New Roman" w:cs="Times New Roman" w:eastAsia="Times New Roman" w:hAnsi="Times New Roman"/>
                <w:sz w:val="14"/>
                <w:szCs w:val="14"/>
                <w:color w:val="auto"/>
              </w:rPr>
              <w:t>Net cash provided by financing activities</w:t>
            </w: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56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70,062</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56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145,669</w:t>
            </w:r>
          </w:p>
        </w:tc>
        <w:tc>
          <w:tcPr>
            <w:tcW w:w="300" w:type="dxa"/>
            <w:vAlign w:val="bottom"/>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56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179,579</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520" w:type="dxa"/>
            <w:vAlign w:val="bottom"/>
          </w:tcPr>
          <w:p>
            <w:pPr>
              <w:ind w:left="640"/>
              <w:spacing w:after="0" w:line="155" w:lineRule="exact"/>
              <w:rPr>
                <w:sz w:val="20"/>
                <w:szCs w:val="20"/>
                <w:color w:val="auto"/>
              </w:rPr>
            </w:pPr>
            <w:r>
              <w:rPr>
                <w:rFonts w:ascii="Times New Roman" w:cs="Times New Roman" w:eastAsia="Times New Roman" w:hAnsi="Times New Roman"/>
                <w:sz w:val="14"/>
                <w:szCs w:val="14"/>
                <w:color w:val="auto"/>
              </w:rPr>
              <w:t>NET INCREASE (DECREASE) IN CASH AND CASH EQUIVALENTS</w:t>
            </w:r>
          </w:p>
        </w:tc>
        <w:tc>
          <w:tcPr>
            <w:tcW w:w="1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50,051</w:t>
            </w:r>
          </w:p>
        </w:tc>
        <w:tc>
          <w:tcPr>
            <w:tcW w:w="160" w:type="dxa"/>
            <w:vAlign w:val="bottom"/>
          </w:tcPr>
          <w:p>
            <w:pPr>
              <w:spacing w:after="0"/>
              <w:rPr>
                <w:sz w:val="13"/>
                <w:szCs w:val="13"/>
                <w:color w:val="auto"/>
              </w:rPr>
            </w:pPr>
          </w:p>
        </w:tc>
        <w:tc>
          <w:tcPr>
            <w:tcW w:w="300" w:type="dxa"/>
            <w:vAlign w:val="bottom"/>
            <w:gridSpan w:val="2"/>
          </w:tcPr>
          <w:p>
            <w:pPr>
              <w:jc w:val="right"/>
              <w:ind w:right="80"/>
              <w:spacing w:after="0" w:line="155"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300"/>
              <w:spacing w:after="0" w:line="155" w:lineRule="exact"/>
              <w:rPr>
                <w:sz w:val="20"/>
                <w:szCs w:val="20"/>
                <w:color w:val="auto"/>
              </w:rPr>
            </w:pPr>
            <w:r>
              <w:rPr>
                <w:rFonts w:ascii="Times New Roman" w:cs="Times New Roman" w:eastAsia="Times New Roman" w:hAnsi="Times New Roman"/>
                <w:sz w:val="14"/>
                <w:szCs w:val="14"/>
                <w:color w:val="auto"/>
              </w:rPr>
              <w:t>8,950</w:t>
            </w:r>
          </w:p>
        </w:tc>
        <w:tc>
          <w:tcPr>
            <w:tcW w:w="180" w:type="dxa"/>
            <w:vAlign w:val="bottom"/>
          </w:tcPr>
          <w:p>
            <w:pPr>
              <w:jc w:val="right"/>
              <w:ind w:right="32"/>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59,159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AND CASH EQUIVALENTS, BEGINNING OF PERIOD</w:t>
            </w:r>
          </w:p>
        </w:tc>
        <w:tc>
          <w:tcPr>
            <w:tcW w:w="14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70,790</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61,840</w:t>
            </w:r>
          </w:p>
        </w:tc>
        <w:tc>
          <w:tcPr>
            <w:tcW w:w="30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2,681</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854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color w:val="auto"/>
              </w:rPr>
              <w:t>CASH AND CASH EQUIVALENTS, END OF PERIOD</w:t>
            </w:r>
          </w:p>
        </w:tc>
        <w:tc>
          <w:tcPr>
            <w:tcW w:w="1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120,841</w:t>
            </w:r>
          </w:p>
        </w:tc>
        <w:tc>
          <w:tcPr>
            <w:tcW w:w="160" w:type="dxa"/>
            <w:vAlign w:val="bottom"/>
          </w:tcPr>
          <w:p>
            <w:pPr>
              <w:spacing w:after="0"/>
              <w:rPr>
                <w:sz w:val="13"/>
                <w:szCs w:val="13"/>
                <w:color w:val="auto"/>
              </w:rPr>
            </w:pPr>
          </w:p>
        </w:tc>
        <w:tc>
          <w:tcPr>
            <w:tcW w:w="300" w:type="dxa"/>
            <w:vAlign w:val="bottom"/>
            <w:gridSpan w:val="2"/>
          </w:tcPr>
          <w:p>
            <w:pPr>
              <w:jc w:val="right"/>
              <w:ind w:right="80"/>
              <w:spacing w:after="0" w:line="155"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300"/>
              <w:spacing w:after="0" w:line="155" w:lineRule="exact"/>
              <w:rPr>
                <w:sz w:val="20"/>
                <w:szCs w:val="20"/>
                <w:color w:val="auto"/>
              </w:rPr>
            </w:pPr>
            <w:r>
              <w:rPr>
                <w:rFonts w:ascii="Times New Roman" w:cs="Times New Roman" w:eastAsia="Times New Roman" w:hAnsi="Times New Roman"/>
                <w:sz w:val="14"/>
                <w:szCs w:val="14"/>
                <w:color w:val="auto"/>
              </w:rPr>
              <w:t>70,790</w:t>
            </w:r>
          </w:p>
        </w:tc>
        <w:tc>
          <w:tcPr>
            <w:tcW w:w="180" w:type="dxa"/>
            <w:vAlign w:val="bottom"/>
          </w:tcPr>
          <w:p>
            <w:pPr>
              <w:jc w:val="right"/>
              <w:ind w:right="32"/>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61,840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8520" w:type="dxa"/>
            <w:vAlign w:val="bottom"/>
            <w:shd w:val="clear" w:color="auto" w:fill="CCEEFF"/>
          </w:tcPr>
          <w:p>
            <w:pPr>
              <w:spacing w:after="0" w:line="143" w:lineRule="exact"/>
              <w:rPr>
                <w:sz w:val="20"/>
                <w:szCs w:val="20"/>
                <w:color w:val="auto"/>
              </w:rPr>
            </w:pPr>
            <w:r>
              <w:rPr>
                <w:rFonts w:ascii="Times New Roman" w:cs="Times New Roman" w:eastAsia="Times New Roman" w:hAnsi="Times New Roman"/>
                <w:sz w:val="14"/>
                <w:szCs w:val="14"/>
                <w:color w:val="auto"/>
              </w:rPr>
              <w:t>SUPPLEMENTAL CASH FLOWS DISCLOSURES:</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20" w:type="dxa"/>
            <w:vAlign w:val="bottom"/>
          </w:tcPr>
          <w:p>
            <w:pPr>
              <w:ind w:left="640"/>
              <w:spacing w:after="0" w:line="149" w:lineRule="exact"/>
              <w:rPr>
                <w:sz w:val="20"/>
                <w:szCs w:val="20"/>
                <w:color w:val="auto"/>
              </w:rPr>
            </w:pPr>
            <w:r>
              <w:rPr>
                <w:rFonts w:ascii="Times New Roman" w:cs="Times New Roman" w:eastAsia="Times New Roman" w:hAnsi="Times New Roman"/>
                <w:sz w:val="14"/>
                <w:szCs w:val="14"/>
                <w:color w:val="auto"/>
              </w:rPr>
              <w:t>Interest paid in cash, net of amounts capitalized to Construction in progress</w:t>
            </w:r>
          </w:p>
        </w:tc>
        <w:tc>
          <w:tcPr>
            <w:tcW w:w="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11,218</w:t>
            </w:r>
          </w:p>
        </w:tc>
        <w:tc>
          <w:tcPr>
            <w:tcW w:w="160" w:type="dxa"/>
            <w:vAlign w:val="bottom"/>
          </w:tcPr>
          <w:p>
            <w:pPr>
              <w:spacing w:after="0"/>
              <w:rPr>
                <w:sz w:val="12"/>
                <w:szCs w:val="12"/>
                <w:color w:val="auto"/>
              </w:rPr>
            </w:pPr>
          </w:p>
        </w:tc>
        <w:tc>
          <w:tcPr>
            <w:tcW w:w="3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13,452</w:t>
            </w:r>
          </w:p>
        </w:tc>
        <w:tc>
          <w:tcPr>
            <w:tcW w:w="180" w:type="dxa"/>
            <w:vAlign w:val="bottom"/>
          </w:tcPr>
          <w:p>
            <w:pPr>
              <w:jc w:val="right"/>
              <w:ind w:right="32"/>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9,755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20" w:type="dxa"/>
            <w:vAlign w:val="bottom"/>
            <w:shd w:val="clear" w:color="auto" w:fill="CCEEFF"/>
          </w:tcPr>
          <w:p>
            <w:pPr>
              <w:ind w:left="640"/>
              <w:spacing w:after="0" w:line="149" w:lineRule="exact"/>
              <w:rPr>
                <w:sz w:val="20"/>
                <w:szCs w:val="20"/>
                <w:color w:val="auto"/>
              </w:rPr>
            </w:pPr>
            <w:r>
              <w:rPr>
                <w:rFonts w:ascii="Times New Roman" w:cs="Times New Roman" w:eastAsia="Times New Roman" w:hAnsi="Times New Roman"/>
                <w:sz w:val="14"/>
                <w:szCs w:val="14"/>
                <w:color w:val="auto"/>
              </w:rPr>
              <w:t>Issuance of common stock pursuant to debt conversion by Deerfield</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93,500</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6,500</w:t>
            </w:r>
          </w:p>
        </w:tc>
        <w:tc>
          <w:tcPr>
            <w:tcW w:w="1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20" w:type="dxa"/>
            <w:vAlign w:val="bottom"/>
          </w:tcPr>
          <w:p>
            <w:pPr>
              <w:ind w:left="640"/>
              <w:spacing w:after="0" w:line="149" w:lineRule="exact"/>
              <w:rPr>
                <w:sz w:val="20"/>
                <w:szCs w:val="20"/>
                <w:color w:val="auto"/>
              </w:rPr>
            </w:pPr>
            <w:r>
              <w:rPr>
                <w:rFonts w:ascii="Times New Roman" w:cs="Times New Roman" w:eastAsia="Times New Roman" w:hAnsi="Times New Roman"/>
                <w:sz w:val="14"/>
                <w:szCs w:val="14"/>
                <w:color w:val="auto"/>
              </w:rPr>
              <w:t>Non-cash construction in progress and property and equipment</w:t>
            </w: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1,768</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856</w:t>
            </w:r>
          </w:p>
        </w:tc>
        <w:tc>
          <w:tcPr>
            <w:tcW w:w="1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4,072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20" w:type="dxa"/>
            <w:vAlign w:val="bottom"/>
            <w:shd w:val="clear" w:color="auto" w:fill="CCEEFF"/>
          </w:tcPr>
          <w:p>
            <w:pPr>
              <w:ind w:left="640"/>
              <w:spacing w:after="0" w:line="149" w:lineRule="exact"/>
              <w:rPr>
                <w:sz w:val="20"/>
                <w:szCs w:val="20"/>
                <w:color w:val="auto"/>
              </w:rPr>
            </w:pPr>
            <w:r>
              <w:rPr>
                <w:rFonts w:ascii="Times New Roman" w:cs="Times New Roman" w:eastAsia="Times New Roman" w:hAnsi="Times New Roman"/>
                <w:sz w:val="14"/>
                <w:szCs w:val="14"/>
                <w:color w:val="auto"/>
              </w:rPr>
              <w:t>Capitalization of interest on note payable to principal stockholder</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7,886</w:t>
            </w: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14,219</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2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Reduction of principal on note payable to principal stockholder upon issuance of common stock and exercise of warrants</w:t>
            </w:r>
          </w:p>
        </w:tc>
        <w:tc>
          <w:tcPr>
            <w:tcW w:w="140" w:type="dxa"/>
            <w:vAlign w:val="bottom"/>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78,000</w:t>
            </w:r>
          </w:p>
        </w:tc>
        <w:tc>
          <w:tcPr>
            <w:tcW w:w="1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184,537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2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Forward purchase contracts contribution to additional paid-in capital</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29,317</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2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Reclassification of forward purchase contracts to additional paid-in capital</w:t>
            </w:r>
          </w:p>
        </w:tc>
        <w:tc>
          <w:tcPr>
            <w:tcW w:w="140" w:type="dxa"/>
            <w:vAlign w:val="bottom"/>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28,080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2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Reclassification of Collaboration loan facility obligation</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3,034</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420"/>
          </w:cols>
          <w:pgMar w:left="240" w:top="455" w:right="239" w:bottom="1440" w:gutter="0" w:footer="0" w:header="0"/>
        </w:sectPr>
      </w:pPr>
    </w:p>
    <w:bookmarkStart w:id="71" w:name="page72"/>
    <w:bookmarkEnd w:id="7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MANNKIND CORPORATION AND SUBSIDIARIES</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Description of business and basis of presentation</w:t>
      </w:r>
    </w:p>
    <w:p>
      <w:pPr>
        <w:spacing w:after="0" w:line="90" w:lineRule="exact"/>
        <w:rPr>
          <w:sz w:val="20"/>
          <w:szCs w:val="20"/>
          <w:color w:val="auto"/>
        </w:rPr>
      </w:pPr>
    </w:p>
    <w:p>
      <w:pPr>
        <w:ind w:right="200" w:firstLine="228"/>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Business </w:t>
      </w:r>
      <w:r>
        <w:rPr>
          <w:rFonts w:ascii="Times New Roman" w:cs="Times New Roman" w:eastAsia="Times New Roman" w:hAnsi="Times New Roman"/>
          <w:sz w:val="18"/>
          <w:szCs w:val="18"/>
          <w:color w:val="auto"/>
        </w:rPr>
        <w:t>— MannKind Corporation and subsidiaries (the “Company”) is a biopharmaceutical company focused on the discovery and development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therapeutic products for diseases such as diabetes. Our only approved product, AFREZZA, (insulin human [rDNA origin]) inhalation powder , is a rapid-acting inhaled insulin that was approved by the U.S. Food and Drug Administration (the “FDA”) on June 27, 2014 to improve glycemic control in adult patients with diabetes.</w:t>
      </w:r>
    </w:p>
    <w:p>
      <w:pPr>
        <w:spacing w:after="0" w:line="52" w:lineRule="exact"/>
        <w:rPr>
          <w:sz w:val="20"/>
          <w:szCs w:val="20"/>
          <w:color w:val="auto"/>
        </w:rPr>
      </w:pPr>
    </w:p>
    <w:p>
      <w:pPr>
        <w:ind w:right="140" w:firstLine="228"/>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Basis of Presentation </w:t>
      </w:r>
      <w:r>
        <w:rPr>
          <w:rFonts w:ascii="Times New Roman" w:cs="Times New Roman" w:eastAsia="Times New Roman" w:hAnsi="Times New Roman"/>
          <w:sz w:val="18"/>
          <w:szCs w:val="18"/>
          <w:color w:val="auto"/>
        </w:rPr>
        <w:t>— The Company’s primary activities since incorporation have been establishing its facilities, recruiting personnel, conducting research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development, business development, business and financial planning, and raising capital. It is costly to develop therapeutic products and conduct clinical studies for these products. As of and for the year ended December 31, 2014, the Company has reported an accumulated deficit of $2.5 billion and has reported negative cash flow from operations since inception.</w:t>
      </w:r>
    </w:p>
    <w:p>
      <w:pPr>
        <w:spacing w:after="0" w:line="54" w:lineRule="exact"/>
        <w:rPr>
          <w:sz w:val="20"/>
          <w:szCs w:val="20"/>
          <w:color w:val="auto"/>
        </w:rPr>
      </w:pPr>
    </w:p>
    <w:p>
      <w:pPr>
        <w:ind w:firstLine="228"/>
        <w:spacing w:after="0" w:line="287" w:lineRule="auto"/>
        <w:rPr>
          <w:sz w:val="20"/>
          <w:szCs w:val="20"/>
          <w:color w:val="auto"/>
        </w:rPr>
      </w:pPr>
      <w:r>
        <w:rPr>
          <w:rFonts w:ascii="Times New Roman" w:cs="Times New Roman" w:eastAsia="Times New Roman" w:hAnsi="Times New Roman"/>
          <w:sz w:val="16"/>
          <w:szCs w:val="16"/>
          <w:color w:val="auto"/>
        </w:rPr>
        <w:t>At December 31, 2014, the Company’s capital resources consisted of cash and cash equivalents of $120.8 million. The Company expects to continue to incur significant expenditures to support commercial manufacturing of AFREZZA and the development of other product candidates. In addition, the Company’s 5.75% Senior Convertible Notes due 2015 (the “2015 notes”) in the aggregate principal amount of $100.0 million have a maturity date of August 15, 2015, and payment on the outstanding amount is due in full on that date (see Note 8 – Senior convertible notes). The facility agreement (the “Facility Agreement”) with Deerfield Private Design Fund II, L.P. (“Deerfield Private Design Fund”) and Deerfield Private Design International II, L.P. (collectively, “Deerfield”) and the First Amendment to Facility Agreement and Registration Rights Agreement (the “First Amendment”) additional sales of an additional tranche of notes (the “Tranche B notes”) (see Note 17 – Facility Agreement) contains a financial covenant that requires the Company’s cash and cash equivalents, which include available borrowings under this Loan Arrangement, on the last day of each fiscal quarter to not be less than $25.0 million. Should the holders of the notes not elect to convert such notes into the Company’s common stock prior to their due date, the Company intends to refinance the 2015 notes or raise additional funds to settle the 2015 notes. Although the Company believes that it can refinance the 2015 notes or obtain alternative financing to settle the 2015 notes, inherent uncertainty in achieving its projected cashflows and refinancing of the 2015 notes raises substantial doubt about the Company’s ability to continue as a going concern. The financial statements do not include any adjustments that might result from the outcome of these uncertainties.</w:t>
      </w:r>
    </w:p>
    <w:p>
      <w:pPr>
        <w:spacing w:after="0" w:line="254" w:lineRule="exact"/>
        <w:rPr>
          <w:sz w:val="20"/>
          <w:szCs w:val="20"/>
          <w:color w:val="auto"/>
        </w:rPr>
      </w:pPr>
    </w:p>
    <w:p>
      <w:pPr>
        <w:ind w:right="160" w:firstLine="228"/>
        <w:spacing w:after="0" w:line="256" w:lineRule="auto"/>
        <w:rPr>
          <w:sz w:val="20"/>
          <w:szCs w:val="20"/>
          <w:color w:val="auto"/>
        </w:rPr>
      </w:pPr>
      <w:r>
        <w:rPr>
          <w:rFonts w:ascii="Times New Roman" w:cs="Times New Roman" w:eastAsia="Times New Roman" w:hAnsi="Times New Roman"/>
          <w:sz w:val="18"/>
          <w:szCs w:val="18"/>
          <w:color w:val="auto"/>
        </w:rPr>
        <w:t>On August 11, 2014, we executed a license and collaboration agreement (the “Sanofi License Agreement”) with Sanofi-Aventis Deutschland GmbH (which subsequently assigned its rights and obligations under the agreement to Sanofi-Aventis U.S. LLC (“Sanofi”)), pursuant to which Sanofi is responsible for global commercial, regulatory and development activities for AFREZZA. The Sanofi License Agreement became effective on September 23, 2014. We manufacture AFREZZA at our manufacturing facility in Danbury, Connecticut to supply Sanofi’s demand for the product. In addition, we and Sanofi are planning to collaborate to expand manufacturing capacity to meet global demand as necessary.</w:t>
      </w:r>
    </w:p>
    <w:p>
      <w:pPr>
        <w:spacing w:after="0" w:line="58" w:lineRule="exact"/>
        <w:rPr>
          <w:sz w:val="20"/>
          <w:szCs w:val="20"/>
          <w:color w:val="auto"/>
        </w:rPr>
      </w:pPr>
    </w:p>
    <w:p>
      <w:pPr>
        <w:ind w:right="100" w:firstLine="228"/>
        <w:spacing w:after="0" w:line="254" w:lineRule="auto"/>
        <w:rPr>
          <w:sz w:val="20"/>
          <w:szCs w:val="20"/>
          <w:color w:val="auto"/>
        </w:rPr>
      </w:pPr>
      <w:r>
        <w:rPr>
          <w:rFonts w:ascii="Times New Roman" w:cs="Times New Roman" w:eastAsia="Times New Roman" w:hAnsi="Times New Roman"/>
          <w:sz w:val="18"/>
          <w:szCs w:val="18"/>
          <w:color w:val="auto"/>
        </w:rPr>
        <w:t>Under the Sanofi License Agreement, Sanofi paid us an up-front cash payment of $150.0 million in the third quarter of 2014. As of December 31, 2014, we have earned and recorded as Receivables from collaboration an additional $50.0 million in milestone payments in connection with the satisfaction of specified manufacturing milestones. Such payments were received subsequent to year end. We are also eligible to receive up to $725.0 million in additional milestone payments under the Sanofi License Agreement if certain development, regulatory and sales milestones are achieved. In addition, worldwide profits and losses, which are determined based on the difference between the net sales of AFREZZA and the costs and expenses incurred by us and Sanofi that are specifically attributable or related to the development, regulatory filings, manufacturing, or commercialization of AFREZZA, will be shared 65% by Sanofi and 35% by the us. As a result of the loss share provision, and because we do not have the ability to estimate the amount of costs that would potentially be incurred related to the Sanofi</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400"/>
          </w:cols>
          <w:pgMar w:left="240" w:top="455" w:right="259" w:bottom="1440" w:gutter="0" w:footer="0" w:header="0"/>
        </w:sectPr>
      </w:pPr>
    </w:p>
    <w:bookmarkStart w:id="72" w:name="page73"/>
    <w:bookmarkEnd w:id="7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MANNKIND CORPORATION AND SUBSIDIARIES</w:t>
      </w:r>
    </w:p>
    <w:p>
      <w:pPr>
        <w:spacing w:after="0" w:line="9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1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License Agreement, the amount of up-front cash payment or milestone payments that could be recognized as revenue is not fixed or determinable. In connection with the Sanofi License Agreement, an affiliate of Sanofi provided us with a secured loan facility (the “Sanofi Loan Facility”) of up to $175.0 million to fund our share of net losses under the Sanofi License Agreement.</w:t>
      </w:r>
    </w:p>
    <w:p>
      <w:pPr>
        <w:spacing w:after="0" w:line="51" w:lineRule="exact"/>
        <w:rPr>
          <w:sz w:val="20"/>
          <w:szCs w:val="20"/>
          <w:color w:val="auto"/>
        </w:rPr>
      </w:pPr>
    </w:p>
    <w:p>
      <w:pPr>
        <w:ind w:right="40" w:firstLine="228"/>
        <w:spacing w:after="0" w:line="253" w:lineRule="auto"/>
        <w:rPr>
          <w:sz w:val="20"/>
          <w:szCs w:val="20"/>
          <w:color w:val="auto"/>
        </w:rPr>
      </w:pPr>
      <w:r>
        <w:rPr>
          <w:rFonts w:ascii="Times New Roman" w:cs="Times New Roman" w:eastAsia="Times New Roman" w:hAnsi="Times New Roman"/>
          <w:sz w:val="18"/>
          <w:szCs w:val="18"/>
          <w:color w:val="auto"/>
        </w:rPr>
        <w:t>Additional funding sources that are, or in certain circumstances may be available to the Company, include approximately $30.1 million principal amount of available borrowings under its loan arrangement ( the “Loan Arrangement”) with The Mann Group LLC (“The Mann Group”) (see note 7 – Related-party arrangements), potential proceeds from the exercise of warrants issued in its February 2012 public offering of approximately $19.5 million, and the Company’s at-the-market issuance sales agreements which allow the Company to sell up to $50.0 million in common stock. The Company cannot provide assurances that its plans will not change or that changed circumstances will not result in the depletion of its capital resources more rapidly than it currently anticipates. The Company may need to raise additional capital, whether through a sale of equity or debt securities, a strategic business collaboration with a pharmaceutical company, the establishment of other funding facilities, licensing arrangements, asset sales or other means, in order to continue the development and commercialization of AFREZZA and other product candidates and to support its other ongoing activities. However, the Company cannot provide assurances that such additional capital will be available on acceptable terms or at all.</w:t>
      </w:r>
    </w:p>
    <w:p>
      <w:pPr>
        <w:spacing w:after="0" w:line="60" w:lineRule="exact"/>
        <w:rPr>
          <w:sz w:val="20"/>
          <w:szCs w:val="20"/>
          <w:color w:val="auto"/>
        </w:rPr>
      </w:pPr>
    </w:p>
    <w:p>
      <w:pPr>
        <w:ind w:right="120" w:firstLine="228"/>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Principles of Consolidation </w:t>
      </w:r>
      <w:r>
        <w:rPr>
          <w:rFonts w:ascii="Times New Roman" w:cs="Times New Roman" w:eastAsia="Times New Roman" w:hAnsi="Times New Roman"/>
          <w:sz w:val="18"/>
          <w:szCs w:val="18"/>
          <w:color w:val="auto"/>
        </w:rPr>
        <w:t>— The consolidated financial statements include the accounts of the Company and its wholly-owned subsidiaries. Intercompany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balances and transactions have been eliminated.</w:t>
      </w:r>
    </w:p>
    <w:p>
      <w:pPr>
        <w:spacing w:after="0" w:line="35" w:lineRule="exact"/>
        <w:rPr>
          <w:sz w:val="20"/>
          <w:szCs w:val="20"/>
          <w:color w:val="auto"/>
        </w:rPr>
      </w:pPr>
    </w:p>
    <w:p>
      <w:pPr>
        <w:ind w:right="100" w:firstLine="228"/>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Segment Information </w:t>
      </w:r>
      <w:r>
        <w:rPr>
          <w:rFonts w:ascii="Times New Roman" w:cs="Times New Roman" w:eastAsia="Times New Roman" w:hAnsi="Times New Roman"/>
          <w:sz w:val="18"/>
          <w:szCs w:val="18"/>
          <w:color w:val="auto"/>
        </w:rPr>
        <w:t>— In accordance with Accounting Standards Codification (“ASC”) 280-10-50</w:t>
      </w:r>
      <w:r>
        <w:rPr>
          <w:rFonts w:ascii="Times New Roman" w:cs="Times New Roman" w:eastAsia="Times New Roman" w:hAnsi="Times New Roman"/>
          <w:sz w:val="18"/>
          <w:szCs w:val="18"/>
          <w:i w:val="1"/>
          <w:iCs w:val="1"/>
          <w:color w:val="auto"/>
        </w:rPr>
        <w:t xml:space="preserve"> Segment Reporting</w:t>
      </w:r>
      <w:r>
        <w:rPr>
          <w:rFonts w:ascii="Times New Roman" w:cs="Times New Roman" w:eastAsia="Times New Roman" w:hAnsi="Times New Roman"/>
          <w:sz w:val="18"/>
          <w:szCs w:val="18"/>
          <w:color w:val="auto"/>
        </w:rPr>
        <w:t>, operating segments are identified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components of an enterprise about which separate discrete financial information is available for evaluation by the chief operating decision-maker in making decisions regarding resource allocation and assessing performance. To date, the Company has viewed its operations and manages its business as one segment operating in the United States of America.</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90" w:lineRule="exact"/>
        <w:rPr>
          <w:sz w:val="20"/>
          <w:szCs w:val="20"/>
          <w:color w:val="auto"/>
        </w:rPr>
      </w:pPr>
    </w:p>
    <w:p>
      <w:pPr>
        <w:ind w:right="80" w:firstLine="22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Financial Statement Estimates </w:t>
      </w:r>
      <w:r>
        <w:rPr>
          <w:rFonts w:ascii="Times New Roman" w:cs="Times New Roman" w:eastAsia="Times New Roman" w:hAnsi="Times New Roman"/>
          <w:sz w:val="18"/>
          <w:szCs w:val="18"/>
          <w:color w:val="auto"/>
        </w:rPr>
        <w:t>— The preparation of financial statements in conformity with accounting principles generally accepted in the United States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America (“GAAP”) requires management to make estimates and assumptions that affect the amounts reported in the financial statements and accompanying notes. Actual results could differ from those estimates. Management considers many factors in selecting appropriate financial accounting policies, and in developing the estimates and assumptions that are used in the preparation of the financial statements. Management must apply significant judgment in this process. The more significant estimates reflected in these accompanying financial statements involve assessing long-lived assets for impairment, accrued expenses, including clinical study expenses, valuation of forward purchase contracts, valuation of the facility financing obligation, commitment asset, milestone rights, valuation of stock-based compensation and the determination of the provision for income taxes and corresponding deferred tax assets and liabilities and any valuation allowance recorded against net deferred tax assets.</w:t>
      </w:r>
    </w:p>
    <w:p>
      <w:pPr>
        <w:spacing w:after="0" w:line="57" w:lineRule="exact"/>
        <w:rPr>
          <w:sz w:val="20"/>
          <w:szCs w:val="20"/>
          <w:color w:val="auto"/>
        </w:rPr>
      </w:pPr>
    </w:p>
    <w:p>
      <w:pPr>
        <w:ind w:right="80" w:firstLine="22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License and Collaboration and Supply agreements </w:t>
      </w:r>
      <w:r>
        <w:rPr>
          <w:rFonts w:ascii="Times New Roman" w:cs="Times New Roman" w:eastAsia="Times New Roman" w:hAnsi="Times New Roman"/>
          <w:sz w:val="18"/>
          <w:szCs w:val="18"/>
          <w:color w:val="auto"/>
        </w:rPr>
        <w:t>— Pursuant to the Sanofi License Agreement and the Sanofi Supply Agreement, we granted to Sanofi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exclusive, worldwide licenses to certain of our patents, trademarks and know-how for the development and commercialization of AFREZZA and retained the right to be the exclusive manufacturer and supplier of AFREZZA until specified conditions are met upon which a portion of the manufacturing activities may be assumed by Sanofi. The terms of the Sanofi License Agreement provide for consideration to us in the form of a non-refundable up-front payment, product sales, manufacturing, regulatory and sales milestone payments and profit and loss sharing.</w:t>
      </w:r>
    </w:p>
    <w:p>
      <w:pPr>
        <w:spacing w:after="0" w:line="12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360"/>
          </w:cols>
          <w:pgMar w:left="240" w:top="455" w:right="299" w:bottom="1440" w:gutter="0" w:footer="0" w:header="0"/>
        </w:sectPr>
      </w:pPr>
    </w:p>
    <w:bookmarkStart w:id="73" w:name="page74"/>
    <w:bookmarkEnd w:id="7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MANNKIND CORPORATION AND SUBSIDIARIES</w:t>
      </w:r>
    </w:p>
    <w:p>
      <w:pPr>
        <w:spacing w:after="0" w:line="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14" w:lineRule="exact"/>
        <w:rPr>
          <w:sz w:val="20"/>
          <w:szCs w:val="20"/>
          <w:color w:val="auto"/>
        </w:rPr>
      </w:pPr>
    </w:p>
    <w:p>
      <w:pPr>
        <w:ind w:firstLine="228"/>
        <w:spacing w:after="0" w:line="262" w:lineRule="auto"/>
        <w:rPr>
          <w:sz w:val="20"/>
          <w:szCs w:val="20"/>
          <w:color w:val="auto"/>
        </w:rPr>
      </w:pPr>
      <w:r>
        <w:rPr>
          <w:rFonts w:ascii="Times New Roman" w:cs="Times New Roman" w:eastAsia="Times New Roman" w:hAnsi="Times New Roman"/>
          <w:sz w:val="18"/>
          <w:szCs w:val="18"/>
          <w:color w:val="auto"/>
        </w:rPr>
        <w:t>We analyze consideration received under the provisions of ASC 605, Revenue Recognition, to determine whether the consideration, or a portion thereof, could be recognized as revenue. ASC 605 provides that revenue is recognized when there is persuasive evidence that an arrangement exists, delivery has occurred or services have been rendered, the price is fixed or determinable and collection is reasonably assured.</w:t>
      </w:r>
    </w:p>
    <w:p>
      <w:pPr>
        <w:spacing w:after="0" w:line="51" w:lineRule="exact"/>
        <w:rPr>
          <w:sz w:val="20"/>
          <w:szCs w:val="20"/>
          <w:color w:val="auto"/>
        </w:rPr>
      </w:pPr>
    </w:p>
    <w:p>
      <w:pPr>
        <w:ind w:right="40" w:firstLine="228"/>
        <w:spacing w:after="0" w:line="254" w:lineRule="auto"/>
        <w:rPr>
          <w:sz w:val="20"/>
          <w:szCs w:val="20"/>
          <w:color w:val="auto"/>
        </w:rPr>
      </w:pPr>
      <w:r>
        <w:rPr>
          <w:rFonts w:ascii="Times New Roman" w:cs="Times New Roman" w:eastAsia="Times New Roman" w:hAnsi="Times New Roman"/>
          <w:sz w:val="18"/>
          <w:szCs w:val="18"/>
          <w:color w:val="auto"/>
        </w:rPr>
        <w:t>In arrangements involving the delivery of more than one element, each required deliverable is evaluated to determine whether it qualifies as a separate unit of accounting. This determination is generally based on whether the deliverable has “stand-alone value” to the customer. The arrangement’s consideration that is fixed and determinable is then allocated to each separate unit of accounting based on the relative selling price of each deliverable. The estimated selling price of each deliverable is determined using the following hierarchy of values: (i) vendor-specific objective evidence of fair value, (ii) third-party evidence of selling price and (iii) best estimate of selling price (BESP). The BESP reflects our best estimate of what the selling price would be if the deliverable was regularly sold by us on a stand-alone basis. In general, the consideration allocated to each unit of accounting is recognized as the related goods or services are delivered, limited to the consideration that is not contingent upon future deliverables.</w:t>
      </w:r>
    </w:p>
    <w:p>
      <w:pPr>
        <w:spacing w:after="0" w:line="60" w:lineRule="exact"/>
        <w:rPr>
          <w:sz w:val="20"/>
          <w:szCs w:val="20"/>
          <w:color w:val="auto"/>
        </w:rPr>
      </w:pPr>
    </w:p>
    <w:p>
      <w:pPr>
        <w:ind w:right="220" w:firstLine="228"/>
        <w:spacing w:after="0" w:line="258" w:lineRule="auto"/>
        <w:rPr>
          <w:sz w:val="20"/>
          <w:szCs w:val="20"/>
          <w:color w:val="auto"/>
        </w:rPr>
      </w:pPr>
      <w:r>
        <w:rPr>
          <w:rFonts w:ascii="Times New Roman" w:cs="Times New Roman" w:eastAsia="Times New Roman" w:hAnsi="Times New Roman"/>
          <w:sz w:val="18"/>
          <w:szCs w:val="18"/>
          <w:color w:val="auto"/>
        </w:rPr>
        <w:t>The assessment of multiple element arrangements requires judgment in order to determine the appropriate units of accounting and the points in time that, or periods over which, revenue should be recognized. Given that, as of December 31, 2014, we did not have the ability to estimate the amount of costs that would potentially be incurred under the loss share provision related to the Sanofi License Agreement and the Sanofi Supply Agreement, we believe the fixed and determinable fee requirement for revenue recognition was not met.</w:t>
      </w:r>
    </w:p>
    <w:p>
      <w:pPr>
        <w:spacing w:after="0" w:line="53" w:lineRule="exact"/>
        <w:rPr>
          <w:sz w:val="20"/>
          <w:szCs w:val="20"/>
          <w:color w:val="auto"/>
        </w:rPr>
      </w:pPr>
    </w:p>
    <w:p>
      <w:pPr>
        <w:ind w:right="180" w:firstLine="228"/>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Cash and Cash Equivalents </w:t>
      </w:r>
      <w:r>
        <w:rPr>
          <w:rFonts w:ascii="Times New Roman" w:cs="Times New Roman" w:eastAsia="Times New Roman" w:hAnsi="Times New Roman"/>
          <w:sz w:val="18"/>
          <w:szCs w:val="18"/>
          <w:color w:val="auto"/>
        </w:rPr>
        <w:t>— The Company considers all highly liquid investments with original or remaining maturities of 90 days or less at the time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purchase, that are readily convertible into cash to be cash equivalents. As of December 31, 2014 and 2013, cash equivalents were comprised of cash and money market accounts with maturities less than 90 days from the date of purchase.</w:t>
      </w:r>
    </w:p>
    <w:p>
      <w:pPr>
        <w:spacing w:after="0" w:line="46" w:lineRule="exact"/>
        <w:rPr>
          <w:sz w:val="20"/>
          <w:szCs w:val="20"/>
          <w:color w:val="auto"/>
        </w:rPr>
      </w:pPr>
    </w:p>
    <w:p>
      <w:pPr>
        <w:ind w:right="600" w:firstLine="228"/>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Concentration of Credit Risk </w:t>
      </w:r>
      <w:r>
        <w:rPr>
          <w:rFonts w:ascii="Times New Roman" w:cs="Times New Roman" w:eastAsia="Times New Roman" w:hAnsi="Times New Roman"/>
          <w:sz w:val="18"/>
          <w:szCs w:val="18"/>
          <w:color w:val="auto"/>
        </w:rPr>
        <w:t>— Financial instruments which potentially subject the Company to concentration of credit risk consist of cash and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equivalents. Cash and cash equivalents consist of interest-bearing accounts, which are regularly monitored by management and held in high credit quality institutions.</w:t>
      </w:r>
    </w:p>
    <w:p>
      <w:pPr>
        <w:spacing w:after="0" w:line="46" w:lineRule="exact"/>
        <w:rPr>
          <w:sz w:val="20"/>
          <w:szCs w:val="20"/>
          <w:color w:val="auto"/>
        </w:rPr>
      </w:pPr>
    </w:p>
    <w:p>
      <w:pPr>
        <w:ind w:right="140" w:firstLine="228"/>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State Research and Development Credit Exchange Receivable </w:t>
      </w:r>
      <w:r>
        <w:rPr>
          <w:rFonts w:ascii="Times New Roman" w:cs="Times New Roman" w:eastAsia="Times New Roman" w:hAnsi="Times New Roman"/>
          <w:sz w:val="18"/>
          <w:szCs w:val="18"/>
          <w:color w:val="auto"/>
        </w:rPr>
        <w:t>— The State of Connecticut provides certain companies with the opportunity to exchange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certain research and development income tax credit carryforwards for cash in exchange for foregoing the carryforward of the research and development credits. The program provides for an exchange of research and development income tax credits for cash equal to 65% of the value of corporation tax credit available for exchange. Estimated amounts receivable under the program are recorded as a reduction of research and development expenses.</w:t>
      </w:r>
    </w:p>
    <w:p>
      <w:pPr>
        <w:spacing w:after="0" w:line="52" w:lineRule="exact"/>
        <w:rPr>
          <w:sz w:val="20"/>
          <w:szCs w:val="20"/>
          <w:color w:val="auto"/>
        </w:rPr>
      </w:pPr>
    </w:p>
    <w:p>
      <w:pPr>
        <w:ind w:right="240" w:firstLine="228"/>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Prepaid expenses and other current assets </w:t>
      </w:r>
      <w:r>
        <w:rPr>
          <w:rFonts w:ascii="Times New Roman" w:cs="Times New Roman" w:eastAsia="Times New Roman" w:hAnsi="Times New Roman"/>
          <w:sz w:val="18"/>
          <w:szCs w:val="18"/>
          <w:color w:val="auto"/>
        </w:rPr>
        <w:t>— Prepaid expenses and other current assets primarily consist of prepaid expenses for goods and services to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received. As of December 31, 2014, prepaid and other current assets had a balance of $20.2 million, mainly comprised of a $15.0 million prepayment for 2015 quantities of insulin, and prepaid insurance.</w:t>
      </w:r>
    </w:p>
    <w:p>
      <w:pPr>
        <w:spacing w:after="0" w:line="48" w:lineRule="exact"/>
        <w:rPr>
          <w:sz w:val="20"/>
          <w:szCs w:val="20"/>
          <w:color w:val="auto"/>
        </w:rPr>
      </w:pPr>
    </w:p>
    <w:p>
      <w:pPr>
        <w:ind w:right="100" w:firstLine="228"/>
        <w:spacing w:after="0" w:line="291" w:lineRule="auto"/>
        <w:rPr>
          <w:sz w:val="20"/>
          <w:szCs w:val="20"/>
          <w:color w:val="auto"/>
        </w:rPr>
      </w:pPr>
      <w:r>
        <w:rPr>
          <w:rFonts w:ascii="Times New Roman" w:cs="Times New Roman" w:eastAsia="Times New Roman" w:hAnsi="Times New Roman"/>
          <w:sz w:val="16"/>
          <w:szCs w:val="16"/>
          <w:color w:val="auto"/>
        </w:rPr>
        <w:t>On July 31, 2014, the Company entered into a Supply Agreement (the “Supply Agreement”) with Amphastar France Pharmaceuticals S.A.S., a French corporation (“Amphastar”), pursuant to which Amphastar will manufacture for and supply to the Company certain quantities of recombinant human insulin for use in AFREZZA. Under the terms of the Supply Agreement, Amphastar will be responsible for manufacturing the insulin in accordance with the Company’s specifications and agreed-upon quality standards. The Company has agreed to purchase annual minimum quantities of insulin under the Supply Agreement of an aggregate total of approximately €120.1 million for calendar years 2015 through 2019. The remaining annual minimum quantities will be €23.2 million for 2015 and €23.3 million for the years ended December 31, 2016 through 2019. The Company may request to purchase additional quantities of insulin over such annual minimum quantities. As part of the Supply Agreement, the Company paid a $15.0 million deposit to Amphastar as prepayment for 2015 quantities of insulin.</w:t>
      </w:r>
    </w:p>
    <w:p>
      <w:pPr>
        <w:spacing w:after="0" w:line="1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400"/>
          </w:cols>
          <w:pgMar w:left="240" w:top="455" w:right="259" w:bottom="1440" w:gutter="0" w:footer="0" w:header="0"/>
        </w:sectPr>
      </w:pPr>
    </w:p>
    <w:bookmarkStart w:id="74" w:name="page75"/>
    <w:bookmarkEnd w:id="7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MANNKIND CORPORATION AND SUBSIDIARIES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14" w:lineRule="exact"/>
        <w:rPr>
          <w:sz w:val="20"/>
          <w:szCs w:val="20"/>
          <w:color w:val="auto"/>
        </w:rPr>
      </w:pPr>
    </w:p>
    <w:p>
      <w:pPr>
        <w:ind w:right="60" w:firstLine="228"/>
        <w:spacing w:after="0" w:line="254" w:lineRule="auto"/>
        <w:rPr>
          <w:sz w:val="20"/>
          <w:szCs w:val="20"/>
          <w:color w:val="auto"/>
        </w:rPr>
      </w:pPr>
      <w:r>
        <w:rPr>
          <w:rFonts w:ascii="Times New Roman" w:cs="Times New Roman" w:eastAsia="Times New Roman" w:hAnsi="Times New Roman"/>
          <w:sz w:val="18"/>
          <w:szCs w:val="18"/>
          <w:color w:val="auto"/>
        </w:rPr>
        <w:t>Unless earlier terminated, the term of the Insulin Supply Agreement expires on December 31, 2019 and can be renewed for additional, successive two year terms upon 12 months’ written notice given prior to the end of the initial term or any additional two year term. The Company and Amphastar each have normal and customary termination rights, including termination for material breach that is not cured within a specific time frame or in the event of liquidation, bankruptcy or insolvency of the other party. In addition, the Company may terminate the Supply Agreement upon two years’ prior written notice to Amphastar without cause or upon 30 days’ prior written notice to Amphastar if a controlling regulatory authority withdraws approval for AFREZZA, provided, however, in the event of a termination pursuant to either of the latter two scenarios, the provisions of the Supply Agreement require the Company to pay the full amount of all unpaid purchase commitments due over the initial term within 60 calendar days of the effective date of such termination.</w:t>
      </w:r>
    </w:p>
    <w:p>
      <w:pPr>
        <w:spacing w:after="0" w:line="58" w:lineRule="exact"/>
        <w:rPr>
          <w:sz w:val="20"/>
          <w:szCs w:val="20"/>
          <w:color w:val="auto"/>
        </w:rPr>
      </w:pPr>
    </w:p>
    <w:p>
      <w:pPr>
        <w:ind w:right="220" w:firstLine="228"/>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Sale of intellectual property </w:t>
      </w:r>
      <w:r>
        <w:rPr>
          <w:rFonts w:ascii="Times New Roman" w:cs="Times New Roman" w:eastAsia="Times New Roman" w:hAnsi="Times New Roman"/>
          <w:sz w:val="18"/>
          <w:szCs w:val="18"/>
          <w:color w:val="auto"/>
        </w:rPr>
        <w:t>— On July 18, 2014, the Company entered into an assignment agreement with a third party whereby the third party acquired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proprietary rights, technology and know-how that related to a small molecule inhibitor compound and all pre-clinical data and results related thereto. Under the terms of the assignment agreement, the Company received total consideration of $9.3 million and incurred $1.4 million in expense for a net amount of $7.9 million recorded as other income.</w:t>
      </w:r>
    </w:p>
    <w:p>
      <w:pPr>
        <w:spacing w:after="0" w:line="52" w:lineRule="exact"/>
        <w:rPr>
          <w:sz w:val="20"/>
          <w:szCs w:val="20"/>
          <w:color w:val="auto"/>
        </w:rPr>
      </w:pPr>
    </w:p>
    <w:p>
      <w:pPr>
        <w:ind w:right="20" w:firstLine="22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Milestone Rights </w:t>
      </w:r>
      <w:r>
        <w:rPr>
          <w:rFonts w:ascii="Times New Roman" w:cs="Times New Roman" w:eastAsia="Times New Roman" w:hAnsi="Times New Roman"/>
          <w:sz w:val="18"/>
          <w:szCs w:val="18"/>
          <w:color w:val="auto"/>
        </w:rPr>
        <w:t>— On July 1 2013, in conjunction with the execution of the Facility Agreement, the Company issued Milestone Rights to Deerfield whereby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agreed to provide Deerfield with pre-specified Milestone Payments upon the achievement of 13 specific Milestone Events related to the commercial release and future cumulative net sales of AFREZZA</w:t>
      </w:r>
      <w:r>
        <w:rPr>
          <w:rFonts w:ascii="Times New Roman" w:cs="Times New Roman" w:eastAsia="Times New Roman" w:hAnsi="Times New Roman"/>
          <w:sz w:val="11"/>
          <w:szCs w:val="11"/>
          <w:color w:val="auto"/>
        </w:rPr>
        <w:t>®</w:t>
      </w:r>
      <w:r>
        <w:rPr>
          <w:rFonts w:ascii="Times New Roman" w:cs="Times New Roman" w:eastAsia="Times New Roman" w:hAnsi="Times New Roman"/>
          <w:sz w:val="18"/>
          <w:szCs w:val="18"/>
          <w:color w:val="auto"/>
        </w:rPr>
        <w:t>. The Company analyzed the Milestone Rights under the provisions of ASC 815 and determined that the agreement does not meet the definition of a freestanding derivative. Since the Company has not elected to apply the fair value option to the Milestone Rights Purchase Agreement, the Company recorded the Milestone Rights at their estimated fair value and accounted for the Milestone Rights as a liability by applying the indexed debt guidance contained in paragraphs ASC 470-10-25-3 and 35-4.</w:t>
      </w:r>
    </w:p>
    <w:p>
      <w:pPr>
        <w:spacing w:after="0" w:line="60" w:lineRule="exact"/>
        <w:rPr>
          <w:sz w:val="20"/>
          <w:szCs w:val="20"/>
          <w:color w:val="auto"/>
        </w:rPr>
      </w:pPr>
    </w:p>
    <w:p>
      <w:pPr>
        <w:ind w:right="40" w:firstLine="228"/>
        <w:spacing w:after="0" w:line="253" w:lineRule="auto"/>
        <w:rPr>
          <w:sz w:val="20"/>
          <w:szCs w:val="20"/>
          <w:color w:val="auto"/>
        </w:rPr>
      </w:pPr>
      <w:r>
        <w:rPr>
          <w:rFonts w:ascii="Times New Roman" w:cs="Times New Roman" w:eastAsia="Times New Roman" w:hAnsi="Times New Roman"/>
          <w:sz w:val="18"/>
          <w:szCs w:val="18"/>
          <w:color w:val="auto"/>
        </w:rPr>
        <w:t>The initial fair value estimate of the Milestone Rights was calculated using the income approach in which the cash flows associated with the specified contractual payments were adjusted for both the expected timing and the probability of achieving the milestones and discounted to present value using a selected market discount rate. The expected timing and probability of achieving the milestones was developed with consideration given to both internal data, such as progress made to date and assessment of criteria required for achievement, and external data, such as market research studies. The discount rate was selected based on an estimation of required rate of returns for similar investment opportunities using available market data. The Milestone Rights liability will be remeasured as the specified milestone events are achieved. Specifically, as each milestone event is achieved, the portion of the initially recorded Milestone Rights liability that pertains to the milestone event being achieved, will be remeasured to the amount of the specified related milestone payment. The resulting change in the balance of the Milestone Rights liability due to remeasurement will be recorded in our Statement of Operations as interest expense. Furthermore, the Milestone Rights liability will be reduced upon the settlement of each milestone payment. As a result, each milestone payment would be effectively allocated between a reduction of the recorded Milestone Rights liability and an expense representing a return on a portion of the Milestone Rights liability paid to the investor for the achievement of the related milestone event (see Note 17).</w:t>
      </w:r>
    </w:p>
    <w:p>
      <w:pPr>
        <w:spacing w:after="0" w:line="56" w:lineRule="exact"/>
        <w:rPr>
          <w:sz w:val="20"/>
          <w:szCs w:val="20"/>
          <w:color w:val="auto"/>
        </w:rPr>
      </w:pPr>
    </w:p>
    <w:p>
      <w:pPr>
        <w:ind w:firstLine="22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Commitment Asset </w:t>
      </w:r>
      <w:r>
        <w:rPr>
          <w:rFonts w:ascii="Times New Roman" w:cs="Times New Roman" w:eastAsia="Times New Roman" w:hAnsi="Times New Roman"/>
          <w:sz w:val="18"/>
          <w:szCs w:val="18"/>
          <w:color w:val="auto"/>
        </w:rPr>
        <w:t>— In connection with the issuance of the Tranche 1 notes and the Milestone Rights, the Company recorded a commitment asset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“Commitment Asset”) on July 1, 2013. As a result of the First Amendment, the Company recorded an additional Tranche B notes commitment asset (the “Tranche B Commitment Asset”) with an estimated fair value equal to $2.9 million. The Commitment Asset is derecognized and recorded as a debt discount on the 2019 notes and Tranche B notes, when issued and amortized, using the effective interest rate method over the life of the respective notes. Prior to derecognition occurring, the Company monitors the Commitment Asset on an ongoing basis to determine whether an impairment indicator is present</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420"/>
          </w:cols>
          <w:pgMar w:left="240" w:top="455" w:right="239" w:bottom="1440" w:gutter="0" w:footer="0" w:header="0"/>
        </w:sectPr>
      </w:pPr>
    </w:p>
    <w:bookmarkStart w:id="75" w:name="page76"/>
    <w:bookmarkEnd w:id="7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MANNKIND CORPORATION AND SUBSIDIARIES</w:t>
      </w:r>
    </w:p>
    <w:p>
      <w:pPr>
        <w:spacing w:after="0" w:line="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1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that would result in a full or partial write down of the Commitment Asset as a result of events that may lead to the subsequent tranches of notes not being issued. At December 31, 2014, Deerfield had purchased all four tranches of 2019 notes in the aggregate principal amount of $160.0 million, purchased $20.0 million aggregate principal amount of Tranche B notes in accordance with the provisions of the Facility Agreement, and wrote off the remaining portion of the Tranche B Commitment Asset. At December 31, 2014 the carrying value of the Commitment Assets was zero.</w:t>
      </w:r>
    </w:p>
    <w:p>
      <w:pPr>
        <w:spacing w:after="0" w:line="53" w:lineRule="exact"/>
        <w:rPr>
          <w:sz w:val="20"/>
          <w:szCs w:val="20"/>
          <w:color w:val="auto"/>
        </w:rPr>
      </w:pPr>
    </w:p>
    <w:p>
      <w:pPr>
        <w:ind w:right="40" w:firstLine="22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Fair Value of Financial Instruments </w:t>
      </w:r>
      <w:r>
        <w:rPr>
          <w:rFonts w:ascii="Times New Roman" w:cs="Times New Roman" w:eastAsia="Times New Roman" w:hAnsi="Times New Roman"/>
          <w:sz w:val="18"/>
          <w:szCs w:val="18"/>
          <w:color w:val="auto"/>
        </w:rPr>
        <w:t>— The Company utilizes fair value measurement guidance prescribed by GAAP to value its financial instruments.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guidance includes a definition of fair value, prescribes methods for measuring fair value, establishes a fair value hierarchy based on the inputs used to measure fair value and expands disclosures about the use of fair value measurements. The valuation techniques utilized are based upon observable and unobservable inputs. Observable inputs reflect market data obtained from independent sources, while unobservable inputs reflect internal market assumptions. These two types of inputs create the following fair value hierarchy:</w:t>
      </w:r>
    </w:p>
    <w:p>
      <w:pPr>
        <w:spacing w:after="0" w:line="5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Level 1 – Quoted prices for identical instruments in active markets.</w:t>
      </w:r>
    </w:p>
    <w:p>
      <w:pPr>
        <w:spacing w:after="0" w:line="90" w:lineRule="exact"/>
        <w:rPr>
          <w:sz w:val="20"/>
          <w:szCs w:val="20"/>
          <w:color w:val="auto"/>
        </w:rPr>
      </w:pPr>
    </w:p>
    <w:p>
      <w:pPr>
        <w:ind w:left="460" w:right="400"/>
        <w:spacing w:after="0" w:line="275" w:lineRule="auto"/>
        <w:rPr>
          <w:sz w:val="20"/>
          <w:szCs w:val="20"/>
          <w:color w:val="auto"/>
        </w:rPr>
      </w:pPr>
      <w:r>
        <w:rPr>
          <w:rFonts w:ascii="Times New Roman" w:cs="Times New Roman" w:eastAsia="Times New Roman" w:hAnsi="Times New Roman"/>
          <w:sz w:val="18"/>
          <w:szCs w:val="18"/>
          <w:color w:val="auto"/>
        </w:rPr>
        <w:t>Level 2 – Quoted prices for similar instruments in active markets; quoted prices for identical or similar instruments in markets that are not active; and model-derived valuations whose inputs are observable or whose significant value drivers are observable.</w:t>
      </w:r>
    </w:p>
    <w:p>
      <w:pPr>
        <w:spacing w:after="0" w:line="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Level 3 – Significant inputs to the valuation model are unobservable.</w:t>
      </w:r>
    </w:p>
    <w:p>
      <w:pPr>
        <w:spacing w:after="0" w:line="90" w:lineRule="exact"/>
        <w:rPr>
          <w:sz w:val="20"/>
          <w:szCs w:val="20"/>
          <w:color w:val="auto"/>
        </w:rPr>
      </w:pPr>
    </w:p>
    <w:p>
      <w:pPr>
        <w:ind w:right="20" w:firstLine="228"/>
        <w:spacing w:after="0" w:line="275" w:lineRule="auto"/>
        <w:rPr>
          <w:sz w:val="20"/>
          <w:szCs w:val="20"/>
          <w:color w:val="auto"/>
        </w:rPr>
      </w:pPr>
      <w:r>
        <w:rPr>
          <w:rFonts w:ascii="Times New Roman" w:cs="Times New Roman" w:eastAsia="Times New Roman" w:hAnsi="Times New Roman"/>
          <w:sz w:val="18"/>
          <w:szCs w:val="18"/>
          <w:color w:val="auto"/>
        </w:rPr>
        <w:t>The carrying amounts reflected in the consolidated balance sheets for cash equivalents, other current assets, accounts payable, and accrued expenses and other current liabilities, approximate fair value due to their relatively short maturities.</w:t>
      </w:r>
    </w:p>
    <w:p>
      <w:pPr>
        <w:spacing w:after="0" w:line="37" w:lineRule="exact"/>
        <w:rPr>
          <w:sz w:val="20"/>
          <w:szCs w:val="20"/>
          <w:color w:val="auto"/>
        </w:rPr>
      </w:pPr>
    </w:p>
    <w:p>
      <w:pPr>
        <w:ind w:right="20" w:firstLine="22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Inventories </w:t>
      </w:r>
      <w:r>
        <w:rPr>
          <w:rFonts w:ascii="Times New Roman" w:cs="Times New Roman" w:eastAsia="Times New Roman" w:hAnsi="Times New Roman"/>
          <w:sz w:val="18"/>
          <w:szCs w:val="18"/>
          <w:color w:val="auto"/>
        </w:rPr>
        <w:t>— Inventories are stated at the lower of cost or market. The Company determines the cost of inventory using the first-in, first-out, or FIFO,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method. The Company capitalizes inventory costs associated with the Company’s products based on management’s judgment that future economic benefit is expected to be realized; otherwise, such costs are expensed as research and development. The Company periodically analyzes its inventory levels to identify inventory that may expire or has a cost basis in excess of its estimated realizable value, and writes-down such inventories as appropriate. In addition, the Company’s products are subject to strict quality control and monitoring which the Company performs throughout the manufacturing process. If certain batches or units of product no longer meet quality specifications or become obsolete due to expiration, the Company will record a charge to write down such unmarketable inventory to its estimated realizable value.</w:t>
      </w:r>
    </w:p>
    <w:p>
      <w:pPr>
        <w:spacing w:after="0" w:line="54" w:lineRule="exact"/>
        <w:rPr>
          <w:sz w:val="20"/>
          <w:szCs w:val="20"/>
          <w:color w:val="auto"/>
        </w:rPr>
      </w:pPr>
    </w:p>
    <w:p>
      <w:pPr>
        <w:jc w:val="both"/>
        <w:ind w:right="100" w:firstLine="228"/>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Property and Equipment </w:t>
      </w:r>
      <w:r>
        <w:rPr>
          <w:rFonts w:ascii="Times New Roman" w:cs="Times New Roman" w:eastAsia="Times New Roman" w:hAnsi="Times New Roman"/>
          <w:sz w:val="18"/>
          <w:szCs w:val="18"/>
          <w:color w:val="auto"/>
        </w:rPr>
        <w:t>— Property and equipment are recorded at cost and depreciated using the straight-line method over the estimated useful lives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related assets. Leasehold improvements are amortized over the term of the lease or the service lives of the improvements, whichever is shorter. Maintenance and repairs are expensed as incurred. Assets under construction are not depreciated until placed into service.</w:t>
      </w:r>
    </w:p>
    <w:p>
      <w:pPr>
        <w:spacing w:after="0" w:line="46" w:lineRule="exact"/>
        <w:rPr>
          <w:sz w:val="20"/>
          <w:szCs w:val="20"/>
          <w:color w:val="auto"/>
        </w:rPr>
      </w:pPr>
    </w:p>
    <w:p>
      <w:pPr>
        <w:jc w:val="both"/>
        <w:ind w:right="80" w:firstLine="228"/>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Impairment of Long-Lived Assets </w:t>
      </w:r>
      <w:r>
        <w:rPr>
          <w:rFonts w:ascii="Times New Roman" w:cs="Times New Roman" w:eastAsia="Times New Roman" w:hAnsi="Times New Roman"/>
          <w:sz w:val="18"/>
          <w:szCs w:val="18"/>
          <w:color w:val="auto"/>
        </w:rPr>
        <w:t>— The Company evaluates long-lived assets for impairment whenever events or changes in circumstances indicate that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carrying value of an asset may not be recoverable in accordance with ASC 360-10-35 </w:t>
      </w:r>
      <w:r>
        <w:rPr>
          <w:rFonts w:ascii="Times New Roman" w:cs="Times New Roman" w:eastAsia="Times New Roman" w:hAnsi="Times New Roman"/>
          <w:sz w:val="18"/>
          <w:szCs w:val="18"/>
          <w:i w:val="1"/>
          <w:iCs w:val="1"/>
          <w:color w:val="auto"/>
        </w:rPr>
        <w:t>Property Plant and Equipment.</w:t>
      </w:r>
      <w:r>
        <w:rPr>
          <w:rFonts w:ascii="Times New Roman" w:cs="Times New Roman" w:eastAsia="Times New Roman" w:hAnsi="Times New Roman"/>
          <w:sz w:val="18"/>
          <w:szCs w:val="18"/>
          <w:color w:val="auto"/>
        </w:rPr>
        <w:t xml:space="preserve"> Assets are considered to be impaired if the carrying value may not be recoverable based upon management’s assessment of the following events or changes in circumstances:</w:t>
      </w:r>
    </w:p>
    <w:p>
      <w:pPr>
        <w:spacing w:after="0" w:line="48" w:lineRule="exact"/>
        <w:rPr>
          <w:sz w:val="20"/>
          <w:szCs w:val="20"/>
          <w:color w:val="auto"/>
        </w:rPr>
      </w:pPr>
    </w:p>
    <w:p>
      <w:pPr>
        <w:ind w:left="440" w:hanging="216"/>
        <w:spacing w:after="0"/>
        <w:tabs>
          <w:tab w:leader="none" w:pos="4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changes in the Company’s strategic business objectives and utilization of the assets;</w:t>
      </w:r>
    </w:p>
    <w:p>
      <w:pPr>
        <w:spacing w:after="0" w:line="90" w:lineRule="exact"/>
        <w:rPr>
          <w:rFonts w:ascii="Times New Roman" w:cs="Times New Roman" w:eastAsia="Times New Roman" w:hAnsi="Times New Roman"/>
          <w:sz w:val="18"/>
          <w:szCs w:val="18"/>
          <w:color w:val="auto"/>
        </w:rPr>
      </w:pPr>
    </w:p>
    <w:p>
      <w:pPr>
        <w:ind w:left="440" w:hanging="216"/>
        <w:spacing w:after="0"/>
        <w:tabs>
          <w:tab w:leader="none" w:pos="4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that the carrying value of such assets cannot be recovered through undiscounted cash flows;</w:t>
      </w:r>
    </w:p>
    <w:p>
      <w:pPr>
        <w:spacing w:after="0" w:line="90" w:lineRule="exact"/>
        <w:rPr>
          <w:rFonts w:ascii="Times New Roman" w:cs="Times New Roman" w:eastAsia="Times New Roman" w:hAnsi="Times New Roman"/>
          <w:sz w:val="18"/>
          <w:szCs w:val="18"/>
          <w:color w:val="auto"/>
        </w:rPr>
      </w:pPr>
    </w:p>
    <w:p>
      <w:pPr>
        <w:ind w:left="440" w:hanging="216"/>
        <w:spacing w:after="0"/>
        <w:tabs>
          <w:tab w:leader="none" w:pos="4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legal ownership or title to the assets;</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380"/>
          </w:cols>
          <w:pgMar w:left="240" w:top="455" w:right="279" w:bottom="1440" w:gutter="0" w:footer="0" w:header="0"/>
        </w:sectPr>
      </w:pPr>
    </w:p>
    <w:bookmarkStart w:id="76" w:name="page77"/>
    <w:bookmarkEnd w:id="7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MANNKIND CORPORATION AND SUBSIDIARIES</w:t>
      </w:r>
    </w:p>
    <w:p>
      <w:pPr>
        <w:spacing w:after="0" w:line="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14" w:lineRule="exact"/>
        <w:rPr>
          <w:sz w:val="20"/>
          <w:szCs w:val="20"/>
          <w:color w:val="auto"/>
        </w:rPr>
      </w:pPr>
    </w:p>
    <w:p>
      <w:pPr>
        <w:ind w:left="440" w:right="220" w:hanging="216"/>
        <w:spacing w:after="0" w:line="275" w:lineRule="auto"/>
        <w:tabs>
          <w:tab w:leader="none" w:pos="4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adverse change in legal factors or in the business climate that could affect the value of a long-lived asset (asset group), including an adverse action or assessment by a regulator; or</w:t>
      </w:r>
    </w:p>
    <w:p>
      <w:pPr>
        <w:spacing w:after="0" w:line="38" w:lineRule="exact"/>
        <w:rPr>
          <w:rFonts w:ascii="Times New Roman" w:cs="Times New Roman" w:eastAsia="Times New Roman" w:hAnsi="Times New Roman"/>
          <w:sz w:val="18"/>
          <w:szCs w:val="18"/>
          <w:color w:val="auto"/>
        </w:rPr>
      </w:pPr>
    </w:p>
    <w:p>
      <w:pPr>
        <w:ind w:left="440" w:hanging="216"/>
        <w:spacing w:after="0"/>
        <w:tabs>
          <w:tab w:leader="none" w:pos="4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significant negative industry or economic trends.</w:t>
      </w:r>
    </w:p>
    <w:p>
      <w:pPr>
        <w:spacing w:after="0" w:line="90" w:lineRule="exact"/>
        <w:rPr>
          <w:sz w:val="20"/>
          <w:szCs w:val="20"/>
          <w:color w:val="auto"/>
        </w:rPr>
      </w:pPr>
    </w:p>
    <w:p>
      <w:pPr>
        <w:jc w:val="both"/>
        <w:ind w:right="140" w:firstLine="228"/>
        <w:spacing w:after="0" w:line="262" w:lineRule="auto"/>
        <w:rPr>
          <w:sz w:val="20"/>
          <w:szCs w:val="20"/>
          <w:color w:val="auto"/>
        </w:rPr>
      </w:pPr>
      <w:r>
        <w:rPr>
          <w:rFonts w:ascii="Times New Roman" w:cs="Times New Roman" w:eastAsia="Times New Roman" w:hAnsi="Times New Roman"/>
          <w:sz w:val="18"/>
          <w:szCs w:val="18"/>
          <w:color w:val="auto"/>
        </w:rPr>
        <w:t>If the Company believes an asset to be impaired, the impairment recognized is the amount by which the carrying value of the assets exceeds the fair value of the assets. Any write-downs would be treated as permanent reductions in the carrying amount of the asset and an operating loss would be recognized. No asset impairment was recognized during the years ended December 31, 2014, 2013, and 2012, respectively.</w:t>
      </w:r>
    </w:p>
    <w:p>
      <w:pPr>
        <w:spacing w:after="0" w:line="49" w:lineRule="exact"/>
        <w:rPr>
          <w:sz w:val="20"/>
          <w:szCs w:val="20"/>
          <w:color w:val="auto"/>
        </w:rPr>
      </w:pPr>
    </w:p>
    <w:p>
      <w:pPr>
        <w:ind w:firstLine="228"/>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 The provisions for federal, foreign, state, and local income taxes are calculated on pre-tax income based on current tax law and include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cumulative effect of any changes in tax rates from those used previously in determining deferred tax assets and liabilities. Deferred income tax assets and liabilities are measured using enacted tax rates expected to apply to taxable income in the year in which the temporary differences are expected to be recovered or settled. A valuation allowance is recorded to reduce net deferred income tax assets to amounts that are more likely than not to be realized.</w:t>
      </w:r>
    </w:p>
    <w:p>
      <w:pPr>
        <w:spacing w:after="0" w:line="52" w:lineRule="exact"/>
        <w:rPr>
          <w:sz w:val="20"/>
          <w:szCs w:val="20"/>
          <w:color w:val="auto"/>
        </w:rPr>
      </w:pPr>
    </w:p>
    <w:p>
      <w:pPr>
        <w:ind w:right="40" w:firstLine="228"/>
        <w:spacing w:after="0" w:line="255" w:lineRule="auto"/>
        <w:rPr>
          <w:sz w:val="20"/>
          <w:szCs w:val="20"/>
          <w:color w:val="auto"/>
        </w:rPr>
      </w:pPr>
      <w:r>
        <w:rPr>
          <w:rFonts w:ascii="Times New Roman" w:cs="Times New Roman" w:eastAsia="Times New Roman" w:hAnsi="Times New Roman"/>
          <w:sz w:val="18"/>
          <w:szCs w:val="18"/>
          <w:color w:val="auto"/>
        </w:rPr>
        <w:t xml:space="preserve">Income tax positions are considered for uncertainty in accordance with ASC 740-10-25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The Company believes that its income tax filing positions and deductions will be sustained on audit and does not anticipate any adjustments that will result in a material change to its financial position. Therefore, no liabilities for uncertain income tax positions have been recorded. If a tax position does not meet the minimum statutory threshold to avoid payment of penalties, the Company recognizes an expense for the amount of the penalty in the period the tax position is claimed in the tax return of the Company. The Company recognizes interest accrued related to unrecognized tax benefits in income tax expense, if any. Penalties, if probable and reasonably estimable, are recognized as a component of income tax expense.</w:t>
      </w:r>
    </w:p>
    <w:p>
      <w:pPr>
        <w:spacing w:after="0" w:line="60" w:lineRule="exact"/>
        <w:rPr>
          <w:sz w:val="20"/>
          <w:szCs w:val="20"/>
          <w:color w:val="auto"/>
        </w:rPr>
      </w:pPr>
    </w:p>
    <w:p>
      <w:pPr>
        <w:ind w:right="260" w:firstLine="228"/>
        <w:spacing w:after="0" w:line="255" w:lineRule="auto"/>
        <w:rPr>
          <w:sz w:val="20"/>
          <w:szCs w:val="20"/>
          <w:color w:val="auto"/>
        </w:rPr>
      </w:pPr>
      <w:r>
        <w:rPr>
          <w:rFonts w:ascii="Times New Roman" w:cs="Times New Roman" w:eastAsia="Times New Roman" w:hAnsi="Times New Roman"/>
          <w:sz w:val="18"/>
          <w:szCs w:val="18"/>
          <w:color w:val="auto"/>
        </w:rPr>
        <w:t>Significant management judgment is involved in determining the provision for income taxes, deferred tax assets, deferred tax liabilities, and any valuation allowance recorded against deferred tax assets. Due to uncertainties related to the realization of the Company’s deferred tax assets as a result of its history of operating losses, a valuation allowance has been established against the total deferred tax asset balance. The valuation allowance is based on management’s estimates of taxable income by jurisdiction in which the Company operates and the period over which deferred tax assets will be recoverable. In the event that actual results differ from these estimates or the Company adjusts these estimates in future periods, a change in the valuation allowance may be needed, which could materially impact the Company’s financial position and results of operations.</w:t>
      </w:r>
    </w:p>
    <w:p>
      <w:pPr>
        <w:spacing w:after="0" w:line="56" w:lineRule="exact"/>
        <w:rPr>
          <w:sz w:val="20"/>
          <w:szCs w:val="20"/>
          <w:color w:val="auto"/>
        </w:rPr>
      </w:pPr>
    </w:p>
    <w:p>
      <w:pPr>
        <w:ind w:firstLine="22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Contingencies </w:t>
      </w:r>
      <w:r>
        <w:rPr>
          <w:rFonts w:ascii="Times New Roman" w:cs="Times New Roman" w:eastAsia="Times New Roman" w:hAnsi="Times New Roman"/>
          <w:sz w:val="18"/>
          <w:szCs w:val="18"/>
          <w:color w:val="auto"/>
        </w:rPr>
        <w:t>— Contingencies are recorded in accordance with ASC 450</w:t>
      </w:r>
      <w:r>
        <w:rPr>
          <w:rFonts w:ascii="Times New Roman" w:cs="Times New Roman" w:eastAsia="Times New Roman" w:hAnsi="Times New Roman"/>
          <w:sz w:val="18"/>
          <w:szCs w:val="18"/>
          <w:i w:val="1"/>
          <w:iCs w:val="1"/>
          <w:color w:val="auto"/>
        </w:rPr>
        <w:t xml:space="preserve"> Contingencies. </w:t>
      </w:r>
      <w:r>
        <w:rPr>
          <w:rFonts w:ascii="Times New Roman" w:cs="Times New Roman" w:eastAsia="Times New Roman" w:hAnsi="Times New Roman"/>
          <w:sz w:val="18"/>
          <w:szCs w:val="18"/>
          <w:color w:val="auto"/>
        </w:rPr>
        <w:t>Accordingly, the Company records a loss contingency for a liability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when it is both probable that a liability has been incurred and the amount of the loss can be reasonably estimated. These accruals represent management’s best estimate of probable loss. Disclosure also is provided when it is reasonably possible that a loss will be incurred or when it is reasonably possible that the amount of a loss will exceed the recorded provision. On a quarterly basis, the Company reviews the status of each significant matter and assesses its potential financial exposure. Significant judgment is required in both the determination of probability and the determination as to whether an exposure is reasonably estimable. Because of uncertainties related to these matters, accruals are based only on the best information available at the time. As additional information becomes available, the Company reassesses the potential liability related to pending claims and litigation and may revise its estimates. These revisions in the estimates of the potential liabilities could have a material impact on our consolidated results of operations and financial position.</w:t>
      </w:r>
    </w:p>
    <w:p>
      <w:pPr>
        <w:spacing w:after="0" w:line="57" w:lineRule="exact"/>
        <w:rPr>
          <w:sz w:val="20"/>
          <w:szCs w:val="20"/>
          <w:color w:val="auto"/>
        </w:rPr>
      </w:pPr>
    </w:p>
    <w:p>
      <w:pPr>
        <w:jc w:val="both"/>
        <w:ind w:right="200" w:firstLine="228"/>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Stock-Based Compensation </w:t>
      </w:r>
      <w:r>
        <w:rPr>
          <w:rFonts w:ascii="Times New Roman" w:cs="Times New Roman" w:eastAsia="Times New Roman" w:hAnsi="Times New Roman"/>
          <w:sz w:val="18"/>
          <w:szCs w:val="18"/>
          <w:color w:val="auto"/>
        </w:rPr>
        <w:t>— As of December 31, 2014, the Company had three active stock-based compensation plans, which are described more fully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Note 12. The Company accounts for all share-based payments to employees, including grants of stock awards and the compensatory elements of the employee stock purchase plan in accordance with ASC 718</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ASC 718 </w:t>
      </w:r>
      <w:r>
        <w:rPr>
          <w:rFonts w:ascii="Times New Roman" w:cs="Times New Roman" w:eastAsia="Times New Roman" w:hAnsi="Times New Roman"/>
          <w:sz w:val="18"/>
          <w:szCs w:val="18"/>
          <w:i w:val="1"/>
          <w:iCs w:val="1"/>
          <w:color w:val="auto"/>
        </w:rPr>
        <w:t>Compensation — Stock Compensation</w:t>
      </w:r>
      <w:r>
        <w:rPr>
          <w:rFonts w:ascii="Times New Roman" w:cs="Times New Roman" w:eastAsia="Times New Roman" w:hAnsi="Times New Roman"/>
          <w:sz w:val="18"/>
          <w:szCs w:val="18"/>
          <w:color w:val="auto"/>
        </w:rPr>
        <w:t xml:space="preserve"> (“ASC 718”)</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380"/>
          </w:cols>
          <w:pgMar w:left="240" w:top="455" w:right="279" w:bottom="1440" w:gutter="0" w:footer="0" w:header="0"/>
        </w:sectPr>
      </w:pPr>
    </w:p>
    <w:bookmarkStart w:id="77" w:name="page78"/>
    <w:bookmarkEnd w:id="7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MANNKIND CORPORATION AND SUBSIDIARIES</w:t>
      </w:r>
    </w:p>
    <w:p>
      <w:pPr>
        <w:spacing w:after="0" w:line="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14" w:lineRule="exact"/>
        <w:rPr>
          <w:sz w:val="20"/>
          <w:szCs w:val="20"/>
          <w:color w:val="auto"/>
        </w:rPr>
      </w:pPr>
    </w:p>
    <w:p>
      <w:pPr>
        <w:ind w:right="200"/>
        <w:spacing w:after="0" w:line="253" w:lineRule="auto"/>
        <w:rPr>
          <w:sz w:val="20"/>
          <w:szCs w:val="20"/>
          <w:color w:val="auto"/>
        </w:rPr>
      </w:pPr>
      <w:r>
        <w:rPr>
          <w:rFonts w:ascii="Times New Roman" w:cs="Times New Roman" w:eastAsia="Times New Roman" w:hAnsi="Times New Roman"/>
          <w:sz w:val="18"/>
          <w:szCs w:val="18"/>
          <w:color w:val="auto"/>
        </w:rPr>
        <w:t>requires all share-based payments to employees, including grants of stock options, restricted stock units, performance-based awards and the compensatory elements of employee stock purchase plans, to be recognized in the statement of operations based upon the fair value of the awards at the grant date. The Company uses the Black-Scholes option valuation model to estimate the grant date fair value of employee stock options and the compensatory elements of employee stock purchase plans. Option valuation models require the input of assumptions, including the expected life of the stock-based awards, the estimated stock price volatility, the risk-free interest rate, and the expected dividend yield. Beginning in the third quarter of 2014, the Company began to assess both historical and implied volatility in order to determine its estimated volatility rate. Implied volatility is now considered due to the change in the Company’s business, which occurred with the approval for the sale of AFREEZA. The expected volatility assumption is based on an assessment of the historical volatility and the implied volatility of the Company’s common stock, derived from an analysis of historical traded and quoted options on the Company’s common stock. Restricted stock units are valued based on the market price on the grant date. The Company evaluates stock awards with performance conditions as to the probability that the performance conditions will be met and estimates the date at which the performance conditions will be met in order to properly recognize stock-based compensation expense over the requisite service period.</w:t>
      </w:r>
    </w:p>
    <w:p>
      <w:pPr>
        <w:spacing w:after="0" w:line="56" w:lineRule="exact"/>
        <w:rPr>
          <w:sz w:val="20"/>
          <w:szCs w:val="20"/>
          <w:color w:val="auto"/>
        </w:rPr>
      </w:pPr>
    </w:p>
    <w:p>
      <w:pPr>
        <w:jc w:val="both"/>
        <w:ind w:right="140" w:firstLine="228"/>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Warrants </w:t>
      </w:r>
      <w:r>
        <w:rPr>
          <w:rFonts w:ascii="Times New Roman" w:cs="Times New Roman" w:eastAsia="Times New Roman" w:hAnsi="Times New Roman"/>
          <w:sz w:val="18"/>
          <w:szCs w:val="18"/>
          <w:color w:val="auto"/>
        </w:rPr>
        <w:t>— The Company has issued warrants to purchase shares of its common stock. Warrants have been accounted for within equity in accordance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provisions of ASC 815-40, Contracts in an Entity’s Own Stock, previously EITF Issue No. 00-19: </w:t>
      </w:r>
      <w:r>
        <w:rPr>
          <w:rFonts w:ascii="Times New Roman" w:cs="Times New Roman" w:eastAsia="Times New Roman" w:hAnsi="Times New Roman"/>
          <w:sz w:val="18"/>
          <w:szCs w:val="18"/>
          <w:i w:val="1"/>
          <w:iCs w:val="1"/>
          <w:color w:val="auto"/>
        </w:rPr>
        <w:t>Accounting for Derivative Financial Instruments Indexed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 and Potentially Settled in, a Company’s Own Stock</w:t>
      </w:r>
      <w:r>
        <w:rPr>
          <w:rFonts w:ascii="Times New Roman" w:cs="Times New Roman" w:eastAsia="Times New Roman" w:hAnsi="Times New Roman"/>
          <w:sz w:val="18"/>
          <w:szCs w:val="18"/>
          <w:color w:val="auto"/>
        </w:rPr>
        <w:t>.</w:t>
      </w:r>
    </w:p>
    <w:p>
      <w:pPr>
        <w:spacing w:after="0" w:line="46" w:lineRule="exact"/>
        <w:rPr>
          <w:sz w:val="20"/>
          <w:szCs w:val="20"/>
          <w:color w:val="auto"/>
        </w:rPr>
      </w:pPr>
    </w:p>
    <w:p>
      <w:pPr>
        <w:ind w:right="20" w:firstLine="22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Forward Contracts </w:t>
      </w:r>
      <w:r>
        <w:rPr>
          <w:rFonts w:ascii="Times New Roman" w:cs="Times New Roman" w:eastAsia="Times New Roman" w:hAnsi="Times New Roman"/>
          <w:sz w:val="18"/>
          <w:szCs w:val="18"/>
          <w:color w:val="auto"/>
        </w:rPr>
        <w:t>— The Company has entered into agreements with The Mann Group whereby the Company agreed to sell and The Mann Group agreed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purchase common stock and/or warrants. These agreements have been accounted for as forward contracts, having met the definition of derivative instruments in accordance with the provisions of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The Company determines the fair value of the forward contract upon its issuance, records fair value adjustments of the forward contract to Other income (expense) during the reporting period and through the settlement of the forward contract, and reclassifies the forward contract to equity upon settlement of the forward contract. In the years ended December 31, 2014 and 2013, there were no forward purchase contracts.</w:t>
      </w:r>
    </w:p>
    <w:p>
      <w:pPr>
        <w:spacing w:after="0" w:line="58" w:lineRule="exact"/>
        <w:rPr>
          <w:sz w:val="20"/>
          <w:szCs w:val="20"/>
          <w:color w:val="auto"/>
        </w:rPr>
      </w:pPr>
    </w:p>
    <w:p>
      <w:pPr>
        <w:ind w:firstLine="228"/>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Comprehensive Loss </w:t>
      </w:r>
      <w:r>
        <w:rPr>
          <w:rFonts w:ascii="Times New Roman" w:cs="Times New Roman" w:eastAsia="Times New Roman" w:hAnsi="Times New Roman"/>
          <w:sz w:val="18"/>
          <w:szCs w:val="18"/>
          <w:color w:val="auto"/>
        </w:rPr>
        <w:t>— Other comprehensive loss is recorded in accordance with ASC 220-10-45</w:t>
      </w:r>
      <w:r>
        <w:rPr>
          <w:rFonts w:ascii="Times New Roman" w:cs="Times New Roman" w:eastAsia="Times New Roman" w:hAnsi="Times New Roman"/>
          <w:sz w:val="18"/>
          <w:szCs w:val="18"/>
          <w:i w:val="1"/>
          <w:iCs w:val="1"/>
          <w:color w:val="auto"/>
        </w:rPr>
        <w:t xml:space="preserve"> Comprehensive Income, </w:t>
      </w:r>
      <w:r>
        <w:rPr>
          <w:rFonts w:ascii="Times New Roman" w:cs="Times New Roman" w:eastAsia="Times New Roman" w:hAnsi="Times New Roman"/>
          <w:sz w:val="18"/>
          <w:szCs w:val="18"/>
          <w:color w:val="auto"/>
        </w:rPr>
        <w:t>which requires that all components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comprehensive loss be reported in the financial statements in the period in which they are recognized. Other comprehensive loss includes certain changes in stockholders’ equity that are excluded from net income. Specifically, the Company includes unrealized gains and losses on its available-for-sale securities and cumulative translation gains and losses in other comprehensive loss.</w:t>
      </w:r>
    </w:p>
    <w:p>
      <w:pPr>
        <w:spacing w:after="0" w:line="52" w:lineRule="exact"/>
        <w:rPr>
          <w:sz w:val="20"/>
          <w:szCs w:val="20"/>
          <w:color w:val="auto"/>
        </w:rPr>
      </w:pPr>
    </w:p>
    <w:p>
      <w:pPr>
        <w:ind w:right="20" w:firstLine="228"/>
        <w:spacing w:after="0" w:line="293" w:lineRule="auto"/>
        <w:rPr>
          <w:sz w:val="20"/>
          <w:szCs w:val="20"/>
          <w:color w:val="auto"/>
        </w:rPr>
      </w:pPr>
      <w:r>
        <w:rPr>
          <w:rFonts w:ascii="Times New Roman" w:cs="Times New Roman" w:eastAsia="Times New Roman" w:hAnsi="Times New Roman"/>
          <w:sz w:val="16"/>
          <w:szCs w:val="16"/>
          <w:i w:val="1"/>
          <w:iCs w:val="1"/>
          <w:color w:val="auto"/>
        </w:rPr>
        <w:t xml:space="preserve">Research and Development Expenses </w:t>
      </w:r>
      <w:r>
        <w:rPr>
          <w:rFonts w:ascii="Times New Roman" w:cs="Times New Roman" w:eastAsia="Times New Roman" w:hAnsi="Times New Roman"/>
          <w:sz w:val="16"/>
          <w:szCs w:val="16"/>
          <w:color w:val="auto"/>
        </w:rPr>
        <w:t>— Research and development expenses consist of costs associated with the clinical trials of the Company’s product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candidates, manufacturing supplies and other development materials, including raw material purchases of insulin, compensation and other expenses for research and development personnel, costs for consultants and related contract research, facility costs, and depreciation. Research and development costs, which are net of any tax credit exchange recognized for the Connecticut state research and development credit exchange program, are expensed as incurred consistent with ASC 730-10 </w:t>
      </w:r>
      <w:r>
        <w:rPr>
          <w:rFonts w:ascii="Times New Roman" w:cs="Times New Roman" w:eastAsia="Times New Roman" w:hAnsi="Times New Roman"/>
          <w:sz w:val="16"/>
          <w:szCs w:val="16"/>
          <w:i w:val="1"/>
          <w:iCs w:val="1"/>
          <w:color w:val="auto"/>
        </w:rPr>
        <w:t>Research and Development.</w:t>
      </w:r>
      <w:r>
        <w:rPr>
          <w:rFonts w:ascii="Times New Roman" w:cs="Times New Roman" w:eastAsia="Times New Roman" w:hAnsi="Times New Roman"/>
          <w:sz w:val="16"/>
          <w:szCs w:val="16"/>
          <w:color w:val="auto"/>
        </w:rPr>
        <w:t xml:space="preserve"> The Company began commercial manufacturing in the latter part of the fourth quarter of 2014. As such, commercial manufacturing costs incurred in the fourth quarter and included in research and development as expenses are immaterial for the year ended December 31, 2014.</w:t>
      </w:r>
    </w:p>
    <w:p>
      <w:pPr>
        <w:spacing w:after="0" w:line="30" w:lineRule="exact"/>
        <w:rPr>
          <w:sz w:val="20"/>
          <w:szCs w:val="20"/>
          <w:color w:val="auto"/>
        </w:rPr>
      </w:pPr>
    </w:p>
    <w:p>
      <w:pPr>
        <w:ind w:firstLine="228"/>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Clinical Trial Expenses </w:t>
      </w:r>
      <w:r>
        <w:rPr>
          <w:rFonts w:ascii="Times New Roman" w:cs="Times New Roman" w:eastAsia="Times New Roman" w:hAnsi="Times New Roman"/>
          <w:sz w:val="18"/>
          <w:szCs w:val="18"/>
          <w:color w:val="auto"/>
        </w:rPr>
        <w:t>— Clinical trial expenses, which are reflected in research and development expenses in the accompanying statements of operations,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result from obligations under contracts with vendors, consultants, and clinical site agreements in connection with conducting clinical trials. The financial terms of these contracts are subject to negotiations which vary from contract to contract and may result in payment flows that do not match the periods over which materials or services are provided to the Company under such contracts. The</w:t>
      </w:r>
    </w:p>
    <w:p>
      <w:pPr>
        <w:spacing w:after="0" w:line="1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360"/>
          </w:cols>
          <w:pgMar w:left="240" w:top="455" w:right="299" w:bottom="1440" w:gutter="0" w:footer="0" w:header="0"/>
        </w:sectPr>
      </w:pPr>
    </w:p>
    <w:bookmarkStart w:id="78" w:name="page79"/>
    <w:bookmarkEnd w:id="7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MANNKIND CORPORATION AND SUBSIDIARIES</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14" w:lineRule="exact"/>
        <w:rPr>
          <w:sz w:val="20"/>
          <w:szCs w:val="20"/>
          <w:color w:val="auto"/>
        </w:rPr>
      </w:pPr>
    </w:p>
    <w:p>
      <w:pPr>
        <w:ind w:right="200"/>
        <w:spacing w:after="0" w:line="296" w:lineRule="auto"/>
        <w:rPr>
          <w:sz w:val="20"/>
          <w:szCs w:val="20"/>
          <w:color w:val="auto"/>
        </w:rPr>
      </w:pPr>
      <w:r>
        <w:rPr>
          <w:rFonts w:ascii="Times New Roman" w:cs="Times New Roman" w:eastAsia="Times New Roman" w:hAnsi="Times New Roman"/>
          <w:sz w:val="16"/>
          <w:szCs w:val="16"/>
          <w:color w:val="auto"/>
        </w:rPr>
        <w:t>appropriate level of trial expenses are reflected in the Company’s financial statements by matching period expenses with period services and efforts expended. These expenses are recorded according to the progress of the trial as measured by patient progression and the timing of various aspects of the trial. Clinical trial accrual estimates are determined through discussions with internal clinical personnel and outside service providers as to the progress or state of completion of trials, or the services completed. Service provider status is then compared to the contractually obligated fee to be paid for such services. During the course of a clinical trial, the Company may adjust the rate of clinical expense recognized if actual results differ from management’s estimates.</w:t>
      </w:r>
    </w:p>
    <w:p>
      <w:pPr>
        <w:spacing w:after="0" w:line="25" w:lineRule="exact"/>
        <w:rPr>
          <w:sz w:val="20"/>
          <w:szCs w:val="20"/>
          <w:color w:val="auto"/>
        </w:rPr>
      </w:pPr>
    </w:p>
    <w:p>
      <w:pPr>
        <w:ind w:right="320" w:firstLine="228"/>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Interest Expense </w:t>
      </w:r>
      <w:r>
        <w:rPr>
          <w:rFonts w:ascii="Times New Roman" w:cs="Times New Roman" w:eastAsia="Times New Roman" w:hAnsi="Times New Roman"/>
          <w:sz w:val="18"/>
          <w:szCs w:val="18"/>
          <w:color w:val="auto"/>
        </w:rPr>
        <w:t>— Interest costs are expensed as incurred, except to the extent such interest is related to construction in progress, in which case interest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capitalized. Interest expense, net of interest capitalized, for the years ended December 31, 2014, 2013 and 2012 was $20.4 million, $21.5 million, and $21.6 million, respectively. Interest costs capitalized for the years ended December 31, 2014, 2013, and 2012 were $0.8 million, $0.4 million, and $0.3 million, respectively.</w:t>
      </w:r>
    </w:p>
    <w:p>
      <w:pPr>
        <w:spacing w:after="0" w:line="52" w:lineRule="exact"/>
        <w:rPr>
          <w:sz w:val="20"/>
          <w:szCs w:val="20"/>
          <w:color w:val="auto"/>
        </w:rPr>
      </w:pPr>
    </w:p>
    <w:p>
      <w:pPr>
        <w:ind w:right="220" w:firstLine="22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Net Loss Per Share of Common Stock </w:t>
      </w:r>
      <w:r>
        <w:rPr>
          <w:rFonts w:ascii="Times New Roman" w:cs="Times New Roman" w:eastAsia="Times New Roman" w:hAnsi="Times New Roman"/>
          <w:sz w:val="18"/>
          <w:szCs w:val="18"/>
          <w:color w:val="auto"/>
        </w:rPr>
        <w:t>— Basic net loss per common share is computed by dividing net loss by the weighted-average number of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outstanding during the period. Diluted net loss per common share is computed by dividing the net loss by the sum of the weighted-average number of common shares outstanding during the period plus the potential dilutive effect of stock options, restricted stock units, warrants, and shares that could be issued upon conversion of the senior convertible notes outstanding during the period calculated in accordance with the treasury stock method, but are excluded if their effect is anti-dilutive. Because the impact of these items is anti-dilutive during periods of net loss, there was no difference between basic and diluted loss per common share for the years ended December 31, 2014, 2013, and 2012.</w:t>
      </w:r>
    </w:p>
    <w:p>
      <w:pPr>
        <w:spacing w:after="0" w:line="58" w:lineRule="exact"/>
        <w:rPr>
          <w:sz w:val="20"/>
          <w:szCs w:val="20"/>
          <w:color w:val="auto"/>
        </w:rPr>
      </w:pPr>
    </w:p>
    <w:p>
      <w:pPr>
        <w:ind w:firstLine="228"/>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Recently Issued Accounting Standards </w:t>
      </w:r>
      <w:r>
        <w:rPr>
          <w:rFonts w:ascii="Times New Roman" w:cs="Times New Roman" w:eastAsia="Times New Roman" w:hAnsi="Times New Roman"/>
          <w:sz w:val="18"/>
          <w:szCs w:val="18"/>
          <w:color w:val="auto"/>
        </w:rPr>
        <w:t>— From time to time, new accounting pronouncements are issued by the Financial Accounting Standards Board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(FASB) or other standard setting bodies that are adopted by the Company as of the specified effective date. Unless otherwise discussed, we believe that the impact of recently issued standards that are not yet effective will not have a material impact on our financial position or results of operations upon adoption.</w:t>
      </w:r>
    </w:p>
    <w:p>
      <w:pPr>
        <w:spacing w:after="0" w:line="48" w:lineRule="exact"/>
        <w:rPr>
          <w:sz w:val="20"/>
          <w:szCs w:val="20"/>
          <w:color w:val="auto"/>
        </w:rPr>
      </w:pPr>
    </w:p>
    <w:p>
      <w:pPr>
        <w:ind w:right="120" w:firstLine="228"/>
        <w:spacing w:after="0" w:line="254" w:lineRule="auto"/>
        <w:rPr>
          <w:sz w:val="20"/>
          <w:szCs w:val="20"/>
          <w:color w:val="auto"/>
        </w:rPr>
      </w:pPr>
      <w:r>
        <w:rPr>
          <w:rFonts w:ascii="Times New Roman" w:cs="Times New Roman" w:eastAsia="Times New Roman" w:hAnsi="Times New Roman"/>
          <w:sz w:val="18"/>
          <w:szCs w:val="18"/>
          <w:color w:val="auto"/>
        </w:rPr>
        <w:t>In May 2014, a new standard was issued related to revenue recognition, which requires an entity to recognize the amount of revenue to which it expects to be entitled for the transfer of promised goods or services to customers. The new standard will replace most of the existing revenue recognition standards in U.S. GAAP when it becomes effective on January 1, 2017. Early adoption is not permitted. The new standard allows for either “full retrospective” adoption, whereby the new standard is applied to each prior reporting period presented or “modified retrospective” adoption, whereby the new standard is only applied to the most current period presented with the cumulative effect of the change recognized at the date of the initial application. The Company is assessing the potential impact of the new standard on its consolidated statements of financial position and results of operations and comprehensive income (loss) and has not yet selected a transition method.</w:t>
      </w:r>
    </w:p>
    <w:p>
      <w:pPr>
        <w:spacing w:after="0" w:line="60" w:lineRule="exact"/>
        <w:rPr>
          <w:sz w:val="20"/>
          <w:szCs w:val="20"/>
          <w:color w:val="auto"/>
        </w:rPr>
      </w:pPr>
    </w:p>
    <w:p>
      <w:pPr>
        <w:ind w:right="60" w:firstLine="228"/>
        <w:spacing w:after="0" w:line="253" w:lineRule="auto"/>
        <w:rPr>
          <w:sz w:val="20"/>
          <w:szCs w:val="20"/>
          <w:color w:val="auto"/>
        </w:rPr>
      </w:pPr>
      <w:r>
        <w:rPr>
          <w:rFonts w:ascii="Times New Roman" w:cs="Times New Roman" w:eastAsia="Times New Roman" w:hAnsi="Times New Roman"/>
          <w:sz w:val="18"/>
          <w:szCs w:val="18"/>
          <w:color w:val="auto"/>
        </w:rPr>
        <w:t>In June 2014, the FASB issued ASU No. 2014-10, Development Stage Entities (Topic 915): Elimination of Certain Financial Reporting Requirements, Including an Amendment to Variable Interest Entities Guidance in Topic 810, Consolidation. The amendments in this ASU remove all incremental financial reporting requirements from GAAP for development stage entities, including the removal of Topic 915, Development Stage Entities, from the FASB Accounting Standards Codification. In addition, the ASU: (a) adds an example disclosure in Topic 275, Risks and Uncertainties, to illustrate one way that an entity that has not begun planned principal operations could provide information about the risks and uncertainties related to the company’s current activities; and (b) removes an exception provided to development stage entities in Topic 810, Consolidation, for determining whether an entity is a variable interest entity. The presentation and disclosure requirements in Topic 915 will no longer be required for the first annual period beginning after December 15, 2014. The revised consolidation standards are effective one year later, in annual periods beginning after December 15, 2015. Early adoption is permitted. The Company early adopted ASU 2014-10 resulting in the elimination of certain presentation and disclosure requirements previously required by topic 915.</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420"/>
          </w:cols>
          <w:pgMar w:left="240" w:top="455" w:right="239" w:bottom="1440" w:gutter="0" w:footer="0" w:header="0"/>
        </w:sectPr>
      </w:pPr>
    </w:p>
    <w:bookmarkStart w:id="79" w:name="page80"/>
    <w:bookmarkEnd w:id="7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MANNKIND CORPORATION AND SUBSIDIARIES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14" w:lineRule="exact"/>
        <w:rPr>
          <w:sz w:val="20"/>
          <w:szCs w:val="20"/>
          <w:color w:val="auto"/>
        </w:rPr>
      </w:pPr>
    </w:p>
    <w:p>
      <w:pPr>
        <w:ind w:firstLine="228"/>
        <w:spacing w:after="0" w:line="255" w:lineRule="auto"/>
        <w:rPr>
          <w:sz w:val="20"/>
          <w:szCs w:val="20"/>
          <w:color w:val="auto"/>
        </w:rPr>
      </w:pPr>
      <w:r>
        <w:rPr>
          <w:rFonts w:ascii="Times New Roman" w:cs="Times New Roman" w:eastAsia="Times New Roman" w:hAnsi="Times New Roman"/>
          <w:sz w:val="18"/>
          <w:szCs w:val="18"/>
          <w:color w:val="auto"/>
        </w:rPr>
        <w:t>On August 27, 2014, the FASB issued ASU 2014-15, which provides guidance on determining when and how reporting entities must disclose going-concern uncertainties in their financial statements. The new standard requires management to perform interim and annual assessments of an entity’s ability to continue as a going concern within one year of the date of issuance of the entity’s financial statements (or within one year after the date on which the financial statements are available to be issued, when applicable). Further, an entity must provide certain disclosures if there is “substantial doubt about the entity’s ability to continue as a going concern.” The ASU is effective for annual periods ending after December 15, 2016, and interim periods thereafter; early adoption is permitted. The Company is evaluating the impact the adoption of ASU 2014-15 will have on its consolidated financial statements.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State research and development credit exchange receivable</w:t>
      </w:r>
    </w:p>
    <w:p>
      <w:pPr>
        <w:spacing w:after="0" w:line="92" w:lineRule="exact"/>
        <w:rPr>
          <w:sz w:val="20"/>
          <w:szCs w:val="20"/>
          <w:color w:val="auto"/>
        </w:rPr>
      </w:pPr>
    </w:p>
    <w:p>
      <w:pPr>
        <w:ind w:right="160" w:firstLine="228"/>
        <w:spacing w:after="0" w:line="256" w:lineRule="auto"/>
        <w:rPr>
          <w:sz w:val="20"/>
          <w:szCs w:val="20"/>
          <w:color w:val="auto"/>
        </w:rPr>
      </w:pPr>
      <w:r>
        <w:rPr>
          <w:rFonts w:ascii="Times New Roman" w:cs="Times New Roman" w:eastAsia="Times New Roman" w:hAnsi="Times New Roman"/>
          <w:sz w:val="18"/>
          <w:szCs w:val="18"/>
          <w:color w:val="auto"/>
        </w:rPr>
        <w:t>The State of Connecticut provides certain companies with the opportunity to exchange certain research and development income tax credit carryforwards for cash in exchange for forgoing the carryforward of the research and development income tax credits. The program provides for an exchange of research and development income tax credits for cash equal to 65% of the value of corporation tax credit available for exchange. Estimated amounts receivable under the program are recorded as a reduction of research and development expenses. During the years ended December 31, 2014, 2013 and 2012, research and development expenses were offset by $816,000, $282,000, and $289,000, respectively.</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Inventories</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Inventories consist of the following (in thousands):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8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8"/>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380" w:type="dxa"/>
            <w:vAlign w:val="bottom"/>
            <w:tcBorders>
              <w:bottom w:val="single" w:sz="8" w:color="CCEEFF"/>
            </w:tcBorders>
          </w:tcPr>
          <w:p>
            <w:pPr>
              <w:spacing w:after="0"/>
              <w:rPr>
                <w:sz w:val="12"/>
                <w:szCs w:val="12"/>
                <w:color w:val="auto"/>
              </w:rPr>
            </w:pPr>
          </w:p>
        </w:tc>
        <w:tc>
          <w:tcPr>
            <w:tcW w:w="580" w:type="dxa"/>
            <w:vAlign w:val="bottom"/>
            <w:tcBorders>
              <w:bottom w:val="single" w:sz="8" w:color="CCEEFF"/>
            </w:tcBorders>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20" w:type="dxa"/>
            <w:vAlign w:val="bottom"/>
            <w:tcBorders>
              <w:top w:val="single" w:sz="8" w:color="auto"/>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4,856</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Times New Roman" w:cs="Times New Roman" w:eastAsia="Times New Roman" w:hAnsi="Times New Roman"/>
                <w:sz w:val="18"/>
                <w:szCs w:val="18"/>
                <w:color w:val="auto"/>
              </w:rPr>
              <w:t>Work-in-process</w:t>
            </w: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4,719</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2"/>
        </w:trPr>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inventories</w:t>
            </w:r>
          </w:p>
        </w:tc>
        <w:tc>
          <w:tcPr>
            <w:tcW w:w="5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9,670</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bottom w:val="single" w:sz="8" w:color="auto"/>
            </w:tcBorders>
            <w:gridSpan w:val="2"/>
          </w:tcPr>
          <w:p>
            <w:pPr>
              <w:ind w:left="440"/>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5. Property and equipment</w:t>
            </w:r>
          </w:p>
        </w:tc>
        <w:tc>
          <w:tcPr>
            <w:tcW w:w="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8400" w:type="dxa"/>
            <w:vAlign w:val="bottom"/>
            <w:gridSpan w:val="2"/>
            <w:vMerge w:val="continue"/>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8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Property and equipment consist of the following (dollar amounts in thousands):</w:t>
            </w: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380" w:type="dxa"/>
            <w:vAlign w:val="bottom"/>
          </w:tcPr>
          <w:p>
            <w:pPr>
              <w:spacing w:after="0"/>
              <w:rPr>
                <w:sz w:val="18"/>
                <w:szCs w:val="18"/>
                <w:color w:val="auto"/>
              </w:rPr>
            </w:pPr>
          </w:p>
        </w:tc>
        <w:tc>
          <w:tcPr>
            <w:tcW w:w="102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5"/>
              </w:rPr>
              <w:t>Estimated</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gridSpan w:val="8"/>
            <w:vMerge w:val="restart"/>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380" w:type="dxa"/>
            <w:vAlign w:val="bottom"/>
          </w:tcPr>
          <w:p>
            <w:pPr>
              <w:spacing w:after="0"/>
              <w:rPr>
                <w:sz w:val="13"/>
                <w:szCs w:val="13"/>
                <w:color w:val="auto"/>
              </w:rPr>
            </w:pPr>
          </w:p>
        </w:tc>
        <w:tc>
          <w:tcPr>
            <w:tcW w:w="1020" w:type="dxa"/>
            <w:vAlign w:val="bottom"/>
            <w:gridSpan w:val="2"/>
          </w:tcPr>
          <w:p>
            <w:pPr>
              <w:jc w:val="center"/>
              <w:ind w:right="440"/>
              <w:spacing w:after="0" w:line="152" w:lineRule="exact"/>
              <w:rPr>
                <w:sz w:val="20"/>
                <w:szCs w:val="20"/>
                <w:color w:val="auto"/>
              </w:rPr>
            </w:pPr>
            <w:r>
              <w:rPr>
                <w:rFonts w:ascii="Times New Roman" w:cs="Times New Roman" w:eastAsia="Times New Roman" w:hAnsi="Times New Roman"/>
                <w:sz w:val="14"/>
                <w:szCs w:val="14"/>
                <w:b w:val="1"/>
                <w:bCs w:val="1"/>
                <w:color w:val="auto"/>
                <w:w w:val="99"/>
              </w:rPr>
              <w:t>Useful</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60" w:type="dxa"/>
            <w:vAlign w:val="bottom"/>
            <w:gridSpan w:val="8"/>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380" w:type="dxa"/>
            <w:vAlign w:val="bottom"/>
          </w:tcPr>
          <w:p>
            <w:pPr>
              <w:spacing w:after="0"/>
              <w:rPr>
                <w:sz w:val="10"/>
                <w:szCs w:val="10"/>
                <w:color w:val="auto"/>
              </w:rPr>
            </w:pPr>
          </w:p>
        </w:tc>
        <w:tc>
          <w:tcPr>
            <w:tcW w:w="1020" w:type="dxa"/>
            <w:vAlign w:val="bottom"/>
            <w:gridSpan w:val="2"/>
          </w:tcPr>
          <w:p>
            <w:pPr>
              <w:jc w:val="center"/>
              <w:ind w:right="440"/>
              <w:spacing w:after="0" w:line="125" w:lineRule="exact"/>
              <w:rPr>
                <w:sz w:val="20"/>
                <w:szCs w:val="20"/>
                <w:color w:val="auto"/>
              </w:rPr>
            </w:pPr>
            <w:r>
              <w:rPr>
                <w:rFonts w:ascii="Times New Roman" w:cs="Times New Roman" w:eastAsia="Times New Roman" w:hAnsi="Times New Roman"/>
                <w:sz w:val="14"/>
                <w:szCs w:val="14"/>
                <w:b w:val="1"/>
                <w:bCs w:val="1"/>
                <w:color w:val="auto"/>
                <w:w w:val="91"/>
              </w:rPr>
              <w:t>Life</w:t>
            </w:r>
          </w:p>
        </w:tc>
        <w:tc>
          <w:tcPr>
            <w:tcW w:w="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380" w:type="dxa"/>
            <w:vAlign w:val="bottom"/>
          </w:tcPr>
          <w:p>
            <w:pPr>
              <w:spacing w:after="0"/>
              <w:rPr>
                <w:sz w:val="14"/>
                <w:szCs w:val="14"/>
                <w:color w:val="auto"/>
              </w:rPr>
            </w:pPr>
          </w:p>
        </w:tc>
        <w:tc>
          <w:tcPr>
            <w:tcW w:w="102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4"/>
              </w:rPr>
              <w:t>(Years)</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2014</w:t>
            </w: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2013</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5,273</w:t>
            </w: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Times New Roman" w:cs="Times New Roman" w:eastAsia="Times New Roman" w:hAnsi="Times New Roman"/>
                <w:sz w:val="18"/>
                <w:szCs w:val="18"/>
                <w:color w:val="auto"/>
              </w:rPr>
              <w:t>Buildings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39-40</w:t>
            </w: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54,948</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54,948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 improvements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114,131</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114,099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80,919</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82,189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fixtures and office equipment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5,015</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5,046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10,465</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11,289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8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5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39,580</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14,756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310,348</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287,617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8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5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80" w:type="dxa"/>
            <w:vAlign w:val="bottom"/>
            <w:gridSpan w:val="5"/>
          </w:tcPr>
          <w:p>
            <w:pPr>
              <w:jc w:val="right"/>
              <w:ind w:right="400"/>
              <w:spacing w:after="0"/>
              <w:rPr>
                <w:sz w:val="20"/>
                <w:szCs w:val="20"/>
                <w:color w:val="auto"/>
              </w:rPr>
            </w:pPr>
            <w:r>
              <w:rPr>
                <w:rFonts w:ascii="Times New Roman" w:cs="Times New Roman" w:eastAsia="Times New Roman" w:hAnsi="Times New Roman"/>
                <w:sz w:val="18"/>
                <w:szCs w:val="18"/>
                <w:color w:val="auto"/>
              </w:rPr>
              <w:t>(118,221)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w w:val="93"/>
              </w:rPr>
              <w:t>(111,060)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$ 192,127</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176,557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ind w:right="440" w:firstLine="228"/>
        <w:spacing w:after="0" w:line="262" w:lineRule="auto"/>
        <w:rPr>
          <w:sz w:val="20"/>
          <w:szCs w:val="20"/>
          <w:color w:val="auto"/>
        </w:rPr>
      </w:pPr>
      <w:r>
        <w:rPr>
          <w:rFonts w:ascii="Times New Roman" w:cs="Times New Roman" w:eastAsia="Times New Roman" w:hAnsi="Times New Roman"/>
          <w:sz w:val="18"/>
          <w:szCs w:val="18"/>
          <w:color w:val="auto"/>
        </w:rPr>
        <w:t>Leasehold improvements are amortized over four years which is the shorter of the term or the service lives of the improvements. Depreciation and amortization expense related to property and equipment for the years ended December 31, 2014, 2013, and 2012, was $9.8 million, $11.5 million, and $13.0 million, respectively.</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420"/>
          </w:cols>
          <w:pgMar w:left="240" w:top="455" w:right="239" w:bottom="1440" w:gutter="0" w:footer="0" w:header="0"/>
        </w:sectPr>
      </w:pPr>
    </w:p>
    <w:bookmarkStart w:id="80" w:name="page81"/>
    <w:bookmarkEnd w:id="8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MANNKIND CORPORATION AND SUBSIDIARIES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Accrued expenses and other current liabilities</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Accrued expenses and other current liabilities are comprised of the following (in thousands):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9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6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9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Borders>
              <w:top w:val="single" w:sz="8" w:color="auto"/>
            </w:tcBorders>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gridSpan w:val="2"/>
          </w:tcPr>
          <w:p>
            <w:pPr>
              <w:jc w:val="right"/>
              <w:ind w:right="52"/>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Pr>
          <w:p>
            <w:pPr>
              <w:spacing w:after="0"/>
              <w:rPr>
                <w:sz w:val="12"/>
                <w:szCs w:val="12"/>
                <w:color w:val="auto"/>
              </w:rPr>
            </w:pPr>
          </w:p>
        </w:tc>
      </w:tr>
      <w:tr>
        <w:trPr>
          <w:trHeight w:val="210"/>
        </w:trPr>
        <w:tc>
          <w:tcPr>
            <w:tcW w:w="9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Salary and related expenses</w:t>
            </w:r>
          </w:p>
        </w:tc>
        <w:tc>
          <w:tcPr>
            <w:tcW w:w="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$14,928</w:t>
            </w: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$12,193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74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clinical trial costs</w:t>
            </w:r>
          </w:p>
        </w:tc>
        <w:tc>
          <w:tcPr>
            <w:tcW w:w="2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1,311</w:t>
            </w:r>
          </w:p>
        </w:tc>
        <w:tc>
          <w:tcPr>
            <w:tcW w:w="100" w:type="dxa"/>
            <w:vAlign w:val="bottom"/>
          </w:tcPr>
          <w:p>
            <w:pPr>
              <w:spacing w:after="0"/>
              <w:rPr>
                <w:sz w:val="18"/>
                <w:szCs w:val="18"/>
                <w:color w:val="auto"/>
              </w:rPr>
            </w:pPr>
          </w:p>
        </w:tc>
      </w:tr>
      <w:tr>
        <w:trPr>
          <w:trHeight w:val="216"/>
        </w:trPr>
        <w:tc>
          <w:tcPr>
            <w:tcW w:w="9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6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2,396</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2,082</w:t>
            </w:r>
          </w:p>
        </w:tc>
        <w:tc>
          <w:tcPr>
            <w:tcW w:w="100" w:type="dxa"/>
            <w:vAlign w:val="bottom"/>
            <w:shd w:val="clear" w:color="auto" w:fill="CCEEFF"/>
          </w:tcPr>
          <w:p>
            <w:pPr>
              <w:spacing w:after="0"/>
              <w:rPr>
                <w:sz w:val="18"/>
                <w:szCs w:val="18"/>
                <w:color w:val="auto"/>
              </w:rPr>
            </w:pPr>
          </w:p>
        </w:tc>
      </w:tr>
      <w:tr>
        <w:trPr>
          <w:trHeight w:val="216"/>
        </w:trPr>
        <w:tc>
          <w:tcPr>
            <w:tcW w:w="974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6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1,343</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00" w:type="dxa"/>
            <w:vAlign w:val="bottom"/>
          </w:tcPr>
          <w:p>
            <w:pPr>
              <w:spacing w:after="0"/>
              <w:rPr>
                <w:sz w:val="18"/>
                <w:szCs w:val="18"/>
                <w:color w:val="auto"/>
              </w:rPr>
            </w:pPr>
          </w:p>
        </w:tc>
      </w:tr>
      <w:tr>
        <w:trPr>
          <w:trHeight w:val="216"/>
        </w:trPr>
        <w:tc>
          <w:tcPr>
            <w:tcW w:w="9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6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7,539</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5,706</w:t>
            </w:r>
          </w:p>
        </w:tc>
        <w:tc>
          <w:tcPr>
            <w:tcW w:w="100" w:type="dxa"/>
            <w:vAlign w:val="bottom"/>
            <w:shd w:val="clear" w:color="auto" w:fill="CCEEFF"/>
          </w:tcPr>
          <w:p>
            <w:pPr>
              <w:spacing w:after="0"/>
              <w:rPr>
                <w:sz w:val="18"/>
                <w:szCs w:val="18"/>
                <w:color w:val="auto"/>
              </w:rPr>
            </w:pPr>
          </w:p>
        </w:tc>
      </w:tr>
      <w:tr>
        <w:trPr>
          <w:trHeight w:val="223"/>
        </w:trPr>
        <w:tc>
          <w:tcPr>
            <w:tcW w:w="974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0" w:type="dxa"/>
            <w:vAlign w:val="bottom"/>
            <w:tcBorders>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2"/>
              </w:rPr>
              <w:t>$</w:t>
            </w:r>
            <w:r>
              <w:rPr>
                <w:rFonts w:ascii="Times New Roman" w:cs="Times New Roman" w:eastAsia="Times New Roman" w:hAnsi="Times New Roman"/>
                <w:sz w:val="18"/>
                <w:szCs w:val="18"/>
                <w:color w:val="auto"/>
                <w:w w:val="92"/>
              </w:rPr>
              <w:t>26,206</w:t>
            </w:r>
          </w:p>
        </w:tc>
        <w:tc>
          <w:tcPr>
            <w:tcW w:w="2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21,634</w:t>
            </w:r>
          </w:p>
        </w:tc>
        <w:tc>
          <w:tcPr>
            <w:tcW w:w="100" w:type="dxa"/>
            <w:vAlign w:val="bottom"/>
          </w:tcPr>
          <w:p>
            <w:pPr>
              <w:spacing w:after="0"/>
              <w:rPr>
                <w:sz w:val="19"/>
                <w:szCs w:val="19"/>
                <w:color w:val="auto"/>
              </w:rPr>
            </w:pPr>
          </w:p>
        </w:tc>
      </w:tr>
      <w:tr>
        <w:trPr>
          <w:trHeight w:val="20"/>
        </w:trPr>
        <w:tc>
          <w:tcPr>
            <w:tcW w:w="9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Related-party arrangements</w:t>
      </w:r>
    </w:p>
    <w:p>
      <w:pPr>
        <w:spacing w:after="0" w:line="92" w:lineRule="exact"/>
        <w:rPr>
          <w:sz w:val="20"/>
          <w:szCs w:val="20"/>
          <w:color w:val="auto"/>
        </w:rPr>
      </w:pPr>
    </w:p>
    <w:p>
      <w:pPr>
        <w:ind w:right="20" w:firstLine="228"/>
        <w:spacing w:after="0" w:line="288" w:lineRule="auto"/>
        <w:rPr>
          <w:sz w:val="20"/>
          <w:szCs w:val="20"/>
          <w:color w:val="auto"/>
        </w:rPr>
      </w:pPr>
      <w:r>
        <w:rPr>
          <w:rFonts w:ascii="Times New Roman" w:cs="Times New Roman" w:eastAsia="Times New Roman" w:hAnsi="Times New Roman"/>
          <w:sz w:val="16"/>
          <w:szCs w:val="16"/>
          <w:color w:val="auto"/>
        </w:rPr>
        <w:t xml:space="preserve">In October 2007, the Company entered into a $350.0 million loan arrangement with its principal stockholder. The Loan Arrangement has been amended from time to time. In February 2009, the promissory note underlying the Loan Arrangement was revised as a result of the principal stockholder being licensed as a finance lender under the California Finance Lenders Law. Accordingly, the lender was revised to The Mann Group. Until January 1, 2013, interest on outstanding principal amounts accrued at a fixed rate equal to the one-year LIBOR rate as reported by the </w:t>
      </w:r>
      <w:r>
        <w:rPr>
          <w:rFonts w:ascii="Times New Roman" w:cs="Times New Roman" w:eastAsia="Times New Roman" w:hAnsi="Times New Roman"/>
          <w:sz w:val="16"/>
          <w:szCs w:val="16"/>
          <w:i w:val="1"/>
          <w:iCs w:val="1"/>
          <w:color w:val="auto"/>
        </w:rPr>
        <w:t>Wall Street Journal</w:t>
      </w:r>
      <w:r>
        <w:rPr>
          <w:rFonts w:ascii="Times New Roman" w:cs="Times New Roman" w:eastAsia="Times New Roman" w:hAnsi="Times New Roman"/>
          <w:sz w:val="16"/>
          <w:szCs w:val="16"/>
          <w:color w:val="auto"/>
        </w:rPr>
        <w:t xml:space="preserve"> on the date of such advance plus 3% per annum. Based on the amended terms of the agreement, the rate was fixed at 5.84% going forward. On October 31, 2013, the promissory note was amended to, among other things, extend the maturity date of the loan to January 5, 2020, extend the date through which the Company can borrow under the Loan Arrangement to December 31, 2019, increase the aggregate borrowing amount under the Loan Arrangement from $350.0 million to $370.0 million, provide that repayments or cancellations of principal under the Loan Arrangement will not be available for reborrowing and to cancel $78.0 million of principal indebtedness under the Loan Arrangement as payment for the aggregate exercise price of warrants, in accordance with the Common Stock and Warrant Purchase Agreement entered into with The Mann Group on October 18, 2012 (the “Mann Group Warrants”). In addition, the Company and The Mann Group agreed to capitalize into principal $7.9 million of accrued interest that became due and payable upon cancellation of the $78.0 million of principal indebtedness.</w:t>
      </w:r>
    </w:p>
    <w:p>
      <w:pPr>
        <w:spacing w:after="0" w:line="250" w:lineRule="exact"/>
        <w:rPr>
          <w:sz w:val="20"/>
          <w:szCs w:val="20"/>
          <w:color w:val="auto"/>
        </w:rPr>
      </w:pPr>
    </w:p>
    <w:p>
      <w:pPr>
        <w:ind w:right="40" w:firstLine="228"/>
        <w:spacing w:after="0" w:line="252" w:lineRule="auto"/>
        <w:rPr>
          <w:sz w:val="20"/>
          <w:szCs w:val="20"/>
          <w:color w:val="auto"/>
        </w:rPr>
      </w:pPr>
      <w:r>
        <w:rPr>
          <w:rFonts w:ascii="Times New Roman" w:cs="Times New Roman" w:eastAsia="Times New Roman" w:hAnsi="Times New Roman"/>
          <w:sz w:val="18"/>
          <w:szCs w:val="18"/>
          <w:color w:val="auto"/>
        </w:rPr>
        <w:t>As of December 31, 2014, the total principal amount outstanding under the Loan Arrangement was $49.5 million, and the amount available for future borrowings was $30.1 million. Interest, at a fixed rate of 5.84%, is due and payable quarterly in arrears on the first day of each calendar quarter for the preceding quarter, or at such other time as the Company and The Mann Group mutually agree. All or any portion of accrued and unpaid interest that becomes due and payable may be paid-in-kind and capitalized as additional borrowings at any time and has been classified as non-current. As of December 31, 2014, the Company had accrued $3.5 million of interest in long term other liabilities related to the Loan Arrangement. The Mann Group can require the Company to prepay up to $200.0 million in advances that have been outstanding for at least 12 months (less approximately $105.0 million aggregate principal amount that has been cancelled in connection with two common stock purchase agreements). If The Mann Group exercises this right, the Company will have 90 days after The Mann Group provides written notice (or the number of days to maturity of the note if less than 90 days) to prepay such advances. However, pursuant to a letter agreement entered into in August 2010, The Mann Group has agreed to not require the Company to prepay amounts outstanding under the amended and restated promissory note if the prepayment would require the Company to use its working capital resources. In addition, The Mann Group entered into a subordination agreement with Deerfield pursuant to which The Mann Group agreed with Deerfield not to demand or accept any payment under the Loan Arrangement until the Company’s payment obligations to Deerfield under the Facility Agreement have been satisfied in full. Subject to the foregoing, in the event of a default under our loan arrangement with The Mann Group, all unpaid principal</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420"/>
          </w:cols>
          <w:pgMar w:left="240" w:top="455" w:right="239" w:bottom="1440" w:gutter="0" w:footer="0" w:header="0"/>
        </w:sectPr>
      </w:pPr>
    </w:p>
    <w:bookmarkStart w:id="81" w:name="page82"/>
    <w:bookmarkEnd w:id="8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MANNKIND CORPORATION AND SUBSIDIARIES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14" w:lineRule="exact"/>
        <w:rPr>
          <w:sz w:val="20"/>
          <w:szCs w:val="20"/>
          <w:color w:val="auto"/>
        </w:rPr>
      </w:pPr>
    </w:p>
    <w:p>
      <w:pPr>
        <w:jc w:val="both"/>
        <w:ind w:right="260"/>
        <w:spacing w:after="0" w:line="262" w:lineRule="auto"/>
        <w:rPr>
          <w:sz w:val="20"/>
          <w:szCs w:val="20"/>
          <w:color w:val="auto"/>
        </w:rPr>
      </w:pPr>
      <w:r>
        <w:rPr>
          <w:rFonts w:ascii="Times New Roman" w:cs="Times New Roman" w:eastAsia="Times New Roman" w:hAnsi="Times New Roman"/>
          <w:sz w:val="18"/>
          <w:szCs w:val="18"/>
          <w:color w:val="auto"/>
        </w:rPr>
        <w:t>and interest either becomes immediately due and payable or may be accelerated at The Mann Group’s option, and the interest rate will increase to the one-year LIBOR rate calculated on the date of the initial advance or in effect on the date of default, whichever is greater, plus 5% per annum. All borrowings under the Loan Arrangement are unsecured. The Loan Arrangement contains no financial covenants.</w:t>
      </w:r>
    </w:p>
    <w:p>
      <w:pPr>
        <w:spacing w:after="0" w:line="51" w:lineRule="exact"/>
        <w:rPr>
          <w:sz w:val="20"/>
          <w:szCs w:val="20"/>
          <w:color w:val="auto"/>
        </w:rPr>
      </w:pPr>
    </w:p>
    <w:p>
      <w:pPr>
        <w:ind w:right="120" w:firstLine="228"/>
        <w:spacing w:after="0" w:line="262" w:lineRule="auto"/>
        <w:rPr>
          <w:sz w:val="20"/>
          <w:szCs w:val="20"/>
          <w:color w:val="auto"/>
        </w:rPr>
      </w:pPr>
      <w:r>
        <w:rPr>
          <w:rFonts w:ascii="Times New Roman" w:cs="Times New Roman" w:eastAsia="Times New Roman" w:hAnsi="Times New Roman"/>
          <w:sz w:val="18"/>
          <w:szCs w:val="18"/>
          <w:color w:val="auto"/>
        </w:rPr>
        <w:t>As of December 31, 2014 and 2013, the Company had accrued and unpaid interest of $3.5 million and $0.6 million, in long term other liabilities respectively, which related to the amount outstanding and had $30.1 million of available borrowings. Interest expense on the Company’s note payable to our principal stockholder for the years ended December 31, 2014, 2013, and 2012 was $2.9 million, $6.3 million, and $10.5 million, respectively.</w:t>
      </w:r>
    </w:p>
    <w:p>
      <w:pPr>
        <w:spacing w:after="0" w:line="51" w:lineRule="exact"/>
        <w:rPr>
          <w:sz w:val="20"/>
          <w:szCs w:val="20"/>
          <w:color w:val="auto"/>
        </w:rPr>
      </w:pPr>
    </w:p>
    <w:p>
      <w:pPr>
        <w:ind w:right="120" w:firstLine="228"/>
        <w:spacing w:after="0" w:line="258" w:lineRule="auto"/>
        <w:rPr>
          <w:sz w:val="20"/>
          <w:szCs w:val="20"/>
          <w:color w:val="auto"/>
        </w:rPr>
      </w:pPr>
      <w:r>
        <w:rPr>
          <w:rFonts w:ascii="Times New Roman" w:cs="Times New Roman" w:eastAsia="Times New Roman" w:hAnsi="Times New Roman"/>
          <w:sz w:val="18"/>
          <w:szCs w:val="18"/>
          <w:color w:val="auto"/>
        </w:rPr>
        <w:t>In connection with certain meetings of the Company’s board of directors and on other occasions when the Company’s business necessitated air travel for the Company’s principal stockholder and other Company employees, the Company utilized the principal stockholder’s private aircraft, and the Company paid the charter company that manages the aircraft on behalf of the Company’s majority shareholder approximately $79,000, $82,000, and $200,000, respectively, for the years ended December 31, 2014, 2013, and 2012 on the basis of the corresponding cost of commercial airfare.</w:t>
      </w:r>
    </w:p>
    <w:p>
      <w:pPr>
        <w:spacing w:after="0" w:line="55" w:lineRule="exact"/>
        <w:rPr>
          <w:sz w:val="20"/>
          <w:szCs w:val="20"/>
          <w:color w:val="auto"/>
        </w:rPr>
      </w:pPr>
    </w:p>
    <w:p>
      <w:pPr>
        <w:ind w:right="120" w:firstLine="228"/>
        <w:spacing w:after="0" w:line="275" w:lineRule="auto"/>
        <w:rPr>
          <w:sz w:val="20"/>
          <w:szCs w:val="20"/>
          <w:color w:val="auto"/>
        </w:rPr>
      </w:pPr>
      <w:r>
        <w:rPr>
          <w:rFonts w:ascii="Times New Roman" w:cs="Times New Roman" w:eastAsia="Times New Roman" w:hAnsi="Times New Roman"/>
          <w:sz w:val="18"/>
          <w:szCs w:val="18"/>
          <w:color w:val="auto"/>
        </w:rPr>
        <w:t>The Company has entered into indemnification agreements with each of its directors and executive officers, in addition to the indemnification provided for in its amended and restated certificate of incorporation and amended and restated bylaws (see Note 13).</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Senior convertible notes</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Senior convertible notes consist of the following (in thousands):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9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7"/>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95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7"/>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20" w:type="dxa"/>
            <w:vAlign w:val="bottom"/>
            <w:tcBorders>
              <w:bottom w:val="single" w:sz="8" w:color="CCEEFF"/>
            </w:tcBorders>
          </w:tcPr>
          <w:p>
            <w:pPr>
              <w:spacing w:after="0"/>
              <w:rPr>
                <w:sz w:val="12"/>
                <w:szCs w:val="12"/>
                <w:color w:val="auto"/>
              </w:rPr>
            </w:pPr>
          </w:p>
        </w:tc>
      </w:tr>
      <w:tr>
        <w:trPr>
          <w:trHeight w:val="196"/>
        </w:trPr>
        <w:tc>
          <w:tcPr>
            <w:tcW w:w="95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2015 notes</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Principal amount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5"/>
              </w:rPr>
              <w:t>100,000</w:t>
            </w:r>
          </w:p>
        </w:tc>
        <w:tc>
          <w:tcPr>
            <w:tcW w:w="16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100,000</w:t>
            </w:r>
          </w:p>
        </w:tc>
        <w:tc>
          <w:tcPr>
            <w:tcW w:w="120" w:type="dxa"/>
            <w:vAlign w:val="bottom"/>
          </w:tcPr>
          <w:p>
            <w:pPr>
              <w:spacing w:after="0"/>
              <w:rPr>
                <w:sz w:val="18"/>
                <w:szCs w:val="18"/>
                <w:color w:val="auto"/>
              </w:rPr>
            </w:pPr>
          </w:p>
        </w:tc>
      </w:tr>
      <w:tr>
        <w:trPr>
          <w:trHeight w:val="216"/>
        </w:trPr>
        <w:tc>
          <w:tcPr>
            <w:tcW w:w="9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Unaccreted debt issuance cost</w:t>
            </w:r>
          </w:p>
        </w:tc>
        <w:tc>
          <w:tcPr>
            <w:tcW w:w="1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(645)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(1,561)</w:t>
            </w:r>
          </w:p>
        </w:tc>
      </w:tr>
      <w:tr>
        <w:trPr>
          <w:trHeight w:val="223"/>
        </w:trPr>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Net carrying amount</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99,355</w:t>
            </w:r>
          </w:p>
        </w:tc>
        <w:tc>
          <w:tcPr>
            <w:tcW w:w="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98,439</w:t>
            </w:r>
          </w:p>
        </w:tc>
        <w:tc>
          <w:tcPr>
            <w:tcW w:w="120" w:type="dxa"/>
            <w:vAlign w:val="bottom"/>
          </w:tcPr>
          <w:p>
            <w:pPr>
              <w:spacing w:after="0"/>
              <w:rPr>
                <w:sz w:val="19"/>
                <w:szCs w:val="19"/>
                <w:color w:val="auto"/>
              </w:rPr>
            </w:pPr>
          </w:p>
        </w:tc>
      </w:tr>
      <w:tr>
        <w:trPr>
          <w:trHeight w:val="20"/>
        </w:trPr>
        <w:tc>
          <w:tcPr>
            <w:tcW w:w="9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80" w:lineRule="exact"/>
        <w:rPr>
          <w:sz w:val="20"/>
          <w:szCs w:val="20"/>
          <w:color w:val="auto"/>
        </w:rPr>
      </w:pPr>
    </w:p>
    <w:p>
      <w:pPr>
        <w:ind w:firstLine="228"/>
        <w:spacing w:after="0" w:line="252" w:lineRule="auto"/>
        <w:rPr>
          <w:sz w:val="20"/>
          <w:szCs w:val="20"/>
          <w:color w:val="auto"/>
        </w:rPr>
      </w:pPr>
      <w:r>
        <w:rPr>
          <w:rFonts w:ascii="Times New Roman" w:cs="Times New Roman" w:eastAsia="Times New Roman" w:hAnsi="Times New Roman"/>
          <w:sz w:val="18"/>
          <w:szCs w:val="18"/>
          <w:color w:val="auto"/>
        </w:rPr>
        <w:t>On August 18, 2010, the Company completed a Rule 144A offering of $100.0 million aggregate principal amount of 2015 notes. The 2015 notes are governed by the terms of an indenture dated as of August 24, 2010 (the “2015 Note Indenture”). The 2015 notes bear interest at the rate of 5.75% per year on the principal amount, payable in cash semi-annually in arrears on February 15 and August 15 of each year, beginning February 15, 2011. In connection with the 2015 notes, the Company had accrued interest of $2.4 million as of December 31, 2014 and December 31, 2013. The 2015 notes are general, unsecured, senior obligations of the Company and effectively rank junior in right of payment to all of the Company’s secured debt, to the extent of the value of the assets securing such debt and to the debt and all other liabilities of the Company’s subsidiaries. The maturity date of the 2015 notes is August 15, 2015 and payment is due in full on that date for unconverted securities. Holders of the 2015 notes may convert, at any time prior to the close of business on the business day immediately preceding the stated maturity date, any outstanding principal into shares of the Company’s common stock at an initial conversion rate of 147.0859 shares per $1,000 principal amount, which is equal to a conversion price of approximately $6.80 per share, subject to adjustment. Except in certain circumstances, if the Company undergoes a fundamental change: (1) the Company will pay a make-whole premium on the 2015 notes converted in connection with a fundamental change by increasing the conversion rate on such 2015 notes, which amount, if any, will be based on the Company’s common stock price and the effective date of the fundamental change, and (2) each holder of 2015 notes will have the option to require the Company to</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420"/>
          </w:cols>
          <w:pgMar w:left="240" w:top="455" w:right="239" w:bottom="1440" w:gutter="0" w:footer="0" w:header="0"/>
        </w:sectPr>
      </w:pPr>
    </w:p>
    <w:bookmarkStart w:id="82" w:name="page83"/>
    <w:bookmarkEnd w:id="8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MANNKIND CORPORATION AND SUBSIDIARIES</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14"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6"/>
          <w:szCs w:val="16"/>
          <w:color w:val="auto"/>
        </w:rPr>
        <w:t>repurchase all or any portion of such holder’s 2015 notes at a repurchase price of 100% of the principal amount of the 2015 notes to be repurchased plus accrued and unpaid interest, if any. The Company may elect to redeem some or all of the 2015 notes if the closing stock price has equaled 150% of the conversion price for at least 20 of the 30 consecutive trading days ending on the trading day before the Company’s redemption notice. The redemption price will equal 100% of the principal amount of the 2015 notes to be redeemed, plus accrued and unpaid interest, if any, to, but excluding, the redemption date, plus a make-whole payment equal to the sum of the present values of the remaining scheduled interest payments through and including August 15, 2015 (other than interest accrued up to, but excluding, the redemption date). The Company will be obligated to make the make-whole payment on all the 2015 notes called for redemption and converted during the period from the date the Company mailed the notice of redemption to and including the redemption date. The Company may elect to make the make-whole payment in cash or shares of its common stock, subject to certain limitations. Under the terms of the 2015 Note Indenture, the conversion option can be net-share settled and the maximum number of shares that could be required to be delivered under the contract, including the make-whole shares, is fixed and less than the number of authorized and unissued shares less the maximum number of shares that could be required to be delivered during the contract period under other existing commitments. Applying the Company’s sequencing policy, the Company performed an analysis at the time of the offering of the 2015 notes and each reporting date since and has concluded that the number of available authorized shares at the time of the offering and each subsequent reporting date was sufficient to deliver the number of shares that could be required to be delivered during the contract period under existing commitments.</w:t>
      </w:r>
    </w:p>
    <w:p>
      <w:pPr>
        <w:spacing w:after="0" w:line="250" w:lineRule="exact"/>
        <w:rPr>
          <w:sz w:val="20"/>
          <w:szCs w:val="20"/>
          <w:color w:val="auto"/>
        </w:rPr>
      </w:pPr>
    </w:p>
    <w:p>
      <w:pPr>
        <w:ind w:right="440" w:firstLine="228"/>
        <w:spacing w:after="0" w:line="275" w:lineRule="auto"/>
        <w:rPr>
          <w:sz w:val="20"/>
          <w:szCs w:val="20"/>
          <w:color w:val="auto"/>
        </w:rPr>
      </w:pPr>
      <w:r>
        <w:rPr>
          <w:rFonts w:ascii="Times New Roman" w:cs="Times New Roman" w:eastAsia="Times New Roman" w:hAnsi="Times New Roman"/>
          <w:sz w:val="18"/>
          <w:szCs w:val="18"/>
          <w:color w:val="auto"/>
        </w:rPr>
        <w:t>The Company incurred approximately $4.2 million in issuance costs which are recorded as an offset to the 2015 notes in the accompanying consolidated balance sheets. These costs are being accreted to interest expense using the effective interest method over the term of the 2015 notes.</w:t>
      </w:r>
    </w:p>
    <w:p>
      <w:pPr>
        <w:spacing w:after="0" w:line="39" w:lineRule="exact"/>
        <w:rPr>
          <w:sz w:val="20"/>
          <w:szCs w:val="20"/>
          <w:color w:val="auto"/>
        </w:rPr>
      </w:pPr>
    </w:p>
    <w:p>
      <w:pPr>
        <w:jc w:val="both"/>
        <w:ind w:right="100" w:firstLine="228"/>
        <w:spacing w:after="0" w:line="262" w:lineRule="auto"/>
        <w:rPr>
          <w:sz w:val="20"/>
          <w:szCs w:val="20"/>
          <w:color w:val="auto"/>
        </w:rPr>
      </w:pPr>
      <w:r>
        <w:rPr>
          <w:rFonts w:ascii="Times New Roman" w:cs="Times New Roman" w:eastAsia="Times New Roman" w:hAnsi="Times New Roman"/>
          <w:sz w:val="18"/>
          <w:szCs w:val="18"/>
          <w:color w:val="auto"/>
        </w:rPr>
        <w:t>The 2015 notes provide that upon an acceleration of certain indebtedness, including the 2019 notes and the Tranche B notes described in Note 17, the holders may elect to accelerate the Company’s repayment obligations under the 2015 notes if such acceleration is not cured, waived, rescinded or annulled. There can be no assurance that the holders would not choose to exercise these rights in the event such events were to occur.</w:t>
      </w:r>
    </w:p>
    <w:p>
      <w:pPr>
        <w:spacing w:after="0" w:line="51" w:lineRule="exact"/>
        <w:rPr>
          <w:sz w:val="20"/>
          <w:szCs w:val="20"/>
          <w:color w:val="auto"/>
        </w:rPr>
      </w:pPr>
    </w:p>
    <w:p>
      <w:pPr>
        <w:ind w:right="420" w:firstLine="228"/>
        <w:spacing w:after="0" w:line="275" w:lineRule="auto"/>
        <w:rPr>
          <w:sz w:val="20"/>
          <w:szCs w:val="20"/>
          <w:color w:val="auto"/>
        </w:rPr>
      </w:pPr>
      <w:r>
        <w:rPr>
          <w:rFonts w:ascii="Times New Roman" w:cs="Times New Roman" w:eastAsia="Times New Roman" w:hAnsi="Times New Roman"/>
          <w:sz w:val="18"/>
          <w:szCs w:val="18"/>
          <w:color w:val="auto"/>
        </w:rPr>
        <w:t>Accretion of debt issuance expense in connection with the 2015 notes during the years ended December 31, 2014, 2013, and 2012 was $0.9 million, $0.9 million, and $0.8 million, respectively.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Collaboration arrangement</w:t>
      </w:r>
    </w:p>
    <w:p>
      <w:pPr>
        <w:spacing w:after="0" w:line="92" w:lineRule="exact"/>
        <w:rPr>
          <w:sz w:val="20"/>
          <w:szCs w:val="20"/>
          <w:color w:val="auto"/>
        </w:rPr>
      </w:pPr>
    </w:p>
    <w:p>
      <w:pPr>
        <w:ind w:right="20" w:firstLine="228"/>
        <w:spacing w:after="0" w:line="253" w:lineRule="auto"/>
        <w:rPr>
          <w:sz w:val="20"/>
          <w:szCs w:val="20"/>
          <w:color w:val="auto"/>
        </w:rPr>
      </w:pPr>
      <w:r>
        <w:rPr>
          <w:rFonts w:ascii="Times New Roman" w:cs="Times New Roman" w:eastAsia="Times New Roman" w:hAnsi="Times New Roman"/>
          <w:sz w:val="18"/>
          <w:szCs w:val="18"/>
          <w:color w:val="auto"/>
        </w:rPr>
        <w:t>On August 11, 2014, the Company and Sanofi entered into a license and collaboration agreement, which became effective on September 23, 2014. Under the terms of the Sanofi License Agreement, the Company granted to Sanofi exclusive, worldwide licenses to certain of the Company’s patents, trademarks and know-how for the development and commercialization of AFREZZA. Under the terms of the Sanofi License Agreement, Sanofi has the exclusive right and responsibility to develop AFREZZA worldwide, subject to certain development activities that will be performed by the Company. Sanofi will also be obligated to use commercially reasonable efforts to file for, obtain and maintain marketing approvals for AFREZZA in certain major markets and countries. In addition, Sanofi will have exclusive, worldwide rights to commercialize AFREZZA and will be obligated to use commercially reasonable efforts to market, promote and commercialize AFREZZA in all countries in the world where regulatory approval for AFREZZA has been received. Pursuant to the terms of a supply agreement that the Company entered into with Sanofi concurrently with the Sanofi License Agreement, the Company will be responsible for the manufacture and supply to Sanofi of its requirements of AFREZZA.</w:t>
      </w:r>
    </w:p>
    <w:p>
      <w:pPr>
        <w:spacing w:after="0" w:line="62" w:lineRule="exact"/>
        <w:rPr>
          <w:sz w:val="20"/>
          <w:szCs w:val="20"/>
          <w:color w:val="auto"/>
        </w:rPr>
      </w:pPr>
    </w:p>
    <w:p>
      <w:pPr>
        <w:ind w:right="160" w:firstLine="228"/>
        <w:spacing w:after="0" w:line="262" w:lineRule="auto"/>
        <w:rPr>
          <w:sz w:val="20"/>
          <w:szCs w:val="20"/>
          <w:color w:val="auto"/>
        </w:rPr>
      </w:pPr>
      <w:r>
        <w:rPr>
          <w:rFonts w:ascii="Times New Roman" w:cs="Times New Roman" w:eastAsia="Times New Roman" w:hAnsi="Times New Roman"/>
          <w:sz w:val="18"/>
          <w:szCs w:val="18"/>
          <w:color w:val="auto"/>
        </w:rPr>
        <w:t>Under the Sanofi License Agreement, Sanofi paid the Company an up-front cash payment of $150.0 million in the third quarter of 2014. If certain manufacturing, regulatory and sales milestones are achieved, the Company will also be eligible to receive up to $775.0 million in milestone payments, of which $75.0 million relates to certain development and manufacturing milestone events, $50.0 million relates to the filing and completion of</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400"/>
          </w:cols>
          <w:pgMar w:left="240" w:top="455" w:right="259" w:bottom="1440" w:gutter="0" w:footer="0" w:header="0"/>
        </w:sectPr>
      </w:pPr>
    </w:p>
    <w:bookmarkStart w:id="83" w:name="page84"/>
    <w:bookmarkEnd w:id="8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MANNKIND CORPORATION AND SUBSIDIARIES</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1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regulatory approvals and $650.0 million relates to the achievement of certain product sales milestones. As of December 31, 2014, the Company earned and recorded a total of $50.0 million in milestone payments in connection with the satisfaction of manufacturing milestones specified in the Sanofi agreement, which were received subsequent to December 31, 2014. In addition, worldwide profits and losses, which are determined based on the difference between the net sales of AFREZZA and the costs and expenses incurred by the Company and Sanofi that are specifically attributable or related to the development, improvement, regulatory filings, manufacturing, and commercialization of AFREZZA will be shared 65% by Sanofi and 35% by the Company. In accordance with the terms of the Sanofi License Agreement, profit and loss sharing commenced in the fourth quarter of 2014.</w:t>
      </w:r>
    </w:p>
    <w:p>
      <w:pPr>
        <w:spacing w:after="0" w:line="58" w:lineRule="exact"/>
        <w:rPr>
          <w:sz w:val="20"/>
          <w:szCs w:val="20"/>
          <w:color w:val="auto"/>
        </w:rPr>
      </w:pPr>
    </w:p>
    <w:p>
      <w:pPr>
        <w:ind w:right="120" w:firstLine="228"/>
        <w:spacing w:after="0" w:line="262" w:lineRule="auto"/>
        <w:rPr>
          <w:sz w:val="20"/>
          <w:szCs w:val="20"/>
          <w:color w:val="auto"/>
        </w:rPr>
      </w:pPr>
      <w:r>
        <w:rPr>
          <w:rFonts w:ascii="Times New Roman" w:cs="Times New Roman" w:eastAsia="Times New Roman" w:hAnsi="Times New Roman"/>
          <w:sz w:val="18"/>
          <w:szCs w:val="18"/>
          <w:color w:val="auto"/>
        </w:rPr>
        <w:t>In conjunction with the Sanofi License Agreement, on August 11, 2014, we entered into the Sanofi Supply Agreement which provides that the Company will be the exclusive manufacturer and supplier of AFREZZA until the specified conditions are met, upon which a portion of the manufacturing activities may be assumed by Sanofi.</w:t>
      </w:r>
    </w:p>
    <w:p>
      <w:pPr>
        <w:spacing w:after="0" w:line="51" w:lineRule="exact"/>
        <w:rPr>
          <w:sz w:val="20"/>
          <w:szCs w:val="20"/>
          <w:color w:val="auto"/>
        </w:rPr>
      </w:pPr>
    </w:p>
    <w:p>
      <w:pPr>
        <w:ind w:firstLine="228"/>
        <w:spacing w:after="0" w:line="296" w:lineRule="auto"/>
        <w:rPr>
          <w:sz w:val="20"/>
          <w:szCs w:val="20"/>
          <w:color w:val="auto"/>
        </w:rPr>
      </w:pPr>
      <w:r>
        <w:rPr>
          <w:rFonts w:ascii="Times New Roman" w:cs="Times New Roman" w:eastAsia="Times New Roman" w:hAnsi="Times New Roman"/>
          <w:sz w:val="16"/>
          <w:szCs w:val="16"/>
          <w:color w:val="auto"/>
        </w:rPr>
        <w:t>On September 23, 2014, the Company entered into the Sanofi Loan Facility, consisting of a senior secured revolving promissory note (the “Note”) and a guaranty and security agreement (the “Security Agreement”) with an affiliate of Sanofi which provides the Company with a secured loan facility of up to $175.0 million to fund the Company’s share of net losses under the Sanofi License Agreement. In the event of certain future defaults under the Sanofi Loan facility agreement for which we are not able to obtain waivers, the lender under the Sanofi Loan Facility may accelerate all of our repayment obligations, and take control of our pledged assets, potentially requiring us to renegotiate the terms of our indebtedness on terms less favorable to us, or to immediately cease operations.</w:t>
      </w:r>
    </w:p>
    <w:p>
      <w:pPr>
        <w:spacing w:after="0" w:line="27" w:lineRule="exact"/>
        <w:rPr>
          <w:sz w:val="20"/>
          <w:szCs w:val="20"/>
          <w:color w:val="auto"/>
        </w:rPr>
      </w:pPr>
    </w:p>
    <w:p>
      <w:pPr>
        <w:ind w:right="100" w:firstLine="228"/>
        <w:spacing w:after="0" w:line="256" w:lineRule="auto"/>
        <w:rPr>
          <w:sz w:val="20"/>
          <w:szCs w:val="20"/>
          <w:color w:val="auto"/>
        </w:rPr>
      </w:pPr>
      <w:r>
        <w:rPr>
          <w:rFonts w:ascii="Times New Roman" w:cs="Times New Roman" w:eastAsia="Times New Roman" w:hAnsi="Times New Roman"/>
          <w:sz w:val="18"/>
          <w:szCs w:val="18"/>
          <w:color w:val="auto"/>
        </w:rPr>
        <w:t>The obligations of the Company under the Sanofi Loan Facility are guaranteed by the Company’s wholly-owned subsidiary, MannKind LLC, and are secured by a first priority security interest in certain insulin inventory located in the United States and any contractual rights and obligations pursuant to which the Company purchases or has purchased such insulin, and a second priority security interest in the Company’s assets that secure the Company’s obligations under the Facility Agreement, as amended. In addition, the Company granted to Sanofi, as additional security for the obligations under the Sanofi Loan Facility, a first priority mortgage on the Company’s facility in Valencia, California.</w:t>
      </w:r>
    </w:p>
    <w:p>
      <w:pPr>
        <w:spacing w:after="0" w:line="58" w:lineRule="exact"/>
        <w:rPr>
          <w:sz w:val="20"/>
          <w:szCs w:val="20"/>
          <w:color w:val="auto"/>
        </w:rPr>
      </w:pPr>
    </w:p>
    <w:p>
      <w:pPr>
        <w:ind w:right="100" w:firstLine="228"/>
        <w:spacing w:after="0" w:line="256" w:lineRule="auto"/>
        <w:rPr>
          <w:sz w:val="20"/>
          <w:szCs w:val="20"/>
          <w:color w:val="auto"/>
        </w:rPr>
      </w:pPr>
      <w:r>
        <w:rPr>
          <w:rFonts w:ascii="Times New Roman" w:cs="Times New Roman" w:eastAsia="Times New Roman" w:hAnsi="Times New Roman"/>
          <w:sz w:val="18"/>
          <w:szCs w:val="18"/>
          <w:color w:val="auto"/>
        </w:rPr>
        <w:t>Advances under the Sanofi Loan Facility bear interest at a rate of 8.5% per annum and are payable in-kind and compounded quarterly and added to the outstanding principal balance under the Sanofi Loan Facility. The Company is required to make mandatory prepayments on the outstanding loans under the Sanofi Loan Facility from its share of any Profits (as defined in the Sanofi License Agreement) under the Sanofi License Agreement within 30 days of receipt of its share of any such Profits. No advances may be made under the Sanofi Loan Agreement if Deerfield has commenced enforcement proceedings in connection with an event of default under the Facility Agreement.</w:t>
      </w:r>
    </w:p>
    <w:p>
      <w:pPr>
        <w:spacing w:after="0" w:line="58" w:lineRule="exact"/>
        <w:rPr>
          <w:sz w:val="20"/>
          <w:szCs w:val="20"/>
          <w:color w:val="auto"/>
        </w:rPr>
      </w:pPr>
    </w:p>
    <w:p>
      <w:pPr>
        <w:jc w:val="both"/>
        <w:ind w:right="200" w:firstLine="228"/>
        <w:spacing w:after="0" w:line="262" w:lineRule="auto"/>
        <w:rPr>
          <w:sz w:val="20"/>
          <w:szCs w:val="20"/>
          <w:color w:val="auto"/>
        </w:rPr>
      </w:pPr>
      <w:r>
        <w:rPr>
          <w:rFonts w:ascii="Times New Roman" w:cs="Times New Roman" w:eastAsia="Times New Roman" w:hAnsi="Times New Roman"/>
          <w:sz w:val="18"/>
          <w:szCs w:val="18"/>
          <w:color w:val="auto"/>
        </w:rPr>
        <w:t>The outstanding principal of all loans under the Sanofi Loan Facility, if not prepaid, will become due and payable on September 23, 2024 unless accelerated pursuant to the terms of the Sanofi Loan Facility. Additionally, if the Company sells its Valencia facility, the Company is required to prepay the loans under the Sanofi Loan Facility in an amount equal to 100% of the net cash proceeds of the sale within five business days of receipt.</w:t>
      </w:r>
    </w:p>
    <w:p>
      <w:pPr>
        <w:spacing w:after="0" w:line="51" w:lineRule="exact"/>
        <w:rPr>
          <w:sz w:val="20"/>
          <w:szCs w:val="20"/>
          <w:color w:val="auto"/>
        </w:rPr>
      </w:pPr>
    </w:p>
    <w:p>
      <w:pPr>
        <w:ind w:firstLine="228"/>
        <w:spacing w:after="0" w:line="256" w:lineRule="auto"/>
        <w:rPr>
          <w:sz w:val="20"/>
          <w:szCs w:val="20"/>
          <w:color w:val="auto"/>
        </w:rPr>
      </w:pPr>
      <w:r>
        <w:rPr>
          <w:rFonts w:ascii="Times New Roman" w:cs="Times New Roman" w:eastAsia="Times New Roman" w:hAnsi="Times New Roman"/>
          <w:sz w:val="18"/>
          <w:szCs w:val="18"/>
          <w:color w:val="auto"/>
        </w:rPr>
        <w:t>The Sanofi Loan Facility includes customary representations, warranties and covenants by the Company, including restrictions on its ability to incur additional indebtedness, grant certain liens and make certain changes to its organizational documents. Events of default under the Sanofi Loan Facility include: the Company’s failure to timely make payments due under the Sanofi Loan Facility; inaccuracies in the Company’s representations and warranties to the noteholder; the Company’s failure to comply with any of its covenants under any of the Sanofi Loan Facility or certain other related security agreements and documents entered into in connection with the</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400"/>
          </w:cols>
          <w:pgMar w:left="240" w:top="455" w:right="259" w:bottom="1440" w:gutter="0" w:footer="0" w:header="0"/>
        </w:sectPr>
      </w:pPr>
    </w:p>
    <w:bookmarkStart w:id="84" w:name="page85"/>
    <w:bookmarkEnd w:id="8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MANNKIND CORPORATION AND SUBSIDIARIES</w:t>
      </w:r>
    </w:p>
    <w:p>
      <w:pPr>
        <w:spacing w:after="0" w:line="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1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Sanofi Loan Facility, subject to a cure period with respect to most covenants; the Company’s insolvency or the occurrence of certain bankruptcy-related events; termination by Sanofi of the Sanofi License Agreement as a result of the Company’s breach of the Sanofi License Agreement; and the failure of any material provision under any of the Sanofi Loan Facility or certain other related security agreements and documents entered into in connection with the Sanofi Loan Facility to remain in full force and effect. If one or more events of default occurs and is continuing, Sanofi may terminate its obligation to make advances under the Sanofi Loan Facility, and, if certain specified events of default (including the Company’s failure to timely make payments due under the Sanofi Loan Facility; the Company’s failure to comply with the negative covenants under the Sanofi Loan Facility limiting the Company’s ability to incur additional indebtedness or grant certain liens; the Company’s insolvency or the occurrence of certain bankruptcy-related events; termination by Sanofi of the Sanofi License Agreement as a result of the Company’s breach of the non-compete provisions of the Sanofi License Agreement; or the failure of any material provision under any of the Sanofi Loan Facility or certain other related security agreements and documents entered into in connection with the Sanofi Loan Facility to remain in full force and effect) occur and are continuing, the noteholder may accelerate all of the Company’s repayment obligations under the Sanofi Loan Facility and otherwise exercise any of its remedies as a secured creditor. There can be no assurance that the noteholder would not choose to exercise these rights in the event such events were to occur.</w:t>
      </w:r>
    </w:p>
    <w:p>
      <w:pPr>
        <w:spacing w:after="0" w:line="64" w:lineRule="exact"/>
        <w:rPr>
          <w:sz w:val="20"/>
          <w:szCs w:val="20"/>
          <w:color w:val="auto"/>
        </w:rPr>
      </w:pPr>
    </w:p>
    <w:p>
      <w:pPr>
        <w:ind w:right="40" w:firstLine="228"/>
        <w:spacing w:after="0" w:line="255" w:lineRule="auto"/>
        <w:rPr>
          <w:sz w:val="20"/>
          <w:szCs w:val="20"/>
          <w:color w:val="auto"/>
        </w:rPr>
      </w:pPr>
      <w:r>
        <w:rPr>
          <w:rFonts w:ascii="Times New Roman" w:cs="Times New Roman" w:eastAsia="Times New Roman" w:hAnsi="Times New Roman"/>
          <w:sz w:val="18"/>
          <w:szCs w:val="18"/>
          <w:color w:val="auto"/>
        </w:rPr>
        <w:t xml:space="preserve">The Company analyzed the up-front cash payment of $150.0 million under the provisions of ASC 605, </w:t>
      </w:r>
      <w:r>
        <w:rPr>
          <w:rFonts w:ascii="Times New Roman" w:cs="Times New Roman" w:eastAsia="Times New Roman" w:hAnsi="Times New Roman"/>
          <w:sz w:val="18"/>
          <w:szCs w:val="18"/>
          <w:i w:val="1"/>
          <w:iCs w:val="1"/>
          <w:color w:val="auto"/>
        </w:rPr>
        <w:t>Revenue Recognition</w:t>
      </w:r>
      <w:r>
        <w:rPr>
          <w:rFonts w:ascii="Times New Roman" w:cs="Times New Roman" w:eastAsia="Times New Roman" w:hAnsi="Times New Roman"/>
          <w:sz w:val="18"/>
          <w:szCs w:val="18"/>
          <w:color w:val="auto"/>
        </w:rPr>
        <w:t>, to determine whether the up-front cash payment, or a portion thereof, could be recognized as revenue. ASC 605 provides that revenue is recognized when there is persuasive evidence that an arrangement exists, delivery has occurred or services have been rendered, the price is fixed or determinable and collection is reasonably assured. In addition, revenue arrangements with multiple elements are divided into separate units of accounting if certain criteria are met, including whether the delivered element has stand-alone value to the customer. When deliverables are separable, consideration received is allocated to the separate units of accounting based on the relative selling price of each deliverable and the appropriate revenue recognition principles are applied to each unit.</w:t>
      </w:r>
    </w:p>
    <w:p>
      <w:pPr>
        <w:spacing w:after="0" w:line="60" w:lineRule="exact"/>
        <w:rPr>
          <w:sz w:val="20"/>
          <w:szCs w:val="20"/>
          <w:color w:val="auto"/>
        </w:rPr>
      </w:pPr>
    </w:p>
    <w:p>
      <w:pPr>
        <w:ind w:right="40" w:firstLine="228"/>
        <w:spacing w:after="0" w:line="253" w:lineRule="auto"/>
        <w:rPr>
          <w:sz w:val="20"/>
          <w:szCs w:val="20"/>
          <w:color w:val="auto"/>
        </w:rPr>
      </w:pPr>
      <w:r>
        <w:rPr>
          <w:rFonts w:ascii="Times New Roman" w:cs="Times New Roman" w:eastAsia="Times New Roman" w:hAnsi="Times New Roman"/>
          <w:sz w:val="18"/>
          <w:szCs w:val="18"/>
          <w:color w:val="auto"/>
        </w:rPr>
        <w:t>The assessment of multiple element arrangements requires judgment in order to determine the appropriate units of accounting and the points in time that, or periods over which, revenue should be recognized. Under the terms of the Sanofi License Agreement, Sanofi Supply Agreement and the Sanofi Loan Facility the Company determined that the arrangement contained significant deliverables including (i) licenses to develop and commercialize AFREZZA and to use the Company’s trademarks, (ii) development activities, and (iii) manufacture and supply services for AFREZZA. Due to the proprietary nature of the manufacturing services being provided by the Company, the Company determined that all of the significant deliverables should be combined into a single unit of accounting. The Company believes that the manufacturing services are proprietary due to the fact that over the past twelve years, the Company has developed proprietary knowledge and patented equipment and tools that are used in the manufacturing process of AFREZZA. Due to the complexities of particle formulation and the specialized knowledge and equipment needed to handle the AFREZZA powder, neither Sanofi nor any third-party contract manufacturing organization currently possesses the capability of manufacturing AFREZZA.</w:t>
      </w:r>
    </w:p>
    <w:p>
      <w:pPr>
        <w:spacing w:after="0" w:line="62" w:lineRule="exact"/>
        <w:rPr>
          <w:sz w:val="20"/>
          <w:szCs w:val="20"/>
          <w:color w:val="auto"/>
        </w:rPr>
      </w:pPr>
    </w:p>
    <w:p>
      <w:pPr>
        <w:ind w:right="60" w:firstLine="228"/>
        <w:spacing w:after="0" w:line="262" w:lineRule="auto"/>
        <w:rPr>
          <w:sz w:val="20"/>
          <w:szCs w:val="20"/>
          <w:color w:val="auto"/>
        </w:rPr>
      </w:pPr>
      <w:r>
        <w:rPr>
          <w:rFonts w:ascii="Times New Roman" w:cs="Times New Roman" w:eastAsia="Times New Roman" w:hAnsi="Times New Roman"/>
          <w:sz w:val="18"/>
          <w:szCs w:val="18"/>
          <w:color w:val="auto"/>
        </w:rPr>
        <w:t>In order for revenue to be recognized, the seller’s price to the buyer must be fixed and determinable. Given that as of December 31, 2014, the Company did not have the ability to estimate the amount of costs that would potentially be incurred under the loss share provision related to the Sanofi License Agreement and the Sanofi Supply Agreement, the Company believes this requirement for revenue recognition has not been met.</w:t>
      </w:r>
    </w:p>
    <w:p>
      <w:pPr>
        <w:spacing w:after="0" w:line="51" w:lineRule="exact"/>
        <w:rPr>
          <w:sz w:val="20"/>
          <w:szCs w:val="20"/>
          <w:color w:val="auto"/>
        </w:rPr>
      </w:pPr>
    </w:p>
    <w:p>
      <w:pPr>
        <w:ind w:right="40" w:firstLine="228"/>
        <w:spacing w:after="0" w:line="256" w:lineRule="auto"/>
        <w:rPr>
          <w:sz w:val="20"/>
          <w:szCs w:val="20"/>
          <w:color w:val="auto"/>
        </w:rPr>
      </w:pPr>
      <w:r>
        <w:rPr>
          <w:rFonts w:ascii="Times New Roman" w:cs="Times New Roman" w:eastAsia="Times New Roman" w:hAnsi="Times New Roman"/>
          <w:sz w:val="18"/>
          <w:szCs w:val="18"/>
          <w:color w:val="auto"/>
        </w:rPr>
        <w:t>As such, the Company did not recognize any revenue pursuant to the Sanofi License Agreement the Sanofi Supply Agreement for the year ended December 31, 2014. The Company recorded the $150.0 million up-front payment and $50.0 million milestone receivable as deferred payments from collaboration. As of December 31, 2014, the Company’s portion of the loss sharing was $3.0 million, which resulted in the reclassification from current deferred payments from collaboration to other long term liabilities. Subsequent to December 31, 2014 the Company borrowed $3.0 million under the Sanofi Loan Facility to finance the portion of the Company’s loss.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380"/>
          </w:cols>
          <w:pgMar w:left="240" w:top="455" w:right="279" w:bottom="1440" w:gutter="0" w:footer="0" w:header="0"/>
        </w:sectPr>
      </w:pPr>
    </w:p>
    <w:bookmarkStart w:id="85" w:name="page86"/>
    <w:bookmarkEnd w:id="8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MANNKIND CORPORATION AND SUBSIDIARIES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Fair Value of Financial Instruments</w:t>
      </w:r>
    </w:p>
    <w:p>
      <w:pPr>
        <w:spacing w:after="0" w:line="92" w:lineRule="exact"/>
        <w:rPr>
          <w:sz w:val="20"/>
          <w:szCs w:val="20"/>
          <w:color w:val="auto"/>
        </w:rPr>
      </w:pPr>
    </w:p>
    <w:p>
      <w:pPr>
        <w:ind w:right="60" w:firstLine="228"/>
        <w:spacing w:after="0" w:line="262" w:lineRule="auto"/>
        <w:rPr>
          <w:sz w:val="20"/>
          <w:szCs w:val="20"/>
          <w:color w:val="auto"/>
        </w:rPr>
      </w:pPr>
      <w:r>
        <w:rPr>
          <w:rFonts w:ascii="Times New Roman" w:cs="Times New Roman" w:eastAsia="Times New Roman" w:hAnsi="Times New Roman"/>
          <w:sz w:val="18"/>
          <w:szCs w:val="18"/>
          <w:color w:val="auto"/>
        </w:rPr>
        <w:t>The carrying amounts of financial instruments, which include cash equivalents and accounts payable, approximate their fair values due to their relatively short maturities. The fair value of the note payable to our principal stockholder cannot be reasonably estimated as the Company would not be able to obtain a similar credit arrangement in the current economic environment.</w:t>
      </w:r>
    </w:p>
    <w:p>
      <w:pPr>
        <w:spacing w:after="0" w:line="51" w:lineRule="exact"/>
        <w:rPr>
          <w:sz w:val="20"/>
          <w:szCs w:val="20"/>
          <w:color w:val="auto"/>
        </w:rPr>
      </w:pPr>
    </w:p>
    <w:p>
      <w:pPr>
        <w:ind w:right="60" w:firstLine="228"/>
        <w:spacing w:after="0" w:line="262" w:lineRule="auto"/>
        <w:rPr>
          <w:sz w:val="20"/>
          <w:szCs w:val="20"/>
          <w:color w:val="auto"/>
        </w:rPr>
      </w:pPr>
      <w:r>
        <w:rPr>
          <w:rFonts w:ascii="Times New Roman" w:cs="Times New Roman" w:eastAsia="Times New Roman" w:hAnsi="Times New Roman"/>
          <w:sz w:val="18"/>
          <w:szCs w:val="18"/>
          <w:color w:val="auto"/>
        </w:rPr>
        <w:t>As of December 31, 2014 and 2013, the Company held $120.8 million and $70.8 million, respectively of cash and cash equivalents, consisting of money market funds of $118.5 million and $67.7 million, respectively, and the remaining funds in non-interest bearing checking accounts. The fair value of these money market funds was determined by using quoted prices for identical investments in an active market (Level 1 in the fair value hierarchy).</w:t>
      </w:r>
    </w:p>
    <w:p>
      <w:pPr>
        <w:spacing w:after="0" w:line="5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is a summary of the carrying values and estimated fair values of the 2015 notes and the facility financing obligation (i.e., the 2019 notes and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Trance B notes) (in millions):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76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gridSpan w:val="5"/>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December 31, 2014</w:t>
            </w:r>
          </w:p>
        </w:tc>
        <w:tc>
          <w:tcPr>
            <w:tcW w:w="100" w:type="dxa"/>
            <w:vAlign w:val="bottom"/>
          </w:tcPr>
          <w:p>
            <w:pPr>
              <w:spacing w:after="0"/>
              <w:rPr>
                <w:sz w:val="14"/>
                <w:szCs w:val="14"/>
                <w:color w:val="auto"/>
              </w:rPr>
            </w:pPr>
          </w:p>
        </w:tc>
        <w:tc>
          <w:tcPr>
            <w:tcW w:w="164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December 31, 2013</w:t>
            </w:r>
          </w:p>
        </w:tc>
      </w:tr>
      <w:tr>
        <w:trPr>
          <w:trHeight w:val="125"/>
        </w:trPr>
        <w:tc>
          <w:tcPr>
            <w:tcW w:w="476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1040" w:type="dxa"/>
            <w:vAlign w:val="bottom"/>
            <w:tcBorders>
              <w:top w:val="single" w:sz="8" w:color="auto"/>
            </w:tcBorders>
            <w:gridSpan w:val="3"/>
          </w:tcPr>
          <w:p>
            <w:pPr>
              <w:jc w:val="right"/>
              <w:ind w:right="520"/>
              <w:spacing w:after="0" w:line="125" w:lineRule="exact"/>
              <w:rPr>
                <w:sz w:val="20"/>
                <w:szCs w:val="20"/>
                <w:color w:val="auto"/>
              </w:rPr>
            </w:pPr>
            <w:r>
              <w:rPr>
                <w:rFonts w:ascii="Times New Roman" w:cs="Times New Roman" w:eastAsia="Times New Roman" w:hAnsi="Times New Roman"/>
                <w:sz w:val="14"/>
                <w:szCs w:val="14"/>
                <w:b w:val="1"/>
                <w:bCs w:val="1"/>
                <w:color w:val="auto"/>
                <w:w w:val="90"/>
              </w:rPr>
              <w:t>Carrying</w:t>
            </w:r>
          </w:p>
        </w:tc>
        <w:tc>
          <w:tcPr>
            <w:tcW w:w="580" w:type="dxa"/>
            <w:vAlign w:val="bottom"/>
            <w:tcBorders>
              <w:top w:val="single" w:sz="8" w:color="auto"/>
            </w:tcBorders>
            <w:gridSpan w:val="2"/>
          </w:tcPr>
          <w:p>
            <w:pPr>
              <w:spacing w:after="0" w:line="125" w:lineRule="exact"/>
              <w:rPr>
                <w:sz w:val="20"/>
                <w:szCs w:val="20"/>
                <w:color w:val="auto"/>
              </w:rPr>
            </w:pPr>
            <w:r>
              <w:rPr>
                <w:rFonts w:ascii="Times New Roman" w:cs="Times New Roman" w:eastAsia="Times New Roman" w:hAnsi="Times New Roman"/>
                <w:sz w:val="14"/>
                <w:szCs w:val="14"/>
                <w:b w:val="1"/>
                <w:bCs w:val="1"/>
                <w:color w:val="auto"/>
                <w:w w:val="92"/>
              </w:rPr>
              <w:t>Estimated</w:t>
            </w:r>
          </w:p>
        </w:tc>
        <w:tc>
          <w:tcPr>
            <w:tcW w:w="520" w:type="dxa"/>
            <w:vAlign w:val="bottom"/>
          </w:tcPr>
          <w:p>
            <w:pPr>
              <w:spacing w:after="0"/>
              <w:rPr>
                <w:sz w:val="10"/>
                <w:szCs w:val="10"/>
                <w:color w:val="auto"/>
              </w:rPr>
            </w:pPr>
          </w:p>
        </w:tc>
        <w:tc>
          <w:tcPr>
            <w:tcW w:w="1060" w:type="dxa"/>
            <w:vAlign w:val="bottom"/>
            <w:tcBorders>
              <w:top w:val="single" w:sz="8" w:color="auto"/>
            </w:tcBorders>
            <w:gridSpan w:val="3"/>
          </w:tcPr>
          <w:p>
            <w:pPr>
              <w:spacing w:after="0" w:line="125"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580" w:type="dxa"/>
            <w:vAlign w:val="bottom"/>
            <w:tcBorders>
              <w:top w:val="single" w:sz="8" w:color="auto"/>
            </w:tcBorders>
            <w:gridSpan w:val="2"/>
          </w:tcPr>
          <w:p>
            <w:pPr>
              <w:spacing w:after="0" w:line="125" w:lineRule="exact"/>
              <w:rPr>
                <w:sz w:val="20"/>
                <w:szCs w:val="20"/>
                <w:color w:val="auto"/>
              </w:rPr>
            </w:pPr>
            <w:r>
              <w:rPr>
                <w:rFonts w:ascii="Times New Roman" w:cs="Times New Roman" w:eastAsia="Times New Roman" w:hAnsi="Times New Roman"/>
                <w:sz w:val="14"/>
                <w:szCs w:val="14"/>
                <w:b w:val="1"/>
                <w:bCs w:val="1"/>
                <w:color w:val="auto"/>
                <w:w w:val="92"/>
              </w:rPr>
              <w:t>Estimated</w:t>
            </w:r>
          </w:p>
        </w:tc>
        <w:tc>
          <w:tcPr>
            <w:tcW w:w="100" w:type="dxa"/>
            <w:vAlign w:val="bottom"/>
          </w:tcPr>
          <w:p>
            <w:pPr>
              <w:spacing w:after="0"/>
              <w:rPr>
                <w:sz w:val="10"/>
                <w:szCs w:val="10"/>
                <w:color w:val="auto"/>
              </w:rPr>
            </w:pPr>
          </w:p>
        </w:tc>
      </w:tr>
      <w:tr>
        <w:trPr>
          <w:trHeight w:val="165"/>
        </w:trPr>
        <w:tc>
          <w:tcPr>
            <w:tcW w:w="476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1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4"/>
                <w:szCs w:val="14"/>
                <w:color w:val="auto"/>
              </w:rPr>
            </w:pP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6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10"/>
        </w:trPr>
        <w:tc>
          <w:tcPr>
            <w:tcW w:w="4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2015 notes</w:t>
            </w:r>
          </w:p>
        </w:tc>
        <w:tc>
          <w:tcPr>
            <w:tcW w:w="27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w:t>
            </w:r>
          </w:p>
        </w:tc>
        <w:tc>
          <w:tcPr>
            <w:tcW w:w="5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w:t>
            </w:r>
          </w:p>
        </w:tc>
        <w:tc>
          <w:tcPr>
            <w:tcW w:w="5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w:t>
            </w:r>
          </w:p>
        </w:tc>
        <w:tc>
          <w:tcPr>
            <w:tcW w:w="5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w:t>
            </w:r>
          </w:p>
        </w:tc>
        <w:tc>
          <w:tcPr>
            <w:tcW w:w="100" w:type="dxa"/>
            <w:vAlign w:val="bottom"/>
            <w:tcBorders>
              <w:top w:val="single" w:sz="8" w:color="CCEEFF"/>
            </w:tcBorders>
            <w:shd w:val="clear" w:color="auto" w:fill="CCEEFF"/>
          </w:tcPr>
          <w:p>
            <w:pPr>
              <w:spacing w:after="0"/>
              <w:rPr>
                <w:sz w:val="18"/>
                <w:szCs w:val="18"/>
                <w:color w:val="auto"/>
              </w:rPr>
            </w:pPr>
          </w:p>
        </w:tc>
      </w:tr>
      <w:tr>
        <w:trPr>
          <w:trHeight w:val="228"/>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Facility financing obligation</w:t>
            </w:r>
          </w:p>
        </w:tc>
        <w:tc>
          <w:tcPr>
            <w:tcW w:w="2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50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75.1</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102.3</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107.0</w:t>
            </w:r>
          </w:p>
        </w:tc>
        <w:tc>
          <w:tcPr>
            <w:tcW w:w="100" w:type="dxa"/>
            <w:vAlign w:val="bottom"/>
          </w:tcPr>
          <w:p>
            <w:pPr>
              <w:spacing w:after="0"/>
              <w:rPr>
                <w:sz w:val="19"/>
                <w:szCs w:val="19"/>
                <w:color w:val="auto"/>
              </w:rPr>
            </w:pPr>
          </w:p>
        </w:tc>
      </w:tr>
    </w:tbl>
    <w:p>
      <w:pPr>
        <w:spacing w:after="0" w:line="13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Senior convertible notes</w:t>
      </w:r>
    </w:p>
    <w:p>
      <w:pPr>
        <w:spacing w:after="0" w:line="92" w:lineRule="exact"/>
        <w:rPr>
          <w:sz w:val="20"/>
          <w:szCs w:val="20"/>
          <w:color w:val="auto"/>
        </w:rPr>
      </w:pPr>
    </w:p>
    <w:p>
      <w:pPr>
        <w:ind w:right="160" w:firstLine="228"/>
        <w:spacing w:after="0" w:line="255" w:lineRule="auto"/>
        <w:rPr>
          <w:sz w:val="20"/>
          <w:szCs w:val="20"/>
          <w:color w:val="auto"/>
        </w:rPr>
      </w:pPr>
      <w:r>
        <w:rPr>
          <w:rFonts w:ascii="Times New Roman" w:cs="Times New Roman" w:eastAsia="Times New Roman" w:hAnsi="Times New Roman"/>
          <w:sz w:val="18"/>
          <w:szCs w:val="18"/>
          <w:color w:val="auto"/>
        </w:rPr>
        <w:t>The estimated fair value of the 2015 notes was calculated based on model derived valuations whose inputs were observable, such as the Company’s stock price, and non-observable, such as the Company’s long-term historical volatility, which was estimated to be 55% (Level 3 in the fair value hierarchy) in 2014 compared to the 65% in 2013. As there is no current observable market for the 2015 notes, the Company determined the estimated fair value using a convertible bond valuation model within a lattice framework. The convertible bond valuation model combined expected cash outflows with market-based assumptions regarding risk-adjusted yields, stock price volatility and recent price quotes and trading information regarding Company issued debt instruments and shares of common stock into which the 2015 notes are convertible.</w:t>
      </w:r>
    </w:p>
    <w:p>
      <w:pPr>
        <w:spacing w:after="0" w:line="13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Facility financing agreement</w:t>
      </w:r>
    </w:p>
    <w:p>
      <w:pPr>
        <w:spacing w:after="0" w:line="92" w:lineRule="exact"/>
        <w:rPr>
          <w:sz w:val="20"/>
          <w:szCs w:val="20"/>
          <w:color w:val="auto"/>
        </w:rPr>
      </w:pPr>
    </w:p>
    <w:p>
      <w:pPr>
        <w:ind w:right="80" w:firstLine="228"/>
        <w:spacing w:after="0" w:line="253" w:lineRule="auto"/>
        <w:rPr>
          <w:sz w:val="20"/>
          <w:szCs w:val="20"/>
          <w:color w:val="auto"/>
        </w:rPr>
      </w:pPr>
      <w:r>
        <w:rPr>
          <w:rFonts w:ascii="Times New Roman" w:cs="Times New Roman" w:eastAsia="Times New Roman" w:hAnsi="Times New Roman"/>
          <w:sz w:val="18"/>
          <w:szCs w:val="18"/>
          <w:color w:val="auto"/>
        </w:rPr>
        <w:t>As discussed in Note 17 — Facility Agreement, in connection with the Facility Agreement, the Company issued 2019 notes and Milestone Rights and recorded the Commitment Asset on July 1, 2013. In addition, on February 28, 2014, the Company entered into the First Amendment, and recorded the Tranche B Commitment Asset, which represented the increase in borrowing capacity that the Company received as consideration for the modifications made to the Facility Agreement and the Tranche 1 notes and Tranche 3 notes. As there is no current observable market for the 2019 notes or Tranche B notes, the Company determined the estimated fair value using a bond valuation model based on a discounted cash flow methodology. The bond valuation model combined expected cash flows associated with principal repayment and interest based on the contractual terms of the debt agreement discounted to present value using a selected market discount rate of 12.4% at December 31, 2014 for the 2019 notes and a selected market discount rate of 11.9% at the inception of the Tranche B notes (Level 3 in the fair value hierarchy). On December 31, 2014, the market discount rate was recalculated at 12.3%, 12.2%, and 11.8% for the Tranche 1 notes, the Tranche 4 notes and the Tranche B notes, respectively. The Tranche 2 and Tranche 3 notes were fully converted by the end of the first quarter of 2014. On December 31, 2013, the market discount rate for Tranche 1 notes was 12.7%.</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420"/>
          </w:cols>
          <w:pgMar w:left="240" w:top="455" w:right="239" w:bottom="1440" w:gutter="0" w:footer="0" w:header="0"/>
        </w:sectPr>
      </w:pPr>
    </w:p>
    <w:bookmarkStart w:id="86" w:name="page87"/>
    <w:bookmarkEnd w:id="8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MANNKIND CORPORATION AND SUBSIDIARIES</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14" w:lineRule="exact"/>
        <w:rPr>
          <w:sz w:val="20"/>
          <w:szCs w:val="20"/>
          <w:color w:val="auto"/>
        </w:rPr>
      </w:pPr>
    </w:p>
    <w:p>
      <w:pPr>
        <w:ind w:right="40" w:firstLine="228"/>
        <w:spacing w:after="0" w:line="255" w:lineRule="auto"/>
        <w:rPr>
          <w:sz w:val="20"/>
          <w:szCs w:val="20"/>
          <w:color w:val="auto"/>
        </w:rPr>
      </w:pPr>
      <w:r>
        <w:rPr>
          <w:rFonts w:ascii="Times New Roman" w:cs="Times New Roman" w:eastAsia="Times New Roman" w:hAnsi="Times New Roman"/>
          <w:sz w:val="18"/>
          <w:szCs w:val="18"/>
          <w:color w:val="auto"/>
        </w:rPr>
        <w:t>The estimated fair value of the Milestone Rights was calculated using the income approach in which the cash flows associated with the specified contractual payments were adjusted for both the expected timing and the probability of achieving the milestones discounted to present value using a selected market discount rate (Level 3 in the fair value hierarchy). The expected timing and probability of achieving the milestones, starting in 2014, was developed with consideration given to both internal data, such as progress made to date and assessment of criteria required for achievement, and external data, such as market research studies. The discount rate (15.0%) was selected based on an estimation of required rate of returns for similar investment opportunities using available market data. As of December 31, 2014, the carrying value of the Milestone Rights is $13.1 million with an estimated fair value of $27.9 million.</w:t>
      </w:r>
    </w:p>
    <w:p>
      <w:pPr>
        <w:spacing w:after="0" w:line="58" w:lineRule="exact"/>
        <w:rPr>
          <w:sz w:val="20"/>
          <w:szCs w:val="20"/>
          <w:color w:val="auto"/>
        </w:rPr>
      </w:pPr>
    </w:p>
    <w:p>
      <w:pPr>
        <w:jc w:val="both"/>
        <w:ind w:right="60" w:firstLine="228"/>
        <w:spacing w:after="0" w:line="310" w:lineRule="auto"/>
        <w:rPr>
          <w:sz w:val="20"/>
          <w:szCs w:val="20"/>
          <w:color w:val="auto"/>
        </w:rPr>
      </w:pPr>
      <w:r>
        <w:rPr>
          <w:rFonts w:ascii="Times New Roman" w:cs="Times New Roman" w:eastAsia="Times New Roman" w:hAnsi="Times New Roman"/>
          <w:sz w:val="16"/>
          <w:szCs w:val="16"/>
          <w:color w:val="auto"/>
        </w:rPr>
        <w:t>The fair value of the Commitment Asset was estimated using the income approach by estimating the fair value of the future tranches using a market debt rate (12.0%) commensurate with the risk of the future tranches and the fair value of the cash expected to be received by the Company and assessing the probability of the commitments being funded in the future based on the operational hurdles required for funding being met (Level 3 in the fair value hierarchy).</w:t>
      </w:r>
    </w:p>
    <w:p>
      <w:pPr>
        <w:spacing w:after="0" w:line="16" w:lineRule="exact"/>
        <w:rPr>
          <w:sz w:val="20"/>
          <w:szCs w:val="20"/>
          <w:color w:val="auto"/>
        </w:rPr>
      </w:pPr>
    </w:p>
    <w:p>
      <w:pPr>
        <w:ind w:right="40" w:firstLine="228"/>
        <w:spacing w:after="0" w:line="256" w:lineRule="auto"/>
        <w:rPr>
          <w:sz w:val="20"/>
          <w:szCs w:val="20"/>
          <w:color w:val="auto"/>
        </w:rPr>
      </w:pPr>
      <w:r>
        <w:rPr>
          <w:rFonts w:ascii="Times New Roman" w:cs="Times New Roman" w:eastAsia="Times New Roman" w:hAnsi="Times New Roman"/>
          <w:sz w:val="18"/>
          <w:szCs w:val="18"/>
          <w:color w:val="auto"/>
        </w:rPr>
        <w:t>The fair value of the Tranche B Commitment Asset was estimated using a discounted cash flow analysis under the income approach. Specifically, the fair value was determined by estimating the fair value of the future tranche using a market yield (11.8%) commensurate with the risk of the future tranche and the fair value of the cash expected to be received by the Company and assessing the probability of the commitment being funded in the future based on the operational hurdles required for funding being met as well as consideration of alternative funding options (Level 3 in the fair value hierarchy). As of the date it was recorded, the Tranche B Commitment Asset was valued at $2.9 million.</w:t>
      </w:r>
    </w:p>
    <w:p>
      <w:pPr>
        <w:spacing w:after="0" w:line="58" w:lineRule="exact"/>
        <w:rPr>
          <w:sz w:val="20"/>
          <w:szCs w:val="20"/>
          <w:color w:val="auto"/>
        </w:rPr>
      </w:pPr>
    </w:p>
    <w:p>
      <w:pPr>
        <w:ind w:right="420" w:firstLine="228"/>
        <w:spacing w:after="0" w:line="262" w:lineRule="auto"/>
        <w:rPr>
          <w:sz w:val="20"/>
          <w:szCs w:val="20"/>
          <w:color w:val="auto"/>
        </w:rPr>
      </w:pPr>
      <w:r>
        <w:rPr>
          <w:rFonts w:ascii="Times New Roman" w:cs="Times New Roman" w:eastAsia="Times New Roman" w:hAnsi="Times New Roman"/>
          <w:sz w:val="18"/>
          <w:szCs w:val="18"/>
          <w:color w:val="auto"/>
        </w:rPr>
        <w:t>On May 6, 2014, Deerfield purchased $20.0 million aggregate principal amount of Tranche B notes in accordance with the provisions of the Facility Agreement, as amended. Accordingly, the $1.2 million portion of the Commitment Asset associated with the $20.0 million purchased was derecognized and recorded as debt discount on the Tranche B notes.</w:t>
      </w:r>
    </w:p>
    <w:p>
      <w:pPr>
        <w:spacing w:after="0" w:line="51" w:lineRule="exact"/>
        <w:rPr>
          <w:sz w:val="20"/>
          <w:szCs w:val="20"/>
          <w:color w:val="auto"/>
        </w:rPr>
      </w:pPr>
    </w:p>
    <w:p>
      <w:pPr>
        <w:ind w:right="240" w:firstLine="228"/>
        <w:spacing w:after="0" w:line="262" w:lineRule="auto"/>
        <w:rPr>
          <w:sz w:val="20"/>
          <w:szCs w:val="20"/>
          <w:color w:val="auto"/>
        </w:rPr>
      </w:pPr>
      <w:r>
        <w:rPr>
          <w:rFonts w:ascii="Times New Roman" w:cs="Times New Roman" w:eastAsia="Times New Roman" w:hAnsi="Times New Roman"/>
          <w:sz w:val="18"/>
          <w:szCs w:val="18"/>
          <w:color w:val="auto"/>
        </w:rPr>
        <w:t>At December 31, 2014, as Deerfield had purchased all four tranches of 2019 notes in the aggregate principal amount of $160.0 million, purchased $20.0 million aggregate principal amount of Tranche B notes in accordance with the provisions of the Facility Agreement, and wrote off the remaining portion of the Tranche B Commitment Asset. As such, at December 31, 2014 the carrying value of the Commitment Assets was zero.</w:t>
      </w:r>
    </w:p>
    <w:p>
      <w:pPr>
        <w:spacing w:after="0" w:line="51" w:lineRule="exact"/>
        <w:rPr>
          <w:sz w:val="20"/>
          <w:szCs w:val="20"/>
          <w:color w:val="auto"/>
        </w:rPr>
      </w:pPr>
    </w:p>
    <w:p>
      <w:pPr>
        <w:ind w:firstLine="228"/>
        <w:spacing w:after="0" w:line="262" w:lineRule="auto"/>
        <w:rPr>
          <w:sz w:val="20"/>
          <w:szCs w:val="20"/>
          <w:color w:val="auto"/>
        </w:rPr>
      </w:pPr>
      <w:r>
        <w:rPr>
          <w:rFonts w:ascii="Times New Roman" w:cs="Times New Roman" w:eastAsia="Times New Roman" w:hAnsi="Times New Roman"/>
          <w:sz w:val="18"/>
          <w:szCs w:val="18"/>
          <w:color w:val="auto"/>
        </w:rPr>
        <w:t>There were no material re-measurements to fair value during the twelve months ended December 31, 2014 and 2013 of financial assets and liabilities that are not measured at fair value on a recurring basis. There were no transfers of assets or liabilities between the fair value measurement levels during the twelve months ended December 31, 2014, 2013, and 2012.</w:t>
      </w:r>
    </w:p>
    <w:p>
      <w:pPr>
        <w:spacing w:after="0" w:line="13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Derivatives</w:t>
      </w:r>
    </w:p>
    <w:p>
      <w:pPr>
        <w:spacing w:after="0" w:line="92" w:lineRule="exact"/>
        <w:rPr>
          <w:sz w:val="20"/>
          <w:szCs w:val="20"/>
          <w:color w:val="auto"/>
        </w:rPr>
      </w:pPr>
    </w:p>
    <w:p>
      <w:pPr>
        <w:ind w:right="60" w:firstLine="228"/>
        <w:spacing w:after="0" w:line="291" w:lineRule="auto"/>
        <w:rPr>
          <w:sz w:val="20"/>
          <w:szCs w:val="20"/>
          <w:color w:val="auto"/>
        </w:rPr>
      </w:pPr>
      <w:r>
        <w:rPr>
          <w:rFonts w:ascii="Times New Roman" w:cs="Times New Roman" w:eastAsia="Times New Roman" w:hAnsi="Times New Roman"/>
          <w:sz w:val="16"/>
          <w:szCs w:val="16"/>
          <w:color w:val="auto"/>
        </w:rPr>
        <w:t>Four embedded features that required bifurcation and separate accounting were identified in the facility financing obligation and the Company determined should be bundled together as a single, compound embedded derivative, bifurcated from the host contract, and accounted for at fair value, with changes in fair value being recorded in the Statement of Operations. The four embedded derivatives contained in the facility financing obligation were the Conversion Option, Major Transaction Put Option, Acceleration upon a Legal Judgment against the Company in Excess of $100,000, and Tax Gross-Up. The four embedded features were evaluated together as a single compound derivative to determine the fair value of the derivative. The estimated fair value of the embedded derivative was calculated using Level 3 inputs and by applying a cumulative probability percentage to the values derived from a Black-Karasinski lattice model for the major transaction put option (0.8%), the conversion option feature (0.0%), and the acceleration upon a legal judgment against the Company in</w:t>
      </w:r>
    </w:p>
    <w:p>
      <w:pPr>
        <w:spacing w:after="0" w:line="1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400"/>
          </w:cols>
          <w:pgMar w:left="240" w:top="455" w:right="259" w:bottom="1440" w:gutter="0" w:footer="0" w:header="0"/>
        </w:sectPr>
      </w:pPr>
    </w:p>
    <w:bookmarkStart w:id="87" w:name="page88"/>
    <w:bookmarkEnd w:id="8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MANNKIND CORPORATION AND SUBSIDIARIES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14"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color w:val="auto"/>
        </w:rPr>
        <w:t>excess of $100,000 feature (0.1%). The Tax Gross-Up feature was evaluated using a Level 2 analysis based on the withholding requirements (i.e., the tax laws) on interest payments between the US and the British Virgin Islands and was determined to be de minimus. As of December 31, 2014 and 2013, management determined the impact of the valuation of the embedded derivative was immaterial (see Note 17).</w:t>
      </w:r>
    </w:p>
    <w:p>
      <w:pPr>
        <w:spacing w:after="0" w:line="51" w:lineRule="exact"/>
        <w:rPr>
          <w:sz w:val="20"/>
          <w:szCs w:val="20"/>
          <w:color w:val="auto"/>
        </w:rPr>
      </w:pPr>
    </w:p>
    <w:p>
      <w:pPr>
        <w:ind w:right="180" w:firstLine="228"/>
        <w:spacing w:after="0" w:line="262" w:lineRule="auto"/>
        <w:rPr>
          <w:sz w:val="20"/>
          <w:szCs w:val="20"/>
          <w:color w:val="auto"/>
        </w:rPr>
      </w:pPr>
      <w:r>
        <w:rPr>
          <w:rFonts w:ascii="Times New Roman" w:cs="Times New Roman" w:eastAsia="Times New Roman" w:hAnsi="Times New Roman"/>
          <w:sz w:val="18"/>
          <w:szCs w:val="18"/>
          <w:color w:val="auto"/>
        </w:rPr>
        <w:t>The Company’s derivative financial instruments are not designated as hedging instruments, and gains or losses resulting from changes in the fair value are reported in other income (expense), in the consolidated statements of operations. Derivative financial instruments are recognized as other assets or other current liabilities in the financial statements and measured at fair value.</w:t>
      </w:r>
    </w:p>
    <w:p>
      <w:pPr>
        <w:spacing w:after="0" w:line="51" w:lineRule="exact"/>
        <w:rPr>
          <w:sz w:val="20"/>
          <w:szCs w:val="20"/>
          <w:color w:val="auto"/>
        </w:rPr>
      </w:pPr>
    </w:p>
    <w:p>
      <w:pPr>
        <w:ind w:right="60" w:firstLine="228"/>
        <w:spacing w:after="0" w:line="262" w:lineRule="auto"/>
        <w:rPr>
          <w:sz w:val="20"/>
          <w:szCs w:val="20"/>
          <w:color w:val="auto"/>
        </w:rPr>
      </w:pPr>
      <w:r>
        <w:rPr>
          <w:rFonts w:ascii="Times New Roman" w:cs="Times New Roman" w:eastAsia="Times New Roman" w:hAnsi="Times New Roman"/>
          <w:sz w:val="18"/>
          <w:szCs w:val="18"/>
          <w:color w:val="auto"/>
        </w:rPr>
        <w:t>The estimated fair values in connection with the February 2012 The Mann Group Common Stock Purchase Agreement (“The February 2012 Forward Purchase Contract”) and the October 2012 The Mann Group Common Stock and Warrant Purchase Agreement (“The October 2012 Forward Purchase Contract”) was based on forward purchase contract valuations (Level 3 in the fair value hierarchy) (see Note 11).</w:t>
      </w:r>
    </w:p>
    <w:p>
      <w:pPr>
        <w:spacing w:after="0" w:line="5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roll-forward provides a summary of the changes in fair value of the Company’s Level 3 forward purchase contracts during the year ended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2012 (in thousands):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360" w:type="dxa"/>
            <w:vAlign w:val="bottom"/>
          </w:tcPr>
          <w:p>
            <w:pPr>
              <w:spacing w:after="0"/>
              <w:rPr>
                <w:sz w:val="13"/>
                <w:szCs w:val="13"/>
                <w:color w:val="auto"/>
              </w:rPr>
            </w:pPr>
          </w:p>
        </w:tc>
        <w:tc>
          <w:tcPr>
            <w:tcW w:w="21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The February 2012</w:t>
            </w:r>
          </w:p>
        </w:tc>
        <w:tc>
          <w:tcPr>
            <w:tcW w:w="1640" w:type="dxa"/>
            <w:vAlign w:val="bottom"/>
            <w:gridSpan w:val="3"/>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w w:val="96"/>
              </w:rPr>
              <w:t>The October 2012</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tcPr>
          <w:p>
            <w:pPr>
              <w:spacing w:after="0"/>
              <w:rPr>
                <w:sz w:val="12"/>
                <w:szCs w:val="12"/>
                <w:color w:val="auto"/>
              </w:rPr>
            </w:pPr>
          </w:p>
        </w:tc>
        <w:tc>
          <w:tcPr>
            <w:tcW w:w="216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Forward Purchase</w:t>
            </w:r>
          </w:p>
        </w:tc>
        <w:tc>
          <w:tcPr>
            <w:tcW w:w="16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Forward Purchase</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60" w:type="dxa"/>
            <w:vAlign w:val="bottom"/>
            <w:gridSpan w:val="2"/>
          </w:tcPr>
          <w:p>
            <w:pPr>
              <w:jc w:val="right"/>
              <w:ind w:right="1340"/>
              <w:spacing w:after="0"/>
              <w:rPr>
                <w:sz w:val="20"/>
                <w:szCs w:val="20"/>
                <w:color w:val="auto"/>
              </w:rPr>
            </w:pPr>
            <w:r>
              <w:rPr>
                <w:rFonts w:ascii="Times New Roman" w:cs="Times New Roman" w:eastAsia="Times New Roman" w:hAnsi="Times New Roman"/>
                <w:sz w:val="14"/>
                <w:szCs w:val="14"/>
                <w:b w:val="1"/>
                <w:bCs w:val="1"/>
                <w:color w:val="auto"/>
              </w:rPr>
              <w:t>Contract</w:t>
            </w:r>
          </w:p>
        </w:tc>
        <w:tc>
          <w:tcPr>
            <w:tcW w:w="180" w:type="dxa"/>
            <w:vAlign w:val="bottom"/>
          </w:tcPr>
          <w:p>
            <w:pPr>
              <w:spacing w:after="0"/>
              <w:rPr>
                <w:sz w:val="14"/>
                <w:szCs w:val="14"/>
                <w:color w:val="auto"/>
              </w:rPr>
            </w:pPr>
          </w:p>
        </w:tc>
        <w:tc>
          <w:tcPr>
            <w:tcW w:w="1460" w:type="dxa"/>
            <w:vAlign w:val="bottom"/>
            <w:gridSpan w:val="2"/>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Contract</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Issuance</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28,237</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29,317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fair value included in other income (expense)</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12,011</w:t>
            </w: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(13,248)</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Transfers to additional paid-in-capital</w:t>
            </w:r>
          </w:p>
        </w:tc>
        <w:tc>
          <w:tcPr>
            <w:tcW w:w="200" w:type="dxa"/>
            <w:vAlign w:val="bottom"/>
          </w:tcPr>
          <w:p>
            <w:pPr>
              <w:spacing w:after="0"/>
              <w:rPr>
                <w:sz w:val="18"/>
                <w:szCs w:val="18"/>
                <w:color w:val="auto"/>
              </w:rPr>
            </w:pPr>
          </w:p>
        </w:tc>
        <w:tc>
          <w:tcPr>
            <w:tcW w:w="1960" w:type="dxa"/>
            <w:vAlign w:val="bottom"/>
            <w:gridSpan w:val="2"/>
          </w:tcPr>
          <w:p>
            <w:pPr>
              <w:jc w:val="right"/>
              <w:ind w:right="980"/>
              <w:spacing w:after="0"/>
              <w:rPr>
                <w:sz w:val="20"/>
                <w:szCs w:val="20"/>
                <w:color w:val="auto"/>
              </w:rPr>
            </w:pPr>
            <w:r>
              <w:rPr>
                <w:rFonts w:ascii="Times New Roman" w:cs="Times New Roman" w:eastAsia="Times New Roman" w:hAnsi="Times New Roman"/>
                <w:sz w:val="18"/>
                <w:szCs w:val="18"/>
                <w:color w:val="auto"/>
              </w:rPr>
              <w:t>(13,091)</w:t>
            </w:r>
          </w:p>
        </w:tc>
        <w:tc>
          <w:tcPr>
            <w:tcW w:w="180" w:type="dxa"/>
            <w:vAlign w:val="bottom"/>
          </w:tcPr>
          <w:p>
            <w:pPr>
              <w:spacing w:after="0"/>
              <w:rPr>
                <w:sz w:val="18"/>
                <w:szCs w:val="18"/>
                <w:color w:val="auto"/>
              </w:rPr>
            </w:pPr>
          </w:p>
        </w:tc>
        <w:tc>
          <w:tcPr>
            <w:tcW w:w="14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(14,989)</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7"/>
              </w:rPr>
              <w:t>(28,080)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shd w:val="clear" w:color="auto" w:fill="CCEEFF"/>
          </w:tcPr>
          <w:p>
            <w:pPr>
              <w:jc w:val="right"/>
              <w:ind w:right="10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Common and preferred stock</w:t>
      </w:r>
    </w:p>
    <w:p>
      <w:pPr>
        <w:spacing w:after="0" w:line="92" w:lineRule="exact"/>
        <w:rPr>
          <w:sz w:val="20"/>
          <w:szCs w:val="20"/>
          <w:color w:val="auto"/>
        </w:rPr>
      </w:pPr>
    </w:p>
    <w:p>
      <w:pPr>
        <w:ind w:right="120" w:firstLine="228"/>
        <w:spacing w:after="0" w:line="258" w:lineRule="auto"/>
        <w:rPr>
          <w:sz w:val="20"/>
          <w:szCs w:val="20"/>
          <w:color w:val="auto"/>
        </w:rPr>
      </w:pPr>
      <w:r>
        <w:rPr>
          <w:rFonts w:ascii="Times New Roman" w:cs="Times New Roman" w:eastAsia="Times New Roman" w:hAnsi="Times New Roman"/>
          <w:sz w:val="18"/>
          <w:szCs w:val="18"/>
          <w:color w:val="auto"/>
        </w:rPr>
        <w:t>The Company is authorized to issue 550,000,000 shares of common stock, par value $0.01 per share, and 10,000,000 shares of undesignated preferred stock, par value $0.01 per share, issuable in one or more series designated by the Company’s board of directors. No other class of capital stock is authorized. As of December 31, 2014 and 2013, 406,059,089 and 369,391,972 shares of common stock, respectively, were issued and outstanding and no shares of preferred stock were outstanding.</w:t>
      </w:r>
    </w:p>
    <w:p>
      <w:pPr>
        <w:spacing w:after="0" w:line="55" w:lineRule="exact"/>
        <w:rPr>
          <w:sz w:val="20"/>
          <w:szCs w:val="20"/>
          <w:color w:val="auto"/>
        </w:rPr>
      </w:pPr>
    </w:p>
    <w:p>
      <w:pPr>
        <w:ind w:right="60" w:firstLine="228"/>
        <w:spacing w:after="0" w:line="255" w:lineRule="auto"/>
        <w:rPr>
          <w:sz w:val="20"/>
          <w:szCs w:val="20"/>
          <w:color w:val="auto"/>
        </w:rPr>
      </w:pPr>
      <w:r>
        <w:rPr>
          <w:rFonts w:ascii="Times New Roman" w:cs="Times New Roman" w:eastAsia="Times New Roman" w:hAnsi="Times New Roman"/>
          <w:sz w:val="18"/>
          <w:szCs w:val="18"/>
          <w:color w:val="auto"/>
        </w:rPr>
        <w:t>Included in the common stock outstanding as of December 31, 2014, 2013 and 2012 are 9,000,000 shares of common stock loaned to Bank of America under a share lending agreement in connection with the offering of the $100.0 million aggregate principal amount of 2015 notes (see Note 8). Bank of America is obligated to return the borrowed shares (or, in certain circumstances, the cash value thereof) to the Company on or about the 45</w:t>
      </w:r>
      <w:r>
        <w:rPr>
          <w:rFonts w:ascii="Times New Roman" w:cs="Times New Roman" w:eastAsia="Times New Roman" w:hAnsi="Times New Roman"/>
          <w:sz w:val="11"/>
          <w:szCs w:val="11"/>
          <w:color w:val="auto"/>
        </w:rPr>
        <w:t>th</w:t>
      </w:r>
      <w:r>
        <w:rPr>
          <w:rFonts w:ascii="Times New Roman" w:cs="Times New Roman" w:eastAsia="Times New Roman" w:hAnsi="Times New Roman"/>
          <w:sz w:val="18"/>
          <w:szCs w:val="18"/>
          <w:color w:val="auto"/>
        </w:rPr>
        <w:t xml:space="preserve"> business day following the date as of which the entire principal amount of the 2015 notes ceases to be outstanding, subject to extension or acceleration in certain circumstances or early termination at Bank of America’s option. The Company did not receive any proceeds from the sale of the borrowed shares by Bank of America, but the Company did receive a nominal lending fee of $0.01 per share from Bank of America for the use of borrowed shares.</w:t>
      </w:r>
    </w:p>
    <w:p>
      <w:pPr>
        <w:spacing w:after="0" w:line="58" w:lineRule="exact"/>
        <w:rPr>
          <w:sz w:val="20"/>
          <w:szCs w:val="20"/>
          <w:color w:val="auto"/>
        </w:rPr>
      </w:pPr>
    </w:p>
    <w:p>
      <w:pPr>
        <w:ind w:right="100" w:firstLine="228"/>
        <w:spacing w:after="0" w:line="256" w:lineRule="auto"/>
        <w:rPr>
          <w:sz w:val="20"/>
          <w:szCs w:val="20"/>
          <w:color w:val="auto"/>
        </w:rPr>
      </w:pPr>
      <w:r>
        <w:rPr>
          <w:rFonts w:ascii="Times New Roman" w:cs="Times New Roman" w:eastAsia="Times New Roman" w:hAnsi="Times New Roman"/>
          <w:sz w:val="18"/>
          <w:szCs w:val="18"/>
          <w:color w:val="auto"/>
        </w:rPr>
        <w:t>On February 8, 2012, the Company sold 35,937,500 units in an underwritten public offering, including 4,687,500 units sold pursuant to the full exercise of an over-allotment option granted to the underwriters, with each unit consisting of one share of common stock and a warrant to purchase 0.6 of a share of common stock. All of the securities were offered by the Company at a combined price to the public of $2.40 per unit and the underwriters purchased the units at a price of $2.256 per unit. Net proceeds from this offering were approximately $80.6 million, excluding any warrant exercises. The 21,562,500 shares of common stock underlying the warrants are exercisable at $2.40 per share and expire four years from the date of the issuance.</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420"/>
          </w:cols>
          <w:pgMar w:left="240" w:top="455" w:right="239" w:bottom="1440" w:gutter="0" w:footer="0" w:header="0"/>
        </w:sectPr>
      </w:pPr>
    </w:p>
    <w:bookmarkStart w:id="88" w:name="page89"/>
    <w:bookmarkEnd w:id="8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MANNKIND CORPORATION AND SUBSIDIARIES</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1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shares of common stock and warrants are immediately separable and were issued separately. Concurrent with the February 2012 underwritten public offering, the Company entered into a common stock purchase agreement with The Mann Group, pursuant to which the Company agreed to sell and The Mann Group agreed to purchase 31,250,000 shares of the Company’s restricted common stock at a price of $2.47 per share, the closing of which was subject to the expiration or termination of the waiting period under the Hart-Scott-Rodino Antitrust Improvements Act of 1976, as amended (“HSR Clearance”), and the Company’s receipt of stockholder approval to increase the authorized number of shares of our common stock. In June 2012, following HSR Clearance and the Company’s receipt of such stockholder approval, The Mann Group purchased $77.2 million worth of restricted shares of common stock which were paid through the cancellation of principal indebtedness under the amended loan arrangement with The Mann Group (see Note 7). For the twelve months ended December 31, 2014, the Company received $27.8 million in proceeds from the exercise of the February 2012 public offering warrants, with $19.5 million remaining unexercised.</w:t>
      </w:r>
    </w:p>
    <w:p>
      <w:pPr>
        <w:spacing w:after="0" w:line="62" w:lineRule="exact"/>
        <w:rPr>
          <w:sz w:val="20"/>
          <w:szCs w:val="20"/>
          <w:color w:val="auto"/>
        </w:rPr>
      </w:pPr>
    </w:p>
    <w:p>
      <w:pPr>
        <w:ind w:firstLine="228"/>
        <w:spacing w:after="0" w:line="254" w:lineRule="auto"/>
        <w:rPr>
          <w:sz w:val="20"/>
          <w:szCs w:val="20"/>
          <w:color w:val="auto"/>
        </w:rPr>
      </w:pPr>
      <w:r>
        <w:rPr>
          <w:rFonts w:ascii="Times New Roman" w:cs="Times New Roman" w:eastAsia="Times New Roman" w:hAnsi="Times New Roman"/>
          <w:sz w:val="18"/>
          <w:szCs w:val="18"/>
          <w:color w:val="auto"/>
        </w:rPr>
        <w:t>The Company concluded that The Mann Group common stock purchase agreement represented a contingent forward purchase contract that met the definition of a derivative instrument in accordance with ASC 815</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Of the 31,250,000 shares issuable pursuant to the common stock purchase agreement, the portion of the derivative instrument representing 14.7 million shares were recorded as equity (“Equity Portion”) as they met the criteria for equity classification under ASC 815-40 </w:t>
      </w:r>
      <w:r>
        <w:rPr>
          <w:rFonts w:ascii="Times New Roman" w:cs="Times New Roman" w:eastAsia="Times New Roman" w:hAnsi="Times New Roman"/>
          <w:sz w:val="18"/>
          <w:szCs w:val="18"/>
          <w:i w:val="1"/>
          <w:iCs w:val="1"/>
          <w:color w:val="auto"/>
        </w:rPr>
        <w:t>Derivatives and Hedging, Contracts in an Entity’s Own Stock.</w:t>
      </w:r>
      <w:r>
        <w:rPr>
          <w:rFonts w:ascii="Times New Roman" w:cs="Times New Roman" w:eastAsia="Times New Roman" w:hAnsi="Times New Roman"/>
          <w:sz w:val="18"/>
          <w:szCs w:val="18"/>
          <w:color w:val="auto"/>
        </w:rPr>
        <w:t xml:space="preserve"> The remaining 16.5 million shares (“Non-Equity Portion”) required classification outside of equity as the Company did not have sufficient available shares at the time of issuance. The Company revalued the Non-Equity Portion of the forward purchase contract at each reporting date and recorded a fair value adjustment within “Other income (expense)”. At the time of issuance, the fair value of the forward purchase contract was $2.0 million. The Equity Portion of $0.9 million was classified as equity, and the Non-Equity Portion of $1.1 million was initially recorded to “Prepaid expenses and other current assets.”</w:t>
      </w:r>
    </w:p>
    <w:p>
      <w:pPr>
        <w:spacing w:after="0" w:line="57" w:lineRule="exact"/>
        <w:rPr>
          <w:sz w:val="20"/>
          <w:szCs w:val="20"/>
          <w:color w:val="auto"/>
        </w:rPr>
      </w:pPr>
    </w:p>
    <w:p>
      <w:pPr>
        <w:ind w:firstLine="228"/>
        <w:spacing w:after="0" w:line="289" w:lineRule="auto"/>
        <w:rPr>
          <w:sz w:val="20"/>
          <w:szCs w:val="20"/>
          <w:color w:val="auto"/>
        </w:rPr>
      </w:pPr>
      <w:r>
        <w:rPr>
          <w:rFonts w:ascii="Times New Roman" w:cs="Times New Roman" w:eastAsia="Times New Roman" w:hAnsi="Times New Roman"/>
          <w:sz w:val="16"/>
          <w:szCs w:val="16"/>
          <w:color w:val="auto"/>
        </w:rPr>
        <w:t>On May 17, 2012, the Company’s stockholders approved an increase in its authorized shares of common stock from 250,000,000 to 350,000,000. Accordingly, the shares of common stock needed to consummate The Mann Group common stock purchase agreement dated February 2, 2012 became available. As of</w:t>
      </w:r>
    </w:p>
    <w:p>
      <w:pPr>
        <w:spacing w:after="0" w:line="1" w:lineRule="exact"/>
        <w:rPr>
          <w:sz w:val="20"/>
          <w:szCs w:val="20"/>
          <w:color w:val="auto"/>
        </w:rPr>
      </w:pPr>
    </w:p>
    <w:p>
      <w:pPr>
        <w:jc w:val="both"/>
        <w:ind w:right="60"/>
        <w:spacing w:after="0" w:line="255" w:lineRule="auto"/>
        <w:rPr>
          <w:sz w:val="20"/>
          <w:szCs w:val="20"/>
          <w:color w:val="auto"/>
        </w:rPr>
      </w:pPr>
      <w:r>
        <w:rPr>
          <w:rFonts w:ascii="Times New Roman" w:cs="Times New Roman" w:eastAsia="Times New Roman" w:hAnsi="Times New Roman"/>
          <w:sz w:val="18"/>
          <w:szCs w:val="18"/>
          <w:color w:val="auto"/>
        </w:rPr>
        <w:t>May 17, 2012, the fair value of the Non-Equity Portion was $13.1 million. As a result of receiving stockholder approval of the increase in authorized shares, the Non-Equity Portion met the criteria for equity classification. Consequently, the Company reclassified the $13.1 million from “Prepaid expenses and other current assets” to “Additional paid-in capital.”</w:t>
      </w:r>
    </w:p>
    <w:p>
      <w:pPr>
        <w:spacing w:after="0" w:line="57" w:lineRule="exact"/>
        <w:rPr>
          <w:sz w:val="20"/>
          <w:szCs w:val="20"/>
          <w:color w:val="auto"/>
        </w:rPr>
      </w:pPr>
    </w:p>
    <w:p>
      <w:pPr>
        <w:ind w:right="40" w:firstLine="228"/>
        <w:spacing w:after="0" w:line="254" w:lineRule="auto"/>
        <w:rPr>
          <w:sz w:val="20"/>
          <w:szCs w:val="20"/>
          <w:color w:val="auto"/>
        </w:rPr>
      </w:pPr>
      <w:r>
        <w:rPr>
          <w:rFonts w:ascii="Times New Roman" w:cs="Times New Roman" w:eastAsia="Times New Roman" w:hAnsi="Times New Roman"/>
          <w:sz w:val="18"/>
          <w:szCs w:val="18"/>
          <w:color w:val="auto"/>
        </w:rPr>
        <w:t>The fair value of the forward purchase contract was highly sensitive to the discount applied for lack of marketability and the stock price, and changes in this discount and/or the stock price caused the value of the forward purchase contract to change significantly. As of and for the year ended December 31, 2012, the Company recognized the change in fair value of $12.0 million in “Other income (expense).” The Company revalued the Non-Equity Portion using a forward contract valuation formula, in which the forward contract was estimated to be equal to the valuation date stock price of $2.40 at issuance and $1.69 at May 17, 2012 minus the strike price discounted to the valuation date using a risk-free rate of 0.08% at issuance and 0.18% at May 17, 2012. As the shares which would be received upon settlement were unregistered, the Company applied a discount for lack of marketability of 2.57% at issuance and 0.42% at May 17, 2012 based on quantitative put models, adjusted to take into account qualitative factors, including the fact that the Company’s stock was publicly traded and the fact that there was no contractual restriction on the unregistered shares being registered.</w:t>
      </w:r>
    </w:p>
    <w:p>
      <w:pPr>
        <w:spacing w:after="0" w:line="57" w:lineRule="exact"/>
        <w:rPr>
          <w:sz w:val="20"/>
          <w:szCs w:val="20"/>
          <w:color w:val="auto"/>
        </w:rPr>
      </w:pPr>
    </w:p>
    <w:p>
      <w:pPr>
        <w:ind w:right="160" w:firstLine="228"/>
        <w:spacing w:after="0" w:line="258" w:lineRule="auto"/>
        <w:rPr>
          <w:sz w:val="20"/>
          <w:szCs w:val="20"/>
          <w:color w:val="auto"/>
        </w:rPr>
      </w:pPr>
      <w:r>
        <w:rPr>
          <w:rFonts w:ascii="Times New Roman" w:cs="Times New Roman" w:eastAsia="Times New Roman" w:hAnsi="Times New Roman"/>
          <w:sz w:val="18"/>
          <w:szCs w:val="18"/>
          <w:color w:val="auto"/>
        </w:rPr>
        <w:t>In October 2012, pursuant to a previously filed Shelf Registration, which was declared effective by the SEC on September 24, 2012, the Company sold in an underwritten public offering 40,000,000 shares of its common stock, together with warrants to purchase up to 30,000,000 shares of the Company’s common stock. In addition, the Company sold pursuant to the full exercise of an over-allotment option granted to the underwriters, an additional 6,000,000 shares of common stock, together with warrants to purchase up to an aggregate of</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400"/>
          </w:cols>
          <w:pgMar w:left="240" w:top="455" w:right="259" w:bottom="1440" w:gutter="0" w:footer="0" w:header="0"/>
        </w:sectPr>
      </w:pPr>
    </w:p>
    <w:bookmarkStart w:id="89" w:name="page90"/>
    <w:bookmarkEnd w:id="8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MANNKIND CORPORATION AND SUBSIDIARIES</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1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4,500,000 shares of common stock. All of the securities were sold together with a warrant for a combined purchase price of $2.00 per unit. The shares of common stock and warrants are immediately separable and were issued separately. Net proceeds from this offering were approximately $86.3 million (after deducting discounts and commissions to the underwriters and offering expenses), excluding any future proceeds from the exercise of the warrants. Each warrant entitles the holder to purchase 0.75 of a share of common stock. The warrants were exercisable at $2.60 per share and expired in October 2013. The Company received $89.7 million in proceeds from the exercise of such warrants prior to their expiration.</w:t>
      </w:r>
    </w:p>
    <w:p>
      <w:pPr>
        <w:spacing w:after="0" w:line="58" w:lineRule="exact"/>
        <w:rPr>
          <w:sz w:val="20"/>
          <w:szCs w:val="20"/>
          <w:color w:val="auto"/>
        </w:rPr>
      </w:pPr>
    </w:p>
    <w:p>
      <w:pPr>
        <w:ind w:right="20" w:firstLine="228"/>
        <w:spacing w:after="0" w:line="253" w:lineRule="auto"/>
        <w:rPr>
          <w:sz w:val="20"/>
          <w:szCs w:val="20"/>
          <w:color w:val="auto"/>
        </w:rPr>
      </w:pPr>
      <w:r>
        <w:rPr>
          <w:rFonts w:ascii="Times New Roman" w:cs="Times New Roman" w:eastAsia="Times New Roman" w:hAnsi="Times New Roman"/>
          <w:sz w:val="18"/>
          <w:szCs w:val="18"/>
          <w:color w:val="auto"/>
        </w:rPr>
        <w:t>Concurrently with the underwritten public offering, the Company entered into a Common Stock and Warrant Purchase agreement, in which the Company was required to issue and sell and The Mann Group was obligated to purchase 40,000,000 restricted shares of the Company’s common stock and 40,000,000 warrants to purchase up to an aggregate of 30,000,000 restricted shares of the Company’s common stock in a separate private placement. The restricted shares were sold to The Mann Group at $2.59 per share (the consolidated closing bid price of the Company’s common stock on October 17, 2012), and the warrants were sold to The Mann Group at a purchase price of $0.125 for each share of the Company’s common stock underlying the warrants, in exchange for cancellation of outstanding principal under the $350.0 million amended and restated promissory note with The Mann Group. The restricted shares and warrants were sold to The Mann Group for an aggregate purchase price of $107.4 million. Following receipt of stockholder approval, in December 2012, to increase the Company’s authorized shares of common stock from 350,000,000 to 550,000,000, the Common Stock and Warrant Purchase agreement was consummated, and the shares of common stock and warrants were issued to The Mann Group.</w:t>
      </w:r>
    </w:p>
    <w:p>
      <w:pPr>
        <w:spacing w:after="0" w:line="62" w:lineRule="exact"/>
        <w:rPr>
          <w:sz w:val="20"/>
          <w:szCs w:val="20"/>
          <w:color w:val="auto"/>
        </w:rPr>
      </w:pPr>
    </w:p>
    <w:p>
      <w:pPr>
        <w:ind w:right="160" w:firstLine="228"/>
        <w:spacing w:after="0" w:line="256" w:lineRule="auto"/>
        <w:rPr>
          <w:sz w:val="20"/>
          <w:szCs w:val="20"/>
          <w:color w:val="auto"/>
        </w:rPr>
      </w:pPr>
      <w:r>
        <w:rPr>
          <w:rFonts w:ascii="Times New Roman" w:cs="Times New Roman" w:eastAsia="Times New Roman" w:hAnsi="Times New Roman"/>
          <w:sz w:val="18"/>
          <w:szCs w:val="18"/>
          <w:color w:val="auto"/>
        </w:rPr>
        <w:t>On the date the Common Stock and Warrant Purchase agreement was entered into with The Mann Group, the Company did not have a sufficient number of authorized, unissued and available common shares to satisfy their commitments under this agreement. The Company characterized the Common Stock and Warrant Purchase agreement as a forward contract, in accordance with ASC 815-40, to deliver a single unit comprising 40,000,000 shares of restricted common stock and 40,000,000 warrants to purchase 30,000,000 shares of restricted common stock that should be classified as assets or liabilities accounted for at fair value.</w:t>
      </w:r>
    </w:p>
    <w:p>
      <w:pPr>
        <w:spacing w:after="0" w:line="58" w:lineRule="exact"/>
        <w:rPr>
          <w:sz w:val="20"/>
          <w:szCs w:val="20"/>
          <w:color w:val="auto"/>
        </w:rPr>
      </w:pPr>
    </w:p>
    <w:p>
      <w:pPr>
        <w:ind w:firstLine="228"/>
        <w:spacing w:after="0" w:line="255" w:lineRule="auto"/>
        <w:rPr>
          <w:sz w:val="20"/>
          <w:szCs w:val="20"/>
          <w:color w:val="auto"/>
        </w:rPr>
      </w:pPr>
      <w:r>
        <w:rPr>
          <w:rFonts w:ascii="Times New Roman" w:cs="Times New Roman" w:eastAsia="Times New Roman" w:hAnsi="Times New Roman"/>
          <w:sz w:val="18"/>
          <w:szCs w:val="18"/>
          <w:color w:val="auto"/>
        </w:rPr>
        <w:t>At the time of issuance, the Company determined the fair value of the forward contract to be $28.2 million and recorded a current asset. On December 20, 2012, the date at which a sufficient number of authorized and unissued common shares became available following approval by the stockholders to increase its authorized shares of common stock, the Company re-valued the forward contract and recorded a fair value adjustment to “Other income (expense)” of $13.2 million expense. Therefore, having met the criteria for equity classification, the Company reclassified the remaining balance of the forward contract of $15.0 million to additional paid in capital. In addition, the Company performed an analysis of the warrants to determine their appropriate classification once the forward contract settled and concluded that the warrants should be classified within equity.</w:t>
      </w:r>
    </w:p>
    <w:p>
      <w:pPr>
        <w:spacing w:after="0" w:line="58" w:lineRule="exact"/>
        <w:rPr>
          <w:sz w:val="20"/>
          <w:szCs w:val="20"/>
          <w:color w:val="auto"/>
        </w:rPr>
      </w:pPr>
    </w:p>
    <w:p>
      <w:pPr>
        <w:ind w:right="140" w:firstLine="228"/>
        <w:spacing w:after="0" w:line="254" w:lineRule="auto"/>
        <w:rPr>
          <w:sz w:val="20"/>
          <w:szCs w:val="20"/>
          <w:color w:val="auto"/>
        </w:rPr>
      </w:pPr>
      <w:r>
        <w:rPr>
          <w:rFonts w:ascii="Times New Roman" w:cs="Times New Roman" w:eastAsia="Times New Roman" w:hAnsi="Times New Roman"/>
          <w:sz w:val="18"/>
          <w:szCs w:val="18"/>
          <w:color w:val="auto"/>
        </w:rPr>
        <w:t>The fair value of the forward purchase contract was highly sensitive to the discount applied for lack of marketability and the stock price, and changes in this discount and/or the stock price caused the value of the Forward Contract to change significantly. The value of the derivative instrument was calculated using a forward contract valuation formula in which the forward contract was estimated to be equal to the valuation date stock price minus the strike price discounted to the valuation date using a risk-free rate of 0.11% at issuance on October 18, 2012 and 0.00% at closing on December 20, 2012. As the shares which would be received upon settlement are currently unregistered, the Company applied a discount for lack of marketability of 2.3% at October 18, 2012 and 1.5% at December 20, 2012 to reflect this lack of marketability based on quantitative put models, adjusted to take into account qualitative factors, including the fact that the Company’s stock is publicly traded and the fact that there is no contractual restriction on the unregistered shares being registered.</w:t>
      </w:r>
    </w:p>
    <w:p>
      <w:pPr>
        <w:spacing w:after="0" w:line="60" w:lineRule="exact"/>
        <w:rPr>
          <w:sz w:val="20"/>
          <w:szCs w:val="20"/>
          <w:color w:val="auto"/>
        </w:rPr>
      </w:pPr>
    </w:p>
    <w:p>
      <w:pPr>
        <w:ind w:right="100" w:firstLine="228"/>
        <w:spacing w:after="0" w:line="275" w:lineRule="auto"/>
        <w:rPr>
          <w:sz w:val="20"/>
          <w:szCs w:val="20"/>
          <w:color w:val="auto"/>
        </w:rPr>
      </w:pPr>
      <w:r>
        <w:rPr>
          <w:rFonts w:ascii="Times New Roman" w:cs="Times New Roman" w:eastAsia="Times New Roman" w:hAnsi="Times New Roman"/>
          <w:sz w:val="18"/>
          <w:szCs w:val="18"/>
          <w:color w:val="auto"/>
        </w:rPr>
        <w:t>The Company then determined that upon the settlement of the forward contracts, the common stock and warrants represent freestanding financial instruments and should be initially recorded at their relative fair values</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400"/>
          </w:cols>
          <w:pgMar w:left="240" w:top="455" w:right="259" w:bottom="1440" w:gutter="0" w:footer="0" w:header="0"/>
        </w:sectPr>
      </w:pPr>
    </w:p>
    <w:bookmarkStart w:id="90" w:name="page91"/>
    <w:bookmarkEnd w:id="9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MANNKIND CORPORATION AND SUBSIDIARIES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14" w:lineRule="exact"/>
        <w:rPr>
          <w:sz w:val="20"/>
          <w:szCs w:val="20"/>
          <w:color w:val="auto"/>
        </w:rPr>
      </w:pPr>
    </w:p>
    <w:p>
      <w:pPr>
        <w:ind w:right="620"/>
        <w:spacing w:after="0" w:line="275" w:lineRule="auto"/>
        <w:rPr>
          <w:sz w:val="20"/>
          <w:szCs w:val="20"/>
          <w:color w:val="auto"/>
        </w:rPr>
      </w:pPr>
      <w:r>
        <w:rPr>
          <w:rFonts w:ascii="Times New Roman" w:cs="Times New Roman" w:eastAsia="Times New Roman" w:hAnsi="Times New Roman"/>
          <w:sz w:val="18"/>
          <w:szCs w:val="18"/>
          <w:color w:val="auto"/>
        </w:rPr>
        <w:t>based on the total consideration received. The total consideration received equaled the $107.4 million principal amount of indebtedness cancelled less the recorded value of the forward contracts on December 20, 2012, the date immediately before settlement.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Net loss per common share</w:t>
      </w:r>
    </w:p>
    <w:p>
      <w:pPr>
        <w:spacing w:after="0" w:line="92" w:lineRule="exact"/>
        <w:rPr>
          <w:sz w:val="20"/>
          <w:szCs w:val="20"/>
          <w:color w:val="auto"/>
        </w:rPr>
      </w:pPr>
    </w:p>
    <w:p>
      <w:pPr>
        <w:ind w:right="20" w:firstLine="228"/>
        <w:spacing w:after="0" w:line="288" w:lineRule="auto"/>
        <w:rPr>
          <w:sz w:val="20"/>
          <w:szCs w:val="20"/>
          <w:color w:val="auto"/>
        </w:rPr>
      </w:pPr>
      <w:r>
        <w:rPr>
          <w:rFonts w:ascii="Times New Roman" w:cs="Times New Roman" w:eastAsia="Times New Roman" w:hAnsi="Times New Roman"/>
          <w:sz w:val="16"/>
          <w:szCs w:val="16"/>
          <w:color w:val="auto"/>
        </w:rPr>
        <w:t>Basic net loss per share excludes dilution for potentially dilutive securities and is computed by dividing loss by the weighted average number of common shares outstanding during the period excluding the shares loaned under the share lending arrangement (see Note 11). As of December 31, 2014, 2013 and 2012, 9,000,000 shares of the Company’s common stock, which were loaned to a share borrower pursuant to the terms of a share lending agreement, as described in Note 11, were issued and are outstanding, and holders of the borrowed shares have all the rights of a holder of the Company’s common stock. However, because the share borrower must return all borrowed shares to the Company (or, in certain circumstances, the cash value thereof), the borrowed shares are not considered outstanding for the purpose of computing and reporting basic or diluted earnings (loss) per share. Diluted net loss per share reflects the potential dilution that could occur if securities or other contracts to issue common stock were exercised or converted into common stock. Potentially dilutive securities are excluded from the computation of diluted net loss per share for all of the periods presented in the accompanying statements of operations because the reported net loss in each of these periods results in their inclusion being antidilutive. Antidilutive securities, which consist of stock options, restricted stock units, warrants, and shares that could be issued upon conversion of the senior convertible notes, that are not included in the diluted net loss per share calculation and exclude the 9,000,000 shares of the Company’s common stock loaned under the share lending arrangement as of December 31, 2014, 2013 and 2012.</w:t>
      </w:r>
    </w:p>
    <w:p>
      <w:pPr>
        <w:spacing w:after="0" w:line="25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Potentially dilutive securities outstanding are summarized as follows: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74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774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tcPr>
          <w:p>
            <w:pPr>
              <w:jc w:val="right"/>
              <w:ind w:right="256"/>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300" w:type="dxa"/>
            <w:vAlign w:val="bottom"/>
            <w:tcBorders>
              <w:bottom w:val="single" w:sz="8" w:color="CCEEFF"/>
            </w:tcBorders>
          </w:tcPr>
          <w:p>
            <w:pPr>
              <w:spacing w:after="0"/>
              <w:rPr>
                <w:sz w:val="12"/>
                <w:szCs w:val="12"/>
                <w:color w:val="auto"/>
              </w:rPr>
            </w:pPr>
          </w:p>
        </w:tc>
        <w:tc>
          <w:tcPr>
            <w:tcW w:w="960" w:type="dxa"/>
            <w:vAlign w:val="bottom"/>
            <w:tcBorders>
              <w:bottom w:val="single" w:sz="8" w:color="auto"/>
            </w:tcBorders>
          </w:tcPr>
          <w:p>
            <w:pPr>
              <w:jc w:val="right"/>
              <w:ind w:right="258"/>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300" w:type="dxa"/>
            <w:vAlign w:val="bottom"/>
            <w:tcBorders>
              <w:bottom w:val="single" w:sz="8" w:color="CCEEFF"/>
            </w:tcBorders>
          </w:tcPr>
          <w:p>
            <w:pPr>
              <w:spacing w:after="0"/>
              <w:rPr>
                <w:sz w:val="12"/>
                <w:szCs w:val="12"/>
                <w:color w:val="auto"/>
              </w:rPr>
            </w:pPr>
          </w:p>
        </w:tc>
        <w:tc>
          <w:tcPr>
            <w:tcW w:w="1060" w:type="dxa"/>
            <w:vAlign w:val="bottom"/>
            <w:tcBorders>
              <w:bottom w:val="single" w:sz="8" w:color="auto"/>
            </w:tcBorders>
          </w:tcPr>
          <w:p>
            <w:pPr>
              <w:jc w:val="right"/>
              <w:ind w:right="316"/>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120" w:type="dxa"/>
            <w:vAlign w:val="bottom"/>
            <w:tcBorders>
              <w:bottom w:val="single" w:sz="8" w:color="CCEEFF"/>
            </w:tcBorders>
          </w:tcPr>
          <w:p>
            <w:pPr>
              <w:spacing w:after="0"/>
              <w:rPr>
                <w:sz w:val="12"/>
                <w:szCs w:val="12"/>
                <w:color w:val="auto"/>
              </w:rPr>
            </w:pPr>
          </w:p>
        </w:tc>
      </w:tr>
      <w:tr>
        <w:trPr>
          <w:trHeight w:val="210"/>
        </w:trPr>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common stock options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21,541,664</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24,237,940</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18,674,539</w:t>
            </w:r>
          </w:p>
        </w:tc>
        <w:tc>
          <w:tcPr>
            <w:tcW w:w="120" w:type="dxa"/>
            <w:vAlign w:val="bottom"/>
            <w:shd w:val="clear" w:color="auto" w:fill="CCEEFF"/>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Conversion of senior convertible notes into common stock</w:t>
            </w: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17,323,080</w:t>
            </w:r>
          </w:p>
        </w:tc>
        <w:tc>
          <w:tcPr>
            <w:tcW w:w="12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25,415,366</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19,826,113</w:t>
            </w:r>
          </w:p>
        </w:tc>
        <w:tc>
          <w:tcPr>
            <w:tcW w:w="120" w:type="dxa"/>
            <w:vAlign w:val="bottom"/>
          </w:tcPr>
          <w:p>
            <w:pPr>
              <w:spacing w:after="0"/>
              <w:rPr>
                <w:sz w:val="18"/>
                <w:szCs w:val="18"/>
                <w:color w:val="auto"/>
              </w:rPr>
            </w:pPr>
          </w:p>
        </w:tc>
      </w:tr>
      <w:tr>
        <w:trPr>
          <w:trHeight w:val="216"/>
        </w:trPr>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common stock warrants</w:t>
            </w:r>
          </w:p>
        </w:tc>
        <w:tc>
          <w:tcPr>
            <w:tcW w:w="12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9,987,876</w:t>
            </w:r>
          </w:p>
        </w:tc>
        <w:tc>
          <w:tcPr>
            <w:tcW w:w="12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19,706,240</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86,062,440</w:t>
            </w:r>
          </w:p>
        </w:tc>
        <w:tc>
          <w:tcPr>
            <w:tcW w:w="120" w:type="dxa"/>
            <w:vAlign w:val="bottom"/>
            <w:shd w:val="clear" w:color="auto" w:fill="CCEEFF"/>
          </w:tcPr>
          <w:p>
            <w:pPr>
              <w:spacing w:after="0"/>
              <w:rPr>
                <w:sz w:val="18"/>
                <w:szCs w:val="18"/>
                <w:color w:val="auto"/>
              </w:rPr>
            </w:pPr>
          </w:p>
        </w:tc>
      </w:tr>
      <w:tr>
        <w:trPr>
          <w:trHeight w:val="223"/>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Vesting of restricted stock units</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2,610,720</w:t>
            </w:r>
          </w:p>
        </w:tc>
        <w:tc>
          <w:tcPr>
            <w:tcW w:w="30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9,115,821</w:t>
            </w:r>
          </w:p>
        </w:tc>
        <w:tc>
          <w:tcPr>
            <w:tcW w:w="30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3,761,031</w:t>
            </w:r>
          </w:p>
        </w:tc>
        <w:tc>
          <w:tcPr>
            <w:tcW w:w="120" w:type="dxa"/>
            <w:vAlign w:val="bottom"/>
          </w:tcPr>
          <w:p>
            <w:pPr>
              <w:spacing w:after="0"/>
              <w:rPr>
                <w:sz w:val="19"/>
                <w:szCs w:val="19"/>
                <w:color w:val="auto"/>
              </w:rPr>
            </w:pPr>
          </w:p>
        </w:tc>
      </w:tr>
      <w:tr>
        <w:trPr>
          <w:trHeight w:val="216"/>
        </w:trPr>
        <w:tc>
          <w:tcPr>
            <w:tcW w:w="77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51,463,340</w:t>
            </w:r>
          </w:p>
        </w:tc>
        <w:tc>
          <w:tcPr>
            <w:tcW w:w="12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78,475,367</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128,324,123</w:t>
            </w:r>
          </w:p>
        </w:tc>
        <w:tc>
          <w:tcPr>
            <w:tcW w:w="120" w:type="dxa"/>
            <w:vAlign w:val="bottom"/>
            <w:shd w:val="clear" w:color="auto" w:fill="CCEEFF"/>
          </w:tcPr>
          <w:p>
            <w:pPr>
              <w:spacing w:after="0"/>
              <w:rPr>
                <w:sz w:val="18"/>
                <w:szCs w:val="18"/>
                <w:color w:val="auto"/>
              </w:rPr>
            </w:pPr>
          </w:p>
        </w:tc>
      </w:tr>
      <w:tr>
        <w:trPr>
          <w:trHeight w:val="20"/>
        </w:trPr>
        <w:tc>
          <w:tcPr>
            <w:tcW w:w="77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Stock award plans</w:t>
      </w:r>
    </w:p>
    <w:p>
      <w:pPr>
        <w:spacing w:after="0" w:line="92" w:lineRule="exact"/>
        <w:rPr>
          <w:sz w:val="20"/>
          <w:szCs w:val="20"/>
          <w:color w:val="auto"/>
        </w:rPr>
      </w:pPr>
    </w:p>
    <w:p>
      <w:pPr>
        <w:ind w:firstLine="228"/>
        <w:spacing w:after="0" w:line="255" w:lineRule="auto"/>
        <w:rPr>
          <w:sz w:val="20"/>
          <w:szCs w:val="20"/>
          <w:color w:val="auto"/>
        </w:rPr>
      </w:pPr>
      <w:r>
        <w:rPr>
          <w:rFonts w:ascii="Times New Roman" w:cs="Times New Roman" w:eastAsia="Times New Roman" w:hAnsi="Times New Roman"/>
          <w:sz w:val="18"/>
          <w:szCs w:val="18"/>
          <w:color w:val="auto"/>
        </w:rPr>
        <w:t>On May 23, 2013, the Company adopted the 2013 Equity Incentive Plan (the “2013 Plan”) as the successor to and continuation of the 2004 Equity Incentive Plan (the “2004 Plan”). The 2013 Plan consists of 21.5 million newly requested shares and the number of unallocated shares remaining available for grant for new awards under the 2004 Plan. The 2013 Plan provides for the granting of stock awards including stock options and restricted stock units, to employees, directors and consultants. The Plan also provides for the automatic, non-discretionary grant of options to the Company’s non-employee directors. No additional awards will be granted under the 2004 Plan or under the 2004 Non-Employee Directors’ Stock Option Plan (the “NED Plan”) as all future awards will be made out of the 2013 Plan.</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420"/>
          </w:cols>
          <w:pgMar w:left="240" w:top="455" w:right="239" w:bottom="1440" w:gutter="0" w:footer="0" w:header="0"/>
        </w:sectPr>
      </w:pPr>
    </w:p>
    <w:bookmarkStart w:id="91" w:name="page92"/>
    <w:bookmarkEnd w:id="9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MANNKIND CORPORATION AND SUBSIDIARIES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14" w:lineRule="exact"/>
        <w:rPr>
          <w:sz w:val="20"/>
          <w:szCs w:val="20"/>
          <w:color w:val="auto"/>
        </w:rPr>
      </w:pPr>
    </w:p>
    <w:p>
      <w:pPr>
        <w:ind w:right="260" w:firstLine="228"/>
        <w:spacing w:after="0" w:line="275" w:lineRule="auto"/>
        <w:rPr>
          <w:sz w:val="20"/>
          <w:szCs w:val="20"/>
          <w:color w:val="auto"/>
        </w:rPr>
      </w:pPr>
      <w:r>
        <w:rPr>
          <w:rFonts w:ascii="Times New Roman" w:cs="Times New Roman" w:eastAsia="Times New Roman" w:hAnsi="Times New Roman"/>
          <w:sz w:val="18"/>
          <w:szCs w:val="18"/>
          <w:color w:val="auto"/>
        </w:rPr>
        <w:t>As of December 31, 2014, the Company has two active stock-based compensation plans — the 2013 Plan and the 2004 Employee Stock Purchase Plan (the “ESPP”). The following table summarizes information about the Company’s stock-based award plans as of December 31, 2014:</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3"/>
                <w:szCs w:val="13"/>
                <w:color w:val="auto"/>
              </w:rPr>
            </w:pPr>
          </w:p>
        </w:tc>
        <w:tc>
          <w:tcPr>
            <w:tcW w:w="7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Outstanding</w:t>
            </w:r>
          </w:p>
        </w:tc>
        <w:tc>
          <w:tcPr>
            <w:tcW w:w="440" w:type="dxa"/>
            <w:vAlign w:val="bottom"/>
          </w:tcPr>
          <w:p>
            <w:pPr>
              <w:spacing w:after="0"/>
              <w:rPr>
                <w:sz w:val="13"/>
                <w:szCs w:val="13"/>
                <w:color w:val="auto"/>
              </w:rPr>
            </w:pP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5"/>
              </w:rPr>
              <w:t>Shares Available</w:t>
            </w:r>
          </w:p>
        </w:tc>
      </w:tr>
      <w:tr>
        <w:trPr>
          <w:trHeight w:val="149"/>
        </w:trPr>
        <w:tc>
          <w:tcPr>
            <w:tcW w:w="380" w:type="dxa"/>
            <w:vAlign w:val="bottom"/>
          </w:tcPr>
          <w:p>
            <w:pPr>
              <w:spacing w:after="0"/>
              <w:rPr>
                <w:sz w:val="12"/>
                <w:szCs w:val="12"/>
                <w:color w:val="auto"/>
              </w:rPr>
            </w:pPr>
          </w:p>
        </w:tc>
        <w:tc>
          <w:tcPr>
            <w:tcW w:w="73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44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4"/>
              </w:rPr>
              <w:t>Restricted</w:t>
            </w:r>
          </w:p>
        </w:tc>
        <w:tc>
          <w:tcPr>
            <w:tcW w:w="440" w:type="dxa"/>
            <w:vAlign w:val="bottom"/>
          </w:tcPr>
          <w:p>
            <w:pPr>
              <w:spacing w:after="0"/>
              <w:rPr>
                <w:sz w:val="12"/>
                <w:szCs w:val="12"/>
                <w:color w:val="auto"/>
              </w:rPr>
            </w:pPr>
          </w:p>
        </w:tc>
        <w:tc>
          <w:tcPr>
            <w:tcW w:w="11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for</w:t>
            </w:r>
          </w:p>
        </w:tc>
      </w:tr>
      <w:tr>
        <w:trPr>
          <w:trHeight w:val="165"/>
        </w:trPr>
        <w:tc>
          <w:tcPr>
            <w:tcW w:w="380" w:type="dxa"/>
            <w:vAlign w:val="bottom"/>
          </w:tcPr>
          <w:p>
            <w:pPr>
              <w:spacing w:after="0"/>
              <w:rPr>
                <w:sz w:val="14"/>
                <w:szCs w:val="14"/>
                <w:color w:val="auto"/>
              </w:rPr>
            </w:pPr>
          </w:p>
        </w:tc>
        <w:tc>
          <w:tcPr>
            <w:tcW w:w="7380" w:type="dxa"/>
            <w:vAlign w:val="bottom"/>
          </w:tcPr>
          <w:p>
            <w:pPr>
              <w:spacing w:after="0"/>
              <w:rPr>
                <w:sz w:val="14"/>
                <w:szCs w:val="14"/>
                <w:color w:val="auto"/>
              </w:rPr>
            </w:pPr>
          </w:p>
        </w:tc>
        <w:tc>
          <w:tcPr>
            <w:tcW w:w="880" w:type="dxa"/>
            <w:vAlign w:val="bottom"/>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44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Stock Units</w:t>
            </w:r>
          </w:p>
        </w:tc>
        <w:tc>
          <w:tcPr>
            <w:tcW w:w="440" w:type="dxa"/>
            <w:vAlign w:val="bottom"/>
          </w:tcPr>
          <w:p>
            <w:pPr>
              <w:spacing w:after="0"/>
              <w:rPr>
                <w:sz w:val="14"/>
                <w:szCs w:val="14"/>
                <w:color w:val="auto"/>
              </w:rPr>
            </w:pP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5"/>
              </w:rPr>
              <w:t>Future Issuance</w:t>
            </w:r>
          </w:p>
        </w:tc>
      </w:tr>
      <w:tr>
        <w:trPr>
          <w:trHeight w:val="210"/>
        </w:trPr>
        <w:tc>
          <w:tcPr>
            <w:tcW w:w="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2004</w:t>
            </w:r>
          </w:p>
        </w:tc>
        <w:tc>
          <w:tcPr>
            <w:tcW w:w="7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Incentive Plan</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13,629,994</w:t>
            </w:r>
          </w:p>
        </w:tc>
        <w:tc>
          <w:tcPr>
            <w:tcW w:w="4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1,219,915</w:t>
            </w:r>
          </w:p>
        </w:tc>
        <w:tc>
          <w:tcPr>
            <w:tcW w:w="44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w w:val="99"/>
              </w:rPr>
              <w:t>2013</w:t>
            </w:r>
          </w:p>
        </w:tc>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Incentive Plan</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7,380,839</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1,390,805</w:t>
            </w:r>
          </w:p>
        </w:tc>
        <w:tc>
          <w:tcPr>
            <w:tcW w:w="15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15,506,488</w:t>
            </w:r>
          </w:p>
        </w:tc>
      </w:tr>
      <w:tr>
        <w:trPr>
          <w:trHeight w:val="216"/>
        </w:trPr>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2004</w:t>
            </w:r>
          </w:p>
        </w:tc>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Non-Employee Directors’ Stock Option Plan</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530,831</w:t>
            </w: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w w:val="94"/>
              </w:rPr>
              <w:t>Total</w:t>
            </w:r>
          </w:p>
        </w:tc>
        <w:tc>
          <w:tcPr>
            <w:tcW w:w="738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21,541,664</w:t>
            </w:r>
          </w:p>
        </w:tc>
        <w:tc>
          <w:tcPr>
            <w:tcW w:w="44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2,610,720</w:t>
            </w:r>
          </w:p>
        </w:tc>
        <w:tc>
          <w:tcPr>
            <w:tcW w:w="44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15,506,488</w:t>
            </w:r>
          </w:p>
        </w:tc>
        <w:tc>
          <w:tcPr>
            <w:tcW w:w="100" w:type="dxa"/>
            <w:vAlign w:val="bottom"/>
          </w:tcPr>
          <w:p>
            <w:pPr>
              <w:spacing w:after="0"/>
              <w:rPr>
                <w:sz w:val="19"/>
                <w:szCs w:val="19"/>
                <w:color w:val="auto"/>
              </w:rPr>
            </w:pPr>
          </w:p>
        </w:tc>
      </w:tr>
      <w:tr>
        <w:trPr>
          <w:trHeight w:val="20"/>
        </w:trPr>
        <w:tc>
          <w:tcPr>
            <w:tcW w:w="38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0" w:lineRule="exact"/>
        <w:rPr>
          <w:sz w:val="20"/>
          <w:szCs w:val="20"/>
          <w:color w:val="auto"/>
        </w:rPr>
      </w:pPr>
    </w:p>
    <w:p>
      <w:pPr>
        <w:ind w:firstLine="228"/>
        <w:spacing w:after="0" w:line="253" w:lineRule="auto"/>
        <w:rPr>
          <w:sz w:val="20"/>
          <w:szCs w:val="20"/>
          <w:color w:val="auto"/>
        </w:rPr>
      </w:pPr>
      <w:r>
        <w:rPr>
          <w:rFonts w:ascii="Times New Roman" w:cs="Times New Roman" w:eastAsia="Times New Roman" w:hAnsi="Times New Roman"/>
          <w:sz w:val="18"/>
          <w:szCs w:val="18"/>
          <w:color w:val="auto"/>
        </w:rPr>
        <w:t>In March 2004, the Company’s board of directors approved the ESPP, which became effective upon the closing of the Company’s initial public offering. Initially, the aggregate number of shares that could be sold under the 2004 Plan was 2,000,000 shares of common stock. On January 1 of each year, for a period of ten years beginning January 1, 2005, the share reserve automatically increases by the lesser of: 700,000 shares, 1% of the total number of shares of common stock outstanding on that date, or an amount as may be determined by the board of directors. However, under no event can the annual increase cause the total number of shares reserved under the ESPP to exceed 10% of the total number of shares of capital stock outstanding on December 31 of the prior year. On January 1, 2012, 2013 and 2014 the ESPP share reserve was increased by 700,000, 700,000 and 700,000 shares, respectively. As of December 31, 2014, 3,073,931 shares were available for issuance under the ESPP. For the years ended December 31, 2012, 2013 and 2014 the Company sold 422,260, 463,290 and 305,076 shares, respectively, of its common stock to employees participating in the ESPP. The ESPP purchase for the period ending December 31, 2014 was initiated prior to year end but did not settle until January 5, 2015. As a result, the shares sold are reflected in the ESPP share reserves but is excluded from common stock outstanding as of December 31, 2014.</w:t>
      </w:r>
    </w:p>
    <w:p>
      <w:pPr>
        <w:spacing w:after="0" w:line="60" w:lineRule="exact"/>
        <w:rPr>
          <w:sz w:val="20"/>
          <w:szCs w:val="20"/>
          <w:color w:val="auto"/>
        </w:rPr>
      </w:pPr>
    </w:p>
    <w:p>
      <w:pPr>
        <w:ind w:right="120" w:firstLine="228"/>
        <w:spacing w:after="0" w:line="254" w:lineRule="auto"/>
        <w:rPr>
          <w:sz w:val="20"/>
          <w:szCs w:val="20"/>
          <w:color w:val="auto"/>
        </w:rPr>
      </w:pPr>
      <w:r>
        <w:rPr>
          <w:rFonts w:ascii="Times New Roman" w:cs="Times New Roman" w:eastAsia="Times New Roman" w:hAnsi="Times New Roman"/>
          <w:sz w:val="18"/>
          <w:szCs w:val="18"/>
          <w:color w:val="auto"/>
        </w:rPr>
        <w:t>The Company’s board of directors determines eligibility, vesting schedules and exercise prices for stock awards granted under the 2013 Plan. Options and other stock awards under the 2013 Plan expire not more than ten years from the date of the grant and are exercisable upon vesting. Stock options generally vest over four years. Current stock option grants vest and become exercisable at the rate of 25% after one year and ratably on a monthly basis over a period of 36 months thereafter. Restricted stock units generally vest at a rate of 25% per year over four years with consideration satisfied by service to the Company. Performance-based awards vest upon achieving pre-determined performance milestones, which are expected to occur over periods ranging from 11 months to 96 months from the date of grant. Only one milestone had not yet been achieved as of December 31, 2014, but is considered probable at such date. The 2013 Plan provides for full acceleration of vesting if an employee is terminated within three months of a change in control, as defined in the 2013 Plan. Subsequent to December 31, 2014, the company achieved the last performance-based milestone on February 3, 2015.</w:t>
      </w:r>
    </w:p>
    <w:p>
      <w:pPr>
        <w:spacing w:after="0" w:line="57" w:lineRule="exact"/>
        <w:rPr>
          <w:sz w:val="20"/>
          <w:szCs w:val="20"/>
          <w:color w:val="auto"/>
        </w:rPr>
      </w:pPr>
    </w:p>
    <w:p>
      <w:pPr>
        <w:ind w:firstLine="228"/>
        <w:spacing w:after="0" w:line="256" w:lineRule="auto"/>
        <w:rPr>
          <w:sz w:val="20"/>
          <w:szCs w:val="20"/>
          <w:color w:val="auto"/>
        </w:rPr>
      </w:pPr>
      <w:r>
        <w:rPr>
          <w:rFonts w:ascii="Times New Roman" w:cs="Times New Roman" w:eastAsia="Times New Roman" w:hAnsi="Times New Roman"/>
          <w:sz w:val="18"/>
          <w:szCs w:val="18"/>
          <w:color w:val="auto"/>
        </w:rPr>
        <w:t>In accordance with ASC 718, share-based payment transactions are recognized as compensation cost based on the fair value of the instrument on the date of grant. The Company accounts for non-employee stock-based compensation expense based on the estimated fair value of the options, which is determined using the Black-Scholes option valuation model and amortizes such expense on a straight-line basis over the service period for time-based awards and over the expected dates of achievement for performance-based awards. These awards are subject to re-measurement until service is complete. As of December 31, 2014, there were options to purchase 552,516 shares of common stock outstanding to consultants.</w:t>
      </w:r>
    </w:p>
    <w:p>
      <w:pPr>
        <w:spacing w:after="0" w:line="58" w:lineRule="exact"/>
        <w:rPr>
          <w:sz w:val="20"/>
          <w:szCs w:val="20"/>
          <w:color w:val="auto"/>
        </w:rPr>
      </w:pPr>
    </w:p>
    <w:p>
      <w:pPr>
        <w:ind w:right="80" w:firstLine="228"/>
        <w:spacing w:after="0" w:line="275" w:lineRule="auto"/>
        <w:rPr>
          <w:sz w:val="20"/>
          <w:szCs w:val="20"/>
          <w:color w:val="auto"/>
        </w:rPr>
      </w:pPr>
      <w:r>
        <w:rPr>
          <w:rFonts w:ascii="Times New Roman" w:cs="Times New Roman" w:eastAsia="Times New Roman" w:hAnsi="Times New Roman"/>
          <w:sz w:val="18"/>
          <w:szCs w:val="18"/>
          <w:color w:val="auto"/>
        </w:rPr>
        <w:t>During the years ended December 31, 2014, 2013 and 2012 the Company recorded stock-based compensation expense related to its stock award plans and the ESPP of $48.6 million, $45.2 million, and $13.3 million, respectively.</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420"/>
          </w:cols>
          <w:pgMar w:left="240" w:top="455" w:right="239" w:bottom="1440" w:gutter="0" w:footer="0" w:header="0"/>
        </w:sectPr>
      </w:pPr>
    </w:p>
    <w:bookmarkStart w:id="92" w:name="page93"/>
    <w:bookmarkEnd w:id="9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MANNKIND CORPORATION AND SUBSIDIARIES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14" w:lineRule="exact"/>
        <w:rPr>
          <w:sz w:val="20"/>
          <w:szCs w:val="20"/>
          <w:color w:val="auto"/>
        </w:rPr>
      </w:pPr>
    </w:p>
    <w:p>
      <w:pPr>
        <w:ind w:right="20" w:firstLine="228"/>
        <w:spacing w:after="0" w:line="256" w:lineRule="auto"/>
        <w:rPr>
          <w:sz w:val="20"/>
          <w:szCs w:val="20"/>
          <w:color w:val="auto"/>
        </w:rPr>
      </w:pPr>
      <w:r>
        <w:rPr>
          <w:rFonts w:ascii="Times New Roman" w:cs="Times New Roman" w:eastAsia="Times New Roman" w:hAnsi="Times New Roman"/>
          <w:sz w:val="18"/>
          <w:szCs w:val="18"/>
          <w:color w:val="auto"/>
        </w:rPr>
        <w:t>On June 30, 2014, the Company modified certain performance grants to allow 124 employees to withhold in excess of the minimum statutory requirements for specific performance-based restricted stock units at the employee’s discretion through December 31, 2014. The modification resulted in the reclassification of these performance grants from equity awards to liability awards, which require re-measurement at the end of each reporting period through settlement. For the year ended December 31, 2014, the reclassification and re-measurement of these performance-based restricted stock units through settlement resulted in an increase in stock-based compensation expense of $23.0 million.</w:t>
      </w:r>
    </w:p>
    <w:p>
      <w:pPr>
        <w:spacing w:after="0" w:line="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Total stock-based compensation expense recognized in the accompanying statements of operations is as follows (in thousands):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8700" w:type="dxa"/>
            <w:vAlign w:val="bottom"/>
          </w:tcPr>
          <w:p>
            <w:pPr>
              <w:spacing w:after="0"/>
              <w:rPr>
                <w:sz w:val="14"/>
                <w:szCs w:val="14"/>
                <w:color w:val="auto"/>
              </w:rPr>
            </w:pPr>
          </w:p>
        </w:tc>
        <w:tc>
          <w:tcPr>
            <w:tcW w:w="2700" w:type="dxa"/>
            <w:vAlign w:val="bottom"/>
            <w:gridSpan w:val="7"/>
          </w:tcPr>
          <w:p>
            <w:pPr>
              <w:ind w:left="5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20" w:type="dxa"/>
            <w:vAlign w:val="bottom"/>
          </w:tcPr>
          <w:p>
            <w:pPr>
              <w:spacing w:after="0"/>
              <w:rPr>
                <w:sz w:val="12"/>
                <w:szCs w:val="12"/>
                <w:color w:val="auto"/>
              </w:rPr>
            </w:pPr>
          </w:p>
        </w:tc>
        <w:tc>
          <w:tcPr>
            <w:tcW w:w="8700" w:type="dxa"/>
            <w:vAlign w:val="bottom"/>
          </w:tcPr>
          <w:p>
            <w:pPr>
              <w:spacing w:after="0"/>
              <w:rPr>
                <w:sz w:val="12"/>
                <w:szCs w:val="12"/>
                <w:color w:val="auto"/>
              </w:rPr>
            </w:pPr>
          </w:p>
        </w:tc>
        <w:tc>
          <w:tcPr>
            <w:tcW w:w="580" w:type="dxa"/>
            <w:vAlign w:val="bottom"/>
            <w:tcBorders>
              <w:top w:val="single" w:sz="8" w:color="auto"/>
            </w:tcBorders>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1020" w:type="dxa"/>
            <w:vAlign w:val="bottom"/>
            <w:tcBorders>
              <w:top w:val="single" w:sz="8" w:color="auto"/>
            </w:tcBorders>
            <w:gridSpan w:val="2"/>
          </w:tcPr>
          <w:p>
            <w:pPr>
              <w:jc w:val="right"/>
              <w:ind w:right="72"/>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2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jc w:val="right"/>
              <w:ind w:right="52"/>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8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Employee-related</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$48,622</w:t>
            </w:r>
          </w:p>
        </w:tc>
        <w:tc>
          <w:tcPr>
            <w:tcW w:w="4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$45,181</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$13,224</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Consultant-related</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48,622</w:t>
            </w:r>
          </w:p>
        </w:tc>
        <w:tc>
          <w:tcPr>
            <w:tcW w:w="12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45,186</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13,292</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Total stock-based compensation expense recognized in the accompanying statements of operations is included in the following categories (in thousands):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8700" w:type="dxa"/>
            <w:vAlign w:val="bottom"/>
          </w:tcPr>
          <w:p>
            <w:pPr>
              <w:spacing w:after="0"/>
              <w:rPr>
                <w:sz w:val="14"/>
                <w:szCs w:val="14"/>
                <w:color w:val="auto"/>
              </w:rPr>
            </w:pPr>
          </w:p>
        </w:tc>
        <w:tc>
          <w:tcPr>
            <w:tcW w:w="21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8700" w:type="dxa"/>
            <w:vAlign w:val="bottom"/>
          </w:tcPr>
          <w:p>
            <w:pPr>
              <w:spacing w:after="0"/>
              <w:rPr>
                <w:sz w:val="12"/>
                <w:szCs w:val="12"/>
                <w:color w:val="auto"/>
              </w:rPr>
            </w:pPr>
          </w:p>
        </w:tc>
        <w:tc>
          <w:tcPr>
            <w:tcW w:w="580" w:type="dxa"/>
            <w:vAlign w:val="bottom"/>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1020" w:type="dxa"/>
            <w:vAlign w:val="bottom"/>
            <w:gridSpan w:val="2"/>
          </w:tcPr>
          <w:p>
            <w:pPr>
              <w:jc w:val="right"/>
              <w:ind w:right="72"/>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57"/>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8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$22,357</w:t>
            </w:r>
          </w:p>
        </w:tc>
        <w:tc>
          <w:tcPr>
            <w:tcW w:w="4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$20,409</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6,167</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26,265</w:t>
            </w:r>
          </w:p>
        </w:tc>
        <w:tc>
          <w:tcPr>
            <w:tcW w:w="44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24,777</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7,125</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48,622</w:t>
            </w:r>
          </w:p>
        </w:tc>
        <w:tc>
          <w:tcPr>
            <w:tcW w:w="12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45,186</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13,292</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0" w:lineRule="exact"/>
        <w:rPr>
          <w:sz w:val="20"/>
          <w:szCs w:val="20"/>
          <w:color w:val="auto"/>
        </w:rPr>
      </w:pPr>
    </w:p>
    <w:p>
      <w:pPr>
        <w:jc w:val="both"/>
        <w:ind w:right="140" w:firstLine="228"/>
        <w:spacing w:after="0" w:line="262" w:lineRule="auto"/>
        <w:rPr>
          <w:sz w:val="20"/>
          <w:szCs w:val="20"/>
          <w:color w:val="auto"/>
        </w:rPr>
      </w:pPr>
      <w:r>
        <w:rPr>
          <w:rFonts w:ascii="Times New Roman" w:cs="Times New Roman" w:eastAsia="Times New Roman" w:hAnsi="Times New Roman"/>
          <w:sz w:val="18"/>
          <w:szCs w:val="18"/>
          <w:color w:val="auto"/>
        </w:rPr>
        <w:t>The Company uses the Black-Scholes option valuation model to estimate the grant date fair value of employee stock options. The expected term of an option granted is based on combining historical exercise data with expected weighted time outstanding. Expected weighted time outstanding is calculated by assuming the settlement of outstanding awards is at the midpoint between the remaining weighted average vesting date and the expiration date.</w:t>
      </w:r>
    </w:p>
    <w:p>
      <w:pPr>
        <w:spacing w:after="0" w:line="51" w:lineRule="exact"/>
        <w:rPr>
          <w:sz w:val="20"/>
          <w:szCs w:val="20"/>
          <w:color w:val="auto"/>
        </w:rPr>
      </w:pPr>
    </w:p>
    <w:p>
      <w:pPr>
        <w:ind w:right="20" w:firstLine="228"/>
        <w:spacing w:after="0" w:line="285" w:lineRule="auto"/>
        <w:rPr>
          <w:sz w:val="20"/>
          <w:szCs w:val="20"/>
          <w:color w:val="auto"/>
        </w:rPr>
      </w:pPr>
      <w:r>
        <w:rPr>
          <w:rFonts w:ascii="Times New Roman" w:cs="Times New Roman" w:eastAsia="Times New Roman" w:hAnsi="Times New Roman"/>
          <w:sz w:val="16"/>
          <w:szCs w:val="16"/>
          <w:color w:val="auto"/>
        </w:rPr>
        <w:t>Beginning in the third quarter of 2014, the Company began to assess both historical and implied volatility in order to determine its estimated volatility rate. Implied volatility is now considered due to the change in the Company’s business, which occurred with the approval for the sale of AFREEZA. The Company has selected risk-free interest rates based on U.S. Treasury securities with an equivalent expected term in effect on the date the options were granted. Additionally, the Company uses historical data and management judgment to estimate stock option exercise behavior and employee turnover rates to estimate the number of stock option awards that will eventually vest. The Company calculated the fair value of employee stock options granted during the years ended December 31, 2014,</w:t>
      </w:r>
    </w:p>
    <w:p>
      <w:pPr>
        <w:spacing w:after="0"/>
        <w:rPr>
          <w:sz w:val="20"/>
          <w:szCs w:val="20"/>
          <w:color w:val="auto"/>
        </w:rPr>
      </w:pPr>
      <w:r>
        <w:rPr>
          <w:rFonts w:ascii="Times New Roman" w:cs="Times New Roman" w:eastAsia="Times New Roman" w:hAnsi="Times New Roman"/>
          <w:sz w:val="18"/>
          <w:szCs w:val="18"/>
          <w:color w:val="auto"/>
        </w:rPr>
        <w:t>2013 and 2012 using the following assumptions: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35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7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5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3580" w:type="dxa"/>
            <w:vAlign w:val="bottom"/>
            <w:tcBorders>
              <w:bottom w:val="single" w:sz="8" w:color="CCEEFF"/>
            </w:tcBorders>
          </w:tcPr>
          <w:p>
            <w:pPr>
              <w:spacing w:after="0"/>
              <w:rPr>
                <w:sz w:val="12"/>
                <w:szCs w:val="12"/>
                <w:color w:val="auto"/>
              </w:rPr>
            </w:pPr>
          </w:p>
        </w:tc>
        <w:tc>
          <w:tcPr>
            <w:tcW w:w="2120" w:type="dxa"/>
            <w:vAlign w:val="bottom"/>
            <w:tcBorders>
              <w:bottom w:val="single" w:sz="8" w:color="CCEEFF"/>
            </w:tcBorders>
          </w:tcPr>
          <w:p>
            <w:pPr>
              <w:spacing w:after="0"/>
              <w:rPr>
                <w:sz w:val="12"/>
                <w:szCs w:val="12"/>
                <w:color w:val="auto"/>
              </w:rPr>
            </w:pPr>
          </w:p>
        </w:tc>
        <w:tc>
          <w:tcPr>
            <w:tcW w:w="1700" w:type="dxa"/>
            <w:vAlign w:val="bottom"/>
            <w:tcBorders>
              <w:bottom w:val="single" w:sz="8" w:color="auto"/>
            </w:tcBorders>
          </w:tcPr>
          <w:p>
            <w:pPr>
              <w:jc w:val="right"/>
              <w:ind w:right="636"/>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340" w:type="dxa"/>
            <w:vAlign w:val="bottom"/>
            <w:tcBorders>
              <w:bottom w:val="single" w:sz="8" w:color="CCEEFF"/>
            </w:tcBorders>
          </w:tcPr>
          <w:p>
            <w:pPr>
              <w:spacing w:after="0"/>
              <w:rPr>
                <w:sz w:val="12"/>
                <w:szCs w:val="12"/>
                <w:color w:val="auto"/>
              </w:rPr>
            </w:pPr>
          </w:p>
        </w:tc>
        <w:tc>
          <w:tcPr>
            <w:tcW w:w="1740" w:type="dxa"/>
            <w:vAlign w:val="bottom"/>
            <w:tcBorders>
              <w:bottom w:val="single" w:sz="8" w:color="auto"/>
            </w:tcBorders>
          </w:tcPr>
          <w:p>
            <w:pPr>
              <w:jc w:val="right"/>
              <w:ind w:right="659"/>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320" w:type="dxa"/>
            <w:vAlign w:val="bottom"/>
            <w:tcBorders>
              <w:bottom w:val="single" w:sz="8" w:color="CCEEFF"/>
            </w:tcBorders>
          </w:tcPr>
          <w:p>
            <w:pPr>
              <w:spacing w:after="0"/>
              <w:rPr>
                <w:sz w:val="12"/>
                <w:szCs w:val="12"/>
                <w:color w:val="auto"/>
              </w:rPr>
            </w:pPr>
          </w:p>
        </w:tc>
        <w:tc>
          <w:tcPr>
            <w:tcW w:w="1500" w:type="dxa"/>
            <w:vAlign w:val="bottom"/>
            <w:tcBorders>
              <w:bottom w:val="single" w:sz="8" w:color="auto"/>
            </w:tcBorders>
          </w:tcPr>
          <w:p>
            <w:pPr>
              <w:jc w:val="right"/>
              <w:ind w:right="536"/>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120" w:type="dxa"/>
            <w:vAlign w:val="bottom"/>
            <w:tcBorders>
              <w:bottom w:val="single" w:sz="8" w:color="CCEEFF"/>
            </w:tcBorders>
          </w:tcPr>
          <w:p>
            <w:pPr>
              <w:spacing w:after="0"/>
              <w:rPr>
                <w:sz w:val="12"/>
                <w:szCs w:val="12"/>
                <w:color w:val="auto"/>
              </w:rPr>
            </w:pPr>
          </w:p>
        </w:tc>
      </w:tr>
      <w:tr>
        <w:trPr>
          <w:trHeight w:val="210"/>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212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 — 2.11%</w:t>
            </w:r>
          </w:p>
        </w:tc>
        <w:tc>
          <w:tcPr>
            <w:tcW w:w="34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0.94% — 1.82%</w:t>
            </w:r>
          </w:p>
        </w:tc>
        <w:tc>
          <w:tcPr>
            <w:tcW w:w="32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0.32% —1.16%</w:t>
            </w:r>
          </w:p>
        </w:tc>
        <w:tc>
          <w:tcPr>
            <w:tcW w:w="120" w:type="dxa"/>
            <w:vAlign w:val="bottom"/>
            <w:shd w:val="clear" w:color="auto" w:fill="CCEEFF"/>
          </w:tcPr>
          <w:p>
            <w:pPr>
              <w:spacing w:after="0"/>
              <w:rPr>
                <w:sz w:val="18"/>
                <w:szCs w:val="18"/>
                <w:color w:val="auto"/>
              </w:rPr>
            </w:pP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Expected lives</w:t>
            </w:r>
          </w:p>
        </w:tc>
        <w:tc>
          <w:tcPr>
            <w:tcW w:w="2120" w:type="dxa"/>
            <w:vAlign w:val="bottom"/>
          </w:tcPr>
          <w:p>
            <w:pPr>
              <w:spacing w:after="0"/>
              <w:rPr>
                <w:sz w:val="18"/>
                <w:szCs w:val="18"/>
                <w:color w:val="auto"/>
              </w:rPr>
            </w:pPr>
          </w:p>
        </w:tc>
        <w:tc>
          <w:tcPr>
            <w:tcW w:w="20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5.77 — 6.09 years</w:t>
            </w:r>
          </w:p>
        </w:tc>
        <w:tc>
          <w:tcPr>
            <w:tcW w:w="20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2.64 — 5.77 years</w:t>
            </w:r>
          </w:p>
        </w:tc>
        <w:tc>
          <w:tcPr>
            <w:tcW w:w="16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1.4 — 6.1 years</w:t>
            </w:r>
          </w:p>
        </w:tc>
      </w:tr>
      <w:tr>
        <w:trPr>
          <w:trHeight w:val="216"/>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w:t>
            </w:r>
          </w:p>
        </w:tc>
        <w:tc>
          <w:tcPr>
            <w:tcW w:w="212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73.98% — 84.85%</w:t>
            </w:r>
          </w:p>
        </w:tc>
        <w:tc>
          <w:tcPr>
            <w:tcW w:w="2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75.83% — 86.26%</w:t>
            </w:r>
          </w:p>
        </w:tc>
        <w:tc>
          <w:tcPr>
            <w:tcW w:w="1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70% — 84%</w:t>
            </w:r>
          </w:p>
        </w:tc>
      </w:tr>
      <w:tr>
        <w:trPr>
          <w:trHeight w:val="228"/>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Dividends</w:t>
            </w:r>
          </w:p>
        </w:tc>
        <w:tc>
          <w:tcPr>
            <w:tcW w:w="2120" w:type="dxa"/>
            <w:vAlign w:val="bottom"/>
          </w:tcPr>
          <w:p>
            <w:pPr>
              <w:spacing w:after="0"/>
              <w:rPr>
                <w:sz w:val="19"/>
                <w:szCs w:val="19"/>
                <w:color w:val="auto"/>
              </w:rPr>
            </w:pPr>
          </w:p>
        </w:tc>
        <w:tc>
          <w:tcPr>
            <w:tcW w:w="20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w:t>
            </w:r>
          </w:p>
        </w:tc>
      </w:tr>
      <w:tr>
        <w:trPr>
          <w:trHeight w:val="350"/>
        </w:trPr>
        <w:tc>
          <w:tcPr>
            <w:tcW w:w="3580" w:type="dxa"/>
            <w:vAlign w:val="bottom"/>
          </w:tcPr>
          <w:p>
            <w:pPr>
              <w:spacing w:after="0"/>
              <w:rPr>
                <w:sz w:val="24"/>
                <w:szCs w:val="24"/>
                <w:color w:val="auto"/>
              </w:rPr>
            </w:pPr>
          </w:p>
        </w:tc>
        <w:tc>
          <w:tcPr>
            <w:tcW w:w="3820" w:type="dxa"/>
            <w:vAlign w:val="bottom"/>
            <w:gridSpan w:val="2"/>
          </w:tcPr>
          <w:p>
            <w:pPr>
              <w:jc w:val="right"/>
              <w:ind w:right="1516"/>
              <w:spacing w:after="0"/>
              <w:rPr>
                <w:sz w:val="20"/>
                <w:szCs w:val="20"/>
                <w:color w:val="auto"/>
              </w:rPr>
            </w:pPr>
            <w:r>
              <w:rPr>
                <w:rFonts w:ascii="Times New Roman" w:cs="Times New Roman" w:eastAsia="Times New Roman" w:hAnsi="Times New Roman"/>
                <w:sz w:val="18"/>
                <w:szCs w:val="18"/>
                <w:color w:val="auto"/>
              </w:rPr>
              <w:t>91</w:t>
            </w:r>
          </w:p>
        </w:tc>
        <w:tc>
          <w:tcPr>
            <w:tcW w:w="3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420"/>
          </w:cols>
          <w:pgMar w:left="240" w:top="455" w:right="239" w:bottom="1440" w:gutter="0" w:footer="0" w:header="0"/>
        </w:sectPr>
      </w:pPr>
    </w:p>
    <w:bookmarkStart w:id="93" w:name="page94"/>
    <w:bookmarkEnd w:id="9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MANNKIND CORPORATION AND SUBSIDIARIES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1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summarizes information about stock options outstanding:</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12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w w:val="93"/>
              </w:rPr>
              <w:t>Weighted</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49"/>
        </w:trPr>
        <w:tc>
          <w:tcPr>
            <w:tcW w:w="80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2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w w:val="92"/>
              </w:rPr>
              <w:t>Average</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8080" w:type="dxa"/>
            <w:vAlign w:val="bottom"/>
          </w:tcPr>
          <w:p>
            <w:pPr>
              <w:spacing w:after="0"/>
              <w:rPr>
                <w:sz w:val="12"/>
                <w:szCs w:val="12"/>
                <w:color w:val="auto"/>
              </w:rPr>
            </w:pPr>
          </w:p>
        </w:tc>
        <w:tc>
          <w:tcPr>
            <w:tcW w:w="1400" w:type="dxa"/>
            <w:vAlign w:val="bottom"/>
            <w:gridSpan w:val="2"/>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w w:val="96"/>
              </w:rPr>
              <w:t>Number</w:t>
            </w:r>
          </w:p>
        </w:tc>
        <w:tc>
          <w:tcPr>
            <w:tcW w:w="112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82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Aggregate</w:t>
            </w:r>
          </w:p>
        </w:tc>
      </w:tr>
      <w:tr>
        <w:trPr>
          <w:trHeight w:val="149"/>
        </w:trPr>
        <w:tc>
          <w:tcPr>
            <w:tcW w:w="8080" w:type="dxa"/>
            <w:vAlign w:val="bottom"/>
          </w:tcPr>
          <w:p>
            <w:pPr>
              <w:spacing w:after="0"/>
              <w:rPr>
                <w:sz w:val="12"/>
                <w:szCs w:val="12"/>
                <w:color w:val="auto"/>
              </w:rPr>
            </w:pPr>
          </w:p>
        </w:tc>
        <w:tc>
          <w:tcPr>
            <w:tcW w:w="140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w w:val="85"/>
              </w:rPr>
              <w:t>of</w:t>
            </w:r>
          </w:p>
        </w:tc>
        <w:tc>
          <w:tcPr>
            <w:tcW w:w="112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w w:val="96"/>
              </w:rPr>
              <w:t>Price</w:t>
            </w:r>
          </w:p>
        </w:tc>
        <w:tc>
          <w:tcPr>
            <w:tcW w:w="100" w:type="dxa"/>
            <w:vAlign w:val="bottom"/>
          </w:tcPr>
          <w:p>
            <w:pPr>
              <w:spacing w:after="0"/>
              <w:rPr>
                <w:sz w:val="12"/>
                <w:szCs w:val="12"/>
                <w:color w:val="auto"/>
              </w:rPr>
            </w:pPr>
          </w:p>
        </w:tc>
        <w:tc>
          <w:tcPr>
            <w:tcW w:w="7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3"/>
              </w:rPr>
              <w:t>Intrinsic</w:t>
            </w:r>
          </w:p>
        </w:tc>
      </w:tr>
      <w:tr>
        <w:trPr>
          <w:trHeight w:val="165"/>
        </w:trPr>
        <w:tc>
          <w:tcPr>
            <w:tcW w:w="8080" w:type="dxa"/>
            <w:vAlign w:val="bottom"/>
          </w:tcPr>
          <w:p>
            <w:pPr>
              <w:spacing w:after="0"/>
              <w:rPr>
                <w:sz w:val="14"/>
                <w:szCs w:val="14"/>
                <w:color w:val="auto"/>
              </w:rPr>
            </w:pPr>
          </w:p>
        </w:tc>
        <w:tc>
          <w:tcPr>
            <w:tcW w:w="140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w w:val="93"/>
              </w:rPr>
              <w:t>Shares</w:t>
            </w:r>
          </w:p>
        </w:tc>
        <w:tc>
          <w:tcPr>
            <w:tcW w:w="112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w w:val="95"/>
              </w:rPr>
              <w:t>per Share</w:t>
            </w:r>
          </w:p>
        </w:tc>
        <w:tc>
          <w:tcPr>
            <w:tcW w:w="8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 xml:space="preserve">Value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000)</w:t>
            </w:r>
          </w:p>
        </w:tc>
      </w:tr>
      <w:tr>
        <w:trPr>
          <w:trHeight w:val="210"/>
        </w:trPr>
        <w:tc>
          <w:tcPr>
            <w:tcW w:w="8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January 1, 2014</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24,237,940</w:t>
            </w:r>
          </w:p>
        </w:tc>
        <w:tc>
          <w:tcPr>
            <w:tcW w:w="5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40,972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Granted</w:t>
            </w:r>
          </w:p>
        </w:tc>
        <w:tc>
          <w:tcPr>
            <w:tcW w:w="14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1,326,800</w:t>
            </w:r>
          </w:p>
        </w:tc>
        <w:tc>
          <w:tcPr>
            <w:tcW w:w="11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7.21</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Exercised</w:t>
            </w:r>
          </w:p>
        </w:tc>
        <w:tc>
          <w:tcPr>
            <w:tcW w:w="14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(3,250,149)</w:t>
            </w:r>
          </w:p>
        </w:tc>
        <w:tc>
          <w:tcPr>
            <w:tcW w:w="11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3.37</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Forfeit</w:t>
            </w:r>
          </w:p>
        </w:tc>
        <w:tc>
          <w:tcPr>
            <w:tcW w:w="14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(417,223)</w:t>
            </w:r>
          </w:p>
        </w:tc>
        <w:tc>
          <w:tcPr>
            <w:tcW w:w="11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4.54</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Expired</w:t>
            </w:r>
          </w:p>
        </w:tc>
        <w:tc>
          <w:tcPr>
            <w:tcW w:w="14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(355,704)</w:t>
            </w:r>
          </w:p>
        </w:tc>
        <w:tc>
          <w:tcPr>
            <w:tcW w:w="11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12.48</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at December 31, 2014</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21,541,664</w:t>
            </w:r>
          </w:p>
        </w:tc>
        <w:tc>
          <w:tcPr>
            <w:tcW w:w="540" w:type="dxa"/>
            <w:vAlign w:val="bottom"/>
          </w:tcPr>
          <w:p>
            <w:pPr>
              <w:spacing w:after="0"/>
              <w:rPr>
                <w:sz w:val="19"/>
                <w:szCs w:val="19"/>
                <w:color w:val="auto"/>
              </w:rPr>
            </w:pPr>
          </w:p>
        </w:tc>
        <w:tc>
          <w:tcPr>
            <w:tcW w:w="11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4.53</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33,495</w:t>
            </w:r>
          </w:p>
        </w:tc>
        <w:tc>
          <w:tcPr>
            <w:tcW w:w="100" w:type="dxa"/>
            <w:vAlign w:val="bottom"/>
          </w:tcPr>
          <w:p>
            <w:pPr>
              <w:spacing w:after="0"/>
              <w:rPr>
                <w:sz w:val="19"/>
                <w:szCs w:val="19"/>
                <w:color w:val="auto"/>
              </w:rPr>
            </w:pPr>
          </w:p>
        </w:tc>
      </w:tr>
      <w:tr>
        <w:trPr>
          <w:trHeight w:val="20"/>
        </w:trPr>
        <w:tc>
          <w:tcPr>
            <w:tcW w:w="80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8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 and expected to vest at December 31, 2014</w:t>
            </w:r>
          </w:p>
        </w:tc>
        <w:tc>
          <w:tcPr>
            <w:tcW w:w="14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21,307,827</w:t>
            </w:r>
          </w:p>
        </w:tc>
        <w:tc>
          <w:tcPr>
            <w:tcW w:w="11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4.52</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33,253</w:t>
            </w:r>
          </w:p>
        </w:tc>
        <w:tc>
          <w:tcPr>
            <w:tcW w:w="100" w:type="dxa"/>
            <w:vAlign w:val="bottom"/>
            <w:shd w:val="clear" w:color="auto" w:fill="CCEEFF"/>
          </w:tcPr>
          <w:p>
            <w:pPr>
              <w:spacing w:after="0"/>
              <w:rPr>
                <w:sz w:val="18"/>
                <w:szCs w:val="18"/>
                <w:color w:val="auto"/>
              </w:rPr>
            </w:pPr>
          </w:p>
        </w:tc>
      </w:tr>
      <w:tr>
        <w:trPr>
          <w:trHeight w:val="228"/>
        </w:trPr>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Exercisable at December 31, 2014</w:t>
            </w:r>
          </w:p>
        </w:tc>
        <w:tc>
          <w:tcPr>
            <w:tcW w:w="14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18,439,472</w:t>
            </w:r>
          </w:p>
        </w:tc>
        <w:tc>
          <w:tcPr>
            <w:tcW w:w="11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4.42</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30,356</w:t>
            </w:r>
          </w:p>
        </w:tc>
        <w:tc>
          <w:tcPr>
            <w:tcW w:w="100" w:type="dxa"/>
            <w:vAlign w:val="bottom"/>
          </w:tcPr>
          <w:p>
            <w:pPr>
              <w:spacing w:after="0"/>
              <w:rPr>
                <w:sz w:val="19"/>
                <w:szCs w:val="19"/>
                <w:color w:val="auto"/>
              </w:rPr>
            </w:pPr>
          </w:p>
        </w:tc>
      </w:tr>
    </w:tbl>
    <w:p>
      <w:pPr>
        <w:spacing w:after="0" w:line="5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weighted average grant date fair value of the stock options granted during the years ended December 31, 2014, 2013 and 2012 was $4.76, $3.26, and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$0.99 per option, respectively. The total intrinsic value of options exercised during the years ended December 31, 2014, 2013 and 2012 was $14.9 million, $3.1</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 and $1,000, respectively. Intrinsic value is measured using the fair market value at the date of exercise (for options exercised) or at December 31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 options), less the applicable exercise price.</w:t>
      </w:r>
    </w:p>
    <w:p>
      <w:pPr>
        <w:spacing w:after="0" w:line="78" w:lineRule="exact"/>
        <w:rPr>
          <w:sz w:val="20"/>
          <w:szCs w:val="20"/>
          <w:color w:val="auto"/>
        </w:rPr>
      </w:pPr>
    </w:p>
    <w:p>
      <w:pPr>
        <w:jc w:val="both"/>
        <w:ind w:right="280" w:firstLine="228"/>
        <w:spacing w:after="0" w:line="262" w:lineRule="auto"/>
        <w:rPr>
          <w:sz w:val="20"/>
          <w:szCs w:val="20"/>
          <w:color w:val="auto"/>
        </w:rPr>
      </w:pPr>
      <w:r>
        <w:rPr>
          <w:rFonts w:ascii="Times New Roman" w:cs="Times New Roman" w:eastAsia="Times New Roman" w:hAnsi="Times New Roman"/>
          <w:sz w:val="18"/>
          <w:szCs w:val="18"/>
          <w:color w:val="auto"/>
        </w:rPr>
        <w:t>Cash received from the exercise of options during the years ended December 31, 2014, 2013 and 2012 was approximately $11.0 million, $2.3 million, and $9,200, respectively. The weighted-average remaining contractual terms for options outstanding, vested and expected to vest, and exercisable at December 31, 2014 was 7.07 years, 7.06 years and 6.83 years, respectively.</w:t>
      </w:r>
    </w:p>
    <w:p>
      <w:pPr>
        <w:spacing w:after="0" w:line="5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A summary of restricted stock unit activity for the year ended December 31, 2014 is presented below:</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3"/>
              </w:rPr>
              <w:t>Weighted</w:t>
            </w:r>
          </w:p>
        </w:tc>
      </w:tr>
      <w:tr>
        <w:trPr>
          <w:trHeight w:val="149"/>
        </w:trPr>
        <w:tc>
          <w:tcPr>
            <w:tcW w:w="20" w:type="dxa"/>
            <w:vAlign w:val="bottom"/>
          </w:tcPr>
          <w:p>
            <w:pPr>
              <w:spacing w:after="0"/>
              <w:rPr>
                <w:sz w:val="12"/>
                <w:szCs w:val="12"/>
                <w:color w:val="auto"/>
              </w:rPr>
            </w:pPr>
          </w:p>
        </w:tc>
        <w:tc>
          <w:tcPr>
            <w:tcW w:w="9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2"/>
              </w:rPr>
              <w:t>Average</w:t>
            </w:r>
          </w:p>
        </w:tc>
      </w:tr>
      <w:tr>
        <w:trPr>
          <w:trHeight w:val="149"/>
        </w:trPr>
        <w:tc>
          <w:tcPr>
            <w:tcW w:w="20" w:type="dxa"/>
            <w:vAlign w:val="bottom"/>
          </w:tcPr>
          <w:p>
            <w:pPr>
              <w:spacing w:after="0"/>
              <w:rPr>
                <w:sz w:val="12"/>
                <w:szCs w:val="12"/>
                <w:color w:val="auto"/>
              </w:rPr>
            </w:pPr>
          </w:p>
        </w:tc>
        <w:tc>
          <w:tcPr>
            <w:tcW w:w="9280" w:type="dxa"/>
            <w:vAlign w:val="bottom"/>
          </w:tcPr>
          <w:p>
            <w:pPr>
              <w:spacing w:after="0"/>
              <w:rPr>
                <w:sz w:val="12"/>
                <w:szCs w:val="12"/>
                <w:color w:val="auto"/>
              </w:rPr>
            </w:pPr>
          </w:p>
        </w:tc>
        <w:tc>
          <w:tcPr>
            <w:tcW w:w="11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6"/>
              </w:rPr>
              <w:t>Number</w:t>
            </w:r>
          </w:p>
        </w:tc>
        <w:tc>
          <w:tcPr>
            <w:tcW w:w="240" w:type="dxa"/>
            <w:vAlign w:val="bottom"/>
          </w:tcPr>
          <w:p>
            <w:pPr>
              <w:spacing w:after="0"/>
              <w:rPr>
                <w:sz w:val="12"/>
                <w:szCs w:val="12"/>
                <w:color w:val="auto"/>
              </w:rPr>
            </w:pPr>
          </w:p>
        </w:tc>
        <w:tc>
          <w:tcPr>
            <w:tcW w:w="7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r>
      <w:tr>
        <w:trPr>
          <w:trHeight w:val="149"/>
        </w:trPr>
        <w:tc>
          <w:tcPr>
            <w:tcW w:w="20" w:type="dxa"/>
            <w:vAlign w:val="bottom"/>
          </w:tcPr>
          <w:p>
            <w:pPr>
              <w:spacing w:after="0"/>
              <w:rPr>
                <w:sz w:val="12"/>
                <w:szCs w:val="12"/>
                <w:color w:val="auto"/>
              </w:rPr>
            </w:pPr>
          </w:p>
        </w:tc>
        <w:tc>
          <w:tcPr>
            <w:tcW w:w="9280" w:type="dxa"/>
            <w:vAlign w:val="bottom"/>
          </w:tcPr>
          <w:p>
            <w:pPr>
              <w:spacing w:after="0"/>
              <w:rPr>
                <w:sz w:val="12"/>
                <w:szCs w:val="12"/>
                <w:color w:val="auto"/>
              </w:rPr>
            </w:pPr>
          </w:p>
        </w:tc>
        <w:tc>
          <w:tcPr>
            <w:tcW w:w="11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85"/>
              </w:rPr>
              <w:t>of</w:t>
            </w:r>
          </w:p>
        </w:tc>
        <w:tc>
          <w:tcPr>
            <w:tcW w:w="240" w:type="dxa"/>
            <w:vAlign w:val="bottom"/>
          </w:tcPr>
          <w:p>
            <w:pPr>
              <w:spacing w:after="0"/>
              <w:rPr>
                <w:sz w:val="12"/>
                <w:szCs w:val="12"/>
                <w:color w:val="auto"/>
              </w:rPr>
            </w:pPr>
          </w:p>
        </w:tc>
        <w:tc>
          <w:tcPr>
            <w:tcW w:w="76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3"/>
              </w:rPr>
              <w:t>Fair Value</w:t>
            </w:r>
          </w:p>
        </w:tc>
      </w:tr>
      <w:tr>
        <w:trPr>
          <w:trHeight w:val="165"/>
        </w:trPr>
        <w:tc>
          <w:tcPr>
            <w:tcW w:w="20" w:type="dxa"/>
            <w:vAlign w:val="bottom"/>
          </w:tcPr>
          <w:p>
            <w:pPr>
              <w:spacing w:after="0"/>
              <w:rPr>
                <w:sz w:val="14"/>
                <w:szCs w:val="14"/>
                <w:color w:val="auto"/>
              </w:rPr>
            </w:pPr>
          </w:p>
        </w:tc>
        <w:tc>
          <w:tcPr>
            <w:tcW w:w="9280" w:type="dxa"/>
            <w:vAlign w:val="bottom"/>
          </w:tcPr>
          <w:p>
            <w:pPr>
              <w:spacing w:after="0"/>
              <w:rPr>
                <w:sz w:val="14"/>
                <w:szCs w:val="14"/>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3"/>
              </w:rPr>
              <w:t>Shares</w:t>
            </w:r>
          </w:p>
        </w:tc>
        <w:tc>
          <w:tcPr>
            <w:tcW w:w="240" w:type="dxa"/>
            <w:vAlign w:val="bottom"/>
          </w:tcPr>
          <w:p>
            <w:pPr>
              <w:spacing w:after="0"/>
              <w:rPr>
                <w:sz w:val="14"/>
                <w:szCs w:val="14"/>
                <w:color w:val="auto"/>
              </w:rPr>
            </w:pPr>
          </w:p>
        </w:tc>
        <w:tc>
          <w:tcPr>
            <w:tcW w:w="76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5"/>
              </w:rPr>
              <w:t>per Share</w:t>
            </w:r>
          </w:p>
        </w:tc>
      </w:tr>
      <w:tr>
        <w:trPr>
          <w:trHeight w:val="210"/>
        </w:trPr>
        <w:tc>
          <w:tcPr>
            <w:tcW w:w="20" w:type="dxa"/>
            <w:vAlign w:val="bottom"/>
          </w:tcPr>
          <w:p>
            <w:pPr>
              <w:spacing w:after="0"/>
              <w:rPr>
                <w:sz w:val="18"/>
                <w:szCs w:val="18"/>
                <w:color w:val="auto"/>
              </w:rPr>
            </w:pPr>
          </w:p>
        </w:tc>
        <w:tc>
          <w:tcPr>
            <w:tcW w:w="9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January 1, 2014</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9,115,821</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Granted</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954,127</w:t>
            </w:r>
          </w:p>
        </w:tc>
        <w:tc>
          <w:tcPr>
            <w:tcW w:w="300" w:type="dxa"/>
            <w:vAlign w:val="bottom"/>
          </w:tcPr>
          <w:p>
            <w:pPr>
              <w:spacing w:after="0"/>
              <w:rPr>
                <w:sz w:val="18"/>
                <w:szCs w:val="18"/>
                <w:color w:val="auto"/>
              </w:rPr>
            </w:pPr>
          </w:p>
        </w:tc>
        <w:tc>
          <w:tcPr>
            <w:tcW w:w="3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Vested</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(6,982,707)</w:t>
            </w:r>
          </w:p>
        </w:tc>
        <w:tc>
          <w:tcPr>
            <w:tcW w:w="3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Forfeited</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(476,521)</w:t>
            </w:r>
          </w:p>
        </w:tc>
        <w:tc>
          <w:tcPr>
            <w:tcW w:w="3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2014</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2,610,720</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92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0" w:lineRule="exact"/>
        <w:rPr>
          <w:sz w:val="20"/>
          <w:szCs w:val="20"/>
          <w:color w:val="auto"/>
        </w:rPr>
      </w:pPr>
    </w:p>
    <w:p>
      <w:pPr>
        <w:ind w:right="320" w:firstLine="228"/>
        <w:spacing w:after="0" w:line="262" w:lineRule="auto"/>
        <w:rPr>
          <w:sz w:val="20"/>
          <w:szCs w:val="20"/>
          <w:color w:val="auto"/>
        </w:rPr>
      </w:pPr>
      <w:r>
        <w:rPr>
          <w:rFonts w:ascii="Times New Roman" w:cs="Times New Roman" w:eastAsia="Times New Roman" w:hAnsi="Times New Roman"/>
          <w:sz w:val="18"/>
          <w:szCs w:val="18"/>
          <w:color w:val="auto"/>
        </w:rPr>
        <w:t>The total restricted stock units expected to vest as of December 31, 2014 was 2,386,061 with a weighted average grant date fair value of $5.23. The total intrinsic value of restricted stock units expected to vest as of December 31, 2014 was $12.5 million. Intrinsic value of restricted stock units expected to vest is measured using the closing share price at December 31, 2014.</w:t>
      </w:r>
    </w:p>
    <w:p>
      <w:pPr>
        <w:spacing w:after="0" w:line="51" w:lineRule="exact"/>
        <w:rPr>
          <w:sz w:val="20"/>
          <w:szCs w:val="20"/>
          <w:color w:val="auto"/>
        </w:rPr>
      </w:pPr>
    </w:p>
    <w:p>
      <w:pPr>
        <w:ind w:right="60" w:firstLine="228"/>
        <w:spacing w:after="0" w:line="258" w:lineRule="auto"/>
        <w:rPr>
          <w:sz w:val="20"/>
          <w:szCs w:val="20"/>
          <w:color w:val="auto"/>
        </w:rPr>
      </w:pPr>
      <w:r>
        <w:rPr>
          <w:rFonts w:ascii="Times New Roman" w:cs="Times New Roman" w:eastAsia="Times New Roman" w:hAnsi="Times New Roman"/>
          <w:sz w:val="18"/>
          <w:szCs w:val="18"/>
          <w:color w:val="auto"/>
        </w:rPr>
        <w:t>Total intrinsic value of restricted stock units vested during the years ended December 31, 2014, 2013 and 2012 was $62.7 million, $13.9 million and $2.9 million, respectively. Intrinsic value of restricted stock units vested is measured using the closing share price on the day prior to the vest date. The total grant date fair value of restricted stock units vested during the years ended December 31, 2014, 2013 and 2012 was $36.4 million, $14.9 million and $3.0 million, respectively.</w:t>
      </w:r>
    </w:p>
    <w:p>
      <w:pPr>
        <w:spacing w:after="0" w:line="55" w:lineRule="exact"/>
        <w:rPr>
          <w:sz w:val="20"/>
          <w:szCs w:val="20"/>
          <w:color w:val="auto"/>
        </w:rPr>
      </w:pPr>
    </w:p>
    <w:p>
      <w:pPr>
        <w:ind w:right="520" w:firstLine="228"/>
        <w:spacing w:after="0" w:line="275" w:lineRule="auto"/>
        <w:rPr>
          <w:sz w:val="20"/>
          <w:szCs w:val="20"/>
          <w:color w:val="auto"/>
        </w:rPr>
      </w:pPr>
      <w:r>
        <w:rPr>
          <w:rFonts w:ascii="Times New Roman" w:cs="Times New Roman" w:eastAsia="Times New Roman" w:hAnsi="Times New Roman"/>
          <w:sz w:val="18"/>
          <w:szCs w:val="18"/>
          <w:color w:val="auto"/>
        </w:rPr>
        <w:t>As of December 31, 2014, there was $9.0 million and $10.6 million of unrecognized compensation expense related to options and restricted stock units, respectively, which is expected to be recognized over the weighted</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420"/>
          </w:cols>
          <w:pgMar w:left="240" w:top="455" w:right="239" w:bottom="1440" w:gutter="0" w:footer="0" w:header="0"/>
        </w:sectPr>
      </w:pPr>
    </w:p>
    <w:bookmarkStart w:id="94" w:name="page95"/>
    <w:bookmarkEnd w:id="9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MANNKIND CORPORATION AND SUBSIDIARIES</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14"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average vesting period of 2.9 years. The Company evaluates stock awards with performance conditions as to the probability that the performance conditions will be met and estimates the date at which the performance conditions will be met in order to properly recognize stock-based compensation expense over the requisite service period. As of December 31, 2014, all milestones are considered probable of achievement.</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Commitments and contingencies</w:t>
      </w:r>
    </w:p>
    <w:p>
      <w:pPr>
        <w:spacing w:after="0" w:line="90" w:lineRule="exact"/>
        <w:rPr>
          <w:sz w:val="20"/>
          <w:szCs w:val="20"/>
          <w:color w:val="auto"/>
        </w:rPr>
      </w:pPr>
    </w:p>
    <w:p>
      <w:pPr>
        <w:ind w:right="360" w:firstLine="228"/>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Operating Leases </w:t>
      </w:r>
      <w:r>
        <w:rPr>
          <w:rFonts w:ascii="Times New Roman" w:cs="Times New Roman" w:eastAsia="Times New Roman" w:hAnsi="Times New Roman"/>
          <w:sz w:val="18"/>
          <w:szCs w:val="18"/>
          <w:color w:val="auto"/>
        </w:rPr>
        <w:t>— The Company leases certain facilities and equipment under various operating leases, which expire at various dates through 2014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beyond. Future payments are deemed insignificant.</w:t>
      </w:r>
    </w:p>
    <w:p>
      <w:pPr>
        <w:spacing w:after="0" w:line="37" w:lineRule="exact"/>
        <w:rPr>
          <w:sz w:val="20"/>
          <w:szCs w:val="20"/>
          <w:color w:val="auto"/>
        </w:rPr>
      </w:pPr>
    </w:p>
    <w:p>
      <w:pPr>
        <w:ind w:right="280" w:firstLine="228"/>
        <w:spacing w:after="0" w:line="275" w:lineRule="auto"/>
        <w:rPr>
          <w:sz w:val="20"/>
          <w:szCs w:val="20"/>
          <w:color w:val="auto"/>
        </w:rPr>
      </w:pPr>
      <w:r>
        <w:rPr>
          <w:rFonts w:ascii="Times New Roman" w:cs="Times New Roman" w:eastAsia="Times New Roman" w:hAnsi="Times New Roman"/>
          <w:sz w:val="18"/>
          <w:szCs w:val="18"/>
          <w:color w:val="auto"/>
        </w:rPr>
        <w:t>Rent expense under all operating leases, including office space and equipment, for the years ended December 31, 2014, 2013, and 2012 was approximately $737,000, $645,000, and $675,000 respectively.</w:t>
      </w:r>
    </w:p>
    <w:p>
      <w:pPr>
        <w:spacing w:after="0" w:line="3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 xml:space="preserve">Leases </w:t>
      </w:r>
      <w:r>
        <w:rPr>
          <w:rFonts w:ascii="Times New Roman" w:cs="Times New Roman" w:eastAsia="Times New Roman" w:hAnsi="Times New Roman"/>
          <w:sz w:val="18"/>
          <w:szCs w:val="18"/>
          <w:color w:val="auto"/>
        </w:rPr>
        <w:t>— The Company’s capital leases were not material for the years ended December 31, 2014, 2013 and 2012.</w:t>
      </w:r>
    </w:p>
    <w:p>
      <w:pPr>
        <w:spacing w:after="0" w:line="90" w:lineRule="exact"/>
        <w:rPr>
          <w:sz w:val="20"/>
          <w:szCs w:val="20"/>
          <w:color w:val="auto"/>
        </w:rPr>
      </w:pPr>
    </w:p>
    <w:p>
      <w:pPr>
        <w:ind w:firstLine="22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Guarantees and Indemnifications </w:t>
      </w:r>
      <w:r>
        <w:rPr>
          <w:rFonts w:ascii="Times New Roman" w:cs="Times New Roman" w:eastAsia="Times New Roman" w:hAnsi="Times New Roman"/>
          <w:sz w:val="18"/>
          <w:szCs w:val="18"/>
          <w:color w:val="auto"/>
        </w:rPr>
        <w:t>— In the ordinary course of its business, the Company makes certain indemnities, commitments and guarantees under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it may be required to make payments in relation to certain transactions. The Company, as permitted under Delaware law and in accordance with its Bylaws, indemnifies its officers and directors for certain events or occurrences, subject to certain limits, while the officer or director is or was serving at the Company’s request in such capacity. The term of the indemnification period is for the officer’s or director’s lifetime. The maximum amount of potential future indemnification is unlimited; however, the Company has a director and officer insurance policy that may enable it to recover a portion of any future amounts paid. The Company believes the fair value of these indemnification agreements is minimal. The Company has not recorded any liability for these indemnities in the accompanying consolidated balance sheets. However, the Company accrues for losses for any known contingent liability, including those that may arise from indemnification provisions, when future payment is probable. No such losses have been recorded to date.</w:t>
      </w:r>
    </w:p>
    <w:p>
      <w:pPr>
        <w:spacing w:after="0" w:line="57" w:lineRule="exact"/>
        <w:rPr>
          <w:sz w:val="20"/>
          <w:szCs w:val="20"/>
          <w:color w:val="auto"/>
        </w:rPr>
      </w:pPr>
    </w:p>
    <w:p>
      <w:pPr>
        <w:ind w:firstLine="22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Litigation </w:t>
      </w:r>
      <w:r>
        <w:rPr>
          <w:rFonts w:ascii="Times New Roman" w:cs="Times New Roman" w:eastAsia="Times New Roman" w:hAnsi="Times New Roman"/>
          <w:sz w:val="18"/>
          <w:szCs w:val="18"/>
          <w:color w:val="auto"/>
        </w:rPr>
        <w:t>— The Company is subject to legal proceedings and claims which arise in the ordinary course of its business. As of December 31, 2014,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Company believes that the final disposition of such matters will not have a material adverse effect on the financial position, results of operations or cash flows of the Company and no accrual has been recorded. The Company maintains liability insurance coverage to protect the Company’s assets from losses arising out of or involving activities associated with ongoing and normal business operations. In accordance with ASC 450 </w:t>
      </w:r>
      <w:r>
        <w:rPr>
          <w:rFonts w:ascii="Times New Roman" w:cs="Times New Roman" w:eastAsia="Times New Roman" w:hAnsi="Times New Roman"/>
          <w:sz w:val="18"/>
          <w:szCs w:val="18"/>
          <w:i w:val="1"/>
          <w:iCs w:val="1"/>
          <w:color w:val="auto"/>
        </w:rPr>
        <w:t>Contingencies</w:t>
      </w:r>
      <w:r>
        <w:rPr>
          <w:rFonts w:ascii="Times New Roman" w:cs="Times New Roman" w:eastAsia="Times New Roman" w:hAnsi="Times New Roman"/>
          <w:sz w:val="18"/>
          <w:szCs w:val="18"/>
          <w:color w:val="auto"/>
        </w:rPr>
        <w:t>, the Company records a provision for a liability when it is both probable that a liability has been incurred and the amount of the loss can be reasonably estimated. The Company’s policy is to accrue for legal expenses in connection with legal proceeding and claims as they are incurred.</w:t>
      </w:r>
    </w:p>
    <w:p>
      <w:pPr>
        <w:spacing w:after="0" w:line="58" w:lineRule="exact"/>
        <w:rPr>
          <w:sz w:val="20"/>
          <w:szCs w:val="20"/>
          <w:color w:val="auto"/>
        </w:rPr>
      </w:pPr>
    </w:p>
    <w:p>
      <w:pPr>
        <w:ind w:right="40" w:firstLine="22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Contingencies — </w:t>
      </w:r>
      <w:r>
        <w:rPr>
          <w:rFonts w:ascii="Times New Roman" w:cs="Times New Roman" w:eastAsia="Times New Roman" w:hAnsi="Times New Roman"/>
          <w:sz w:val="18"/>
          <w:szCs w:val="18"/>
          <w:color w:val="auto"/>
        </w:rPr>
        <w:t>In connection with the Facility Agreement, on July 1, 2013 the Company also entered into a Milestone Rights Purchase Agreement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“Milestone Agreement”) with Deerfield Private Design Fund and Horizon Santé FLML SÁRL (collectively, the “Milestone Purchasers”), pursuant to which the Company sold the Milestone Purchasers certain rights (the “Milestone Rights”) to receive payments of up to $90.0 million upon the occurrence of specified strategic and sales milestones, including the first commercial sale of an AFREZZA product in the United States and the achievement of specified net sales figures (see Note 17 – Facility Agreement).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Employee benefit plans</w:t>
      </w:r>
    </w:p>
    <w:p>
      <w:pPr>
        <w:spacing w:after="0" w:line="92" w:lineRule="exact"/>
        <w:rPr>
          <w:sz w:val="20"/>
          <w:szCs w:val="20"/>
          <w:color w:val="auto"/>
        </w:rPr>
      </w:pPr>
    </w:p>
    <w:p>
      <w:pPr>
        <w:ind w:right="220" w:firstLine="228"/>
        <w:spacing w:after="0" w:line="275" w:lineRule="auto"/>
        <w:rPr>
          <w:sz w:val="20"/>
          <w:szCs w:val="20"/>
          <w:color w:val="auto"/>
        </w:rPr>
      </w:pPr>
      <w:r>
        <w:rPr>
          <w:rFonts w:ascii="Times New Roman" w:cs="Times New Roman" w:eastAsia="Times New Roman" w:hAnsi="Times New Roman"/>
          <w:sz w:val="18"/>
          <w:szCs w:val="18"/>
          <w:color w:val="auto"/>
        </w:rPr>
        <w:t>The Company administers a 401(k) Savings Retirement Plan (the “MannKind Retirement Plan”) for its employees. For the years ended December 31, 2014, 2013, and 2012, the Company contributed $623,000, $533,000, and $571,000 respectively, to the MannKind Retirement Plan.</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420"/>
          </w:cols>
          <w:pgMar w:left="240" w:top="455" w:right="239" w:bottom="1440" w:gutter="0" w:footer="0" w:header="0"/>
        </w:sectPr>
      </w:pPr>
    </w:p>
    <w:bookmarkStart w:id="95" w:name="page96"/>
    <w:bookmarkEnd w:id="9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MANNKIND CORPORATION AND SUBSIDIARIES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Income taxes</w:t>
      </w:r>
    </w:p>
    <w:p>
      <w:pPr>
        <w:spacing w:after="0" w:line="92" w:lineRule="exact"/>
        <w:rPr>
          <w:sz w:val="20"/>
          <w:szCs w:val="20"/>
          <w:color w:val="auto"/>
        </w:rPr>
      </w:pPr>
    </w:p>
    <w:p>
      <w:pPr>
        <w:ind w:right="280" w:firstLine="228"/>
        <w:spacing w:after="0" w:line="262" w:lineRule="auto"/>
        <w:rPr>
          <w:sz w:val="20"/>
          <w:szCs w:val="20"/>
          <w:color w:val="auto"/>
        </w:rPr>
      </w:pPr>
      <w:r>
        <w:rPr>
          <w:rFonts w:ascii="Times New Roman" w:cs="Times New Roman" w:eastAsia="Times New Roman" w:hAnsi="Times New Roman"/>
          <w:sz w:val="18"/>
          <w:szCs w:val="18"/>
          <w:color w:val="auto"/>
        </w:rPr>
        <w:t>There is no provision for income taxes because the Company has incurred operating losses since inception. At December 31, 2014, the Company has concluded that it is more likely than not that the Company may not realize the benefit of its deferred tax assets due to its history of losses. Accordingly, the net deferred tax assets have been fully reserved. The provision for income taxes consists of the following (in thousands):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8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8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4"/>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20" w:type="dxa"/>
            <w:vAlign w:val="bottom"/>
            <w:tcBorders>
              <w:bottom w:val="single" w:sz="8" w:color="CCEEFF"/>
            </w:tcBorders>
          </w:tcPr>
          <w:p>
            <w:pPr>
              <w:spacing w:after="0"/>
              <w:rPr>
                <w:sz w:val="12"/>
                <w:szCs w:val="12"/>
                <w:color w:val="auto"/>
              </w:rPr>
            </w:pPr>
          </w:p>
        </w:tc>
        <w:tc>
          <w:tcPr>
            <w:tcW w:w="5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94"/>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60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r>
      <w:tr>
        <w:trPr>
          <w:trHeight w:val="196"/>
        </w:trPr>
        <w:tc>
          <w:tcPr>
            <w:tcW w:w="78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Current</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U.S. federal</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U.S. state</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Non-U.S.</w:t>
            </w:r>
          </w:p>
        </w:tc>
        <w:tc>
          <w:tcPr>
            <w:tcW w:w="1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current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2"/>
        </w:trPr>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Deferred</w:t>
            </w: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7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U.S. federal</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57,873</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59,379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51,540</w:t>
            </w:r>
          </w:p>
        </w:tc>
      </w:tr>
      <w:tr>
        <w:trPr>
          <w:trHeight w:val="216"/>
        </w:trPr>
        <w:tc>
          <w:tcPr>
            <w:tcW w:w="7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U.S. state</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7,631</w:t>
            </w: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7,470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9,199</w:t>
            </w:r>
          </w:p>
        </w:tc>
      </w:tr>
      <w:tr>
        <w:trPr>
          <w:trHeight w:val="216"/>
        </w:trPr>
        <w:tc>
          <w:tcPr>
            <w:tcW w:w="7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Non-U.S.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Valuation Allowance</w:t>
            </w: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4"/>
              </w:rPr>
              <w:t>(65,504)</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w w:val="97"/>
              </w:rPr>
              <w:t>(66,849)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7"/>
              </w:rPr>
              <w:t>(60,739)</w:t>
            </w:r>
          </w:p>
        </w:tc>
      </w:tr>
      <w:tr>
        <w:trPr>
          <w:trHeight w:val="27"/>
        </w:trPr>
        <w:tc>
          <w:tcPr>
            <w:tcW w:w="7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deferred</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r>
      <w:tr>
        <w:trPr>
          <w:trHeight w:val="20"/>
        </w:trPr>
        <w:tc>
          <w:tcPr>
            <w:tcW w:w="7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0" w:lineRule="exact"/>
        <w:rPr>
          <w:sz w:val="20"/>
          <w:szCs w:val="20"/>
          <w:color w:val="auto"/>
        </w:rPr>
      </w:pPr>
    </w:p>
    <w:p>
      <w:pPr>
        <w:ind w:right="60" w:firstLine="228"/>
        <w:spacing w:after="0" w:line="262" w:lineRule="auto"/>
        <w:rPr>
          <w:sz w:val="20"/>
          <w:szCs w:val="20"/>
          <w:color w:val="auto"/>
        </w:rPr>
      </w:pPr>
      <w:r>
        <w:rPr>
          <w:rFonts w:ascii="Times New Roman" w:cs="Times New Roman" w:eastAsia="Times New Roman" w:hAnsi="Times New Roman"/>
          <w:sz w:val="18"/>
          <w:szCs w:val="18"/>
          <w:color w:val="auto"/>
        </w:rPr>
        <w:t>Deferred income taxes reflect the tax effects of temporary differences between the carrying amounts of assets and liabilities for financial reporting and income tax purposes. A valuation allowance is established when uncertainty exists as to whether all or a portion of the net deferred tax assets will be realized. Components of the net deferred tax asset as of December 31, 2014 and 2013 are approximately as follows (in thousands):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9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20" w:type="dxa"/>
            <w:vAlign w:val="bottom"/>
            <w:gridSpan w:val="7"/>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94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5"/>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r>
      <w:tr>
        <w:trPr>
          <w:trHeight w:val="196"/>
        </w:trPr>
        <w:tc>
          <w:tcPr>
            <w:tcW w:w="94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Deferred tax assets: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9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699,997</w:t>
            </w:r>
          </w:p>
        </w:tc>
        <w:tc>
          <w:tcPr>
            <w:tcW w:w="22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653,896</w:t>
            </w:r>
          </w:p>
        </w:tc>
      </w:tr>
      <w:tr>
        <w:trPr>
          <w:trHeight w:val="216"/>
        </w:trPr>
        <w:tc>
          <w:tcPr>
            <w:tcW w:w="9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Research and development credits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73,227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70,091</w:t>
            </w:r>
          </w:p>
        </w:tc>
      </w:tr>
      <w:tr>
        <w:trPr>
          <w:trHeight w:val="216"/>
        </w:trPr>
        <w:tc>
          <w:tcPr>
            <w:tcW w:w="9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Capitalized research</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28,516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30,421</w:t>
            </w:r>
          </w:p>
        </w:tc>
      </w:tr>
      <w:tr>
        <w:trPr>
          <w:trHeight w:val="216"/>
        </w:trPr>
        <w:tc>
          <w:tcPr>
            <w:tcW w:w="9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Payments from collaboration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19,217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Milestone Rights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5,321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6,608</w:t>
            </w:r>
          </w:p>
        </w:tc>
      </w:tr>
      <w:tr>
        <w:trPr>
          <w:trHeight w:val="216"/>
        </w:trPr>
        <w:tc>
          <w:tcPr>
            <w:tcW w:w="9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Accrued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768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3,578</w:t>
            </w:r>
          </w:p>
        </w:tc>
      </w:tr>
      <w:tr>
        <w:trPr>
          <w:trHeight w:val="216"/>
        </w:trPr>
        <w:tc>
          <w:tcPr>
            <w:tcW w:w="9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Non-qualified stock option expense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43,691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41,219</w:t>
            </w:r>
          </w:p>
        </w:tc>
      </w:tr>
      <w:tr>
        <w:trPr>
          <w:trHeight w:val="216"/>
        </w:trPr>
        <w:tc>
          <w:tcPr>
            <w:tcW w:w="9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Capitalized patent costs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8,624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7,811</w:t>
            </w:r>
          </w:p>
        </w:tc>
      </w:tr>
      <w:tr>
        <w:trPr>
          <w:trHeight w:val="216"/>
        </w:trPr>
        <w:tc>
          <w:tcPr>
            <w:tcW w:w="9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837</w:t>
            </w:r>
          </w:p>
        </w:tc>
      </w:tr>
      <w:tr>
        <w:trPr>
          <w:trHeight w:val="216"/>
        </w:trPr>
        <w:tc>
          <w:tcPr>
            <w:tcW w:w="9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3,010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2,539</w:t>
            </w:r>
          </w:p>
        </w:tc>
      </w:tr>
      <w:tr>
        <w:trPr>
          <w:trHeight w:val="223"/>
        </w:trPr>
        <w:tc>
          <w:tcPr>
            <w:tcW w:w="9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net deferred tax assets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882,502</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817,000</w:t>
            </w:r>
          </w:p>
        </w:tc>
        <w:tc>
          <w:tcPr>
            <w:tcW w:w="100" w:type="dxa"/>
            <w:vAlign w:val="bottom"/>
          </w:tcPr>
          <w:p>
            <w:pPr>
              <w:spacing w:after="0"/>
              <w:rPr>
                <w:sz w:val="19"/>
                <w:szCs w:val="19"/>
                <w:color w:val="auto"/>
              </w:rPr>
            </w:pPr>
          </w:p>
        </w:tc>
      </w:tr>
      <w:tr>
        <w:trPr>
          <w:trHeight w:val="217"/>
        </w:trPr>
        <w:tc>
          <w:tcPr>
            <w:tcW w:w="9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Valuation allowance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6"/>
              </w:rPr>
              <w:t>(882,502)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6"/>
              </w:rPr>
              <w:t>(817,000)</w:t>
            </w:r>
          </w:p>
        </w:tc>
      </w:tr>
      <w:tr>
        <w:trPr>
          <w:trHeight w:val="223"/>
        </w:trPr>
        <w:tc>
          <w:tcPr>
            <w:tcW w:w="9400" w:type="dxa"/>
            <w:vAlign w:val="bottom"/>
          </w:tcPr>
          <w:p>
            <w:pPr>
              <w:spacing w:after="0"/>
              <w:rPr>
                <w:sz w:val="20"/>
                <w:szCs w:val="20"/>
                <w:color w:val="auto"/>
              </w:rPr>
            </w:pPr>
            <w:r>
              <w:rPr>
                <w:rFonts w:ascii="Times New Roman" w:cs="Times New Roman" w:eastAsia="Times New Roman" w:hAnsi="Times New Roman"/>
                <w:sz w:val="18"/>
                <w:szCs w:val="18"/>
                <w:color w:val="auto"/>
              </w:rPr>
              <w:t>Net deferred tax assets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r>
      <w:tr>
        <w:trPr>
          <w:trHeight w:val="20"/>
        </w:trPr>
        <w:tc>
          <w:tcPr>
            <w:tcW w:w="9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1" w:lineRule="exact"/>
        <w:rPr>
          <w:sz w:val="20"/>
          <w:szCs w:val="20"/>
          <w:color w:val="auto"/>
        </w:rPr>
      </w:pPr>
    </w:p>
    <w:p>
      <w:pPr>
        <w:ind w:right="280" w:firstLine="228"/>
        <w:spacing w:after="0" w:line="258" w:lineRule="auto"/>
        <w:rPr>
          <w:sz w:val="20"/>
          <w:szCs w:val="20"/>
          <w:color w:val="auto"/>
        </w:rPr>
      </w:pPr>
      <w:r>
        <w:rPr>
          <w:rFonts w:ascii="Times New Roman" w:cs="Times New Roman" w:eastAsia="Times New Roman" w:hAnsi="Times New Roman"/>
          <w:sz w:val="18"/>
          <w:szCs w:val="18"/>
          <w:color w:val="auto"/>
        </w:rPr>
        <w:t>As a result of certain realization requirements of ASC 718, the table of deferred tax assets and liabilities does not include certain deferred tax assets as of December 31, 2014 that arose directly from tax deductions related to equity compensation which are greater than the compensation recognized for financial reporting. Equity would be increased by $18.3 million if and when such deferred tax assets are ultimately realized. The Company use ASC 740 ordering when determining when excess tax benefits have been realized.</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420"/>
          </w:cols>
          <w:pgMar w:left="240" w:top="455" w:right="239" w:bottom="1440" w:gutter="0" w:footer="0" w:header="0"/>
        </w:sectPr>
      </w:pPr>
    </w:p>
    <w:bookmarkStart w:id="96" w:name="page97"/>
    <w:bookmarkEnd w:id="9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MANNKIND CORPORATION AND SUBSIDIARIES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1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The Company’s effective income tax rate differs from the statutory federal income tax rate as follows for the years ended December 31, 2014, 2013 and 2012:</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89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90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4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50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 tax benefit rate</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35.0%</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35.0%</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35.0%</w:t>
            </w: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Times New Roman" w:cs="Times New Roman" w:eastAsia="Times New Roman" w:hAnsi="Times New Roman"/>
                <w:sz w:val="18"/>
                <w:szCs w:val="18"/>
                <w:color w:val="auto"/>
              </w:rPr>
              <w:t>State tax benefit, net of federal benefit</w:t>
            </w: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9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Permanent items</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Times New Roman" w:cs="Times New Roman" w:eastAsia="Times New Roman" w:hAnsi="Times New Roman"/>
                <w:sz w:val="18"/>
                <w:szCs w:val="18"/>
                <w:color w:val="auto"/>
              </w:rPr>
              <w:t>Intercompany transfer of intellectual property</w:t>
            </w: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(4.1)</w:t>
            </w:r>
          </w:p>
        </w:tc>
        <w:tc>
          <w:tcPr>
            <w:tcW w:w="122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(4.3)</w:t>
            </w: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(31.8)</w:t>
            </w:r>
          </w:p>
        </w:tc>
        <w:tc>
          <w:tcPr>
            <w:tcW w:w="122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(30.7)</w:t>
            </w: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(31.0)</w:t>
            </w:r>
          </w:p>
        </w:tc>
        <w:tc>
          <w:tcPr>
            <w:tcW w:w="0" w:type="dxa"/>
            <w:vAlign w:val="bottom"/>
          </w:tcPr>
          <w:p>
            <w:pPr>
              <w:spacing w:after="0"/>
              <w:rPr>
                <w:sz w:val="1"/>
                <w:szCs w:val="1"/>
                <w:color w:val="auto"/>
              </w:rPr>
            </w:pPr>
          </w:p>
        </w:tc>
      </w:tr>
      <w:tr>
        <w:trPr>
          <w:trHeight w:val="20"/>
        </w:trPr>
        <w:tc>
          <w:tcPr>
            <w:tcW w:w="89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Effective income tax rate</w:t>
            </w:r>
          </w:p>
        </w:tc>
        <w:tc>
          <w:tcPr>
            <w:tcW w:w="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900" w:type="dxa"/>
            <w:vAlign w:val="bottom"/>
            <w:vMerge w:val="continue"/>
          </w:tcPr>
          <w:p>
            <w:pPr>
              <w:spacing w:after="0"/>
              <w:rPr>
                <w:sz w:val="19"/>
                <w:szCs w:val="19"/>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0.0%</w:t>
            </w:r>
          </w:p>
        </w:tc>
        <w:tc>
          <w:tcPr>
            <w:tcW w:w="280" w:type="dxa"/>
            <w:vAlign w:val="bottom"/>
            <w:vMerge w:val="continue"/>
          </w:tcPr>
          <w:p>
            <w:pPr>
              <w:spacing w:after="0"/>
              <w:rPr>
                <w:sz w:val="19"/>
                <w:szCs w:val="19"/>
                <w:color w:val="auto"/>
              </w:rPr>
            </w:pPr>
          </w:p>
        </w:tc>
        <w:tc>
          <w:tcPr>
            <w:tcW w:w="9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0.0%</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0"/>
        </w:trPr>
        <w:tc>
          <w:tcPr>
            <w:tcW w:w="89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8" w:lineRule="exact"/>
        <w:rPr>
          <w:sz w:val="20"/>
          <w:szCs w:val="20"/>
          <w:color w:val="auto"/>
        </w:rPr>
      </w:pPr>
    </w:p>
    <w:p>
      <w:pPr>
        <w:ind w:right="320" w:firstLine="228"/>
        <w:spacing w:after="0" w:line="297" w:lineRule="auto"/>
        <w:rPr>
          <w:sz w:val="20"/>
          <w:szCs w:val="20"/>
          <w:color w:val="auto"/>
        </w:rPr>
      </w:pPr>
      <w:r>
        <w:rPr>
          <w:rFonts w:ascii="Times New Roman" w:cs="Times New Roman" w:eastAsia="Times New Roman" w:hAnsi="Times New Roman"/>
          <w:sz w:val="16"/>
          <w:szCs w:val="16"/>
          <w:color w:val="auto"/>
        </w:rPr>
        <w:t xml:space="preserve">As required by ASC 740 </w:t>
      </w:r>
      <w:r>
        <w:rPr>
          <w:rFonts w:ascii="Times New Roman" w:cs="Times New Roman" w:eastAsia="Times New Roman" w:hAnsi="Times New Roman"/>
          <w:sz w:val="16"/>
          <w:szCs w:val="16"/>
          <w:i w:val="1"/>
          <w:iCs w:val="1"/>
          <w:color w:val="auto"/>
        </w:rPr>
        <w:t>Income Taxes</w:t>
      </w:r>
      <w:r>
        <w:rPr>
          <w:rFonts w:ascii="Times New Roman" w:cs="Times New Roman" w:eastAsia="Times New Roman" w:hAnsi="Times New Roman"/>
          <w:sz w:val="16"/>
          <w:szCs w:val="16"/>
          <w:color w:val="auto"/>
        </w:rPr>
        <w:t xml:space="preserve"> (“ASC 740”), formerly FASB Statement No. 109 </w:t>
      </w:r>
      <w:r>
        <w:rPr>
          <w:rFonts w:ascii="Times New Roman" w:cs="Times New Roman" w:eastAsia="Times New Roman" w:hAnsi="Times New Roman"/>
          <w:sz w:val="16"/>
          <w:szCs w:val="16"/>
          <w:i w:val="1"/>
          <w:iCs w:val="1"/>
          <w:color w:val="auto"/>
        </w:rPr>
        <w:t>Accounting for Income Taxes,</w:t>
      </w:r>
      <w:r>
        <w:rPr>
          <w:rFonts w:ascii="Times New Roman" w:cs="Times New Roman" w:eastAsia="Times New Roman" w:hAnsi="Times New Roman"/>
          <w:sz w:val="16"/>
          <w:szCs w:val="16"/>
          <w:color w:val="auto"/>
        </w:rPr>
        <w:t xml:space="preserve"> management of the Company has evaluated the positive and negative evidence bearing upon the realizability of its deferred tax assets. Management has concluded, in accordance with the applicable accounting standards, that it is more likely than not that the Company may not realize the benefit of its deferred tax assets. Accordingly, the net deferred tax assets have been fully reserved. Management reevaluates the positive and negative evidence on an annual basis. During the years ended December 31, 2014, 2013 and 2012, the change in the valuation allowance was $65.5 million, $66.8 million and $60.7 million, respectively, for income taxes.</w:t>
      </w:r>
    </w:p>
    <w:p>
      <w:pPr>
        <w:spacing w:after="0" w:line="25" w:lineRule="exact"/>
        <w:rPr>
          <w:sz w:val="20"/>
          <w:szCs w:val="20"/>
          <w:color w:val="auto"/>
        </w:rPr>
      </w:pPr>
    </w:p>
    <w:p>
      <w:pPr>
        <w:ind w:right="40" w:firstLine="228"/>
        <w:spacing w:after="0" w:line="253" w:lineRule="auto"/>
        <w:rPr>
          <w:sz w:val="20"/>
          <w:szCs w:val="20"/>
          <w:color w:val="auto"/>
        </w:rPr>
      </w:pPr>
      <w:r>
        <w:rPr>
          <w:rFonts w:ascii="Times New Roman" w:cs="Times New Roman" w:eastAsia="Times New Roman" w:hAnsi="Times New Roman"/>
          <w:sz w:val="18"/>
          <w:szCs w:val="18"/>
          <w:color w:val="auto"/>
        </w:rPr>
        <w:t>At December 31, 2014, the Company had federal and state net operating loss carryforwards of approximately $1.8 billion and $1.4 billion available, respectively, to reduce future taxable income and which will expire at various dates beginning in 2018 and 2015, respectively. As a result of the Company’s initial public offering, an ownership change within the meaning of Internal Revenue Code Section 382 occurred in August 2004. As a result, federal net operating loss and credit carry forwards of approximately $216.0 million are subject to an annual use limitation of approximately $13.0 million. The annual limitation is cumulative and therefore, if not fully utilized in a year can be utilized in future years in addition to the Section 382 limitation for those years. The federal net operating losses generated subsequent to the Company’s initial public offering in August 2004 are currently not subject to any such limitation as there have been no ownership changes since August 2004 within the meaning of Internal Revenue Code Section 382. At December 31, 2014, the Company had research and development credits of $48.0 million and $39.0 million for federal and state purposes, respectively. The federal credits begin to expire in 2024, and the state credits may be carried forward indefinitely.</w:t>
      </w:r>
    </w:p>
    <w:p>
      <w:pPr>
        <w:spacing w:after="0" w:line="60" w:lineRule="exact"/>
        <w:rPr>
          <w:sz w:val="20"/>
          <w:szCs w:val="20"/>
          <w:color w:val="auto"/>
        </w:rPr>
      </w:pPr>
    </w:p>
    <w:p>
      <w:pPr>
        <w:ind w:right="60" w:firstLine="228"/>
        <w:spacing w:after="0" w:line="287" w:lineRule="auto"/>
        <w:rPr>
          <w:sz w:val="20"/>
          <w:szCs w:val="20"/>
          <w:color w:val="auto"/>
        </w:rPr>
      </w:pPr>
      <w:r>
        <w:rPr>
          <w:rFonts w:ascii="Times New Roman" w:cs="Times New Roman" w:eastAsia="Times New Roman" w:hAnsi="Times New Roman"/>
          <w:sz w:val="16"/>
          <w:szCs w:val="16"/>
          <w:color w:val="auto"/>
        </w:rPr>
        <w:t xml:space="preserve">The Company has evaluated the impact of ASC 740, previously FIN 48 </w:t>
      </w:r>
      <w:r>
        <w:rPr>
          <w:rFonts w:ascii="Times New Roman" w:cs="Times New Roman" w:eastAsia="Times New Roman" w:hAnsi="Times New Roman"/>
          <w:sz w:val="16"/>
          <w:szCs w:val="16"/>
          <w:i w:val="1"/>
          <w:iCs w:val="1"/>
          <w:color w:val="auto"/>
        </w:rPr>
        <w:t>Accounting for Uncertainty in Income Taxes</w:t>
      </w:r>
      <w:r>
        <w:rPr>
          <w:rFonts w:ascii="Times New Roman" w:cs="Times New Roman" w:eastAsia="Times New Roman" w:hAnsi="Times New Roman"/>
          <w:sz w:val="16"/>
          <w:szCs w:val="16"/>
          <w:color w:val="auto"/>
        </w:rPr>
        <w:t>, on its financial statements, which was effective beginning January 1, 2007. The evaluation of a tax position in accordance with this guidance is a two-step process. The first step is recognition: the enterprise determines whether it is more-likely-than-not that a tax position will be sustained upon examination, including resolution of any related appeals or litigation processes, based on the technical merits of the position. In evaluating whether a tax position has met the more-likely-than-not recognition threshold, the enterprise should presume that the position will be examined by the appropriate taxing authority that would have full knowledge of all relevant information. The second step is measurement: a tax position that meets the more-likely-than-not recognition threshold is measured to determine the amount of benefit to recognize in the financial statements. The tax position is measured at the largest amount of benefit that is greater than 50 percent likely of being realized upon ultimate settlement. Tax positions that previously failed to meet the more-likely-than-not recognition threshold should be recognized in the first subsequent financial reporting period in which that threshold is met. Previously recognized tax positions that no longer meet the more-likely-than-not recognition threshold should be derecognized in the first subsequent financial reporting period in which that threshold is no longer met. The Company believes that its income tax filing positions and deductions will be sustained on audit and does not anticipate any adjustments that will result in a material change to its financial position. Therefore,</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420"/>
          </w:cols>
          <w:pgMar w:left="240" w:top="455" w:right="239" w:bottom="1440" w:gutter="0" w:footer="0" w:header="0"/>
        </w:sectPr>
      </w:pPr>
    </w:p>
    <w:bookmarkStart w:id="97" w:name="page98"/>
    <w:bookmarkEnd w:id="9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MANNKIND CORPORATION AND SUBSIDIARIES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14" w:lineRule="exact"/>
        <w:rPr>
          <w:sz w:val="20"/>
          <w:szCs w:val="20"/>
          <w:color w:val="auto"/>
        </w:rPr>
      </w:pPr>
    </w:p>
    <w:p>
      <w:pPr>
        <w:ind w:right="200"/>
        <w:spacing w:after="0" w:line="275" w:lineRule="auto"/>
        <w:rPr>
          <w:sz w:val="20"/>
          <w:szCs w:val="20"/>
          <w:color w:val="auto"/>
        </w:rPr>
      </w:pPr>
      <w:r>
        <w:rPr>
          <w:rFonts w:ascii="Times New Roman" w:cs="Times New Roman" w:eastAsia="Times New Roman" w:hAnsi="Times New Roman"/>
          <w:sz w:val="18"/>
          <w:szCs w:val="18"/>
          <w:color w:val="auto"/>
        </w:rPr>
        <w:t>no liabilities for uncertain income tax positions have been recorded. Tax years since 2002 remain subject to examination by the major tax jurisdictions in which the Company is subject to tax.</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Facility Agreement</w:t>
      </w:r>
    </w:p>
    <w:p>
      <w:pPr>
        <w:spacing w:after="0" w:line="92" w:lineRule="exact"/>
        <w:rPr>
          <w:sz w:val="20"/>
          <w:szCs w:val="20"/>
          <w:color w:val="auto"/>
        </w:rPr>
      </w:pPr>
    </w:p>
    <w:p>
      <w:pPr>
        <w:ind w:right="100" w:firstLine="228"/>
        <w:spacing w:after="0" w:line="258" w:lineRule="auto"/>
        <w:rPr>
          <w:sz w:val="20"/>
          <w:szCs w:val="20"/>
          <w:color w:val="auto"/>
        </w:rPr>
      </w:pPr>
      <w:r>
        <w:rPr>
          <w:rFonts w:ascii="Times New Roman" w:cs="Times New Roman" w:eastAsia="Times New Roman" w:hAnsi="Times New Roman"/>
          <w:sz w:val="18"/>
          <w:szCs w:val="18"/>
          <w:color w:val="auto"/>
        </w:rPr>
        <w:t>Under the Facility Agreement, which was initially entered into in 2013 between the Company and Deerfield, the Company borrowed a total of $180.0 million through the issuance of multiple tranches of notes during 2013 and 2014. In addition to the $6.5 million of principal that was converted during 2013, Deerfield elected to convert an additional $93.5 million of principal into shares of the Company’s common stock during 2014 which was recorded net of discount and debt issuance costs of $6.8 million.</w:t>
      </w:r>
    </w:p>
    <w:p>
      <w:pPr>
        <w:spacing w:after="0" w:line="55" w:lineRule="exact"/>
        <w:rPr>
          <w:sz w:val="20"/>
          <w:szCs w:val="20"/>
          <w:color w:val="auto"/>
        </w:rPr>
      </w:pPr>
    </w:p>
    <w:p>
      <w:pPr>
        <w:ind w:right="100" w:firstLine="228"/>
        <w:spacing w:after="0" w:line="258" w:lineRule="auto"/>
        <w:rPr>
          <w:sz w:val="20"/>
          <w:szCs w:val="20"/>
          <w:color w:val="auto"/>
        </w:rPr>
      </w:pPr>
      <w:r>
        <w:rPr>
          <w:rFonts w:ascii="Times New Roman" w:cs="Times New Roman" w:eastAsia="Times New Roman" w:hAnsi="Times New Roman"/>
          <w:sz w:val="18"/>
          <w:szCs w:val="18"/>
          <w:color w:val="auto"/>
        </w:rPr>
        <w:t>The Facility Agreement principal repayment schedule is comprised of payments beginning on the third anniversary of each issued tranche commencing on July 1, 2016 and ending December 9, 2019, for a total amount of $80.0 million. There are no principal payments to be made for the year ended December 31, 2015. Future principal payments for the years ended December 31, 2016, 2017, 2018, and 2019 are $5.0 million, $20.0 million, $20.0 million, and $35.0 million, respectively.</w:t>
      </w:r>
    </w:p>
    <w:p>
      <w:pPr>
        <w:spacing w:after="0" w:line="55" w:lineRule="exact"/>
        <w:rPr>
          <w:sz w:val="20"/>
          <w:szCs w:val="20"/>
          <w:color w:val="auto"/>
        </w:rPr>
      </w:pPr>
    </w:p>
    <w:p>
      <w:pPr>
        <w:ind w:right="520" w:firstLine="228"/>
        <w:spacing w:after="0" w:line="275" w:lineRule="auto"/>
        <w:rPr>
          <w:sz w:val="20"/>
          <w:szCs w:val="20"/>
          <w:color w:val="auto"/>
        </w:rPr>
      </w:pPr>
      <w:r>
        <w:rPr>
          <w:rFonts w:ascii="Times New Roman" w:cs="Times New Roman" w:eastAsia="Times New Roman" w:hAnsi="Times New Roman"/>
          <w:sz w:val="18"/>
          <w:szCs w:val="18"/>
          <w:color w:val="auto"/>
        </w:rPr>
        <w:t>As of December 31, 2014, the total principal amount outstanding related to the 2019 notes is $60.0 million with a fixed interest rate of 9.75% and $20.0 million debt related to the Tranche B notes at a fixed interest rate of 8.75%.</w:t>
      </w:r>
    </w:p>
    <w:p>
      <w:pPr>
        <w:spacing w:after="0" w:line="39" w:lineRule="exact"/>
        <w:rPr>
          <w:sz w:val="20"/>
          <w:szCs w:val="20"/>
          <w:color w:val="auto"/>
        </w:rPr>
      </w:pPr>
    </w:p>
    <w:p>
      <w:pPr>
        <w:ind w:right="100" w:firstLine="228"/>
        <w:spacing w:after="0" w:line="255" w:lineRule="auto"/>
        <w:rPr>
          <w:sz w:val="20"/>
          <w:szCs w:val="20"/>
          <w:color w:val="auto"/>
        </w:rPr>
      </w:pPr>
      <w:r>
        <w:rPr>
          <w:rFonts w:ascii="Times New Roman" w:cs="Times New Roman" w:eastAsia="Times New Roman" w:hAnsi="Times New Roman"/>
          <w:sz w:val="18"/>
          <w:szCs w:val="18"/>
          <w:color w:val="auto"/>
        </w:rPr>
        <w:t>In conjunction with the Facility Agreement, we entered into a Milestone Rights Agreement with Deerfield which requires us to make contingent payments to Deerfield, totaling up to $90.0 million, upon the Company achieving specified commercialization milestones. We calculated a fair value of $16.3 million related to the Milestone Payments and recorded it as a Milestone Rights liability which will be reduced as the various Milestones are met. During 2014, the Milestone Rights liability was reduced by $3.1 million upon the Company achieving the first milestone and as of December 31, 2014, the remaining $13.1 million has been allocated between a $4.2 million current Milestone Rights liability in other current liabilities and an $8.9 million long-term Milestone Rights liability in other liabilities.</w:t>
      </w:r>
    </w:p>
    <w:p>
      <w:pPr>
        <w:spacing w:after="0" w:line="58" w:lineRule="exact"/>
        <w:rPr>
          <w:sz w:val="20"/>
          <w:szCs w:val="20"/>
          <w:color w:val="auto"/>
        </w:rPr>
      </w:pPr>
    </w:p>
    <w:p>
      <w:pPr>
        <w:ind w:right="200" w:firstLine="228"/>
        <w:spacing w:after="0" w:line="310" w:lineRule="auto"/>
        <w:rPr>
          <w:sz w:val="20"/>
          <w:szCs w:val="20"/>
          <w:color w:val="auto"/>
        </w:rPr>
      </w:pPr>
      <w:r>
        <w:rPr>
          <w:rFonts w:ascii="Times New Roman" w:cs="Times New Roman" w:eastAsia="Times New Roman" w:hAnsi="Times New Roman"/>
          <w:sz w:val="16"/>
          <w:szCs w:val="16"/>
          <w:color w:val="auto"/>
        </w:rPr>
        <w:t>In addition, as of December 31, 2013, we had a commitment asset balance of $5.2 million. During 2014, the commitment asset fair value increased by $2.9 million due to Deerfield’s commitment to lend additional funds under the Tranche B notes and decreased by $6.3 million due to the issuance of Tranche 4 notes and Tranche B notes. The remaining $1.8 million commitment asset balance was written-off by the Company, upon expiration of access to further borrowings.</w:t>
      </w:r>
    </w:p>
    <w:p>
      <w:pPr>
        <w:spacing w:after="0" w:line="16" w:lineRule="exact"/>
        <w:rPr>
          <w:sz w:val="20"/>
          <w:szCs w:val="20"/>
          <w:color w:val="auto"/>
        </w:rPr>
      </w:pPr>
    </w:p>
    <w:p>
      <w:pPr>
        <w:ind w:right="540" w:firstLine="228"/>
        <w:spacing w:after="0" w:line="275" w:lineRule="auto"/>
        <w:rPr>
          <w:sz w:val="20"/>
          <w:szCs w:val="20"/>
          <w:color w:val="auto"/>
        </w:rPr>
      </w:pPr>
      <w:r>
        <w:rPr>
          <w:rFonts w:ascii="Times New Roman" w:cs="Times New Roman" w:eastAsia="Times New Roman" w:hAnsi="Times New Roman"/>
          <w:sz w:val="18"/>
          <w:szCs w:val="18"/>
          <w:color w:val="auto"/>
        </w:rPr>
        <w:t>Accretion of debt issuance cost and debt discount in connection with the Deerfield financing during the year ended December 31, 2014 and 2013 are as follows (in thousands):</w:t>
      </w:r>
    </w:p>
    <w:p>
      <w:pPr>
        <w:spacing w:after="0" w:line="36" w:lineRule="exact"/>
        <w:rPr>
          <w:sz w:val="20"/>
          <w:szCs w:val="20"/>
          <w:color w:val="auto"/>
        </w:rPr>
      </w:pPr>
    </w:p>
    <w:p>
      <w:pPr>
        <w:jc w:val="center"/>
        <w:ind w:left="982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6290945</wp:posOffset>
            </wp:positionH>
            <wp:positionV relativeFrom="paragraph">
              <wp:posOffset>2540</wp:posOffset>
            </wp:positionV>
            <wp:extent cx="90043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900430" cy="8890"/>
                    </a:xfrm>
                    <a:prstGeom prst="rect">
                      <a:avLst/>
                    </a:prstGeom>
                    <a:noFill/>
                  </pic:spPr>
                </pic:pic>
              </a:graphicData>
            </a:graphic>
          </wp:anchor>
        </w:drawing>
      </w:r>
    </w:p>
    <w:p>
      <w:pPr>
        <w:ind w:left="10020"/>
        <w:spacing w:after="0"/>
        <w:tabs>
          <w:tab w:leader="none" w:pos="10920" w:val="left"/>
        </w:tabs>
        <w:rPr>
          <w:sz w:val="20"/>
          <w:szCs w:val="20"/>
          <w:color w:val="auto"/>
        </w:rPr>
      </w:pPr>
      <w:r>
        <w:rPr>
          <w:rFonts w:ascii="Times New Roman" w:cs="Times New Roman" w:eastAsia="Times New Roman" w:hAnsi="Times New Roman"/>
          <w:sz w:val="14"/>
          <w:szCs w:val="14"/>
          <w:b w:val="1"/>
          <w:bCs w:val="1"/>
          <w:color w:val="auto"/>
        </w:rPr>
        <w:t>2014</w:t>
      </w:r>
      <w:r>
        <w:rPr>
          <w:sz w:val="20"/>
          <w:szCs w:val="20"/>
          <w:color w:val="auto"/>
        </w:rPr>
        <w:tab/>
      </w:r>
      <w:r>
        <w:rPr>
          <w:rFonts w:ascii="Times New Roman" w:cs="Times New Roman" w:eastAsia="Times New Roman" w:hAnsi="Times New Roman"/>
          <w:sz w:val="14"/>
          <w:szCs w:val="14"/>
          <w:b w:val="1"/>
          <w:bCs w:val="1"/>
          <w:color w:val="auto"/>
        </w:rPr>
        <w:t>2013</w:t>
      </w:r>
    </w:p>
    <w:tbl>
      <w:tblPr>
        <w:tblLayout w:type="fixed"/>
        <w:tblInd w:w="0" w:type="dxa"/>
        <w:tblCellMar>
          <w:top w:w="0" w:type="dxa"/>
          <w:left w:w="0" w:type="dxa"/>
          <w:bottom w:w="0" w:type="dxa"/>
          <w:right w:w="0" w:type="dxa"/>
        </w:tblCellMar>
      </w:tblPr>
      <w:tr>
        <w:trPr>
          <w:trHeight w:val="210"/>
        </w:trPr>
        <w:tc>
          <w:tcPr>
            <w:tcW w:w="9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Accretion expense- debt issuance cost</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Borders>
              <w:top w:val="single" w:sz="8" w:color="CCEEFF"/>
            </w:tcBorders>
            <w:shd w:val="clear" w:color="auto" w:fill="CCEEFF"/>
          </w:tcPr>
          <w:p>
            <w:pPr>
              <w:spacing w:after="0"/>
              <w:rPr>
                <w:sz w:val="18"/>
                <w:szCs w:val="18"/>
                <w:color w:val="auto"/>
              </w:rPr>
            </w:pPr>
          </w:p>
        </w:tc>
      </w:tr>
      <w:tr>
        <w:trPr>
          <w:trHeight w:val="228"/>
        </w:trPr>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Accretion expense- debt discount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7,550</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1,113</w:t>
            </w:r>
          </w:p>
        </w:tc>
        <w:tc>
          <w:tcPr>
            <w:tcW w:w="100" w:type="dxa"/>
            <w:vAlign w:val="bottom"/>
          </w:tcPr>
          <w:p>
            <w:pPr>
              <w:spacing w:after="0"/>
              <w:rPr>
                <w:sz w:val="19"/>
                <w:szCs w:val="19"/>
                <w:color w:val="auto"/>
              </w:rPr>
            </w:pPr>
          </w:p>
        </w:tc>
      </w:tr>
    </w:tbl>
    <w:p>
      <w:pPr>
        <w:spacing w:after="0" w:line="54" w:lineRule="exact"/>
        <w:rPr>
          <w:sz w:val="20"/>
          <w:szCs w:val="20"/>
          <w:color w:val="auto"/>
        </w:rPr>
      </w:pPr>
    </w:p>
    <w:p>
      <w:pPr>
        <w:ind w:right="440" w:firstLine="228"/>
        <w:spacing w:after="0" w:line="258" w:lineRule="auto"/>
        <w:rPr>
          <w:sz w:val="20"/>
          <w:szCs w:val="20"/>
          <w:color w:val="auto"/>
        </w:rPr>
      </w:pPr>
      <w:r>
        <w:rPr>
          <w:rFonts w:ascii="Times New Roman" w:cs="Times New Roman" w:eastAsia="Times New Roman" w:hAnsi="Times New Roman"/>
          <w:sz w:val="18"/>
          <w:szCs w:val="18"/>
          <w:color w:val="auto"/>
        </w:rPr>
        <w:t>On July 1, 2013, the Company entered into the Facility Agreement providing for the sale of up to $160.0 million of 2019 notes to Deerfield in four equal tranches of $40.0 million principal amount. The 2019 notes accrue interest at a rate of 9.75% per annum until maturity in 2019 or their earlier repayment, repurchase, or conversion. As of December 31, 2014, Deerfield had purchased the four tranches of 2019 notes in the aggregate principal amount of $160.0 million.</w:t>
      </w:r>
    </w:p>
    <w:p>
      <w:pPr>
        <w:spacing w:after="0" w:line="55" w:lineRule="exact"/>
        <w:rPr>
          <w:sz w:val="20"/>
          <w:szCs w:val="20"/>
          <w:color w:val="auto"/>
        </w:rPr>
      </w:pPr>
    </w:p>
    <w:p>
      <w:pPr>
        <w:ind w:right="240" w:firstLine="228"/>
        <w:spacing w:after="0" w:line="262" w:lineRule="auto"/>
        <w:rPr>
          <w:sz w:val="20"/>
          <w:szCs w:val="20"/>
          <w:color w:val="auto"/>
        </w:rPr>
      </w:pPr>
      <w:r>
        <w:rPr>
          <w:rFonts w:ascii="Times New Roman" w:cs="Times New Roman" w:eastAsia="Times New Roman" w:hAnsi="Times New Roman"/>
          <w:sz w:val="18"/>
          <w:szCs w:val="18"/>
          <w:color w:val="auto"/>
        </w:rPr>
        <w:t>On February 28, 2014, the Company entered into the First Amendment, which modified the terms of the Facility Agreement to provide for the issuance of Tranche B notes to Deerfield. Pursuant to the terms of the First Amendment and the subsequent occurrence of certain events specified in the First Amendment, prior to</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420"/>
          </w:cols>
          <w:pgMar w:left="240" w:top="455" w:right="239" w:bottom="1440" w:gutter="0" w:footer="0" w:header="0"/>
        </w:sectPr>
      </w:pPr>
    </w:p>
    <w:bookmarkStart w:id="98" w:name="page99"/>
    <w:bookmarkEnd w:id="9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MANNKIND CORPORATION AND SUBSIDIARIES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14"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December 30, 2014, the Company may request that Deerfield purchase up to $90.0 million aggregate principal amount of Tranche B notes. The Tranche B notes initially accrued interest at the rate of 9.75% per year on the outstanding principal amount, subject to reduction to 8.75% if the Company entered into a collaboration with a third party to commercialize AFREZZA. Pursuant to the terms of the First Amendment, the interest rate was subsequently reduced to 8.75% on September 23, 2014 following completion of the U.S. Federal Trade Commission’s review of the transactions contemplated by the Sanofi License Agreement under the Hart-Scott-Rodino Act and the completion of documentation related to the $175.0 million secured loan facility being provided to the Company. The interest on the outstanding principal amount of notes under the Facility Agreement is payable in cash quarterly in arrears on the last business day of March, June, September and December of each year. The Company is required to repay 25% of the original principal amount of any Tranche B notes on the third, fourth, fifth and sixth anniversaries of the applicable issue dates of such notes, provided that the entire outstanding principal amount of all Tranche B notes will become due and payable no later than December 31, 2019. The Tranche B notes can be prepaid without penalty or premium commencing two years after issuance thereof. On May 6, 2014, Deerfield purchased an aggregate principal amount of $20.0 million in Tranche B notes in accordance with the provisions of the Facility Agreement, as amended.</w:t>
      </w:r>
    </w:p>
    <w:p>
      <w:pPr>
        <w:spacing w:after="0" w:line="58" w:lineRule="exact"/>
        <w:rPr>
          <w:sz w:val="20"/>
          <w:szCs w:val="20"/>
          <w:color w:val="auto"/>
        </w:rPr>
      </w:pPr>
    </w:p>
    <w:p>
      <w:pPr>
        <w:ind w:right="60" w:firstLine="228"/>
        <w:spacing w:after="0" w:line="254" w:lineRule="auto"/>
        <w:rPr>
          <w:sz w:val="20"/>
          <w:szCs w:val="20"/>
          <w:color w:val="auto"/>
        </w:rPr>
      </w:pPr>
      <w:r>
        <w:rPr>
          <w:rFonts w:ascii="Times New Roman" w:cs="Times New Roman" w:eastAsia="Times New Roman" w:hAnsi="Times New Roman"/>
          <w:sz w:val="18"/>
          <w:szCs w:val="18"/>
          <w:color w:val="auto"/>
        </w:rPr>
        <w:t>The Facility Agreement includes customary representations, warranties and covenants, including, a restriction on the incurrence of additional indebtedness, and a financial covenant which requires the Company’s cash and cash equivalents, which includes available borrowings on the principal stockholder note, on the last day of each fiscal quarter to not be less than $25.0 million. As discussed in Note 1 — Basis of Presentation, the Company will need to raise additional capital to support its current operating plans. Due to the uncertainties related to maintaining sufficient resources to comply with the aforementioned covenant, the 2019 notes have been classified as current liabilities in the accompanying balance sheet as of December 31, 2014. In the event of non-compliance, there can be no assurances that the holders of the 2019 notes will not exercise remedies available to them, which may include, among other things, the issuance of a notice of acceleration.</w:t>
      </w:r>
    </w:p>
    <w:p>
      <w:pPr>
        <w:spacing w:after="0" w:line="60" w:lineRule="exact"/>
        <w:rPr>
          <w:sz w:val="20"/>
          <w:szCs w:val="20"/>
          <w:color w:val="auto"/>
        </w:rPr>
      </w:pPr>
    </w:p>
    <w:p>
      <w:pPr>
        <w:ind w:right="20" w:firstLine="228"/>
        <w:spacing w:after="0" w:line="293" w:lineRule="auto"/>
        <w:rPr>
          <w:sz w:val="20"/>
          <w:szCs w:val="20"/>
          <w:color w:val="auto"/>
        </w:rPr>
      </w:pPr>
      <w:r>
        <w:rPr>
          <w:rFonts w:ascii="Times New Roman" w:cs="Times New Roman" w:eastAsia="Times New Roman" w:hAnsi="Times New Roman"/>
          <w:sz w:val="16"/>
          <w:szCs w:val="16"/>
          <w:color w:val="auto"/>
        </w:rPr>
        <w:t>In addition, pursuant to the First Amendment, the outstanding first tranche of 2019 notes (the “Tranche 1 notes”) and third tranche of 2019 notes (the “Tranche 3 notes”) held by Deerfield were amended and restated to permit Deerfield to convert up to an additional $60.0 million principal amount under such 2019 notes into the Company’s common stock after the effective date of the First Amendment. The Company also agreed to register for resale up to 12,000,000 shares of the Company’s common stock issuable upon conversion of the outstanding 2019 notes, as amended and restated, as of the date of the First Amendment. In March 2014, Deerfield elected to convert the full $40.0 million of outstanding principal amount of the Tranche 3 notes and $12.5 million principal amount of the Tranche 1 notes. In April 2014, Deerfield elected to convert the remaining $7.5 million principal amount of the Tranche 1 notes.</w:t>
      </w:r>
    </w:p>
    <w:p>
      <w:pPr>
        <w:spacing w:after="0" w:line="30" w:lineRule="exact"/>
        <w:rPr>
          <w:sz w:val="20"/>
          <w:szCs w:val="20"/>
          <w:color w:val="auto"/>
        </w:rPr>
      </w:pPr>
    </w:p>
    <w:p>
      <w:pPr>
        <w:ind w:firstLine="228"/>
        <w:spacing w:after="0" w:line="258" w:lineRule="auto"/>
        <w:rPr>
          <w:sz w:val="20"/>
          <w:szCs w:val="20"/>
          <w:color w:val="auto"/>
        </w:rPr>
      </w:pPr>
      <w:r>
        <w:rPr>
          <w:rFonts w:ascii="Times New Roman" w:cs="Times New Roman" w:eastAsia="Times New Roman" w:hAnsi="Times New Roman"/>
          <w:sz w:val="18"/>
          <w:szCs w:val="18"/>
          <w:color w:val="auto"/>
        </w:rPr>
        <w:t>On August 11, 2014, the Company entered into a second amendment to the Facility Agreement to permit the incurrence of additional secured debt under the Sanofi Loan Facility. In the event of certain future defaults under the foregoing agreements for which we are not able to obtain waivers, the holders of the 2019 notes and Tranche B notes may accelerate all of our repayment obligations, and take control of our pledged assets, potentially requiring us to renegotiate the terms of our indebtedness on terms less favorable to us, or to immediately cease operations.</w:t>
      </w:r>
    </w:p>
    <w:p>
      <w:pPr>
        <w:spacing w:after="0" w:line="13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Milestone Rights</w:t>
      </w:r>
    </w:p>
    <w:p>
      <w:pPr>
        <w:spacing w:after="0" w:line="92" w:lineRule="exact"/>
        <w:rPr>
          <w:sz w:val="20"/>
          <w:szCs w:val="20"/>
          <w:color w:val="auto"/>
        </w:rPr>
      </w:pPr>
    </w:p>
    <w:p>
      <w:pPr>
        <w:jc w:val="both"/>
        <w:ind w:firstLine="228"/>
        <w:spacing w:after="0" w:line="262" w:lineRule="auto"/>
        <w:rPr>
          <w:sz w:val="20"/>
          <w:szCs w:val="20"/>
          <w:color w:val="auto"/>
        </w:rPr>
      </w:pPr>
      <w:r>
        <w:rPr>
          <w:rFonts w:ascii="Times New Roman" w:cs="Times New Roman" w:eastAsia="Times New Roman" w:hAnsi="Times New Roman"/>
          <w:sz w:val="18"/>
          <w:szCs w:val="18"/>
          <w:color w:val="auto"/>
        </w:rPr>
        <w:t>In connection with the execution of the Facility Agreement, on July 1, 2013, the Company issued Milestone Rights to the Milestone Purchasers. The Milestone Rights provide the Milestone Purchasers certain rights to receive payments of up to $90.0 million upon the occurrence of specified strategic and sales milestones, including the first commercial sale of an AFREZZA product and the achievement of specified net sales figures.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420"/>
          </w:cols>
          <w:pgMar w:left="240" w:top="455" w:right="239" w:bottom="1440" w:gutter="0" w:footer="0" w:header="0"/>
        </w:sectPr>
      </w:pPr>
    </w:p>
    <w:bookmarkStart w:id="99" w:name="page100"/>
    <w:bookmarkEnd w:id="9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MANNKIND CORPORATION AND SUBSIDIARIES</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14" w:lineRule="exact"/>
        <w:rPr>
          <w:sz w:val="20"/>
          <w:szCs w:val="20"/>
          <w:color w:val="auto"/>
        </w:rPr>
      </w:pPr>
    </w:p>
    <w:p>
      <w:pPr>
        <w:jc w:val="both"/>
        <w:ind w:right="60" w:firstLine="228"/>
        <w:spacing w:after="0" w:line="262" w:lineRule="auto"/>
        <w:rPr>
          <w:sz w:val="20"/>
          <w:szCs w:val="20"/>
          <w:color w:val="auto"/>
        </w:rPr>
      </w:pPr>
      <w:r>
        <w:rPr>
          <w:rFonts w:ascii="Times New Roman" w:cs="Times New Roman" w:eastAsia="Times New Roman" w:hAnsi="Times New Roman"/>
          <w:sz w:val="18"/>
          <w:szCs w:val="18"/>
          <w:color w:val="auto"/>
        </w:rPr>
        <w:t>The Milestone Agreement includes customary representations and warranties and covenants by the Company, including restrictions on transfers of intellectual property related to AFREZZA. The Milestone Rights are subject to acceleration in the event the Company transfers its intellectual property related to AFREZZA in violation of the terms of the Milestone Agreement.</w:t>
      </w:r>
    </w:p>
    <w:p>
      <w:pPr>
        <w:spacing w:after="0" w:line="49" w:lineRule="exact"/>
        <w:rPr>
          <w:sz w:val="20"/>
          <w:szCs w:val="20"/>
          <w:color w:val="auto"/>
        </w:rPr>
      </w:pPr>
    </w:p>
    <w:p>
      <w:pPr>
        <w:ind w:right="100" w:firstLine="228"/>
        <w:spacing w:after="0" w:line="259" w:lineRule="auto"/>
        <w:rPr>
          <w:sz w:val="20"/>
          <w:szCs w:val="20"/>
          <w:color w:val="auto"/>
        </w:rPr>
      </w:pPr>
      <w:r>
        <w:rPr>
          <w:rFonts w:ascii="Times New Roman" w:cs="Times New Roman" w:eastAsia="Times New Roman" w:hAnsi="Times New Roman"/>
          <w:sz w:val="18"/>
          <w:szCs w:val="18"/>
          <w:color w:val="auto"/>
        </w:rPr>
        <w:t xml:space="preserve">The Company analyzed the Milestone Rights under the provisions of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xml:space="preserve"> and determined that the instruments do not meet the definition of a freestanding derivative. Since the Company has not elected to apply the fair value option to the Milestone Rights, the Company has initially recorded the Milestone Rights at their estimated fair value and accounted for the Milestone Rights as a liability by applying the indexed debt guidance contained in paragraphs ASC 470-10-25-3 and 35-4.</w:t>
      </w:r>
    </w:p>
    <w:p>
      <w:pPr>
        <w:spacing w:after="0" w:line="54" w:lineRule="exact"/>
        <w:rPr>
          <w:sz w:val="20"/>
          <w:szCs w:val="20"/>
          <w:color w:val="auto"/>
        </w:rPr>
      </w:pPr>
    </w:p>
    <w:p>
      <w:pPr>
        <w:ind w:firstLine="228"/>
        <w:spacing w:after="0" w:line="289" w:lineRule="auto"/>
        <w:rPr>
          <w:sz w:val="20"/>
          <w:szCs w:val="20"/>
          <w:color w:val="auto"/>
        </w:rPr>
      </w:pPr>
      <w:r>
        <w:rPr>
          <w:rFonts w:ascii="Times New Roman" w:cs="Times New Roman" w:eastAsia="Times New Roman" w:hAnsi="Times New Roman"/>
          <w:sz w:val="16"/>
          <w:szCs w:val="16"/>
          <w:color w:val="auto"/>
        </w:rPr>
        <w:t>The initial fair value estimate of the Milestone Rights was calculated using the income approach in which the cash flows associated with the specified contractual payments were adjusted for both the expected timing and the probability of achieving the milestones discounted to present value using a selected market discount rate. The Milestone Rights were initially recorded as a short-term liability equal to $3.2 million included in Accrued expenses and other current liabilities in the accompanying condensed consolidated balance sheet and a long term liability equal to $13.1 million included in Other liabilities. In determining the fair value of the Milestone Rights, the 13 individual milestone payments were adjusted for both (i) the expected timing and (ii) the probability of achieving the milestones, and then discounted to present value using a discount rate of 17.5%. Once the initial valuation of each specified milestone payment was determined, the individual milestone payments were then aggregated to arrive at a total fair value of $16.3 million. The discount rate was based on the estimated cost of equity which was derived using the capital asset pricing model. In addition, a 5% risk premium was added to the computation of the cost of equity to adjust for non-systemic risk factors, such as the Company’s lack of product diversification and history of financial losses, which were not captured in other model inputs.</w:t>
      </w:r>
    </w:p>
    <w:p>
      <w:pPr>
        <w:spacing w:after="0" w:line="32" w:lineRule="exact"/>
        <w:rPr>
          <w:sz w:val="20"/>
          <w:szCs w:val="20"/>
          <w:color w:val="auto"/>
        </w:rPr>
      </w:pPr>
    </w:p>
    <w:p>
      <w:pPr>
        <w:jc w:val="both"/>
        <w:ind w:right="40" w:firstLine="228"/>
        <w:spacing w:after="0" w:line="262" w:lineRule="auto"/>
        <w:rPr>
          <w:sz w:val="20"/>
          <w:szCs w:val="20"/>
          <w:color w:val="auto"/>
        </w:rPr>
      </w:pPr>
      <w:r>
        <w:rPr>
          <w:rFonts w:ascii="Times New Roman" w:cs="Times New Roman" w:eastAsia="Times New Roman" w:hAnsi="Times New Roman"/>
          <w:sz w:val="18"/>
          <w:szCs w:val="18"/>
          <w:color w:val="auto"/>
        </w:rPr>
        <w:t>As of December 31, 2014, the first milestone triggering event was achieved following the Company’s entry into the Sanofi License Agreement, which resulted in a $1.9 million incremental charge to interest expense due to the increase in carrying value of the liability to the required $5.0 million payment, which was paid to Deerfield pursuant to the terms of the Milestone Agreement.</w:t>
      </w:r>
    </w:p>
    <w:p>
      <w:pPr>
        <w:spacing w:after="0" w:line="51" w:lineRule="exact"/>
        <w:rPr>
          <w:sz w:val="20"/>
          <w:szCs w:val="20"/>
          <w:color w:val="auto"/>
        </w:rPr>
      </w:pPr>
    </w:p>
    <w:p>
      <w:pPr>
        <w:ind w:right="80" w:firstLine="228"/>
        <w:spacing w:after="0" w:line="293" w:lineRule="auto"/>
        <w:rPr>
          <w:sz w:val="20"/>
          <w:szCs w:val="20"/>
          <w:color w:val="auto"/>
        </w:rPr>
      </w:pPr>
      <w:r>
        <w:rPr>
          <w:rFonts w:ascii="Times New Roman" w:cs="Times New Roman" w:eastAsia="Times New Roman" w:hAnsi="Times New Roman"/>
          <w:sz w:val="16"/>
          <w:szCs w:val="16"/>
          <w:color w:val="auto"/>
        </w:rPr>
        <w:t>The Milestone Rights liability will be remeasured as the specified milestone events are achieved. Specifically, as each milestone event is achieved, the portion of the initially recorded Milestone Rights liability that pertains to such milestone event being achieved will be remeasured to the amount of the related milestone payment. The resulting change in the balance of the Milestone Rights liability due to such remeasurement will be recorded in the Company’s Statement of Operations as interest expense. Furthermore, the Milestone Rights liability will be reduced upon each such milestone payment being paid. As a result, each milestone payment would be effectively allocated between a reduction of the initially recorded Milestone Rights liability and an expense representing a return on a portion of the Milestone Rights liability paid to the Milestone Purchasers for the achievement of the related milestone event.</w:t>
      </w:r>
    </w:p>
    <w:p>
      <w:pPr>
        <w:spacing w:after="0" w:line="30" w:lineRule="exact"/>
        <w:rPr>
          <w:sz w:val="20"/>
          <w:szCs w:val="20"/>
          <w:color w:val="auto"/>
        </w:rPr>
      </w:pPr>
    </w:p>
    <w:p>
      <w:pPr>
        <w:jc w:val="both"/>
        <w:ind w:right="640" w:firstLine="228"/>
        <w:spacing w:after="0" w:line="262" w:lineRule="auto"/>
        <w:rPr>
          <w:sz w:val="20"/>
          <w:szCs w:val="20"/>
          <w:color w:val="auto"/>
        </w:rPr>
      </w:pPr>
      <w:r>
        <w:rPr>
          <w:rFonts w:ascii="Times New Roman" w:cs="Times New Roman" w:eastAsia="Times New Roman" w:hAnsi="Times New Roman"/>
          <w:sz w:val="18"/>
          <w:szCs w:val="18"/>
          <w:color w:val="auto"/>
        </w:rPr>
        <w:t>The Company identified and evaluated a number of embedded features in the Milestone Rights to determine if they represented embedded derivatives requiring bifurcation and separate accounting pursuant to ASC 815. There were no features in the Milestone Rights that required bifurcation and separate accounting.</w:t>
      </w:r>
    </w:p>
    <w:p>
      <w:pPr>
        <w:spacing w:after="0" w:line="13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Commitment Asset</w:t>
      </w:r>
    </w:p>
    <w:p>
      <w:pPr>
        <w:spacing w:after="0" w:line="92" w:lineRule="exact"/>
        <w:rPr>
          <w:sz w:val="20"/>
          <w:szCs w:val="20"/>
          <w:color w:val="auto"/>
        </w:rPr>
      </w:pPr>
    </w:p>
    <w:p>
      <w:pPr>
        <w:ind w:right="20" w:firstLine="228"/>
        <w:spacing w:after="0" w:line="256" w:lineRule="auto"/>
        <w:rPr>
          <w:sz w:val="20"/>
          <w:szCs w:val="20"/>
          <w:color w:val="auto"/>
        </w:rPr>
      </w:pPr>
      <w:r>
        <w:rPr>
          <w:rFonts w:ascii="Times New Roman" w:cs="Times New Roman" w:eastAsia="Times New Roman" w:hAnsi="Times New Roman"/>
          <w:sz w:val="18"/>
          <w:szCs w:val="18"/>
          <w:color w:val="auto"/>
        </w:rPr>
        <w:t>In connection with the issuance of the Tranche 1 notes and the Milestone Rights, the Company recorded a commitment asset (the “Commitment Asset”) on July 1, 2013. As a result of the First Amendment, the Company recorded an additional Tranche B notes commitment asset (the “Tranche B Commitment Asset”) with an estimated fair value equal to $2.9 million. The Commitment Asset is derecognized and recorded as a debt discount on the 2019 notes and Tranche B notes when issued and amortized using the effective interest rate method over the life of the respective notes. Prior to derecognition occurring, the Company monitors the</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420"/>
          </w:cols>
          <w:pgMar w:left="240" w:top="455" w:right="239" w:bottom="1440" w:gutter="0" w:footer="0" w:header="0"/>
        </w:sectPr>
      </w:pPr>
    </w:p>
    <w:bookmarkStart w:id="100" w:name="page101"/>
    <w:bookmarkEnd w:id="10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MANNKIND CORPORATION AND SUBSIDIARIES</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14"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Commitment Asset on an ongoing basis to determine whether an impairment indicator is present that would result in a full or partial write down of the Commitment Asset as a result of events that may lead to the subsequent tranches of notes not being issued. On December 30, 2014, the Company elected not to draw on the $70.0 million of funding remaining under the Facility Agreement, as amended, from the sale of the Tranche B notes. Consequently, the remaining carrying value of the Tranche B Commitment Asset of $1.8 million was written off and recorded as interest expense.</w:t>
      </w:r>
    </w:p>
    <w:p>
      <w:pPr>
        <w:spacing w:after="0" w:line="13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Amendment to the outstanding Tranche 1 notes and Tranche 3 notes</w:t>
      </w:r>
    </w:p>
    <w:p>
      <w:pPr>
        <w:spacing w:after="0" w:line="92" w:lineRule="exact"/>
        <w:rPr>
          <w:sz w:val="20"/>
          <w:szCs w:val="20"/>
          <w:color w:val="auto"/>
        </w:rPr>
      </w:pPr>
    </w:p>
    <w:p>
      <w:pPr>
        <w:jc w:val="both"/>
        <w:ind w:right="120" w:firstLine="228"/>
        <w:spacing w:after="0" w:line="262" w:lineRule="auto"/>
        <w:rPr>
          <w:sz w:val="20"/>
          <w:szCs w:val="20"/>
          <w:color w:val="auto"/>
        </w:rPr>
      </w:pPr>
      <w:r>
        <w:rPr>
          <w:rFonts w:ascii="Times New Roman" w:cs="Times New Roman" w:eastAsia="Times New Roman" w:hAnsi="Times New Roman"/>
          <w:sz w:val="18"/>
          <w:szCs w:val="18"/>
          <w:color w:val="auto"/>
        </w:rPr>
        <w:t>The amendment and restatement of the outstanding Tranche 1 notes and Tranche 3 notes, pursuant to the First Amendment, did not represent a troubled debt restructuring of the 2019 notes because the First Amendment did not result in Deerfield granting a concession to the Company. In addition, the First Amendment did not result in a substantial modification to the terms of the Tranche 1 notes and Tranche 3 notes.</w:t>
      </w:r>
    </w:p>
    <w:p>
      <w:pPr>
        <w:spacing w:after="0" w:line="51" w:lineRule="exact"/>
        <w:rPr>
          <w:sz w:val="20"/>
          <w:szCs w:val="20"/>
          <w:color w:val="auto"/>
        </w:rPr>
      </w:pPr>
    </w:p>
    <w:p>
      <w:pPr>
        <w:ind w:right="20" w:firstLine="228"/>
        <w:spacing w:after="0" w:line="256" w:lineRule="auto"/>
        <w:rPr>
          <w:sz w:val="20"/>
          <w:szCs w:val="20"/>
          <w:color w:val="auto"/>
        </w:rPr>
      </w:pPr>
      <w:r>
        <w:rPr>
          <w:rFonts w:ascii="Times New Roman" w:cs="Times New Roman" w:eastAsia="Times New Roman" w:hAnsi="Times New Roman"/>
          <w:sz w:val="18"/>
          <w:szCs w:val="18"/>
          <w:color w:val="auto"/>
        </w:rPr>
        <w:t>The impact of the First Amendment to the Tranche 1 notes and Tranche 3 notes is being accounted for as a prospective yield adjustment. Specifically, the value of the Tranche B Commitment Asset was considered a fee received from the creditor as consideration for the First Amendment and is being amortized as an adjustment of interest expense over the remaining term of the Tranche 1 notes and Tranche 3 notes using the effective interest method. Further, the value of the Tranche B Commitment Asset, which decreased the amount of debt discount in the Tranche 1 notes and Tranche 3 notes, was allocated between the Tranche 1 notes and Tranche 3 notes in a manner that resulted in the Tranche 1 notes and Tranche 3 notes having a new effective interest rate of 11.63%.</w:t>
      </w:r>
    </w:p>
    <w:p>
      <w:pPr>
        <w:spacing w:after="0" w:line="13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Security Agreement</w:t>
      </w:r>
    </w:p>
    <w:p>
      <w:pPr>
        <w:spacing w:after="0" w:line="92" w:lineRule="exact"/>
        <w:rPr>
          <w:sz w:val="20"/>
          <w:szCs w:val="20"/>
          <w:color w:val="auto"/>
        </w:rPr>
      </w:pPr>
    </w:p>
    <w:p>
      <w:pPr>
        <w:ind w:right="60" w:firstLine="228"/>
        <w:spacing w:after="0" w:line="291" w:lineRule="auto"/>
        <w:rPr>
          <w:sz w:val="20"/>
          <w:szCs w:val="20"/>
          <w:color w:val="auto"/>
        </w:rPr>
      </w:pPr>
      <w:r>
        <w:rPr>
          <w:rFonts w:ascii="Times New Roman" w:cs="Times New Roman" w:eastAsia="Times New Roman" w:hAnsi="Times New Roman"/>
          <w:sz w:val="16"/>
          <w:szCs w:val="16"/>
          <w:color w:val="auto"/>
        </w:rPr>
        <w:t>In connection with the Facility Agreement, the Company and its subsidiary, MannKind LLC, entered into a Guaranty and Security Agreement (the “Security Agreement”) with Deerfield and HS (collectively, the “Purchasers”), pursuant to which the Company and MannKind LLC each granted the Purchasers a security interest in substantially all of their respective assets, including respective intellectual property, accounts, receivables, equipment, general intangibles, inventory and investment property, and all of the proceeds and products of the foregoing. The Security Agreement includes customary covenants by the Company and MannKind LLC, remedies of the Purchasers and representations and warranties by the Company and MannKind LLC. The security interests granted by us and MannKind LLC will terminate upon repayment of the 2019 notes and tranche B notes, if applicable, in full. Our obligations under the Facility Agreement and the Milestone Agreement are also secured by certain mortgages on the Company’s facilities in Danbury, Connecticut and Valencia, California.</w:t>
      </w:r>
    </w:p>
    <w:p>
      <w:pPr>
        <w:spacing w:after="0" w:line="11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Embedded Derivatives</w:t>
      </w:r>
    </w:p>
    <w:p>
      <w:pPr>
        <w:spacing w:after="0" w:line="92" w:lineRule="exact"/>
        <w:rPr>
          <w:sz w:val="20"/>
          <w:szCs w:val="20"/>
          <w:color w:val="auto"/>
        </w:rPr>
      </w:pPr>
    </w:p>
    <w:p>
      <w:pPr>
        <w:ind w:firstLine="228"/>
        <w:spacing w:after="0" w:line="254" w:lineRule="auto"/>
        <w:rPr>
          <w:sz w:val="20"/>
          <w:szCs w:val="20"/>
          <w:color w:val="auto"/>
        </w:rPr>
      </w:pPr>
      <w:r>
        <w:rPr>
          <w:rFonts w:ascii="Times New Roman" w:cs="Times New Roman" w:eastAsia="Times New Roman" w:hAnsi="Times New Roman"/>
          <w:sz w:val="18"/>
          <w:szCs w:val="18"/>
          <w:color w:val="auto"/>
        </w:rPr>
        <w:t xml:space="preserve">The Company identified and evaluated a number of embedded features in the notes issued under the Facility Agreement to determine if they represented embedded derivatives that are required to be separated from the notes and accounted for as freestanding instruments pursuant to ASC 815. In 2013, we analyzed the Tranche 1 notes, Tranche 2 notes, and Tranche 3 notes and identified embedded derivatives in each respective Tranche of notes which required separate accounting under ASC 815; however all of the embedded derivatives were determined to have a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value. In addition, we issued the Tranche B and Tranche 4 notes during 2014 and performed a similar analysis on each respective Tranche of notes. Based on our analysis, we determined that the Tranche B notes contained embedded derivatives that required to be separated from the Tranche 4 notes; however such embedded derivatives were determined to have a </w:t>
      </w:r>
      <w:r>
        <w:rPr>
          <w:rFonts w:ascii="Times New Roman" w:cs="Times New Roman" w:eastAsia="Times New Roman" w:hAnsi="Times New Roman"/>
          <w:sz w:val="18"/>
          <w:szCs w:val="18"/>
          <w:i w:val="1"/>
          <w:iCs w:val="1"/>
          <w:color w:val="auto"/>
        </w:rPr>
        <w:t>de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minimis </w:t>
      </w:r>
      <w:r>
        <w:rPr>
          <w:rFonts w:ascii="Times New Roman" w:cs="Times New Roman" w:eastAsia="Times New Roman" w:hAnsi="Times New Roman"/>
          <w:sz w:val="18"/>
          <w:szCs w:val="18"/>
          <w:color w:val="auto"/>
        </w:rPr>
        <w:t>value.</w:t>
      </w:r>
    </w:p>
    <w:p>
      <w:pPr>
        <w:spacing w:after="0" w:line="58" w:lineRule="exact"/>
        <w:rPr>
          <w:sz w:val="20"/>
          <w:szCs w:val="20"/>
          <w:color w:val="auto"/>
        </w:rPr>
      </w:pPr>
    </w:p>
    <w:p>
      <w:pPr>
        <w:ind w:right="380" w:firstLine="228"/>
        <w:spacing w:after="0" w:line="277" w:lineRule="auto"/>
        <w:rPr>
          <w:sz w:val="20"/>
          <w:szCs w:val="20"/>
          <w:color w:val="auto"/>
        </w:rPr>
      </w:pPr>
      <w:r>
        <w:rPr>
          <w:rFonts w:ascii="Times New Roman" w:cs="Times New Roman" w:eastAsia="Times New Roman" w:hAnsi="Times New Roman"/>
          <w:sz w:val="18"/>
          <w:szCs w:val="18"/>
          <w:color w:val="auto"/>
        </w:rPr>
        <w:t xml:space="preserve">At December 31, 2014, all of the embedded derivatives identified in the Tranche 1 notes, Tranche B notes, and Tranche 4 notes were deemed to have a </w:t>
      </w:r>
      <w:r>
        <w:rPr>
          <w:rFonts w:ascii="Times New Roman" w:cs="Times New Roman" w:eastAsia="Times New Roman" w:hAnsi="Times New Roman"/>
          <w:sz w:val="18"/>
          <w:szCs w:val="18"/>
          <w:i w:val="1"/>
          <w:iCs w:val="1"/>
          <w:color w:val="auto"/>
        </w:rPr>
        <w:t>de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minimis </w:t>
      </w:r>
      <w:r>
        <w:rPr>
          <w:rFonts w:ascii="Times New Roman" w:cs="Times New Roman" w:eastAsia="Times New Roman" w:hAnsi="Times New Roman"/>
          <w:sz w:val="18"/>
          <w:szCs w:val="18"/>
          <w:color w:val="auto"/>
        </w:rPr>
        <w:t>value.</w:t>
      </w:r>
    </w:p>
    <w:p>
      <w:pPr>
        <w:spacing w:after="0" w:line="1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420"/>
          </w:cols>
          <w:pgMar w:left="240" w:top="455" w:right="239" w:bottom="1440" w:gutter="0" w:footer="0" w:header="0"/>
        </w:sectPr>
      </w:pPr>
    </w:p>
    <w:bookmarkStart w:id="101" w:name="page102"/>
    <w:bookmarkEnd w:id="10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MANNKIND CORPORATION AND SUBSIDIARIES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1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Conversion Option</w:t>
      </w:r>
    </w:p>
    <w:p>
      <w:pPr>
        <w:spacing w:after="0" w:line="92" w:lineRule="exact"/>
        <w:rPr>
          <w:sz w:val="20"/>
          <w:szCs w:val="20"/>
          <w:color w:val="auto"/>
        </w:rPr>
      </w:pPr>
    </w:p>
    <w:p>
      <w:pPr>
        <w:ind w:right="40" w:firstLine="228"/>
        <w:spacing w:after="0" w:line="254" w:lineRule="auto"/>
        <w:rPr>
          <w:sz w:val="20"/>
          <w:szCs w:val="20"/>
          <w:color w:val="auto"/>
        </w:rPr>
      </w:pPr>
      <w:r>
        <w:rPr>
          <w:rFonts w:ascii="Times New Roman" w:cs="Times New Roman" w:eastAsia="Times New Roman" w:hAnsi="Times New Roman"/>
          <w:sz w:val="18"/>
          <w:szCs w:val="18"/>
          <w:color w:val="auto"/>
        </w:rPr>
        <w:t>During 2014, Deerfield elected to convert a total of $93.5 million of principal, which consisted of $20.0 million, $33.5 million, and $40.0 million of Tranche 1 notes, Tranche 2 notes, and Tranche 3 notes, respectively, into an aggregate 17,323,080 shares of common stock. In conjunction with the conversion by Deerfield, we recorded an aggregate expense of $6.4 million for the difference between the principal amount of the notes converted and their carrying amount (which included unamortized discount and debt issuance costs) which consisted of $1.2 million, $3.0 million, and $2.2 million related to the Tranche 1 notes, Tranche 2 notes, and Tranche 3 notes, respectively. Further, upon Deerfield converting $40.0 million of Tranche 3 notes and $20.0 million of Tranche 1 notes, Deerfield has reached the conversion limits (i.e., “Applicable Limits”) with respect to the Facility Agreement and therefore, no additional amount of the 2019 notes is convertible.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Selected quarterly financial data (unaudited)</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Summarized quarterly financial data for the years ended December 31, 2014 and 2013 are set forth in the following tables: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820" w:type="dxa"/>
            <w:vAlign w:val="bottom"/>
          </w:tcPr>
          <w:p>
            <w:pPr>
              <w:spacing w:after="0"/>
              <w:rPr>
                <w:sz w:val="14"/>
                <w:szCs w:val="14"/>
                <w:color w:val="auto"/>
              </w:rPr>
            </w:pPr>
          </w:p>
        </w:tc>
        <w:tc>
          <w:tcPr>
            <w:tcW w:w="96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w w:val="99"/>
              </w:rPr>
              <w:t>June 30</w:t>
            </w:r>
          </w:p>
        </w:tc>
        <w:tc>
          <w:tcPr>
            <w:tcW w:w="11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68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560" w:type="dxa"/>
            <w:vAlign w:val="bottom"/>
            <w:tcBorders>
              <w:top w:val="single" w:sz="8" w:color="auto"/>
            </w:tcBorders>
            <w:gridSpan w:val="7"/>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2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2014</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9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w w:val="95"/>
              </w:rPr>
              <w:t>$ (52,056)</w:t>
            </w:r>
          </w:p>
        </w:tc>
        <w:tc>
          <w:tcPr>
            <w:tcW w:w="1460" w:type="dxa"/>
            <w:vAlign w:val="bottom"/>
            <w:gridSpan w:val="4"/>
          </w:tcPr>
          <w:p>
            <w:pPr>
              <w:jc w:val="right"/>
              <w:ind w:right="480"/>
              <w:spacing w:after="0"/>
              <w:rPr>
                <w:sz w:val="20"/>
                <w:szCs w:val="20"/>
                <w:color w:val="auto"/>
              </w:rPr>
            </w:pPr>
            <w:r>
              <w:rPr>
                <w:rFonts w:ascii="Times New Roman" w:cs="Times New Roman" w:eastAsia="Times New Roman" w:hAnsi="Times New Roman"/>
                <w:sz w:val="18"/>
                <w:szCs w:val="18"/>
                <w:color w:val="auto"/>
              </w:rPr>
              <w:t>$ (73,365)</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(36,520)</w:t>
            </w:r>
          </w:p>
        </w:tc>
        <w:tc>
          <w:tcPr>
            <w:tcW w:w="3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(36,439)</w:t>
            </w: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 — basic and diluted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(0.14)</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(0.19)</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(0.09)</w:t>
            </w:r>
          </w:p>
        </w:tc>
        <w:tc>
          <w:tcPr>
            <w:tcW w:w="3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(0.09)</w:t>
            </w:r>
          </w:p>
        </w:tc>
        <w:tc>
          <w:tcPr>
            <w:tcW w:w="0" w:type="dxa"/>
            <w:vAlign w:val="bottom"/>
          </w:tcPr>
          <w:p>
            <w:pPr>
              <w:spacing w:after="0"/>
              <w:rPr>
                <w:sz w:val="1"/>
                <w:szCs w:val="1"/>
                <w:color w:val="auto"/>
              </w:rPr>
            </w:pPr>
          </w:p>
        </w:tc>
      </w:tr>
      <w:tr>
        <w:trPr>
          <w:trHeight w:val="20"/>
        </w:trPr>
        <w:tc>
          <w:tcPr>
            <w:tcW w:w="68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 average common shares used to compute basic and diluted net loss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20" w:type="dxa"/>
            <w:vAlign w:val="bottom"/>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368,784</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380,770</w:t>
            </w:r>
          </w:p>
        </w:tc>
        <w:tc>
          <w:tcPr>
            <w:tcW w:w="5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394,163</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396,793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2"/>
        </w:trPr>
        <w:tc>
          <w:tcPr>
            <w:tcW w:w="6820" w:type="dxa"/>
            <w:vAlign w:val="bottom"/>
          </w:tcPr>
          <w:p>
            <w:pPr>
              <w:spacing w:after="0"/>
              <w:rPr>
                <w:sz w:val="24"/>
                <w:szCs w:val="24"/>
                <w:color w:val="auto"/>
              </w:rPr>
            </w:pPr>
          </w:p>
        </w:tc>
        <w:tc>
          <w:tcPr>
            <w:tcW w:w="96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w w:val="99"/>
              </w:rPr>
              <w:t>June 30</w:t>
            </w:r>
          </w:p>
        </w:tc>
        <w:tc>
          <w:tcPr>
            <w:tcW w:w="11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24"/>
                <w:szCs w:val="24"/>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68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560" w:type="dxa"/>
            <w:vAlign w:val="bottom"/>
            <w:tcBorders>
              <w:top w:val="single" w:sz="8" w:color="auto"/>
            </w:tcBorders>
            <w:gridSpan w:val="7"/>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2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2013</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9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w w:val="95"/>
              </w:rPr>
              <w:t>$ (40,965)</w:t>
            </w:r>
          </w:p>
        </w:tc>
        <w:tc>
          <w:tcPr>
            <w:tcW w:w="1460" w:type="dxa"/>
            <w:vAlign w:val="bottom"/>
            <w:gridSpan w:val="4"/>
          </w:tcPr>
          <w:p>
            <w:pPr>
              <w:jc w:val="right"/>
              <w:ind w:right="480"/>
              <w:spacing w:after="0"/>
              <w:rPr>
                <w:sz w:val="20"/>
                <w:szCs w:val="20"/>
                <w:color w:val="auto"/>
              </w:rPr>
            </w:pPr>
            <w:r>
              <w:rPr>
                <w:rFonts w:ascii="Times New Roman" w:cs="Times New Roman" w:eastAsia="Times New Roman" w:hAnsi="Times New Roman"/>
                <w:sz w:val="18"/>
                <w:szCs w:val="18"/>
                <w:color w:val="auto"/>
              </w:rPr>
              <w:t>$ (46,124)</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(50,818)</w:t>
            </w:r>
          </w:p>
        </w:tc>
        <w:tc>
          <w:tcPr>
            <w:tcW w:w="3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(53,582)</w:t>
            </w: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 — basic and diluted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(0.15)</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(0.16)</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(0.17)</w:t>
            </w:r>
          </w:p>
        </w:tc>
        <w:tc>
          <w:tcPr>
            <w:tcW w:w="3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(0.16)</w:t>
            </w:r>
          </w:p>
        </w:tc>
        <w:tc>
          <w:tcPr>
            <w:tcW w:w="0" w:type="dxa"/>
            <w:vAlign w:val="bottom"/>
          </w:tcPr>
          <w:p>
            <w:pPr>
              <w:spacing w:after="0"/>
              <w:rPr>
                <w:sz w:val="1"/>
                <w:szCs w:val="1"/>
                <w:color w:val="auto"/>
              </w:rPr>
            </w:pPr>
          </w:p>
        </w:tc>
      </w:tr>
      <w:tr>
        <w:trPr>
          <w:trHeight w:val="20"/>
        </w:trPr>
        <w:tc>
          <w:tcPr>
            <w:tcW w:w="68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 average common shares used to compute basic and diluted net loss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820" w:type="dxa"/>
            <w:vAlign w:val="bottom"/>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280,058</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284,044</w:t>
            </w:r>
          </w:p>
        </w:tc>
        <w:tc>
          <w:tcPr>
            <w:tcW w:w="5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296,386</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337,284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20" w:type="dxa"/>
            <w:vAlign w:val="bottom"/>
            <w:vMerge w:val="restart"/>
          </w:tcPr>
          <w:p>
            <w:pPr>
              <w:ind w:left="5580"/>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68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102" w:name="page103"/>
    <w:bookmarkEnd w:id="102"/>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92"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 No. 333-183679 on Form S-3 and Registration Statement Nos. 333-117811, 333-127876, 333-137332, 333-149049, 333-160225, 333-176409, 333-182457 and 333-188790 on Form S-8 of our reports dated March 2, 2015, relating to the consolidated financial statements of MannKind Corporation and subsidiaries (“MannKind Corporation”) (which report expresses an unqualified opinion and includes an explanatory paragraph relating to the Company’s ability to continue as a going concern), and the effectiveness of MannKind Corporation’s internal control over financial reporting, appearing in the Annual Report on Form 10-K of MannKind Corporation for the year ended December 31, 2014.</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 Angeles, California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 2015</w:t>
      </w:r>
    </w:p>
    <w:p>
      <w:pPr>
        <w:sectPr>
          <w:pgSz w:w="11900" w:h="16838" w:orient="portrait"/>
          <w:cols w:equalWidth="0" w:num="1">
            <w:col w:w="11420"/>
          </w:cols>
          <w:pgMar w:left="240" w:top="123" w:right="239" w:bottom="1440" w:gutter="0" w:footer="0" w:header="0"/>
        </w:sectPr>
      </w:pPr>
    </w:p>
    <w:bookmarkStart w:id="103" w:name="page104"/>
    <w:bookmarkEnd w:id="10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RULE 13a-14(a)/15d-14(a) CERTIFICATION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Hakan S. Edstrom, certify that:</w:t>
      </w:r>
    </w:p>
    <w:p>
      <w:pPr>
        <w:spacing w:after="0" w:line="117" w:lineRule="exact"/>
        <w:rPr>
          <w:sz w:val="20"/>
          <w:szCs w:val="20"/>
          <w:color w:val="auto"/>
        </w:rPr>
      </w:pPr>
    </w:p>
    <w:p>
      <w:pPr>
        <w:ind w:left="420" w:hanging="184"/>
        <w:spacing w:after="0"/>
        <w:tabs>
          <w:tab w:leader="none" w:pos="4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MannKind Corporation;</w:t>
      </w:r>
    </w:p>
    <w:p>
      <w:pPr>
        <w:spacing w:after="0" w:line="117" w:lineRule="exact"/>
        <w:rPr>
          <w:rFonts w:ascii="Times New Roman" w:cs="Times New Roman" w:eastAsia="Times New Roman" w:hAnsi="Times New Roman"/>
          <w:sz w:val="18"/>
          <w:szCs w:val="18"/>
          <w:color w:val="auto"/>
        </w:rPr>
      </w:pPr>
    </w:p>
    <w:p>
      <w:pPr>
        <w:ind w:right="440" w:firstLine="236"/>
        <w:spacing w:after="0" w:line="282" w:lineRule="auto"/>
        <w:tabs>
          <w:tab w:leader="none" w:pos="40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3" w:lineRule="exact"/>
        <w:rPr>
          <w:rFonts w:ascii="Times New Roman" w:cs="Times New Roman" w:eastAsia="Times New Roman" w:hAnsi="Times New Roman"/>
          <w:sz w:val="18"/>
          <w:szCs w:val="18"/>
          <w:color w:val="auto"/>
        </w:rPr>
      </w:pPr>
    </w:p>
    <w:p>
      <w:pPr>
        <w:ind w:right="500" w:firstLine="236"/>
        <w:spacing w:after="0" w:line="282" w:lineRule="auto"/>
        <w:tabs>
          <w:tab w:leader="none" w:pos="40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right="260" w:firstLine="236"/>
        <w:spacing w:after="0" w:line="266" w:lineRule="auto"/>
        <w:tabs>
          <w:tab w:leader="none" w:pos="40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Times New Roman" w:cs="Times New Roman" w:eastAsia="Times New Roman" w:hAnsi="Times New Roman"/>
          <w:sz w:val="18"/>
          <w:szCs w:val="18"/>
          <w:color w:val="auto"/>
        </w:rPr>
      </w:pPr>
    </w:p>
    <w:p>
      <w:pPr>
        <w:jc w:val="both"/>
        <w:ind w:left="240" w:right="440" w:firstLine="220"/>
        <w:spacing w:after="0" w:line="266" w:lineRule="auto"/>
        <w:tabs>
          <w:tab w:leader="none" w:pos="708"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ind w:left="240" w:right="660" w:firstLine="220"/>
        <w:spacing w:after="0" w:line="266" w:lineRule="auto"/>
        <w:tabs>
          <w:tab w:leader="none" w:pos="718"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ind w:left="240" w:right="40" w:firstLine="220"/>
        <w:spacing w:after="0" w:line="282" w:lineRule="auto"/>
        <w:tabs>
          <w:tab w:leader="none" w:pos="708"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240" w:right="60" w:firstLine="220"/>
        <w:spacing w:after="0" w:line="266" w:lineRule="auto"/>
        <w:tabs>
          <w:tab w:leader="none" w:pos="718"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Times New Roman" w:cs="Times New Roman" w:eastAsia="Times New Roman" w:hAnsi="Times New Roman"/>
          <w:sz w:val="18"/>
          <w:szCs w:val="18"/>
          <w:color w:val="auto"/>
        </w:rPr>
      </w:pPr>
    </w:p>
    <w:p>
      <w:pPr>
        <w:ind w:right="420" w:firstLine="236"/>
        <w:spacing w:after="0" w:line="282" w:lineRule="auto"/>
        <w:tabs>
          <w:tab w:leader="none" w:pos="40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240" w:right="400" w:firstLine="220"/>
        <w:spacing w:after="0" w:line="282" w:lineRule="auto"/>
        <w:tabs>
          <w:tab w:leader="none" w:pos="708"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240" w:right="360" w:firstLine="220"/>
        <w:spacing w:after="0" w:line="282" w:lineRule="auto"/>
        <w:tabs>
          <w:tab w:leader="none" w:pos="718"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9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Hakan S. Edstrom</w:t>
      </w:r>
    </w:p>
    <w:p>
      <w:pPr>
        <w:spacing w:after="0" w:line="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Hakan S. Edstrom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2, 2015</w:t>
      </w:r>
    </w:p>
    <w:p>
      <w:pPr>
        <w:sectPr>
          <w:pgSz w:w="11900" w:h="16838" w:orient="portrait"/>
          <w:cols w:equalWidth="0" w:num="1">
            <w:col w:w="11420"/>
          </w:cols>
          <w:pgMar w:left="240" w:top="117" w:right="239" w:bottom="1440" w:gutter="0" w:footer="0" w:header="0"/>
        </w:sectPr>
      </w:pPr>
    </w:p>
    <w:bookmarkStart w:id="104" w:name="page105"/>
    <w:bookmarkEnd w:id="10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RULE 13a-14(a)/15d-14(a) CERTIFICATION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Matthew J. Pfeffer, certify that:</w:t>
      </w:r>
    </w:p>
    <w:p>
      <w:pPr>
        <w:spacing w:after="0" w:line="117" w:lineRule="exact"/>
        <w:rPr>
          <w:sz w:val="20"/>
          <w:szCs w:val="20"/>
          <w:color w:val="auto"/>
        </w:rPr>
      </w:pPr>
    </w:p>
    <w:p>
      <w:pPr>
        <w:ind w:left="420" w:hanging="184"/>
        <w:spacing w:after="0"/>
        <w:tabs>
          <w:tab w:leader="none" w:pos="4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MannKind Corporation;</w:t>
      </w:r>
    </w:p>
    <w:p>
      <w:pPr>
        <w:spacing w:after="0" w:line="117" w:lineRule="exact"/>
        <w:rPr>
          <w:rFonts w:ascii="Times New Roman" w:cs="Times New Roman" w:eastAsia="Times New Roman" w:hAnsi="Times New Roman"/>
          <w:sz w:val="18"/>
          <w:szCs w:val="18"/>
          <w:color w:val="auto"/>
        </w:rPr>
      </w:pPr>
    </w:p>
    <w:p>
      <w:pPr>
        <w:ind w:right="440" w:firstLine="236"/>
        <w:spacing w:after="0" w:line="282" w:lineRule="auto"/>
        <w:tabs>
          <w:tab w:leader="none" w:pos="40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3" w:lineRule="exact"/>
        <w:rPr>
          <w:rFonts w:ascii="Times New Roman" w:cs="Times New Roman" w:eastAsia="Times New Roman" w:hAnsi="Times New Roman"/>
          <w:sz w:val="18"/>
          <w:szCs w:val="18"/>
          <w:color w:val="auto"/>
        </w:rPr>
      </w:pPr>
    </w:p>
    <w:p>
      <w:pPr>
        <w:ind w:right="500" w:firstLine="236"/>
        <w:spacing w:after="0" w:line="282" w:lineRule="auto"/>
        <w:tabs>
          <w:tab w:leader="none" w:pos="40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right="260" w:firstLine="236"/>
        <w:spacing w:after="0" w:line="266" w:lineRule="auto"/>
        <w:tabs>
          <w:tab w:leader="none" w:pos="40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Times New Roman" w:cs="Times New Roman" w:eastAsia="Times New Roman" w:hAnsi="Times New Roman"/>
          <w:sz w:val="18"/>
          <w:szCs w:val="18"/>
          <w:color w:val="auto"/>
        </w:rPr>
      </w:pPr>
    </w:p>
    <w:p>
      <w:pPr>
        <w:jc w:val="both"/>
        <w:ind w:left="240" w:right="440" w:firstLine="220"/>
        <w:spacing w:after="0" w:line="266" w:lineRule="auto"/>
        <w:tabs>
          <w:tab w:leader="none" w:pos="708"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ind w:left="240" w:right="660" w:firstLine="220"/>
        <w:spacing w:after="0" w:line="266" w:lineRule="auto"/>
        <w:tabs>
          <w:tab w:leader="none" w:pos="718"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ind w:left="240" w:right="40" w:firstLine="220"/>
        <w:spacing w:after="0" w:line="282" w:lineRule="auto"/>
        <w:tabs>
          <w:tab w:leader="none" w:pos="708"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240" w:right="60" w:firstLine="220"/>
        <w:spacing w:after="0" w:line="266" w:lineRule="auto"/>
        <w:tabs>
          <w:tab w:leader="none" w:pos="718"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Times New Roman" w:cs="Times New Roman" w:eastAsia="Times New Roman" w:hAnsi="Times New Roman"/>
          <w:sz w:val="18"/>
          <w:szCs w:val="18"/>
          <w:color w:val="auto"/>
        </w:rPr>
      </w:pPr>
    </w:p>
    <w:p>
      <w:pPr>
        <w:ind w:right="420" w:firstLine="236"/>
        <w:spacing w:after="0" w:line="282" w:lineRule="auto"/>
        <w:tabs>
          <w:tab w:leader="none" w:pos="40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240" w:right="400" w:firstLine="220"/>
        <w:spacing w:after="0" w:line="282" w:lineRule="auto"/>
        <w:tabs>
          <w:tab w:leader="none" w:pos="708"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240" w:right="360" w:firstLine="220"/>
        <w:spacing w:after="0" w:line="282" w:lineRule="auto"/>
        <w:tabs>
          <w:tab w:leader="none" w:pos="718"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8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Matthew J. Pfeffer</w:t>
      </w:r>
    </w:p>
    <w:p>
      <w:pPr>
        <w:spacing w:after="0" w:line="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Matthew J. Pfeffer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Corporate Vice President and</w:t>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2, 2015</w:t>
      </w:r>
    </w:p>
    <w:p>
      <w:pPr>
        <w:sectPr>
          <w:pgSz w:w="11900" w:h="16838" w:orient="portrait"/>
          <w:cols w:equalWidth="0" w:num="1">
            <w:col w:w="11420"/>
          </w:cols>
          <w:pgMar w:left="240" w:top="117" w:right="239" w:bottom="1440" w:gutter="0" w:footer="0" w:header="0"/>
        </w:sectPr>
      </w:pPr>
    </w:p>
    <w:bookmarkStart w:id="105" w:name="page106"/>
    <w:bookmarkEnd w:id="105"/>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r>
        <w:rPr>
          <w:rFonts w:ascii="Times New Roman" w:cs="Times New Roman" w:eastAsia="Times New Roman" w:hAnsi="Times New Roman"/>
          <w:sz w:val="15"/>
          <w:szCs w:val="15"/>
          <w:b w:val="1"/>
          <w:bCs w:val="1"/>
          <w:color w:val="auto"/>
        </w:rPr>
        <w:t>1</w:t>
      </w:r>
    </w:p>
    <w:p>
      <w:pPr>
        <w:spacing w:after="0" w:line="229" w:lineRule="exact"/>
        <w:rPr>
          <w:sz w:val="20"/>
          <w:szCs w:val="20"/>
          <w:color w:val="auto"/>
        </w:rPr>
      </w:pPr>
    </w:p>
    <w:p>
      <w:pPr>
        <w:jc w:val="both"/>
        <w:ind w:right="20" w:firstLine="228"/>
        <w:spacing w:after="0" w:line="261" w:lineRule="auto"/>
        <w:rPr>
          <w:sz w:val="20"/>
          <w:szCs w:val="20"/>
          <w:color w:val="auto"/>
        </w:rPr>
      </w:pPr>
      <w:r>
        <w:rPr>
          <w:rFonts w:ascii="Times New Roman" w:cs="Times New Roman" w:eastAsia="Times New Roman" w:hAnsi="Times New Roman"/>
          <w:sz w:val="18"/>
          <w:szCs w:val="18"/>
          <w:color w:val="auto"/>
        </w:rPr>
        <w:t>Pursuant to the requirement set forth in Rule 13a-14(b) or Rule 15d-14(b) of the Securities Exchange Act of 1934, as amended (the “Exchange Act”), and Section 1350 of Chapter 63 of Title 18 of the United States Code (18 U.S.C. §1350), Hakan S. Edstrom, President and Chief Executive Officer of MannKind Corporation (the “Company”), and Matthew J. Pfeffer, Corporate Vice President and Chief Financial Officer of the Company, each hereby certifies that, to the best of his knowledge:</w:t>
      </w:r>
    </w:p>
    <w:p>
      <w:pPr>
        <w:spacing w:after="0" w:line="72" w:lineRule="exact"/>
        <w:rPr>
          <w:sz w:val="20"/>
          <w:szCs w:val="20"/>
          <w:color w:val="auto"/>
        </w:rPr>
      </w:pPr>
    </w:p>
    <w:p>
      <w:pPr>
        <w:ind w:left="240" w:right="380" w:firstLine="220"/>
        <w:spacing w:after="0" w:line="282" w:lineRule="auto"/>
        <w:tabs>
          <w:tab w:leader="none" w:pos="643"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Annual Report on Form 10-K for the period ended December 31, 2014, to which this Certification is attached as Exhibit 32 (the “Annual Report”) fully complies with the requirements of Section 13(a) or Section 15(d) of the Exchange Act, and</w:t>
      </w:r>
    </w:p>
    <w:p>
      <w:pPr>
        <w:spacing w:after="0" w:line="53" w:lineRule="exact"/>
        <w:rPr>
          <w:rFonts w:ascii="Times New Roman" w:cs="Times New Roman" w:eastAsia="Times New Roman" w:hAnsi="Times New Roman"/>
          <w:sz w:val="18"/>
          <w:szCs w:val="18"/>
          <w:color w:val="auto"/>
        </w:rPr>
      </w:pPr>
    </w:p>
    <w:p>
      <w:pPr>
        <w:ind w:left="240" w:right="540" w:firstLine="220"/>
        <w:spacing w:after="0" w:line="282" w:lineRule="auto"/>
        <w:tabs>
          <w:tab w:leader="none" w:pos="643"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Annual Report fairly presents, in all material respects, the financial condition and results of operations of the Company.</w:t>
      </w:r>
    </w:p>
    <w:p>
      <w:pPr>
        <w:spacing w:after="0" w:line="5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In Witness Whereof, the undersigned have set their hands hereto as of the 2nd day of March 2015.</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Hakan S. Edstrom</w:t>
            </w:r>
          </w:p>
        </w:tc>
        <w:tc>
          <w:tcPr>
            <w:tcW w:w="4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 Matthew J. Pfeffer</w:t>
            </w:r>
          </w:p>
        </w:tc>
      </w:tr>
      <w:tr>
        <w:trPr>
          <w:trHeight w:val="205"/>
        </w:trPr>
        <w:tc>
          <w:tcPr>
            <w:tcW w:w="58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Hakan S. Edstrom</w:t>
            </w:r>
          </w:p>
        </w:tc>
        <w:tc>
          <w:tcPr>
            <w:tcW w:w="4160" w:type="dxa"/>
            <w:vAlign w:val="bottom"/>
          </w:tcPr>
          <w:p>
            <w:pPr>
              <w:ind w:left="340"/>
              <w:spacing w:after="0" w:line="205" w:lineRule="exact"/>
              <w:rPr>
                <w:sz w:val="20"/>
                <w:szCs w:val="20"/>
                <w:color w:val="auto"/>
              </w:rPr>
            </w:pPr>
            <w:r>
              <w:rPr>
                <w:rFonts w:ascii="Times New Roman" w:cs="Times New Roman" w:eastAsia="Times New Roman" w:hAnsi="Times New Roman"/>
                <w:sz w:val="18"/>
                <w:szCs w:val="18"/>
                <w:color w:val="auto"/>
              </w:rPr>
              <w:t>Matthew J. Pfeffer</w:t>
            </w:r>
          </w:p>
        </w:tc>
      </w:tr>
      <w:tr>
        <w:trPr>
          <w:trHeight w:val="234"/>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416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8"/>
              </w:rPr>
              <w:t>Corporate Vice President and Chief Financial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188658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394" w:lineRule="exact"/>
        <w:rPr>
          <w:sz w:val="20"/>
          <w:szCs w:val="20"/>
          <w:color w:val="auto"/>
        </w:rPr>
      </w:pPr>
    </w:p>
    <w:p>
      <w:pPr>
        <w:ind w:left="460" w:right="120" w:hanging="452"/>
        <w:spacing w:after="0" w:line="261" w:lineRule="auto"/>
        <w:tabs>
          <w:tab w:leader="none" w:pos="460" w:val="left"/>
        </w:tabs>
        <w:numPr>
          <w:ilvl w:val="0"/>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This certification accompanies the Annual Report on Form 10-K to which it relates, is not deemed filed with the Securities and Exchange Commission and is not to be incorporated by reference into any filing of MannKind Corporation under the Securities Act of 1933, as amended, or the Securities Exchange Act of 1934, as amended (whether made before or after the date of the Annual Report on Form 10-K to which this certification relates), irrespective of any general incorporation language contained in such filing.</w:t>
      </w:r>
    </w:p>
    <w:sectPr>
      <w:pgSz w:w="11900" w:h="16838" w:orient="portrait"/>
      <w:cols w:equalWidth="0" w:num="1">
        <w:col w:w="11420"/>
      </w:cols>
      <w:pgMar w:left="240" w:top="1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1."/>
      <w:numFmt w:val="upperLetter"/>
      <w:start w:val="11"/>
    </w:lvl>
  </w:abstractNum>
  <w:abstractNum w:abstractNumId="3">
    <w:nsid w:val="721DA317"/>
    <w:multiLevelType w:val="hybridMultilevel"/>
    <w:lvl w:ilvl="0">
      <w:lvlJc w:val="left"/>
      <w:lvlText w:val="•"/>
      <w:numFmt w:val="bullet"/>
      <w:start w:val="1"/>
    </w:lvl>
  </w:abstractNum>
  <w:abstractNum w:abstractNumId="4">
    <w:nsid w:val="2443A858"/>
    <w:multiLevelType w:val="hybridMultilevel"/>
    <w:lvl w:ilvl="0">
      <w:lvlJc w:val="left"/>
      <w:lvlText w:val="•"/>
      <w:numFmt w:val="bullet"/>
      <w:start w:val="1"/>
    </w:lvl>
  </w:abstractNum>
  <w:abstractNum w:abstractNumId="5">
    <w:nsid w:val="2D1D5AE9"/>
    <w:multiLevelType w:val="hybridMultilevel"/>
    <w:lvl w:ilvl="0">
      <w:lvlJc w:val="left"/>
      <w:lvlText w:val="•"/>
      <w:numFmt w:val="bullet"/>
      <w:start w:val="1"/>
    </w:lvl>
  </w:abstractNum>
  <w:abstractNum w:abstractNumId="6">
    <w:nsid w:val="6763845E"/>
    <w:multiLevelType w:val="hybridMultilevel"/>
    <w:lvl w:ilvl="0">
      <w:lvlJc w:val="left"/>
      <w:lvlText w:val="•"/>
      <w:numFmt w:val="bullet"/>
      <w:start w:val="1"/>
    </w:lvl>
  </w:abstractNum>
  <w:abstractNum w:abstractNumId="7">
    <w:nsid w:val="75A2A8D4"/>
    <w:multiLevelType w:val="hybridMultilevel"/>
    <w:lvl w:ilvl="0">
      <w:lvlJc w:val="left"/>
      <w:lvlText w:val="•"/>
      <w:numFmt w:val="bullet"/>
      <w:start w:val="1"/>
    </w:lvl>
  </w:abstractNum>
  <w:abstractNum w:abstractNumId="8">
    <w:nsid w:val="8EDBDAB"/>
    <w:multiLevelType w:val="hybridMultilevel"/>
    <w:lvl w:ilvl="0">
      <w:lvlJc w:val="left"/>
      <w:lvlText w:val="(%1)"/>
      <w:numFmt w:val="decimal"/>
      <w:start w:val="661"/>
    </w:lvl>
  </w:abstractNum>
  <w:abstractNum w:abstractNumId="9">
    <w:nsid w:val="79838CB2"/>
    <w:multiLevelType w:val="hybridMultilevel"/>
    <w:lvl w:ilvl="0">
      <w:lvlJc w:val="left"/>
      <w:lvlText w:val="•"/>
      <w:numFmt w:val="bullet"/>
      <w:start w:val="1"/>
    </w:lvl>
  </w:abstractNum>
  <w:abstractNum w:abstractNumId="10">
    <w:nsid w:val="4353D0CD"/>
    <w:multiLevelType w:val="hybridMultilevel"/>
    <w:lvl w:ilvl="0">
      <w:lvlJc w:val="left"/>
      <w:lvlText w:val="•"/>
      <w:numFmt w:val="bullet"/>
      <w:start w:val="1"/>
    </w:lvl>
  </w:abstractNum>
  <w:abstractNum w:abstractNumId="11">
    <w:nsid w:val="B03E0C6"/>
    <w:multiLevelType w:val="hybridMultilevel"/>
    <w:lvl w:ilvl="0">
      <w:lvlJc w:val="left"/>
      <w:lvlText w:val="•"/>
      <w:numFmt w:val="bullet"/>
      <w:start w:val="1"/>
    </w:lvl>
  </w:abstractNum>
  <w:abstractNum w:abstractNumId="12">
    <w:nsid w:val="189A769B"/>
    <w:multiLevelType w:val="hybridMultilevel"/>
    <w:lvl w:ilvl="0">
      <w:lvlJc w:val="left"/>
      <w:lvlText w:val="•"/>
      <w:numFmt w:val="bullet"/>
      <w:start w:val="1"/>
    </w:lvl>
  </w:abstractNum>
  <w:abstractNum w:abstractNumId="13">
    <w:nsid w:val="54E49EB4"/>
    <w:multiLevelType w:val="hybridMultilevel"/>
    <w:lvl w:ilvl="0">
      <w:lvlJc w:val="left"/>
      <w:lvlText w:val="•"/>
      <w:numFmt w:val="bullet"/>
      <w:start w:val="1"/>
    </w:lvl>
  </w:abstractNum>
  <w:abstractNum w:abstractNumId="14">
    <w:nsid w:val="71F32454"/>
    <w:multiLevelType w:val="hybridMultilevel"/>
    <w:lvl w:ilvl="0">
      <w:lvlJc w:val="left"/>
      <w:lvlText w:val="•"/>
      <w:numFmt w:val="bullet"/>
      <w:start w:val="1"/>
    </w:lvl>
  </w:abstractNum>
  <w:abstractNum w:abstractNumId="15">
    <w:nsid w:val="2CA88611"/>
    <w:multiLevelType w:val="hybridMultilevel"/>
    <w:lvl w:ilvl="0">
      <w:lvlJc w:val="left"/>
      <w:lvlText w:val="•"/>
      <w:numFmt w:val="bullet"/>
      <w:start w:val="1"/>
    </w:lvl>
  </w:abstractNum>
  <w:abstractNum w:abstractNumId="16">
    <w:nsid w:val="836C40E"/>
    <w:multiLevelType w:val="hybridMultilevel"/>
    <w:lvl w:ilvl="0">
      <w:lvlJc w:val="left"/>
      <w:lvlText w:val="•"/>
      <w:numFmt w:val="bullet"/>
      <w:start w:val="1"/>
    </w:lvl>
  </w:abstractNum>
  <w:abstractNum w:abstractNumId="17">
    <w:nsid w:val="2901D82"/>
    <w:multiLevelType w:val="hybridMultilevel"/>
    <w:lvl w:ilvl="0">
      <w:lvlJc w:val="left"/>
      <w:lvlText w:val="•"/>
      <w:numFmt w:val="bullet"/>
      <w:start w:val="1"/>
    </w:lvl>
  </w:abstractNum>
  <w:abstractNum w:abstractNumId="18">
    <w:nsid w:val="3A95F874"/>
    <w:multiLevelType w:val="hybridMultilevel"/>
    <w:lvl w:ilvl="0">
      <w:lvlJc w:val="left"/>
      <w:lvlText w:val="•"/>
      <w:numFmt w:val="bullet"/>
      <w:start w:val="1"/>
    </w:lvl>
  </w:abstractNum>
  <w:abstractNum w:abstractNumId="19">
    <w:nsid w:val="8138641"/>
    <w:multiLevelType w:val="hybridMultilevel"/>
    <w:lvl w:ilvl="0">
      <w:lvlJc w:val="left"/>
      <w:lvlText w:val="•"/>
      <w:numFmt w:val="bullet"/>
      <w:start w:val="1"/>
    </w:lvl>
  </w:abstractNum>
  <w:abstractNum w:abstractNumId="20">
    <w:nsid w:val="1E7FF521"/>
    <w:multiLevelType w:val="hybridMultilevel"/>
    <w:lvl w:ilvl="0">
      <w:lvlJc w:val="left"/>
      <w:lvlText w:val="•"/>
      <w:numFmt w:val="bullet"/>
      <w:start w:val="1"/>
    </w:lvl>
  </w:abstractNum>
  <w:abstractNum w:abstractNumId="21">
    <w:nsid w:val="7C3DBD3D"/>
    <w:multiLevelType w:val="hybridMultilevel"/>
    <w:lvl w:ilvl="0">
      <w:lvlJc w:val="left"/>
      <w:lvlText w:val="•"/>
      <w:numFmt w:val="bullet"/>
      <w:start w:val="1"/>
    </w:lvl>
  </w:abstractNum>
  <w:abstractNum w:abstractNumId="22">
    <w:nsid w:val="737B8DDC"/>
    <w:multiLevelType w:val="hybridMultilevel"/>
    <w:lvl w:ilvl="0">
      <w:lvlJc w:val="left"/>
      <w:lvlText w:val="(%1)"/>
      <w:numFmt w:val="lowerRoman"/>
      <w:start w:val="2"/>
    </w:lvl>
  </w:abstractNum>
  <w:abstractNum w:abstractNumId="23">
    <w:nsid w:val="6CEAF087"/>
    <w:multiLevelType w:val="hybridMultilevel"/>
    <w:lvl w:ilvl="0">
      <w:lvlJc w:val="left"/>
      <w:lvlText w:val="•"/>
      <w:numFmt w:val="bullet"/>
      <w:start w:val="1"/>
    </w:lvl>
  </w:abstractNum>
  <w:abstractNum w:abstractNumId="24">
    <w:nsid w:val="22221A70"/>
    <w:multiLevelType w:val="hybridMultilevel"/>
    <w:lvl w:ilvl="0">
      <w:lvlJc w:val="left"/>
      <w:lvlText w:val="•"/>
      <w:numFmt w:val="bullet"/>
      <w:start w:val="1"/>
    </w:lvl>
  </w:abstractNum>
  <w:abstractNum w:abstractNumId="25">
    <w:nsid w:val="4516DDE9"/>
    <w:multiLevelType w:val="hybridMultilevel"/>
    <w:lvl w:ilvl="0">
      <w:lvlJc w:val="left"/>
      <w:lvlText w:val="•"/>
      <w:numFmt w:val="bullet"/>
      <w:start w:val="1"/>
    </w:lvl>
  </w:abstractNum>
  <w:abstractNum w:abstractNumId="26">
    <w:nsid w:val="3006C83E"/>
    <w:multiLevelType w:val="hybridMultilevel"/>
    <w:lvl w:ilvl="0">
      <w:lvlJc w:val="left"/>
      <w:lvlText w:val="•"/>
      <w:numFmt w:val="bullet"/>
      <w:start w:val="1"/>
    </w:lvl>
  </w:abstractNum>
  <w:abstractNum w:abstractNumId="27">
    <w:nsid w:val="614FD4A1"/>
    <w:multiLevelType w:val="hybridMultilevel"/>
    <w:lvl w:ilvl="0">
      <w:lvlJc w:val="left"/>
      <w:lvlText w:val="•"/>
      <w:numFmt w:val="bullet"/>
      <w:start w:val="1"/>
    </w:lvl>
  </w:abstractNum>
  <w:abstractNum w:abstractNumId="28">
    <w:nsid w:val="419AC241"/>
    <w:multiLevelType w:val="hybridMultilevel"/>
    <w:lvl w:ilvl="0">
      <w:lvlJc w:val="left"/>
      <w:lvlText w:val="(%1)"/>
      <w:numFmt w:val="decimal"/>
      <w:start w:val="1"/>
    </w:lvl>
  </w:abstractNum>
  <w:abstractNum w:abstractNumId="29">
    <w:nsid w:val="5577F8E1"/>
    <w:multiLevelType w:val="hybridMultilevel"/>
    <w:lvl w:ilvl="0">
      <w:lvlJc w:val="left"/>
      <w:lvlText w:val="(%1)"/>
      <w:numFmt w:val="lowerLetter"/>
      <w:start w:val="1"/>
    </w:lvl>
  </w:abstractNum>
  <w:abstractNum w:abstractNumId="30">
    <w:nsid w:val="440BADFC"/>
    <w:multiLevelType w:val="hybridMultilevel"/>
    <w:lvl w:ilvl="0">
      <w:lvlJc w:val="left"/>
      <w:lvlText w:val="(%1)"/>
      <w:numFmt w:val="decimal"/>
      <w:start w:val="3"/>
    </w:lvl>
  </w:abstractNum>
  <w:abstractNum w:abstractNumId="31">
    <w:nsid w:val="5072367"/>
    <w:multiLevelType w:val="hybridMultilevel"/>
    <w:lvl w:ilvl="0">
      <w:lvlJc w:val="left"/>
      <w:lvlText w:val="%1"/>
      <w:numFmt w:val="decimal"/>
      <w:start w:val="32"/>
    </w:lvl>
  </w:abstractNum>
  <w:abstractNum w:abstractNumId="32">
    <w:nsid w:val="3804823E"/>
    <w:multiLevelType w:val="hybridMultilevel"/>
    <w:lvl w:ilvl="0">
      <w:lvlJc w:val="left"/>
      <w:lvlText w:val="*"/>
      <w:numFmt w:val="bullet"/>
      <w:start w:val="1"/>
    </w:lvl>
    <w:lvl w:ilvl="1">
      <w:lvlJc w:val="left"/>
      <w:lvlText w:val="%2"/>
      <w:numFmt w:val="decimal"/>
      <w:start w:val="101"/>
    </w:lvl>
  </w:abstractNum>
  <w:abstractNum w:abstractNumId="33">
    <w:nsid w:val="77465F01"/>
    <w:multiLevelType w:val="hybridMultilevel"/>
    <w:lvl w:ilvl="0">
      <w:lvlJc w:val="left"/>
      <w:lvlText w:val="**"/>
      <w:numFmt w:val="bullet"/>
      <w:start w:val="1"/>
    </w:lvl>
    <w:lvl w:ilvl="1">
      <w:lvlJc w:val="left"/>
      <w:lvlText w:val="%2"/>
      <w:numFmt w:val="decimal"/>
      <w:start w:val="1"/>
    </w:lvl>
  </w:abstractNum>
  <w:abstractNum w:abstractNumId="34">
    <w:nsid w:val="7724C67E"/>
    <w:multiLevelType w:val="hybridMultilevel"/>
    <w:lvl w:ilvl="0">
      <w:lvlJc w:val="left"/>
      <w:lvlText w:val="•"/>
      <w:numFmt w:val="bullet"/>
      <w:start w:val="1"/>
    </w:lvl>
  </w:abstractNum>
  <w:abstractNum w:abstractNumId="35">
    <w:nsid w:val="5C482A97"/>
    <w:multiLevelType w:val="hybridMultilevel"/>
    <w:lvl w:ilvl="0">
      <w:lvlJc w:val="left"/>
      <w:lvlText w:val="•"/>
      <w:numFmt w:val="bullet"/>
      <w:start w:val="1"/>
    </w:lvl>
  </w:abstractNum>
  <w:abstractNum w:abstractNumId="36">
    <w:nsid w:val="2463B9EA"/>
    <w:multiLevelType w:val="hybridMultilevel"/>
    <w:lvl w:ilvl="0">
      <w:lvlJc w:val="left"/>
      <w:lvlText w:val="%1."/>
      <w:numFmt w:val="decimal"/>
      <w:start w:val="1"/>
    </w:lvl>
    <w:lvl w:ilvl="1">
      <w:lvlJc w:val="left"/>
      <w:lvlText w:val="(%2)"/>
      <w:numFmt w:val="lowerLetter"/>
      <w:start w:val="1"/>
    </w:lvl>
  </w:abstractNum>
  <w:abstractNum w:abstractNumId="37">
    <w:nsid w:val="5E884ADC"/>
    <w:multiLevelType w:val="hybridMultilevel"/>
    <w:lvl w:ilvl="0">
      <w:lvlJc w:val="left"/>
      <w:lvlText w:val="%1."/>
      <w:numFmt w:val="decimal"/>
      <w:start w:val="1"/>
    </w:lvl>
    <w:lvl w:ilvl="1">
      <w:lvlJc w:val="left"/>
      <w:lvlText w:val="(%2)"/>
      <w:numFmt w:val="lowerLetter"/>
      <w:start w:val="1"/>
    </w:lvl>
  </w:abstractNum>
  <w:abstractNum w:abstractNumId="38">
    <w:nsid w:val="51EAD36B"/>
    <w:multiLevelType w:val="hybridMultilevel"/>
    <w:lvl w:ilvl="0">
      <w:lvlJc w:val="left"/>
      <w:lvlText w:val="%1."/>
      <w:numFmt w:val="decimal"/>
      <w:start w:val="1"/>
    </w:lvl>
  </w:abstractNum>
  <w:abstractNum w:abstractNumId="39">
    <w:nsid w:val="2D517796"/>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2019-12-29T17:35:53Z</dcterms:created>
  <dcterms:modified xsi:type="dcterms:W3CDTF">2019-12-29T17:35:53Z</dcterms:modified>
</cp:coreProperties>
</file>