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1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quarterly period ended September 30, 2005</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1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34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453"/>
        </w:trPr>
        <w:tc>
          <w:tcPr>
            <w:tcW w:w="4420" w:type="dxa"/>
            <w:vAlign w:val="bottom"/>
            <w:gridSpan w:val="4"/>
          </w:tcPr>
          <w:p>
            <w:pPr>
              <w:ind w:left="800"/>
              <w:spacing w:after="0"/>
              <w:rPr>
                <w:sz w:val="20"/>
                <w:szCs w:val="20"/>
                <w:color w:val="auto"/>
              </w:rPr>
            </w:pPr>
            <w:r>
              <w:rPr>
                <w:rFonts w:ascii="Arial" w:cs="Arial" w:eastAsia="Arial" w:hAnsi="Arial"/>
                <w:sz w:val="18"/>
                <w:szCs w:val="18"/>
                <w:b w:val="1"/>
                <w:bCs w:val="1"/>
                <w:color w:val="auto"/>
              </w:rPr>
              <w:t>Commission File Number: 000-50865</w:t>
            </w:r>
          </w:p>
        </w:tc>
        <w:tc>
          <w:tcPr>
            <w:tcW w:w="40" w:type="dxa"/>
            <w:vAlign w:val="bottom"/>
          </w:tcPr>
          <w:p>
            <w:pPr>
              <w:spacing w:after="0"/>
              <w:rPr>
                <w:sz w:val="24"/>
                <w:szCs w:val="24"/>
                <w:color w:val="auto"/>
              </w:rPr>
            </w:pPr>
          </w:p>
        </w:tc>
      </w:tr>
    </w:tbl>
    <w:p>
      <w:pPr>
        <w:spacing w:after="0" w:line="173" w:lineRule="exact"/>
        <w:rPr>
          <w:sz w:val="20"/>
          <w:szCs w:val="20"/>
          <w:color w:val="auto"/>
        </w:rPr>
      </w:pPr>
    </w:p>
    <w:p>
      <w:pPr>
        <w:jc w:val="center"/>
        <w:ind w:right="-259"/>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160" w:type="dxa"/>
        <w:tblCellMar>
          <w:top w:w="0" w:type="dxa"/>
          <w:left w:w="0" w:type="dxa"/>
          <w:bottom w:w="0" w:type="dxa"/>
          <w:right w:w="0" w:type="dxa"/>
        </w:tblCellMar>
      </w:tblPr>
      <w:tr>
        <w:trPr>
          <w:trHeight w:val="220"/>
        </w:trPr>
        <w:tc>
          <w:tcPr>
            <w:tcW w:w="4680" w:type="dxa"/>
            <w:vAlign w:val="bottom"/>
          </w:tcPr>
          <w:p>
            <w:pPr>
              <w:jc w:val="center"/>
              <w:ind w:right="1470"/>
              <w:spacing w:after="0"/>
              <w:rPr>
                <w:sz w:val="20"/>
                <w:szCs w:val="20"/>
                <w:color w:val="auto"/>
              </w:rPr>
            </w:pPr>
            <w:r>
              <w:rPr>
                <w:rFonts w:ascii="Arial" w:cs="Arial" w:eastAsia="Arial" w:hAnsi="Arial"/>
                <w:sz w:val="18"/>
                <w:szCs w:val="18"/>
                <w:b w:val="1"/>
                <w:bCs w:val="1"/>
                <w:color w:val="auto"/>
                <w:w w:val="91"/>
              </w:rPr>
              <w:t>Delaware</w:t>
            </w:r>
          </w:p>
        </w:tc>
        <w:tc>
          <w:tcPr>
            <w:tcW w:w="4180" w:type="dxa"/>
            <w:vAlign w:val="bottom"/>
          </w:tcPr>
          <w:p>
            <w:pPr>
              <w:jc w:val="right"/>
              <w:ind w:right="790"/>
              <w:spacing w:after="0"/>
              <w:rPr>
                <w:sz w:val="20"/>
                <w:szCs w:val="20"/>
                <w:color w:val="auto"/>
              </w:rPr>
            </w:pPr>
            <w:r>
              <w:rPr>
                <w:rFonts w:ascii="Arial" w:cs="Arial" w:eastAsia="Arial" w:hAnsi="Arial"/>
                <w:sz w:val="18"/>
                <w:szCs w:val="18"/>
                <w:b w:val="1"/>
                <w:bCs w:val="1"/>
                <w:color w:val="auto"/>
              </w:rPr>
              <w:t>13-3607736</w:t>
            </w:r>
          </w:p>
        </w:tc>
      </w:tr>
      <w:tr>
        <w:trPr>
          <w:trHeight w:val="216"/>
        </w:trPr>
        <w:tc>
          <w:tcPr>
            <w:tcW w:w="4680" w:type="dxa"/>
            <w:vAlign w:val="bottom"/>
          </w:tcPr>
          <w:p>
            <w:pPr>
              <w:jc w:val="center"/>
              <w:ind w:right="1490"/>
              <w:spacing w:after="0"/>
              <w:rPr>
                <w:sz w:val="20"/>
                <w:szCs w:val="20"/>
                <w:color w:val="auto"/>
              </w:rPr>
            </w:pPr>
            <w:r>
              <w:rPr>
                <w:rFonts w:ascii="Arial" w:cs="Arial" w:eastAsia="Arial" w:hAnsi="Arial"/>
                <w:sz w:val="18"/>
                <w:szCs w:val="18"/>
                <w:color w:val="auto"/>
                <w:w w:val="92"/>
              </w:rPr>
              <w:t>(State or other jurisdiction of incorporation</w:t>
            </w:r>
          </w:p>
        </w:tc>
        <w:tc>
          <w:tcPr>
            <w:tcW w:w="4180" w:type="dxa"/>
            <w:vAlign w:val="bottom"/>
          </w:tcPr>
          <w:p>
            <w:pPr>
              <w:jc w:val="center"/>
              <w:ind w:left="14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680" w:type="dxa"/>
            <w:vAlign w:val="bottom"/>
          </w:tcPr>
          <w:p>
            <w:pPr>
              <w:jc w:val="center"/>
              <w:ind w:right="1470"/>
              <w:spacing w:after="0"/>
              <w:rPr>
                <w:sz w:val="20"/>
                <w:szCs w:val="20"/>
                <w:color w:val="auto"/>
              </w:rPr>
            </w:pPr>
            <w:r>
              <w:rPr>
                <w:rFonts w:ascii="Arial" w:cs="Arial" w:eastAsia="Arial" w:hAnsi="Arial"/>
                <w:sz w:val="18"/>
                <w:szCs w:val="18"/>
                <w:color w:val="auto"/>
                <w:w w:val="92"/>
              </w:rPr>
              <w:t>or organization)</w:t>
            </w:r>
          </w:p>
        </w:tc>
        <w:tc>
          <w:tcPr>
            <w:tcW w:w="4180" w:type="dxa"/>
            <w:vAlign w:val="bottom"/>
          </w:tcPr>
          <w:p>
            <w:pPr>
              <w:spacing w:after="0"/>
              <w:rPr>
                <w:sz w:val="20"/>
                <w:szCs w:val="20"/>
                <w:color w:val="auto"/>
              </w:rPr>
            </w:pPr>
          </w:p>
        </w:tc>
      </w:tr>
      <w:tr>
        <w:trPr>
          <w:trHeight w:val="414"/>
        </w:trPr>
        <w:tc>
          <w:tcPr>
            <w:tcW w:w="4680" w:type="dxa"/>
            <w:vAlign w:val="bottom"/>
          </w:tcPr>
          <w:p>
            <w:pPr>
              <w:jc w:val="center"/>
              <w:ind w:right="1470"/>
              <w:spacing w:after="0"/>
              <w:rPr>
                <w:sz w:val="20"/>
                <w:szCs w:val="20"/>
                <w:color w:val="auto"/>
              </w:rPr>
            </w:pPr>
            <w:r>
              <w:rPr>
                <w:rFonts w:ascii="Arial" w:cs="Arial" w:eastAsia="Arial" w:hAnsi="Arial"/>
                <w:sz w:val="18"/>
                <w:szCs w:val="18"/>
                <w:b w:val="1"/>
                <w:bCs w:val="1"/>
                <w:color w:val="auto"/>
                <w:w w:val="90"/>
              </w:rPr>
              <w:t>28903 North Avenue Paine</w:t>
            </w:r>
          </w:p>
        </w:tc>
        <w:tc>
          <w:tcPr>
            <w:tcW w:w="4180" w:type="dxa"/>
            <w:vAlign w:val="bottom"/>
          </w:tcPr>
          <w:p>
            <w:pPr>
              <w:jc w:val="right"/>
              <w:ind w:right="990"/>
              <w:spacing w:after="0"/>
              <w:rPr>
                <w:sz w:val="20"/>
                <w:szCs w:val="20"/>
                <w:color w:val="auto"/>
              </w:rPr>
            </w:pPr>
            <w:r>
              <w:rPr>
                <w:rFonts w:ascii="Arial" w:cs="Arial" w:eastAsia="Arial" w:hAnsi="Arial"/>
                <w:sz w:val="18"/>
                <w:szCs w:val="18"/>
                <w:b w:val="1"/>
                <w:bCs w:val="1"/>
                <w:color w:val="auto"/>
              </w:rPr>
              <w:t>91355</w:t>
            </w:r>
          </w:p>
        </w:tc>
      </w:tr>
      <w:tr>
        <w:trPr>
          <w:trHeight w:val="220"/>
        </w:trPr>
        <w:tc>
          <w:tcPr>
            <w:tcW w:w="46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2"/>
              </w:rPr>
              <w:t>Valencia, California</w:t>
            </w:r>
          </w:p>
        </w:tc>
        <w:tc>
          <w:tcPr>
            <w:tcW w:w="418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r>
        <w:trPr>
          <w:trHeight w:val="230"/>
        </w:trPr>
        <w:tc>
          <w:tcPr>
            <w:tcW w:w="468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4180" w:type="dxa"/>
            <w:vAlign w:val="bottom"/>
          </w:tcPr>
          <w:p>
            <w:pPr>
              <w:spacing w:after="0"/>
              <w:rPr>
                <w:sz w:val="20"/>
                <w:szCs w:val="20"/>
                <w:color w:val="auto"/>
              </w:rPr>
            </w:pPr>
          </w:p>
        </w:tc>
      </w:tr>
    </w:tbl>
    <w:p>
      <w:pPr>
        <w:spacing w:after="0" w:line="19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(661) 775-5300</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43" w:lineRule="exact"/>
        <w:rPr>
          <w:sz w:val="20"/>
          <w:szCs w:val="20"/>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Yes o No </w:t>
      </w:r>
      <w:r>
        <w:rPr>
          <w:rFonts w:ascii="MS PGothic" w:cs="MS PGothic" w:eastAsia="MS PGothic" w:hAnsi="MS PGothic"/>
          <w:sz w:val="18"/>
          <w:szCs w:val="18"/>
          <w:color w:val="auto"/>
        </w:rPr>
        <w:t>☑</w:t>
      </w:r>
    </w:p>
    <w:p>
      <w:pPr>
        <w:spacing w:after="0" w:line="124" w:lineRule="exact"/>
        <w:rPr>
          <w:sz w:val="20"/>
          <w:szCs w:val="20"/>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November 8, 2005, there were 50,234,454 shares of the registrant’s common stock, $.01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MANNKIND CORPORATION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Quarterly Period Ended September 30, 2005</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2900" w:type="dxa"/>
            <w:vAlign w:val="bottom"/>
            <w:gridSpan w:val="10"/>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620" w:type="dxa"/>
            <w:vAlign w:val="bottom"/>
            <w:gridSpan w:val="10"/>
            <w:vMerge w:val="restart"/>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0"/>
            <w:vMerge w:val="continue"/>
          </w:tcPr>
          <w:p>
            <w:pPr>
              <w:spacing w:after="0"/>
              <w:rPr>
                <w:sz w:val="14"/>
                <w:szCs w:val="14"/>
                <w:color w:val="auto"/>
              </w:rPr>
            </w:pPr>
          </w:p>
        </w:tc>
        <w:tc>
          <w:tcPr>
            <w:tcW w:w="7620" w:type="dxa"/>
            <w:vAlign w:val="bottom"/>
            <w:gridSpan w:val="10"/>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2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2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September 30, 2005 and December 31, 2004</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Three months and nine months ended September 30, 2005 and 2004 and the period from</w:t>
              </w:r>
            </w:hyperlink>
          </w:p>
        </w:tc>
        <w:tc>
          <w:tcPr>
            <w:tcW w:w="122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30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inception (February 14, 1991) to September 30, 2005</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20" w:type="dxa"/>
            <w:vAlign w:val="bottom"/>
            <w:gridSpan w:val="20"/>
          </w:tcPr>
          <w:p>
            <w:pPr>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Consolidated Statements of Cash Flows: Nine months ended September 30, 2005 and 2004 and the period from inception (February 14,</w:t>
              </w:r>
            </w:hyperlink>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95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1991) to September 30, 2005</w:t>
              </w:r>
            </w:hyperlink>
          </w:p>
        </w:tc>
        <w:tc>
          <w:tcPr>
            <w:tcW w:w="7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Consolidated Financial Statements</w:t>
              </w:r>
            </w:hyperlink>
          </w:p>
        </w:tc>
        <w:tc>
          <w:tcPr>
            <w:tcW w:w="7360" w:type="dxa"/>
            <w:vAlign w:val="bottom"/>
            <w:gridSpan w:val="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0520" w:type="dxa"/>
            <w:vAlign w:val="bottom"/>
            <w:gridSpan w:val="2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2. Management’s Discussion and Analysis of Financial Condition and Results of Operations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350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Item 4. Controls and Procedures</w:t>
              </w:r>
            </w:hyperlink>
          </w:p>
        </w:tc>
        <w:tc>
          <w:tcPr>
            <w:tcW w:w="8180" w:type="dxa"/>
            <w:vAlign w:val="bottom"/>
            <w:gridSpan w:val="1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0520" w:type="dxa"/>
            <w:vAlign w:val="bottom"/>
            <w:gridSpan w:val="20"/>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PART II: OTHER INFORMATION</w:t>
              </w:r>
            </w:hyperlink>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4"/>
          </w:tcPr>
          <w:p>
            <w:pPr>
              <w:spacing w:after="0"/>
              <w:rPr>
                <w:sz w:val="17"/>
                <w:szCs w:val="17"/>
                <w:color w:val="auto"/>
              </w:rPr>
            </w:pPr>
          </w:p>
        </w:tc>
        <w:tc>
          <w:tcPr>
            <w:tcW w:w="7940" w:type="dxa"/>
            <w:vAlign w:val="bottom"/>
            <w:gridSpan w:val="1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2.</w:t>
              </w:r>
            </w:hyperlink>
          </w:p>
        </w:tc>
        <w:tc>
          <w:tcPr>
            <w:tcW w:w="4380" w:type="dxa"/>
            <w:vAlign w:val="bottom"/>
            <w:tcBorders>
              <w:bottom w:val="single" w:sz="8" w:color="0000EE"/>
            </w:tcBorders>
            <w:gridSpan w:val="13"/>
          </w:tcPr>
          <w:p>
            <w:pPr>
              <w:ind w:left="20"/>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Unregistered Sales of Equity Securities and Use of Proceeds</w:t>
              </w:r>
            </w:hyperlink>
          </w:p>
        </w:tc>
        <w:tc>
          <w:tcPr>
            <w:tcW w:w="560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3.</w:t>
              </w:r>
            </w:hyperlink>
          </w:p>
        </w:tc>
        <w:tc>
          <w:tcPr>
            <w:tcW w:w="9980" w:type="dxa"/>
            <w:vAlign w:val="bottom"/>
            <w:gridSpan w:val="18"/>
          </w:tcPr>
          <w:p>
            <w:pPr>
              <w:ind w:left="20"/>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Defaults Upon Senior Securities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62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4.</w:t>
              </w:r>
            </w:hyperlink>
          </w:p>
        </w:tc>
        <w:tc>
          <w:tcPr>
            <w:tcW w:w="9980" w:type="dxa"/>
            <w:vAlign w:val="bottom"/>
            <w:gridSpan w:val="18"/>
          </w:tcPr>
          <w:p>
            <w:pPr>
              <w:ind w:left="20"/>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Submission of Matters to a Vote of Security Holders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5.</w:t>
              </w:r>
            </w:hyperlink>
          </w:p>
        </w:tc>
        <w:tc>
          <w:tcPr>
            <w:tcW w:w="134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Other Information</w:t>
              </w:r>
            </w:hyperlink>
          </w:p>
        </w:tc>
        <w:tc>
          <w:tcPr>
            <w:tcW w:w="2440" w:type="dxa"/>
            <w:vAlign w:val="bottom"/>
            <w:tcBorders>
              <w:top w:val="single" w:sz="8" w:color="0000EE"/>
            </w:tcBorders>
            <w:gridSpan w:val="10"/>
          </w:tcPr>
          <w:p>
            <w:pPr>
              <w:spacing w:after="0"/>
              <w:rPr>
                <w:sz w:val="17"/>
                <w:szCs w:val="17"/>
                <w:color w:val="auto"/>
              </w:rPr>
            </w:pPr>
          </w:p>
        </w:tc>
        <w:tc>
          <w:tcPr>
            <w:tcW w:w="6200" w:type="dxa"/>
            <w:vAlign w:val="bottom"/>
            <w:gridSpan w:val="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ectPr>
          <w:pgSz w:w="11900" w:h="16838" w:orient="portrait"/>
          <w:cols w:equalWidth="0" w:num="1">
            <w:col w:w="11180"/>
          </w:cols>
          <w:pgMar w:left="240" w:top="122" w:right="47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gridSpan w:val="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6. Exhibits</w:t>
              </w:r>
            </w:hyperlink>
          </w:p>
        </w:tc>
        <w:tc>
          <w:tcPr>
            <w:tcW w:w="8000" w:type="dxa"/>
            <w:vAlign w:val="bottom"/>
          </w:tcPr>
          <w:p>
            <w:pPr>
              <w:jc w:val="right"/>
              <w:ind w:right="250"/>
              <w:spacing w:after="0"/>
              <w:rPr>
                <w:sz w:val="20"/>
                <w:szCs w:val="20"/>
                <w:color w:val="auto"/>
              </w:rPr>
            </w:pPr>
            <w:r>
              <w:rPr>
                <w:rFonts w:ascii="Arial" w:cs="Arial" w:eastAsia="Arial" w:hAnsi="Arial"/>
                <w:sz w:val="18"/>
                <w:szCs w:val="18"/>
                <w:color w:val="auto"/>
              </w:rPr>
              <w:t>38</w:t>
            </w:r>
          </w:p>
        </w:tc>
      </w:tr>
      <w:tr>
        <w:trPr>
          <w:trHeight w:val="196"/>
        </w:trPr>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Signature</w:t>
              </w:r>
            </w:hyperlink>
          </w:p>
        </w:tc>
        <w:tc>
          <w:tcPr>
            <w:tcW w:w="460" w:type="dxa"/>
            <w:vAlign w:val="bottom"/>
            <w:tcBorders>
              <w:top w:val="single" w:sz="8" w:color="0000EE"/>
            </w:tcBorders>
            <w:gridSpan w:val="4"/>
          </w:tcPr>
          <w:p>
            <w:pPr>
              <w:spacing w:after="0"/>
              <w:rPr>
                <w:sz w:val="17"/>
                <w:szCs w:val="17"/>
                <w:color w:val="auto"/>
              </w:rPr>
            </w:pPr>
          </w:p>
        </w:tc>
        <w:tc>
          <w:tcPr>
            <w:tcW w:w="2260" w:type="dxa"/>
            <w:vAlign w:val="bottom"/>
          </w:tcPr>
          <w:p>
            <w:pPr>
              <w:spacing w:after="0"/>
              <w:rPr>
                <w:sz w:val="17"/>
                <w:szCs w:val="17"/>
                <w:color w:val="auto"/>
              </w:rPr>
            </w:pPr>
          </w:p>
        </w:tc>
        <w:tc>
          <w:tcPr>
            <w:tcW w:w="80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39</w:t>
            </w:r>
          </w:p>
        </w:tc>
      </w:tr>
      <w:tr>
        <w:trPr>
          <w:trHeight w:val="222"/>
        </w:trPr>
        <w:tc>
          <w:tcPr>
            <w:tcW w:w="3420" w:type="dxa"/>
            <w:vAlign w:val="bottom"/>
            <w:gridSpan w:val="7"/>
          </w:tcPr>
          <w:p>
            <w:pPr>
              <w:spacing w:after="0"/>
              <w:rPr>
                <w:sz w:val="20"/>
                <w:szCs w:val="20"/>
                <w:color w:val="auto"/>
              </w:rPr>
            </w:pPr>
            <w:r>
              <w:rPr>
                <w:rFonts w:ascii="Arial" w:cs="Arial" w:eastAsia="Arial" w:hAnsi="Arial"/>
                <w:sz w:val="18"/>
                <w:szCs w:val="18"/>
                <w:color w:val="auto"/>
              </w:rPr>
              <w:t>Exhibit 31.1</w:t>
            </w:r>
          </w:p>
        </w:tc>
        <w:tc>
          <w:tcPr>
            <w:tcW w:w="8000" w:type="dxa"/>
            <w:vAlign w:val="bottom"/>
          </w:tcPr>
          <w:p>
            <w:pPr>
              <w:jc w:val="right"/>
              <w:ind w:right="250"/>
              <w:spacing w:after="0"/>
              <w:rPr>
                <w:sz w:val="20"/>
                <w:szCs w:val="20"/>
                <w:color w:val="auto"/>
              </w:rPr>
            </w:pPr>
            <w:r>
              <w:rPr>
                <w:rFonts w:ascii="Arial" w:cs="Arial" w:eastAsia="Arial" w:hAnsi="Arial"/>
                <w:sz w:val="18"/>
                <w:szCs w:val="18"/>
                <w:color w:val="auto"/>
              </w:rPr>
              <w:t>40</w:t>
            </w:r>
          </w:p>
        </w:tc>
      </w:tr>
      <w:tr>
        <w:trPr>
          <w:trHeight w:val="216"/>
        </w:trPr>
        <w:tc>
          <w:tcPr>
            <w:tcW w:w="3420" w:type="dxa"/>
            <w:vAlign w:val="bottom"/>
            <w:gridSpan w:val="7"/>
          </w:tcPr>
          <w:p>
            <w:pPr>
              <w:spacing w:after="0"/>
              <w:rPr>
                <w:sz w:val="20"/>
                <w:szCs w:val="20"/>
                <w:color w:val="auto"/>
              </w:rPr>
            </w:pPr>
            <w:r>
              <w:rPr>
                <w:rFonts w:ascii="Arial" w:cs="Arial" w:eastAsia="Arial" w:hAnsi="Arial"/>
                <w:sz w:val="18"/>
                <w:szCs w:val="18"/>
                <w:color w:val="auto"/>
              </w:rPr>
              <w:t>Exhibit 31.2</w:t>
            </w:r>
          </w:p>
        </w:tc>
        <w:tc>
          <w:tcPr>
            <w:tcW w:w="8000" w:type="dxa"/>
            <w:vAlign w:val="bottom"/>
          </w:tcPr>
          <w:p>
            <w:pPr>
              <w:jc w:val="right"/>
              <w:ind w:right="250"/>
              <w:spacing w:after="0"/>
              <w:rPr>
                <w:sz w:val="20"/>
                <w:szCs w:val="20"/>
                <w:color w:val="auto"/>
              </w:rPr>
            </w:pPr>
            <w:r>
              <w:rPr>
                <w:rFonts w:ascii="Arial" w:cs="Arial" w:eastAsia="Arial" w:hAnsi="Arial"/>
                <w:sz w:val="18"/>
                <w:szCs w:val="18"/>
                <w:color w:val="auto"/>
              </w:rPr>
              <w:t>41</w:t>
            </w:r>
          </w:p>
        </w:tc>
      </w:tr>
      <w:tr>
        <w:trPr>
          <w:trHeight w:val="222"/>
        </w:trPr>
        <w:tc>
          <w:tcPr>
            <w:tcW w:w="3420" w:type="dxa"/>
            <w:vAlign w:val="bottom"/>
            <w:gridSpan w:val="7"/>
          </w:tcPr>
          <w:p>
            <w:pPr>
              <w:spacing w:after="0"/>
              <w:rPr>
                <w:sz w:val="20"/>
                <w:szCs w:val="20"/>
                <w:color w:val="auto"/>
              </w:rPr>
            </w:pPr>
            <w:r>
              <w:rPr>
                <w:rFonts w:ascii="Arial" w:cs="Arial" w:eastAsia="Arial" w:hAnsi="Arial"/>
                <w:sz w:val="18"/>
                <w:szCs w:val="18"/>
                <w:color w:val="auto"/>
              </w:rPr>
              <w:t>Exhibit 32</w:t>
            </w:r>
          </w:p>
        </w:tc>
        <w:tc>
          <w:tcPr>
            <w:tcW w:w="8000" w:type="dxa"/>
            <w:vAlign w:val="bottom"/>
          </w:tcPr>
          <w:p>
            <w:pPr>
              <w:jc w:val="right"/>
              <w:ind w:right="250"/>
              <w:spacing w:after="0"/>
              <w:rPr>
                <w:sz w:val="20"/>
                <w:szCs w:val="20"/>
                <w:color w:val="auto"/>
              </w:rPr>
            </w:pPr>
            <w:r>
              <w:rPr>
                <w:rFonts w:ascii="Arial" w:cs="Arial" w:eastAsia="Arial" w:hAnsi="Arial"/>
                <w:sz w:val="18"/>
                <w:szCs w:val="18"/>
                <w:color w:val="auto"/>
              </w:rPr>
              <w:t>42</w:t>
            </w:r>
          </w:p>
        </w:tc>
      </w:tr>
      <w:tr>
        <w:trPr>
          <w:trHeight w:val="184"/>
        </w:trPr>
        <w:tc>
          <w:tcPr>
            <w:tcW w:w="60" w:type="dxa"/>
            <w:vAlign w:val="bottom"/>
          </w:tcPr>
          <w:p>
            <w:pPr>
              <w:spacing w:after="0"/>
              <w:rPr>
                <w:sz w:val="15"/>
                <w:szCs w:val="15"/>
                <w:color w:val="auto"/>
              </w:rPr>
            </w:pPr>
          </w:p>
        </w:tc>
        <w:tc>
          <w:tcPr>
            <w:tcW w:w="880" w:type="dxa"/>
            <w:vAlign w:val="bottom"/>
            <w:tcBorders>
              <w:bottom w:val="single" w:sz="8" w:color="0000EE"/>
            </w:tcBorders>
            <w:gridSpan w:val="4"/>
          </w:tcPr>
          <w:p>
            <w:pPr>
              <w:spacing w:after="0" w:line="184" w:lineRule="exact"/>
              <w:rPr>
                <w:sz w:val="20"/>
                <w:szCs w:val="20"/>
                <w:color w:val="auto"/>
              </w:rPr>
            </w:pPr>
            <w:r>
              <w:rPr>
                <w:rFonts w:ascii="Arial" w:cs="Arial" w:eastAsia="Arial" w:hAnsi="Arial"/>
                <w:sz w:val="18"/>
                <w:szCs w:val="18"/>
                <w:color w:val="0000EE"/>
                <w:w w:val="91"/>
              </w:rPr>
              <w:t>Exhibit 31.1</w:t>
            </w:r>
          </w:p>
        </w:tc>
        <w:tc>
          <w:tcPr>
            <w:tcW w:w="2480" w:type="dxa"/>
            <w:vAlign w:val="bottom"/>
            <w:gridSpan w:val="2"/>
          </w:tcPr>
          <w:p>
            <w:pPr>
              <w:spacing w:after="0"/>
              <w:rPr>
                <w:sz w:val="15"/>
                <w:szCs w:val="15"/>
                <w:color w:val="auto"/>
              </w:rPr>
            </w:pPr>
          </w:p>
        </w:tc>
        <w:tc>
          <w:tcPr>
            <w:tcW w:w="8000" w:type="dxa"/>
            <w:vAlign w:val="bottom"/>
          </w:tcPr>
          <w:p>
            <w:pPr>
              <w:spacing w:after="0"/>
              <w:rPr>
                <w:sz w:val="15"/>
                <w:szCs w:val="15"/>
                <w:color w:val="auto"/>
              </w:rPr>
            </w:pPr>
          </w:p>
        </w:tc>
      </w:tr>
      <w:tr>
        <w:trPr>
          <w:trHeight w:val="196"/>
        </w:trPr>
        <w:tc>
          <w:tcPr>
            <w:tcW w:w="60" w:type="dxa"/>
            <w:vAlign w:val="bottom"/>
          </w:tcPr>
          <w:p>
            <w:pPr>
              <w:spacing w:after="0"/>
              <w:rPr>
                <w:sz w:val="17"/>
                <w:szCs w:val="17"/>
                <w:color w:val="auto"/>
              </w:rPr>
            </w:pPr>
          </w:p>
        </w:tc>
        <w:tc>
          <w:tcPr>
            <w:tcW w:w="3360" w:type="dxa"/>
            <w:vAlign w:val="bottom"/>
            <w:gridSpan w:val="6"/>
          </w:tcPr>
          <w:p>
            <w:pPr>
              <w:spacing w:after="0" w:line="196" w:lineRule="exact"/>
              <w:rPr>
                <w:sz w:val="20"/>
                <w:szCs w:val="20"/>
                <w:color w:val="auto"/>
              </w:rPr>
            </w:pPr>
            <w:r>
              <w:rPr>
                <w:rFonts w:ascii="Arial" w:cs="Arial" w:eastAsia="Arial" w:hAnsi="Arial"/>
                <w:sz w:val="18"/>
                <w:szCs w:val="18"/>
                <w:color w:val="0000EE"/>
              </w:rPr>
              <w:t>Exhibit 31.2</w:t>
            </w:r>
          </w:p>
        </w:tc>
        <w:tc>
          <w:tcPr>
            <w:tcW w:w="800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86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Exhibit 32</w:t>
            </w:r>
          </w:p>
        </w:tc>
        <w:tc>
          <w:tcPr>
            <w:tcW w:w="2500" w:type="dxa"/>
            <w:vAlign w:val="bottom"/>
            <w:gridSpan w:val="3"/>
          </w:tcPr>
          <w:p>
            <w:pPr>
              <w:spacing w:after="0"/>
              <w:rPr>
                <w:sz w:val="17"/>
                <w:szCs w:val="17"/>
                <w:color w:val="auto"/>
              </w:rPr>
            </w:pPr>
          </w:p>
        </w:tc>
        <w:tc>
          <w:tcPr>
            <w:tcW w:w="8000" w:type="dxa"/>
            <w:vAlign w:val="bottom"/>
          </w:tcPr>
          <w:p>
            <w:pPr>
              <w:spacing w:after="0"/>
              <w:rPr>
                <w:sz w:val="17"/>
                <w:szCs w:val="17"/>
                <w:color w:val="auto"/>
              </w:rPr>
            </w:pPr>
          </w:p>
        </w:tc>
      </w:tr>
      <w:tr>
        <w:trPr>
          <w:trHeight w:val="412"/>
        </w:trPr>
        <w:tc>
          <w:tcPr>
            <w:tcW w:w="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00" w:type="dxa"/>
            <w:vAlign w:val="bottom"/>
          </w:tcPr>
          <w:p>
            <w:pPr>
              <w:jc w:val="right"/>
              <w:ind w:right="5570"/>
              <w:spacing w:after="0"/>
              <w:rPr>
                <w:sz w:val="20"/>
                <w:szCs w:val="20"/>
                <w:color w:val="auto"/>
              </w:rPr>
            </w:pPr>
            <w:r>
              <w:rPr>
                <w:rFonts w:ascii="Arial" w:cs="Arial" w:eastAsia="Arial" w:hAnsi="Arial"/>
                <w:sz w:val="18"/>
                <w:szCs w:val="18"/>
                <w:color w:val="auto"/>
              </w:rPr>
              <w:t>2</w:t>
            </w:r>
          </w:p>
        </w:tc>
      </w:tr>
      <w:tr>
        <w:trPr>
          <w:trHeight w:val="226"/>
        </w:trPr>
        <w:tc>
          <w:tcPr>
            <w:tcW w:w="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8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ITEM 1.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4"/>
              </w:rPr>
              <w:t>September 30, 2005</w:t>
            </w:r>
          </w:p>
        </w:tc>
        <w:tc>
          <w:tcPr>
            <w:tcW w:w="140" w:type="dxa"/>
            <w:vAlign w:val="bottom"/>
          </w:tcPr>
          <w:p>
            <w:pPr>
              <w:spacing w:after="0"/>
              <w:rPr>
                <w:sz w:val="14"/>
                <w:szCs w:val="14"/>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December 31, 2004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1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69,238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3"/>
          </w:tcPr>
          <w:p>
            <w:pPr>
              <w:jc w:val="right"/>
              <w:ind w:right="720"/>
              <w:spacing w:after="0"/>
              <w:rPr>
                <w:sz w:val="20"/>
                <w:szCs w:val="20"/>
                <w:color w:val="auto"/>
              </w:rPr>
            </w:pPr>
            <w:r>
              <w:rPr>
                <w:rFonts w:ascii="Arial" w:cs="Arial" w:eastAsia="Arial" w:hAnsi="Arial"/>
                <w:sz w:val="18"/>
                <w:szCs w:val="18"/>
                <w:color w:val="auto"/>
              </w:rPr>
              <w:t>113,166</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11,546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State research and development credit exchange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1,233</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3,451</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187,106</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95,881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71,387</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66,511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40" w:type="dxa"/>
            <w:vAlign w:val="bottom"/>
          </w:tcPr>
          <w:p>
            <w:pPr>
              <w:spacing w:after="0" w:line="201" w:lineRule="exact"/>
              <w:rPr>
                <w:sz w:val="20"/>
                <w:szCs w:val="20"/>
                <w:color w:val="auto"/>
              </w:rPr>
            </w:pPr>
            <w:r>
              <w:rPr>
                <w:rFonts w:ascii="Arial" w:cs="Arial" w:eastAsia="Arial" w:hAnsi="Arial"/>
                <w:sz w:val="18"/>
                <w:szCs w:val="18"/>
                <w:color w:val="auto"/>
              </w:rPr>
              <w:t>STATE RESEARCH AND DEVELOPMENT CREDIT EXCHANGE RECEIVABLE – net of</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current portion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1,249</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260,024</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163,483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3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5,407</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3"/>
          </w:tcPr>
          <w:p>
            <w:pPr>
              <w:jc w:val="right"/>
              <w:ind w:right="720"/>
              <w:spacing w:after="0"/>
              <w:rPr>
                <w:sz w:val="20"/>
                <w:szCs w:val="20"/>
                <w:color w:val="auto"/>
              </w:rPr>
            </w:pPr>
            <w:r>
              <w:rPr>
                <w:rFonts w:ascii="Arial" w:cs="Arial" w:eastAsia="Arial" w:hAnsi="Arial"/>
                <w:sz w:val="18"/>
                <w:szCs w:val="18"/>
                <w:color w:val="auto"/>
              </w:rPr>
              <w:t>13,553</w:t>
            </w:r>
          </w:p>
        </w:tc>
        <w:tc>
          <w:tcPr>
            <w:tcW w:w="14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8,194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18,960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18,996</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40" w:type="dxa"/>
            <w:vAlign w:val="bottom"/>
          </w:tcPr>
          <w:p>
            <w:pPr>
              <w:spacing w:after="0" w:line="201" w:lineRule="exact"/>
              <w:rPr>
                <w:sz w:val="20"/>
                <w:szCs w:val="20"/>
                <w:color w:val="auto"/>
              </w:rPr>
            </w:pPr>
            <w:r>
              <w:rPr>
                <w:rFonts w:ascii="Arial" w:cs="Arial" w:eastAsia="Arial" w:hAnsi="Arial"/>
                <w:sz w:val="18"/>
                <w:szCs w:val="18"/>
                <w:color w:val="auto"/>
                <w:w w:val="94"/>
              </w:rPr>
              <w:t>Undesignated preferred stock, $0.01 par value—10,000,000 shares authorized; no shares issued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or outstanding at September 30, 2005 and December 31, 2004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$0.01 par value—90,000,000 shares authorized; 50,205,534 and 32,756,237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shares issued and outstanding at September 30, 2005 and December 31, 2004, respectively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501</w:t>
            </w: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764,529</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592,999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3"/>
          </w:tcPr>
          <w:p>
            <w:pPr>
              <w:jc w:val="right"/>
              <w:ind w:right="660"/>
              <w:spacing w:after="0"/>
              <w:rPr>
                <w:sz w:val="20"/>
                <w:szCs w:val="20"/>
                <w:color w:val="auto"/>
              </w:rPr>
            </w:pPr>
            <w:r>
              <w:rPr>
                <w:rFonts w:ascii="Arial" w:cs="Arial" w:eastAsia="Arial" w:hAnsi="Arial"/>
                <w:sz w:val="18"/>
                <w:szCs w:val="18"/>
                <w:color w:val="auto"/>
              </w:rPr>
              <w:t>(524,010)</w:t>
            </w:r>
          </w:p>
        </w:tc>
        <w:tc>
          <w:tcPr>
            <w:tcW w:w="14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(442,963)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241,028</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150,363</w:t>
            </w: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260,024</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163,483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from 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gridSpan w:val="6"/>
            <w:vMerge w:val="restart"/>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2"/>
                <w:szCs w:val="12"/>
                <w:color w:val="auto"/>
              </w:rPr>
            </w:pPr>
          </w:p>
        </w:tc>
        <w:tc>
          <w:tcPr>
            <w:tcW w:w="2680" w:type="dxa"/>
            <w:vAlign w:val="bottom"/>
            <w:gridSpan w:val="6"/>
            <w:vMerge w:val="restart"/>
          </w:tcPr>
          <w:p>
            <w:pPr>
              <w:jc w:val="right"/>
              <w:ind w:right="114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268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89"/>
              </w:rPr>
              <w:t>2004</w:t>
            </w:r>
          </w:p>
        </w:tc>
        <w:tc>
          <w:tcPr>
            <w:tcW w:w="7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89"/>
              </w:rPr>
              <w:t>2004</w:t>
            </w:r>
          </w:p>
        </w:tc>
        <w:tc>
          <w:tcPr>
            <w:tcW w:w="7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2005</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24,466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11,790</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66,758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38,901</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269,671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8,396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8,713</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16,318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16,552</w:t>
            </w:r>
          </w:p>
        </w:tc>
        <w:tc>
          <w:tcPr>
            <w:tcW w:w="1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91,658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 costs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Goodwill impairment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20,503</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55,453</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532,483</w:t>
            </w: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(32,862)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(20,503)</w:t>
            </w:r>
          </w:p>
        </w:tc>
        <w:tc>
          <w:tcPr>
            <w:tcW w:w="7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(83,076)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(55,453)</w:t>
            </w:r>
          </w:p>
        </w:tc>
        <w:tc>
          <w:tcPr>
            <w:tcW w:w="7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(529,625)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278</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499</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7,609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before provision for income taxes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(31,730)</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(20,188)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(81,046)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(54,842)</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(523,994)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(31,730)</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(20,188)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(81,047)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(54,842)</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(524,010)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w w:val="97"/>
              </w:rPr>
              <w:t>Deemed dividend related to beneficial conversion</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feature of convertible preferred stock</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(19,210)</w:t>
            </w:r>
          </w:p>
        </w:tc>
        <w:tc>
          <w:tcPr>
            <w:tcW w:w="1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(19,822)</w:t>
            </w:r>
          </w:p>
        </w:tc>
        <w:tc>
          <w:tcPr>
            <w:tcW w:w="1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(31,730</w:t>
            </w:r>
          </w:p>
        </w:tc>
        <w:tc>
          <w:tcPr>
            <w:tcW w:w="380" w:type="dxa"/>
            <w:vAlign w:val="bottom"/>
            <w:gridSpan w:val="2"/>
          </w:tcPr>
          <w:p>
            <w:pPr>
              <w:jc w:val="right"/>
              <w:ind w:right="32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(39,398</w:t>
            </w:r>
          </w:p>
        </w:tc>
        <w:tc>
          <w:tcPr>
            <w:tcW w:w="760" w:type="dxa"/>
            <w:vAlign w:val="bottom"/>
          </w:tcPr>
          <w:p>
            <w:pPr>
              <w:jc w:val="right"/>
              <w:ind w:right="6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(81,047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(74,724</w:t>
            </w:r>
          </w:p>
        </w:tc>
        <w:tc>
          <w:tcPr>
            <w:tcW w:w="760" w:type="dxa"/>
            <w:vAlign w:val="bottom"/>
          </w:tcPr>
          <w:p>
            <w:pPr>
              <w:jc w:val="right"/>
              <w:ind w:right="6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(547,222)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loss per share applicable to common</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 basic and diluted</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(0.73)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w w:val="95"/>
              </w:rPr>
              <w:t>Shares used to compute basic and diluted net loss</w:t>
            </w: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per share applicable to common stockholders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43,460</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28,051</w:t>
            </w:r>
          </w:p>
        </w:tc>
        <w:tc>
          <w:tcPr>
            <w:tcW w:w="1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36,373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22,687</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3"/>
            <w:vMerge w:val="restart"/>
          </w:tcPr>
          <w:p>
            <w:pPr>
              <w:jc w:val="right"/>
              <w:ind w:right="5"/>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2005</w:t>
            </w:r>
          </w:p>
        </w:tc>
        <w:tc>
          <w:tcPr>
            <w:tcW w:w="8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2005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80"/>
              <w:spacing w:after="0"/>
              <w:rPr>
                <w:sz w:val="20"/>
                <w:szCs w:val="20"/>
                <w:color w:val="auto"/>
              </w:rPr>
            </w:pPr>
            <w:r>
              <w:rPr>
                <w:rFonts w:ascii="Arial" w:cs="Arial" w:eastAsia="Arial" w:hAnsi="Arial"/>
                <w:sz w:val="18"/>
                <w:szCs w:val="18"/>
                <w:color w:val="auto"/>
              </w:rPr>
              <w:t>(81,047)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(54,842)</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(524,010)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5,463</w:t>
            </w:r>
          </w:p>
        </w:tc>
        <w:tc>
          <w:tcPr>
            <w:tcW w:w="2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5,370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28,709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 (benefit)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(587)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9,381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00"/>
              <w:spacing w:after="0"/>
              <w:rPr>
                <w:sz w:val="20"/>
                <w:szCs w:val="20"/>
                <w:color w:val="auto"/>
              </w:rPr>
            </w:pPr>
            <w:r>
              <w:rPr>
                <w:rFonts w:ascii="Arial" w:cs="Arial" w:eastAsia="Arial" w:hAnsi="Arial"/>
                <w:sz w:val="18"/>
                <w:szCs w:val="18"/>
                <w:color w:val="auto"/>
                <w:w w:val="96"/>
              </w:rPr>
              <w:t>Loss/(gain) on sale and abandonment/disposal of property and equipment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365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interest on investments, net of amortization of premiums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00"/>
              <w:spacing w:after="0"/>
              <w:rPr>
                <w:sz w:val="20"/>
                <w:szCs w:val="20"/>
                <w:color w:val="auto"/>
              </w:rPr>
            </w:pPr>
            <w:r>
              <w:rPr>
                <w:rFonts w:ascii="Arial" w:cs="Arial" w:eastAsia="Arial" w:hAnsi="Arial"/>
                <w:sz w:val="18"/>
                <w:szCs w:val="18"/>
                <w:color w:val="auto"/>
              </w:rPr>
              <w:t>Loss on available-for-sale securities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interest on notes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00"/>
              <w:spacing w:after="0"/>
              <w:rPr>
                <w:sz w:val="20"/>
                <w:szCs w:val="20"/>
                <w:color w:val="auto"/>
              </w:rPr>
            </w:pPr>
            <w:r>
              <w:rPr>
                <w:rFonts w:ascii="Arial" w:cs="Arial" w:eastAsia="Arial" w:hAnsi="Arial"/>
                <w:sz w:val="18"/>
                <w:szCs w:val="18"/>
                <w:color w:val="auto"/>
              </w:rPr>
              <w:t>Goodwill impairment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In-process research and development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00"/>
              <w:spacing w:after="0"/>
              <w:rPr>
                <w:sz w:val="20"/>
                <w:szCs w:val="20"/>
                <w:color w:val="auto"/>
              </w:rPr>
            </w:pPr>
            <w:r>
              <w:rPr>
                <w:rFonts w:ascii="Arial" w:cs="Arial" w:eastAsia="Arial" w:hAnsi="Arial"/>
                <w:sz w:val="18"/>
                <w:szCs w:val="18"/>
                <w:color w:val="auto"/>
              </w:rPr>
              <w:t>Accrued interest expense on notes payable to stockholders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Discount on stockholder notes below market rate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ind w:left="400"/>
              <w:spacing w:after="0" w:line="201" w:lineRule="exact"/>
              <w:rPr>
                <w:sz w:val="20"/>
                <w:szCs w:val="20"/>
                <w:color w:val="auto"/>
              </w:rPr>
            </w:pPr>
            <w:r>
              <w:rPr>
                <w:rFonts w:ascii="Arial" w:cs="Arial" w:eastAsia="Arial" w:hAnsi="Arial"/>
                <w:sz w:val="18"/>
                <w:szCs w:val="18"/>
                <w:color w:val="auto"/>
              </w:rPr>
              <w:t>Non-cash compensation expense of officer resulting from stockholder</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ind w:left="600"/>
              <w:spacing w:after="0"/>
              <w:rPr>
                <w:sz w:val="20"/>
                <w:szCs w:val="20"/>
                <w:color w:val="auto"/>
              </w:rPr>
            </w:pPr>
            <w:r>
              <w:rPr>
                <w:rFonts w:ascii="Arial" w:cs="Arial" w:eastAsia="Arial" w:hAnsi="Arial"/>
                <w:sz w:val="18"/>
                <w:szCs w:val="18"/>
                <w:color w:val="auto"/>
              </w:rPr>
              <w:t>contribution</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assets and liabilities: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600"/>
              <w:spacing w:after="0"/>
              <w:rPr>
                <w:sz w:val="20"/>
                <w:szCs w:val="20"/>
                <w:color w:val="auto"/>
              </w:rPr>
            </w:pPr>
            <w:r>
              <w:rPr>
                <w:rFonts w:ascii="Arial" w:cs="Arial" w:eastAsia="Arial" w:hAnsi="Arial"/>
                <w:sz w:val="18"/>
                <w:szCs w:val="18"/>
                <w:color w:val="auto"/>
              </w:rPr>
              <w:t>State R&amp;D credit exchange receivable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(4,026)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140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1,930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60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5,359</w:t>
            </w:r>
          </w:p>
        </w:tc>
        <w:tc>
          <w:tcPr>
            <w:tcW w:w="2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2,367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13,553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600"/>
              <w:spacing w:after="0"/>
              <w:rPr>
                <w:sz w:val="20"/>
                <w:szCs w:val="20"/>
                <w:color w:val="auto"/>
              </w:rPr>
            </w:pPr>
            <w:r>
              <w:rPr>
                <w:rFonts w:ascii="Arial" w:cs="Arial" w:eastAsia="Arial" w:hAnsi="Arial"/>
                <w:sz w:val="18"/>
                <w:szCs w:val="18"/>
                <w:color w:val="auto"/>
              </w:rPr>
              <w:t>Payment of deferred compensation</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color w:val="auto"/>
              </w:rPr>
              <w:t>(1,373)</w:t>
            </w:r>
          </w:p>
        </w:tc>
        <w:tc>
          <w:tcPr>
            <w:tcW w:w="2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(271)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(70,762)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(42,246)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(283,132)</w:t>
            </w:r>
          </w:p>
        </w:tc>
        <w:tc>
          <w:tcPr>
            <w:tcW w:w="0" w:type="dxa"/>
            <w:vAlign w:val="bottom"/>
          </w:tcPr>
          <w:p>
            <w:pPr>
              <w:spacing w:after="0"/>
              <w:rPr>
                <w:sz w:val="1"/>
                <w:szCs w:val="1"/>
                <w:color w:val="auto"/>
              </w:rPr>
            </w:pPr>
          </w:p>
        </w:tc>
      </w:tr>
      <w:tr>
        <w:trPr>
          <w:trHeight w:val="439"/>
        </w:trPr>
        <w:tc>
          <w:tcPr>
            <w:tcW w:w="61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marketable securities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(216,200)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(4,999)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(360,768)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Sales of marketable securities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114,695</w:t>
            </w:r>
          </w:p>
        </w:tc>
        <w:tc>
          <w:tcPr>
            <w:tcW w:w="2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1,730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247,490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(10,428)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(4,632)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565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(111,278)</w:t>
            </w:r>
          </w:p>
        </w:tc>
        <w:tc>
          <w:tcPr>
            <w:tcW w:w="8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(7,923)</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(216,742)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Issuance of common stock and warrants for cash</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172,291</w:t>
            </w:r>
          </w:p>
        </w:tc>
        <w:tc>
          <w:tcPr>
            <w:tcW w:w="2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83,173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492,862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18,153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Payable to stockholder</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(1,406)</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6140" w:type="dxa"/>
            <w:vAlign w:val="bottom"/>
            <w:gridSpan w:val="2"/>
          </w:tcPr>
          <w:p>
            <w:pPr>
              <w:jc w:val="right"/>
              <w:ind w:right="29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3"/>
            <w:vMerge w:val="restart"/>
          </w:tcPr>
          <w:p>
            <w:pPr>
              <w:jc w:val="center"/>
              <w:ind w:left="352"/>
              <w:spacing w:after="0"/>
              <w:rPr>
                <w:sz w:val="20"/>
                <w:szCs w:val="20"/>
                <w:color w:val="auto"/>
              </w:rPr>
            </w:pPr>
            <w:r>
              <w:rPr>
                <w:rFonts w:ascii="Arial" w:cs="Arial" w:eastAsia="Arial" w:hAnsi="Arial"/>
                <w:sz w:val="14"/>
                <w:szCs w:val="14"/>
                <w:b w:val="1"/>
                <w:bCs w:val="1"/>
                <w:color w:val="auto"/>
                <w:w w:val="90"/>
              </w:rPr>
              <w:t>Nine months ended</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left="532"/>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2005</w:t>
            </w:r>
          </w:p>
        </w:tc>
        <w:tc>
          <w:tcPr>
            <w:tcW w:w="8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96"/>
              </w:rPr>
              <w:t>2005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Put shares sold to majority stockholder</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Borrowings under lines of credit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notes receivables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Principal payments on notes payable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received for common stock to be issued</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Repurchase of common stock</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Series B convertible preferred stock for cash</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Borrowings on notes payable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172,291</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99,920</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569,112</w:t>
            </w: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color w:val="auto"/>
              </w:rPr>
              <w:t>NET (DECREASE)/INCREASE IN CASH AND CASH EQUIVALENTS</w:t>
            </w: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(9,749)</w:t>
            </w:r>
          </w:p>
        </w:tc>
        <w:tc>
          <w:tcPr>
            <w:tcW w:w="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49,751</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69,238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78,987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47,020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6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69,238</w:t>
            </w:r>
          </w:p>
        </w:tc>
        <w:tc>
          <w:tcPr>
            <w:tcW w:w="8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96,771</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69,238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FLOWS DISCLOSURES: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Cash paid for income taxes</w:t>
            </w:r>
          </w:p>
        </w:tc>
        <w:tc>
          <w:tcPr>
            <w:tcW w:w="8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receivable by stockholder issued to officers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tcPr>
          <w:p>
            <w:pPr>
              <w:ind w:left="200"/>
              <w:spacing w:after="0"/>
              <w:rPr>
                <w:sz w:val="20"/>
                <w:szCs w:val="20"/>
                <w:color w:val="auto"/>
              </w:rPr>
            </w:pPr>
            <w:r>
              <w:rPr>
                <w:rFonts w:ascii="Arial" w:cs="Arial" w:eastAsia="Arial" w:hAnsi="Arial"/>
                <w:sz w:val="18"/>
                <w:szCs w:val="18"/>
                <w:color w:val="auto"/>
              </w:rPr>
              <w:t>Accretion on redeemable convertible preferred stock</w:t>
            </w: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additional paid-in capital resulting from merger</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tcPr>
          <w:p>
            <w:pPr>
              <w:ind w:left="200"/>
              <w:spacing w:after="0"/>
              <w:rPr>
                <w:sz w:val="20"/>
                <w:szCs w:val="20"/>
                <w:color w:val="auto"/>
              </w:rPr>
            </w:pPr>
            <w:r>
              <w:rPr>
                <w:rFonts w:ascii="Arial" w:cs="Arial" w:eastAsia="Arial" w:hAnsi="Arial"/>
                <w:sz w:val="18"/>
                <w:szCs w:val="18"/>
                <w:color w:val="auto"/>
              </w:rPr>
              <w:t>Issuance of Series C convertible preferred stock subscriptions</w:t>
            </w: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Series A redeemable convertible preferred stock</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tcPr>
          <w:p>
            <w:pPr>
              <w:ind w:left="200"/>
              <w:spacing w:after="0"/>
              <w:rPr>
                <w:sz w:val="20"/>
                <w:szCs w:val="20"/>
                <w:color w:val="auto"/>
              </w:rPr>
            </w:pPr>
            <w:r>
              <w:rPr>
                <w:rFonts w:ascii="Arial" w:cs="Arial" w:eastAsia="Arial" w:hAnsi="Arial"/>
                <w:sz w:val="18"/>
                <w:szCs w:val="18"/>
                <w:color w:val="auto"/>
              </w:rPr>
              <w:t>Conversion of Series A redeemable convertible preferred stock</w:t>
            </w: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stock upon conversion of notes payable</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tcPr>
          <w:p>
            <w:pPr>
              <w:ind w:left="200"/>
              <w:spacing w:after="0"/>
              <w:rPr>
                <w:sz w:val="20"/>
                <w:szCs w:val="20"/>
                <w:color w:val="auto"/>
              </w:rPr>
            </w:pPr>
            <w:r>
              <w:rPr>
                <w:rFonts w:ascii="Arial" w:cs="Arial" w:eastAsia="Arial" w:hAnsi="Arial"/>
                <w:sz w:val="18"/>
                <w:szCs w:val="18"/>
                <w:color w:val="auto"/>
              </w:rPr>
              <w:t>Issuance of common stock for notes receivable</w:t>
            </w: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put option by stockholder</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tcPr>
          <w:p>
            <w:pPr>
              <w:ind w:left="200"/>
              <w:spacing w:after="0"/>
              <w:rPr>
                <w:sz w:val="20"/>
                <w:szCs w:val="20"/>
                <w:color w:val="auto"/>
              </w:rPr>
            </w:pPr>
            <w:r>
              <w:rPr>
                <w:rFonts w:ascii="Arial" w:cs="Arial" w:eastAsia="Arial" w:hAnsi="Arial"/>
                <w:sz w:val="18"/>
                <w:szCs w:val="18"/>
                <w:color w:val="auto"/>
              </w:rPr>
              <w:t>Put option redemption by stockholder</w:t>
            </w: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 in cash</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$15,000,000 and $50,000,000, respectively, automatically converted into common stock in August 2004.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Development Stage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unaudited consolidated financial statements of MannKind Corporation (the “Company”), have been prepared in accordance with generally accepted accounting principles in the United States of America for interim financial information and with the instructions to Form 10-Q and Article 10 of Regulation S-X of the Securities and Exchange Commission (the “SEC”). Accordingly, they do not include all of the information and footnotes required by generally accepted accounting principles in the United States of America for complete financial statements. These statements should be read in conjunction with the consolidated financial statements and notes thereto included in the Company’s latest audited annual financial statements. The audited statements for the year ended December 31, 2004 are included in the annual report on Form 10-K for the fiscal year ended December 31, 2004 filed with the SEC on March 16, 2005.</w:t>
      </w:r>
    </w:p>
    <w:p>
      <w:pPr>
        <w:spacing w:after="0" w:line="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July 22, 2004, the Company effected a one-for-three reverse stock split of its common stock. All share and per share amounts included in these unaudited consolidated financial statements have been retroactively adjusted for all periods presented to give effect to the reverse stock split, including reclassifying an amount equal to the reduction in par value to additional paid-in capital.</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nine months ended September 30, 2005 may not be indicative of the results that may be expected for the full year.</w:t>
      </w:r>
    </w:p>
    <w:p>
      <w:pPr>
        <w:spacing w:after="0" w:line="7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financial statements involve accrued expenses, the valuation of stock-based compensation and the determination of the provision for income taxes and corresponding deferred tax assets and liabilities and any valuation allowance recorded against net deferred tax assets.</w:t>
      </w:r>
    </w:p>
    <w:p>
      <w:pPr>
        <w:spacing w:after="0" w:line="5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Reclassification — Auction rate securities amounting to $7.1 million previously included in cash and cash equivalents as of December 31, 2003 have been reclassified to marketable securities resulting in a reduction in cash equivalents for the beginning of the nine months ended September 30, 2004 in the accompanying consolidated statements of cash flows.</w:t>
      </w:r>
    </w:p>
    <w:p>
      <w:pPr>
        <w:spacing w:after="0" w:line="7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is considered to be in the development stage as its primary activities since incorporation have been establishing its facilities, recruiting personnel, conducting research and development, business development, business and financial planning, and raising capital. Since its inception through September 30, 2005 the Company has reported accumulated net losses of $524.0 million which includes a goodwill impairment charge of $151.4 million. Also, since its inception through September 30, 2005, the Company has reported negative cash flow from operations of $283.1 million. It is costly to develop therapeutic products and conduct clinical trials for these products. Based upon the Company’s current expectations, management believes the Company’s existing capital resources, including the net proceeds of approximately $170.2 million from its private placement in August 2005, will enable it to continue planned operations into the third quarter of 2006. However, the Company cannot provide assurances that its plans will not change or that changed circumstances will not result in the depletion of its capital resources more rapidly than it currently anticipates. If planned operating results are not achieved or the Company is not successful in raising additional equity financing or entering into a collaborative agreement, management believes that planned expenditures could be reduced substantially, extending the time period over which the Company’s currently available capital resources will be adequate to fund the Company’s operations, on a reduced basis, through 2006.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Financings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August 2, 2004, the Company completed an initial public offering of its common stock at a price to the public of $14.00 per share. The Company sold 6,250,000 shares of common stock in the offering resulting in net proceeds of $79.2 million. In connection with this offering, the underwriters exercised an option to purchase 307,100 shares which closed on September 1, 2004 with net proceeds to the Company of $4.0 million. Additionally, in connection with the initial public offering, all of the outstanding shares of the Company’s preferred stock were converted into shares of its common stock. Accordingly, the automatic conversion of preferred stock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on August 2, 2004 into common stock is reflected in the accompanying consolidated financial statements. A summary of the terms of the offering can be found in the Prospectus filed by the Company pursuant to Rule 424(b) under the Securities Act of 1933, as amended with the SEC on July 28, 2004.</w:t>
      </w:r>
    </w:p>
    <w:p>
      <w:pPr>
        <w:spacing w:after="0" w:line="1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August 5, 2005, the Company closed a $175.0 million private placement of newly issued shares of common stock and the concurrent issuance of warrants for the purchase of additional shares of common stock to accredited investors including the principal stockholder who purchased $87.3 million of the private placement. The Company sold 17,132,000 shares of common stock in the private placement, together with warrants to purchase up to 3,426,000 shares of common stock at an exercise price of $12.228 per share. In connection with this private placement, the Company paid $4.5 million in commissions to the placements agents and incurred $0.3 million in other offering expenses which resulted in net proceeds of approximately $170.2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in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available-for-sale securities classified as current assets: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As of</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85"/>
              <w:spacing w:after="0"/>
              <w:rPr>
                <w:sz w:val="20"/>
                <w:szCs w:val="20"/>
                <w:color w:val="auto"/>
              </w:rPr>
            </w:pPr>
            <w:r>
              <w:rPr>
                <w:rFonts w:ascii="Arial" w:cs="Arial" w:eastAsia="Arial" w:hAnsi="Arial"/>
                <w:sz w:val="14"/>
                <w:szCs w:val="14"/>
                <w:b w:val="1"/>
                <w:bCs w:val="1"/>
                <w:color w:val="auto"/>
              </w:rPr>
              <w:t>As of</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294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September 30, 2005</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6"/>
          </w:tcPr>
          <w:p>
            <w:pPr>
              <w:ind w:left="580"/>
              <w:spacing w:after="0"/>
              <w:rPr>
                <w:sz w:val="20"/>
                <w:szCs w:val="20"/>
                <w:color w:val="auto"/>
              </w:rPr>
            </w:pPr>
            <w:r>
              <w:rPr>
                <w:rFonts w:ascii="Arial" w:cs="Arial" w:eastAsia="Arial" w:hAnsi="Arial"/>
                <w:sz w:val="14"/>
                <w:szCs w:val="14"/>
                <w:b w:val="1"/>
                <w:bCs w:val="1"/>
                <w:color w:val="auto"/>
              </w:rPr>
              <w:t>December 31, 2004</w:t>
            </w:r>
          </w:p>
        </w:tc>
        <w:tc>
          <w:tcPr>
            <w:tcW w:w="0" w:type="dxa"/>
            <w:vAlign w:val="bottom"/>
          </w:tcPr>
          <w:p>
            <w:pPr>
              <w:spacing w:after="0"/>
              <w:rPr>
                <w:sz w:val="1"/>
                <w:szCs w:val="1"/>
                <w:color w:val="auto"/>
              </w:rPr>
            </w:pPr>
          </w:p>
        </w:tc>
      </w:tr>
      <w:tr>
        <w:trPr>
          <w:trHeight w:val="149"/>
        </w:trPr>
        <w:tc>
          <w:tcPr>
            <w:tcW w:w="510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7"/>
              </w:rPr>
              <w:t>Cost basis</w:t>
            </w: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4"/>
              </w:rPr>
              <w:t>Fair value</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7"/>
              </w:rPr>
              <w:t>Cost basis</w:t>
            </w: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4"/>
              </w:rPr>
              <w:t>Fair value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government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1,443</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Corporate debt instruments</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2,353</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2,353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Auction rate municipal bonds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113,158</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113,166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113,158</w:t>
            </w:r>
          </w:p>
        </w:tc>
        <w:tc>
          <w:tcPr>
            <w:tcW w:w="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113,166</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11,546</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net proceeds from the private placement, which closed in August 2005, have been invested in marketable securities and cash equivalents in accordance with the Company’s investment policy which requires the average maturity of the portfolio not to exceed 12 months.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Accounting for stock-based compensation</w:t>
      </w:r>
    </w:p>
    <w:p>
      <w:pPr>
        <w:spacing w:after="0" w:line="12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Company accounts for employee stock options and the employee stock purchase plan using the intrinsic-value method in accordance with Accounting Principles Board (“APB”) Opinion No. 25 (“APB No. 25”), “Accounting for Stock Issued to Employees,” and its interpretations, and has adopted the disclosure-only alternative of Statement of Financial Accounting Standards (“SFAS”) No. 123 (“SFAS No. 123”), “Accounting for Stock-based Compensation”. Stock options issued to consultants are accounted for in accordance with the provisions of Emerging Issues Task Force Issue (“EITF”) No. 96-18, “Accounting for Equity Instruments That Are Issued to Other Than Employees for Acquiring, or in Conjunction with Selling, Goods or Services”, and Financial Accounting Standard Board (“FASB”) Interpretation No. 28 (“FIN 28”), “Accounting for Stock Appreciation Rights and Other Variable Stock Option or Award Plans”. Accordingly, no compensation expense is recorded for options issued to employees with fixed share amounts and fixed exercise prices which are at least equal to the fair value of the Company’s common stock at the date of grant. Conversely, when the exercise price is below fair value of the Company’s common stock on the date of grant, a non-cash charge to compensation expense is recorded for the amount equal to the difference between the exercise price and the fair value ratably over the term of the option vesting period. On October 7, 2003, the Company’s board of directors approved a repricing program for certain outstanding options to purchase shares of our common stock granted under each of our stock plans. Compensation cost for all options repriced under the repricing program is measured on a quarterly basis until the options expire or are exercised or canceled. The Company uses the fair-value method to account for non-employee stock-based compensation.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Stock options granted during the nine months ended September 30, 2005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3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8"/>
              </w:rPr>
              <w:t>Number</w:t>
            </w:r>
          </w:p>
        </w:tc>
        <w:tc>
          <w:tcPr>
            <w:tcW w:w="400" w:type="dxa"/>
            <w:vAlign w:val="bottom"/>
          </w:tcPr>
          <w:p>
            <w:pPr>
              <w:spacing w:after="0"/>
              <w:rPr>
                <w:sz w:val="12"/>
                <w:szCs w:val="12"/>
                <w:color w:val="auto"/>
              </w:rPr>
            </w:pPr>
          </w:p>
        </w:tc>
        <w:tc>
          <w:tcPr>
            <w:tcW w:w="1860" w:type="dxa"/>
            <w:vAlign w:val="bottom"/>
            <w:gridSpan w:val="2"/>
            <w:vMerge w:val="restart"/>
          </w:tcPr>
          <w:p>
            <w:pPr>
              <w:jc w:val="center"/>
              <w:ind w:right="820"/>
              <w:spacing w:after="0"/>
              <w:rPr>
                <w:sz w:val="20"/>
                <w:szCs w:val="20"/>
                <w:color w:val="auto"/>
              </w:rPr>
            </w:pPr>
            <w:r>
              <w:rPr>
                <w:rFonts w:ascii="Arial" w:cs="Arial" w:eastAsia="Arial" w:hAnsi="Arial"/>
                <w:sz w:val="14"/>
                <w:szCs w:val="14"/>
                <w:b w:val="1"/>
                <w:bCs w:val="1"/>
                <w:color w:val="auto"/>
                <w:w w:val="90"/>
              </w:rPr>
              <w:t>Exercise</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w:t>
            </w:r>
          </w:p>
        </w:tc>
        <w:tc>
          <w:tcPr>
            <w:tcW w:w="400" w:type="dxa"/>
            <w:vAlign w:val="bottom"/>
          </w:tcPr>
          <w:p>
            <w:pPr>
              <w:spacing w:after="0"/>
              <w:rPr>
                <w:sz w:val="12"/>
                <w:szCs w:val="12"/>
                <w:color w:val="auto"/>
              </w:rPr>
            </w:pPr>
          </w:p>
        </w:tc>
        <w:tc>
          <w:tcPr>
            <w:tcW w:w="18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3"/>
              </w:rPr>
              <w:t>Price</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Shares</w:t>
            </w:r>
          </w:p>
        </w:tc>
        <w:tc>
          <w:tcPr>
            <w:tcW w:w="400" w:type="dxa"/>
            <w:vAlign w:val="bottom"/>
          </w:tcPr>
          <w:p>
            <w:pPr>
              <w:spacing w:after="0"/>
              <w:rPr>
                <w:sz w:val="14"/>
                <w:szCs w:val="14"/>
                <w:color w:val="auto"/>
              </w:rPr>
            </w:pPr>
          </w:p>
        </w:tc>
        <w:tc>
          <w:tcPr>
            <w:tcW w:w="18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1"/>
              </w:rPr>
              <w:t>Per Share</w:t>
            </w: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w:t>
            </w:r>
          </w:p>
        </w:tc>
        <w:tc>
          <w:tcPr>
            <w:tcW w:w="9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March 31, 2005</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342,616</w:t>
            </w:r>
          </w:p>
        </w:tc>
        <w:tc>
          <w:tcPr>
            <w:tcW w:w="2260" w:type="dxa"/>
            <w:vAlign w:val="bottom"/>
            <w:gridSpan w:val="3"/>
          </w:tcPr>
          <w:p>
            <w:pPr>
              <w:jc w:val="center"/>
              <w:ind w:right="400"/>
              <w:spacing w:after="0"/>
              <w:rPr>
                <w:sz w:val="20"/>
                <w:szCs w:val="20"/>
                <w:color w:val="auto"/>
              </w:rPr>
            </w:pPr>
            <w:r>
              <w:rPr>
                <w:rFonts w:ascii="Arial" w:cs="Arial" w:eastAsia="Arial" w:hAnsi="Arial"/>
                <w:sz w:val="18"/>
                <w:szCs w:val="18"/>
                <w:color w:val="auto"/>
                <w:w w:val="91"/>
              </w:rPr>
              <w:t>$13.02-$14.72</w:t>
            </w: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$13.85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June 30, 2005</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348,000</w:t>
            </w:r>
          </w:p>
        </w:tc>
        <w:tc>
          <w:tcPr>
            <w:tcW w:w="144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0"/>
              </w:rPr>
              <w:t>$12.52</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20"/>
              <w:spacing w:after="0"/>
              <w:rPr>
                <w:sz w:val="20"/>
                <w:szCs w:val="20"/>
                <w:color w:val="auto"/>
              </w:rPr>
            </w:pPr>
            <w:r>
              <w:rPr>
                <w:rFonts w:ascii="Arial" w:cs="Arial" w:eastAsia="Arial" w:hAnsi="Arial"/>
                <w:sz w:val="18"/>
                <w:szCs w:val="18"/>
                <w:color w:val="auto"/>
              </w:rPr>
              <w:t>September 30, 2005</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329,650</w:t>
            </w:r>
          </w:p>
        </w:tc>
        <w:tc>
          <w:tcPr>
            <w:tcW w:w="1440" w:type="dxa"/>
            <w:vAlign w:val="bottom"/>
            <w:gridSpan w:val="2"/>
          </w:tcPr>
          <w:p>
            <w:pPr>
              <w:jc w:val="center"/>
              <w:ind w:left="310"/>
              <w:spacing w:after="0"/>
              <w:rPr>
                <w:sz w:val="20"/>
                <w:szCs w:val="20"/>
                <w:color w:val="auto"/>
              </w:rPr>
            </w:pPr>
            <w:r>
              <w:rPr>
                <w:rFonts w:ascii="Arial" w:cs="Arial" w:eastAsia="Arial" w:hAnsi="Arial"/>
                <w:sz w:val="18"/>
                <w:szCs w:val="18"/>
                <w:color w:val="auto"/>
                <w:w w:val="87"/>
              </w:rPr>
              <w:t>$11.60</w:t>
            </w:r>
          </w:p>
        </w:tc>
        <w:tc>
          <w:tcPr>
            <w:tcW w:w="8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$11.60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On January 31, 2005, the Company’s board of directors approved stock option grants to the Chief Executive Officer and the President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and Chief Operating Officer to purchase an aggregate of 185,000 shares of common stock which vest annually over four years at an exercise price of $13.39 per share.</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February 14, 2005, the Company’s board of directors approved new hire stock option grants to purchase 127,616 shares of common stock which vest annually over four years at an exercise price of $14.72 per share.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2004 Non-Employee Directors’ Stock Option Plan, a stock option grant to purchase 30,000 shares of common stock at an exercise price of</w:t>
      </w:r>
    </w:p>
    <w:p>
      <w:pPr>
        <w:spacing w:after="0" w:line="4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$13.02 was awarded to a non-employee director in March 2005 upon his acceptance of an appointment to the Company’s board of directors. This option vests in three equal annual installments.</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May 24, 2005, the Company’s board of directors approved new hire and promotion stock option grants to purchase 290,500 shares of common stock which vest annually over four years at an exercise price of $12.52 per share. Additionally, options to purchase 57,500 shares of common stock were automatically granted on May 24, 2005, the day of the annual stockholders meeting, to non-employee directors pursuant to the 2004 Non-Employee Directors Stock Option Plan.</w:t>
      </w:r>
    </w:p>
    <w:p>
      <w:pPr>
        <w:spacing w:after="0" w:line="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August 16, 2005, the Company’s board of directors approved new hire and promotion stock option grants to purchase 329,650 shares of common stock which vest annually over four years at an exercise price of $11.60 per share.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If the Company had determined compensation cost for grants issued during the current and prior periods based on the fair-value approach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SFAS No. 123, pro forma net loss and net loss per share would have been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2004</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2005</w:t>
            </w: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w w:val="96"/>
              </w:rPr>
              <w:t>2004</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 — as reported</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(31,730)</w:t>
            </w:r>
          </w:p>
        </w:tc>
        <w:tc>
          <w:tcPr>
            <w:tcW w:w="6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(39,398)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(81,047)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(74,724)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Add (deduct): Stock-based employee compensation expense</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(benefit) included in reported net loss</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2,296</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6,969</w:t>
            </w:r>
          </w:p>
        </w:tc>
        <w:tc>
          <w:tcPr>
            <w:tcW w:w="18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(885)</w:t>
            </w:r>
          </w:p>
        </w:tc>
        <w:tc>
          <w:tcPr>
            <w:tcW w:w="2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9,349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Deduct: Stock-based compensation expense determined under fair</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value method</w:t>
            </w: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(3,548)</w:t>
            </w: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(2,642)</w:t>
            </w: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(10,588)</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(6,751)</w:t>
            </w: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 — pro forma</w:t>
            </w: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(32,982</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5"/>
              </w:rPr>
              <w:t>(35,071</w:t>
            </w:r>
          </w:p>
        </w:tc>
        <w:tc>
          <w:tcPr>
            <w:tcW w:w="760" w:type="dxa"/>
            <w:vAlign w:val="bottom"/>
          </w:tcPr>
          <w:p>
            <w:pPr>
              <w:jc w:val="right"/>
              <w:ind w:right="6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(92,520</w:t>
            </w:r>
          </w:p>
        </w:tc>
        <w:tc>
          <w:tcPr>
            <w:tcW w:w="740" w:type="dxa"/>
            <w:vAlign w:val="bottom"/>
          </w:tcPr>
          <w:p>
            <w:pPr>
              <w:jc w:val="right"/>
              <w:ind w:right="60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(72,126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Net loss per share applicable to common stockholders (basic and</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As reported</w:t>
            </w: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(0.73)</w:t>
            </w:r>
          </w:p>
        </w:tc>
        <w:tc>
          <w:tcPr>
            <w:tcW w:w="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(1.40)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 forma</w:t>
            </w: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(0.76)</w:t>
            </w:r>
          </w:p>
        </w:tc>
        <w:tc>
          <w:tcPr>
            <w:tcW w:w="6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Pro forma information regarding net loss applicable to common stockholders and net loss per share applicable to common stockholders required by SFAS No. 123 was estimated at the date of grant using a Black-Scholes option valuation model with the following weighted-average assumptions: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3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Three months ended</w:t>
            </w:r>
          </w:p>
        </w:tc>
        <w:tc>
          <w:tcPr>
            <w:tcW w:w="460" w:type="dxa"/>
            <w:vAlign w:val="bottom"/>
          </w:tcPr>
          <w:p>
            <w:pPr>
              <w:spacing w:after="0"/>
              <w:rPr>
                <w:sz w:val="14"/>
                <w:szCs w:val="14"/>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4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6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91"/>
              </w:rPr>
              <w:t>September 30,</w:t>
            </w: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4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2005</w:t>
            </w:r>
          </w:p>
        </w:tc>
        <w:tc>
          <w:tcPr>
            <w:tcW w:w="90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2004</w:t>
            </w: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2005</w:t>
            </w:r>
          </w:p>
        </w:tc>
        <w:tc>
          <w:tcPr>
            <w:tcW w:w="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2004</w:t>
            </w:r>
          </w:p>
        </w:tc>
        <w:tc>
          <w:tcPr>
            <w:tcW w:w="340" w:type="dxa"/>
            <w:vAlign w:val="bottom"/>
          </w:tcPr>
          <w:p>
            <w:pPr>
              <w:spacing w:after="0"/>
              <w:rPr>
                <w:sz w:val="12"/>
                <w:szCs w:val="12"/>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540" w:type="dxa"/>
            <w:vAlign w:val="bottom"/>
            <w:gridSpan w:val="2"/>
            <w:shd w:val="clear" w:color="auto" w:fill="CCEEFF"/>
          </w:tcPr>
          <w:p>
            <w:pPr>
              <w:jc w:val="center"/>
              <w:ind w:left="1950"/>
              <w:spacing w:after="0"/>
              <w:rPr>
                <w:sz w:val="20"/>
                <w:szCs w:val="20"/>
                <w:color w:val="auto"/>
              </w:rPr>
            </w:pPr>
            <w:r>
              <w:rPr>
                <w:rFonts w:ascii="Arial" w:cs="Arial" w:eastAsia="Arial" w:hAnsi="Arial"/>
                <w:sz w:val="18"/>
                <w:szCs w:val="18"/>
                <w:color w:val="auto"/>
                <w:w w:val="90"/>
              </w:rPr>
              <w:t>4.12%</w:t>
            </w:r>
          </w:p>
        </w:tc>
        <w:tc>
          <w:tcPr>
            <w:tcW w:w="1420" w:type="dxa"/>
            <w:vAlign w:val="bottom"/>
            <w:gridSpan w:val="2"/>
            <w:shd w:val="clear" w:color="auto" w:fill="CCEEFF"/>
          </w:tcPr>
          <w:p>
            <w:pPr>
              <w:jc w:val="center"/>
              <w:ind w:left="834"/>
              <w:spacing w:after="0"/>
              <w:rPr>
                <w:sz w:val="20"/>
                <w:szCs w:val="20"/>
                <w:color w:val="auto"/>
              </w:rPr>
            </w:pPr>
            <w:r>
              <w:rPr>
                <w:rFonts w:ascii="Arial" w:cs="Arial" w:eastAsia="Arial" w:hAnsi="Arial"/>
                <w:sz w:val="18"/>
                <w:szCs w:val="18"/>
                <w:color w:val="auto"/>
                <w:w w:val="90"/>
              </w:rPr>
              <w:t>3.48%</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0"/>
              </w:rPr>
              <w:t>3.80%</w:t>
            </w:r>
          </w:p>
        </w:tc>
        <w:tc>
          <w:tcPr>
            <w:tcW w:w="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814"/>
              <w:spacing w:after="0"/>
              <w:rPr>
                <w:sz w:val="20"/>
                <w:szCs w:val="20"/>
                <w:color w:val="auto"/>
              </w:rPr>
            </w:pPr>
            <w:r>
              <w:rPr>
                <w:rFonts w:ascii="Arial" w:cs="Arial" w:eastAsia="Arial" w:hAnsi="Arial"/>
                <w:sz w:val="18"/>
                <w:szCs w:val="18"/>
                <w:color w:val="auto"/>
                <w:w w:val="90"/>
              </w:rPr>
              <w:t>3.45%</w:t>
            </w:r>
          </w:p>
        </w:tc>
        <w:tc>
          <w:tcPr>
            <w:tcW w:w="34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Dividend yield</w:t>
            </w:r>
          </w:p>
        </w:tc>
        <w:tc>
          <w:tcPr>
            <w:tcW w:w="2540" w:type="dxa"/>
            <w:vAlign w:val="bottom"/>
            <w:gridSpan w:val="2"/>
          </w:tcPr>
          <w:p>
            <w:pPr>
              <w:jc w:val="center"/>
              <w:ind w:left="1930"/>
              <w:spacing w:after="0"/>
              <w:rPr>
                <w:sz w:val="20"/>
                <w:szCs w:val="20"/>
                <w:color w:val="auto"/>
              </w:rPr>
            </w:pPr>
            <w:r>
              <w:rPr>
                <w:rFonts w:ascii="Arial" w:cs="Arial" w:eastAsia="Arial" w:hAnsi="Arial"/>
                <w:sz w:val="18"/>
                <w:szCs w:val="18"/>
                <w:color w:val="auto"/>
                <w:w w:val="92"/>
              </w:rPr>
              <w:t>0%</w:t>
            </w:r>
          </w:p>
        </w:tc>
        <w:tc>
          <w:tcPr>
            <w:tcW w:w="1420" w:type="dxa"/>
            <w:vAlign w:val="bottom"/>
            <w:gridSpan w:val="2"/>
          </w:tcPr>
          <w:p>
            <w:pPr>
              <w:jc w:val="center"/>
              <w:ind w:left="814"/>
              <w:spacing w:after="0"/>
              <w:rPr>
                <w:sz w:val="20"/>
                <w:szCs w:val="20"/>
                <w:color w:val="auto"/>
              </w:rPr>
            </w:pPr>
            <w:r>
              <w:rPr>
                <w:rFonts w:ascii="Arial" w:cs="Arial" w:eastAsia="Arial" w:hAnsi="Arial"/>
                <w:sz w:val="18"/>
                <w:szCs w:val="18"/>
                <w:color w:val="auto"/>
                <w:w w:val="92"/>
              </w:rPr>
              <w:t>0%</w:t>
            </w:r>
          </w:p>
        </w:tc>
        <w:tc>
          <w:tcPr>
            <w:tcW w:w="440" w:type="dxa"/>
            <w:vAlign w:val="bottom"/>
          </w:tcPr>
          <w:p>
            <w:pPr>
              <w:spacing w:after="0"/>
              <w:rPr>
                <w:sz w:val="18"/>
                <w:szCs w:val="18"/>
                <w:color w:val="auto"/>
              </w:rPr>
            </w:pPr>
          </w:p>
        </w:tc>
        <w:tc>
          <w:tcPr>
            <w:tcW w:w="960" w:type="dxa"/>
            <w:vAlign w:val="bottom"/>
            <w:gridSpan w:val="2"/>
          </w:tcPr>
          <w:p>
            <w:pPr>
              <w:jc w:val="center"/>
              <w:ind w:left="350"/>
              <w:spacing w:after="0"/>
              <w:rPr>
                <w:sz w:val="20"/>
                <w:szCs w:val="20"/>
                <w:color w:val="auto"/>
              </w:rPr>
            </w:pPr>
            <w:r>
              <w:rPr>
                <w:rFonts w:ascii="Arial" w:cs="Arial" w:eastAsia="Arial" w:hAnsi="Arial"/>
                <w:sz w:val="18"/>
                <w:szCs w:val="18"/>
                <w:color w:val="auto"/>
                <w:w w:val="92"/>
              </w:rPr>
              <w:t>0%</w:t>
            </w:r>
          </w:p>
        </w:tc>
        <w:tc>
          <w:tcPr>
            <w:tcW w:w="20" w:type="dxa"/>
            <w:vAlign w:val="bottom"/>
          </w:tcPr>
          <w:p>
            <w:pPr>
              <w:spacing w:after="0"/>
              <w:rPr>
                <w:sz w:val="18"/>
                <w:szCs w:val="18"/>
                <w:color w:val="auto"/>
              </w:rPr>
            </w:pPr>
          </w:p>
        </w:tc>
        <w:tc>
          <w:tcPr>
            <w:tcW w:w="1400" w:type="dxa"/>
            <w:vAlign w:val="bottom"/>
            <w:gridSpan w:val="2"/>
          </w:tcPr>
          <w:p>
            <w:pPr>
              <w:jc w:val="center"/>
              <w:ind w:left="794"/>
              <w:spacing w:after="0"/>
              <w:rPr>
                <w:sz w:val="20"/>
                <w:szCs w:val="20"/>
                <w:color w:val="auto"/>
              </w:rPr>
            </w:pPr>
            <w:r>
              <w:rPr>
                <w:rFonts w:ascii="Arial" w:cs="Arial" w:eastAsia="Arial" w:hAnsi="Arial"/>
                <w:sz w:val="18"/>
                <w:szCs w:val="18"/>
                <w:color w:val="auto"/>
                <w:w w:val="92"/>
              </w:rPr>
              <w:t>0%</w:t>
            </w:r>
          </w:p>
        </w:tc>
        <w:tc>
          <w:tcPr>
            <w:tcW w:w="34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Volatility factor</w:t>
            </w:r>
          </w:p>
        </w:tc>
        <w:tc>
          <w:tcPr>
            <w:tcW w:w="2540" w:type="dxa"/>
            <w:vAlign w:val="bottom"/>
            <w:gridSpan w:val="2"/>
            <w:shd w:val="clear" w:color="auto" w:fill="CCEEFF"/>
          </w:tcPr>
          <w:p>
            <w:pPr>
              <w:jc w:val="center"/>
              <w:ind w:left="1950"/>
              <w:spacing w:after="0"/>
              <w:rPr>
                <w:sz w:val="20"/>
                <w:szCs w:val="20"/>
                <w:color w:val="auto"/>
              </w:rPr>
            </w:pPr>
            <w:r>
              <w:rPr>
                <w:rFonts w:ascii="Arial" w:cs="Arial" w:eastAsia="Arial" w:hAnsi="Arial"/>
                <w:sz w:val="18"/>
                <w:szCs w:val="18"/>
                <w:color w:val="auto"/>
                <w:w w:val="91"/>
              </w:rPr>
              <w:t>100%</w:t>
            </w:r>
          </w:p>
        </w:tc>
        <w:tc>
          <w:tcPr>
            <w:tcW w:w="1420" w:type="dxa"/>
            <w:vAlign w:val="bottom"/>
            <w:gridSpan w:val="2"/>
            <w:shd w:val="clear" w:color="auto" w:fill="CCEEFF"/>
          </w:tcPr>
          <w:p>
            <w:pPr>
              <w:jc w:val="center"/>
              <w:ind w:left="834"/>
              <w:spacing w:after="0"/>
              <w:rPr>
                <w:sz w:val="20"/>
                <w:szCs w:val="20"/>
                <w:color w:val="auto"/>
              </w:rPr>
            </w:pPr>
            <w:r>
              <w:rPr>
                <w:rFonts w:ascii="Arial" w:cs="Arial" w:eastAsia="Arial" w:hAnsi="Arial"/>
                <w:sz w:val="18"/>
                <w:szCs w:val="18"/>
                <w:color w:val="auto"/>
                <w:w w:val="91"/>
              </w:rPr>
              <w:t>100%</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1"/>
              </w:rPr>
              <w:t>100%</w:t>
            </w:r>
          </w:p>
        </w:tc>
        <w:tc>
          <w:tcPr>
            <w:tcW w:w="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814"/>
              <w:spacing w:after="0"/>
              <w:rPr>
                <w:sz w:val="20"/>
                <w:szCs w:val="20"/>
                <w:color w:val="auto"/>
              </w:rPr>
            </w:pPr>
            <w:r>
              <w:rPr>
                <w:rFonts w:ascii="Arial" w:cs="Arial" w:eastAsia="Arial" w:hAnsi="Arial"/>
                <w:sz w:val="18"/>
                <w:szCs w:val="18"/>
                <w:color w:val="auto"/>
                <w:w w:val="91"/>
              </w:rPr>
              <w:t>100%</w:t>
            </w:r>
          </w:p>
        </w:tc>
        <w:tc>
          <w:tcPr>
            <w:tcW w:w="340" w:type="dxa"/>
            <w:vAlign w:val="bottom"/>
            <w:shd w:val="clear" w:color="auto" w:fill="CCEEFF"/>
          </w:tcPr>
          <w:p>
            <w:pPr>
              <w:spacing w:after="0"/>
              <w:rPr>
                <w:sz w:val="18"/>
                <w:szCs w:val="18"/>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Weighted average expected life</w:t>
            </w:r>
          </w:p>
        </w:tc>
        <w:tc>
          <w:tcPr>
            <w:tcW w:w="2540" w:type="dxa"/>
            <w:vAlign w:val="bottom"/>
            <w:gridSpan w:val="2"/>
          </w:tcPr>
          <w:p>
            <w:pPr>
              <w:ind w:left="2020"/>
              <w:spacing w:after="0"/>
              <w:rPr>
                <w:sz w:val="20"/>
                <w:szCs w:val="20"/>
                <w:color w:val="auto"/>
              </w:rPr>
            </w:pPr>
            <w:r>
              <w:rPr>
                <w:rFonts w:ascii="Arial" w:cs="Arial" w:eastAsia="Arial" w:hAnsi="Arial"/>
                <w:sz w:val="18"/>
                <w:szCs w:val="18"/>
                <w:color w:val="auto"/>
                <w:w w:val="84"/>
              </w:rPr>
              <w:t>4 years</w:t>
            </w:r>
          </w:p>
        </w:tc>
        <w:tc>
          <w:tcPr>
            <w:tcW w:w="900" w:type="dxa"/>
            <w:vAlign w:val="bottom"/>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4 years</w:t>
            </w:r>
          </w:p>
        </w:tc>
        <w:tc>
          <w:tcPr>
            <w:tcW w:w="980" w:type="dxa"/>
            <w:vAlign w:val="bottom"/>
            <w:gridSpan w:val="3"/>
          </w:tcPr>
          <w:p>
            <w:pPr>
              <w:ind w:left="460"/>
              <w:spacing w:after="0"/>
              <w:rPr>
                <w:sz w:val="20"/>
                <w:szCs w:val="20"/>
                <w:color w:val="auto"/>
              </w:rPr>
            </w:pPr>
            <w:r>
              <w:rPr>
                <w:rFonts w:ascii="Arial" w:cs="Arial" w:eastAsia="Arial" w:hAnsi="Arial"/>
                <w:sz w:val="18"/>
                <w:szCs w:val="18"/>
                <w:color w:val="auto"/>
                <w:w w:val="84"/>
              </w:rPr>
              <w:t>4 years</w:t>
            </w:r>
          </w:p>
        </w:tc>
        <w:tc>
          <w:tcPr>
            <w:tcW w:w="88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4 years</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common share</w:t>
      </w:r>
    </w:p>
    <w:p>
      <w:pPr>
        <w:spacing w:after="0" w:line="121"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Basic net loss per common share excludes dilution for potentially dilutive securities and is computed by dividing the loss applicable to common stockholders by the weighted-average number of common shares outstanding during the period. Common shares outstanding during the period include shares of common stock issued in exchange for notes receivable, including those that are being accounted for as in-substance stock options. Diluted net loss per common share reflects the potential dilution that could occur if securities or other contracts to issue common stock were exercised or converted into common stock.</w:t>
      </w:r>
    </w:p>
    <w:p>
      <w:pPr>
        <w:spacing w:after="0" w:line="2"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Potentially dilutive securities are excluded from the computation of diluted net loss per share for all the periods presented in the accompanying statements of operations because the reported net loss in each of these periods results in their inclusion being antidilutive. Antidilutive securities, which consist of stock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options and warrants, that are not included in the diluted net loss per share calculation consisted of an aggregate of 7,916,772 shares and 4,038,091 shares as of September 30, 2005 and 2004,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State research and development credit exchange receivable</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State of Connecticut provides certain companies with the opportunity to exchange certain research and development income tax credit carryforwards for cash in exchange for forgoing the carryforward of the research and development income credits. The program provides for an exchange of research and development income tax credits for cash equal to 65% of the value of corporation tax credit available for exchange. The Company has recorded an offset to research and development expenses of $5.5 million through the nine months ended September 30, 2004 and $1.1 million for the nine months ended September 30, 2005 related to this research and development credit exchange program. The three months ended September 30, 2004 was the first period in which the Company was able to recognize the benefit of these credits for financial reporting purposes, and thus $4.3 million of the $5.5 million recognized as an offset to research and development expenses during that period was attributable to research and development expenditures in prior periods. Of these amounts, approximately $1.5 million consisted of cash received during 2004 and $1.5 million received in April 2005.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As of:</w:t>
            </w:r>
          </w:p>
        </w:tc>
        <w:tc>
          <w:tcPr>
            <w:tcW w:w="10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0"/>
                <w:szCs w:val="10"/>
                <w:color w:val="auto"/>
              </w:rPr>
            </w:pPr>
          </w:p>
        </w:tc>
        <w:tc>
          <w:tcPr>
            <w:tcW w:w="122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September 30,</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9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39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373"/>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9,565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9,566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39,448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21,948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18,080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Furniture, fixtures and office equipment</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5,734</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on equipment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85,879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(24,277)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(19,368)</w:t>
            </w:r>
          </w:p>
        </w:tc>
        <w:tc>
          <w:tcPr>
            <w:tcW w:w="0" w:type="dxa"/>
            <w:vAlign w:val="bottom"/>
          </w:tcPr>
          <w:p>
            <w:pPr>
              <w:spacing w:after="0"/>
              <w:rPr>
                <w:sz w:val="1"/>
                <w:szCs w:val="1"/>
                <w:color w:val="auto"/>
              </w:rPr>
            </w:pPr>
          </w:p>
        </w:tc>
      </w:tr>
      <w:tr>
        <w:trPr>
          <w:trHeight w:val="223"/>
        </w:trPr>
        <w:tc>
          <w:tcPr>
            <w:tcW w:w="790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71,387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66,511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and preferred stock</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is authorized to issue 90,000,000 shares of common stock, par value $0.01 per share, and 10,000,000 shares of undesignated preferred stock, par value $0.01 per share, issuable in one or more series designated by the Company’s board of directors. No other class of capital stock is authorized. As of December 31, 2004 and September 30, 2005, 32,756,237 and 50,205,534 shares of common stock, respectively, were issued and outstanding. No shares of preferred stock were issued and outstanding at December 31, 2004 and September 30, 2005.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Warrants</w:t>
      </w:r>
    </w:p>
    <w:p>
      <w:pPr>
        <w:spacing w:after="0" w:line="12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During 1995 and 1996 the Company issued warrants to purchase shares of common stock. The warrants range in exercise price from $12.53 to $12.70 per share and expire at various dates through 2007. The warrants contain provisions for the adjustment of the exercise price and the number of shares issuable upon the exercise of the warrant in the event the Company declares any stock dividends or effects any stock split, reclassification or consolidation of its common stock. The warrants also contain a provision that provides for an adjustment to the exercise price and the number of shares issuable in the event that the Company issues securities for a per share price less than a specified price. During the second quarter ended June 30, 2005, warrants to purchase 110,888 shares of common stock were exchanged for 24,210 shares of common stock resulting in stock-based compensation expense of $245,000 based on a fair market value of the common stock of $10.12 per share. As of September 30, 2005, the remaining warrants to purchase 20,740 shares of common stock are outstanding and exercisable.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sale of common stock in the private placement which closed on August 5, 2005, the Company concurrently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issued warrants to purchase up to 3,426,000 shares of common stock at an exercise price of $12.228 per share. See also Note 2 - Financings.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Recently issued accounting pronouncements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May 2005, the FASB issued SFAS No. 154, “Accounting Changes and Error Corrections” (“SFAS No. 154”), which replaces APB Opinion No. 20, “Accounting Changes” and SFAS No. 3, “Reporting Accounting Changes in Interim Financial Statements – An Amendment of APB Opinion No. 28”. SFAS No. 154 provides guidance on the accounting for and reporting of accounting changes and error corrections. It establishes retrospective application, or the latest practicable date, as the required method for reporting a change in accounting principle and the reporting of a correction of an error. SFAS No. 154 is effective for accounting changes and corrections of errors made in fiscal years beginning after December 15, 2005. The Company believes that the adoption of this statement will not have a material effect on its financial condition or results of operations.</w:t>
      </w:r>
    </w:p>
    <w:p>
      <w:pPr>
        <w:spacing w:after="0" w:line="70"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In December 2004, the FASB issued SFAS No. 123R, “Share-based Payment: an Amendment of FASB Statements No. 123 and 95” (“SFAS No. 123R”). The statement requires companies to expense share-based payments to employees, including stock options, based on the fair value of the award at the grant date. The statement also eliminates the intrinsic value method of accounting for stock options permitted by APB No. 25, which the Company currently follows. The Company is required to adopt the standard for the quarter that begins January 1, 2006. While the fair value method under SFAS No. 123R is very similar to the fair value method under SFAS No. 123 with regards to measurement and recognition of stock-based compensation, management is currently evaluating the impact of several of the key differences between the two standards on the Company’s financial statements. For example, SFAS No. 123 permits recognition of forfeitures as they occur while SFAS No. 123R will require estimating future forfeitures and adjusting estimates on a quarterly basis. SFAS No. 123R will also require a classification change in the statement of cash flows, whereby a portion of any tax benefit from stock options will move from operating cash flows to financing cash flows (total cash flows will remain unchanged). While the Company continues to evaluate the impact of SFAS</w:t>
      </w:r>
    </w:p>
    <w:p>
      <w:pPr>
        <w:spacing w:after="0" w:line="7"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No. 123R on its financial statements, management believes that the expensing of stock-based compensation will have an impact on the Company’s Statements of Operations similar to the pro forma disclosure under SFAS No. 123. See also Note 4 — Accounting for stock-based compensation.</w:t>
      </w:r>
    </w:p>
    <w:p>
      <w:pPr>
        <w:spacing w:after="0" w:line="5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March 2004, the FASB ratified the measurement and recognition guidance and certain disclosure requirements for impaired securities as described in EITF Issue No. 03-1, “The Meaning of Other-Than-Temporary Impairment and Its Application to Certain Investments”. On November 3, 2005, the FASB issued FASB Staff Position (“FSP”) Nos. FAS 115-1 and FAS 124-1 which addresses the determination as to when an investment is considered impaired, whether that impairment is other than temporary, and the measurement of an impairment loss. This FSP also includes accounting considerations subsequent to the recognition of an other-than-temporary impairment and requires certain disclosures about unrealized losses that have not been recognized as other-than-temporary impairments. The guidance in this FSP amends FASB Statements No. 115, “Accounting for Certain Investments in Debt and Equity Securities”, and No. 124, “Accounting for Certain Investments Held by Not-for-Profit Organizations” and APB Opinion No. 18, “The Equity Method of Accounting for Investments in Common Stock”. The FSP is effective for reporting periods beginning after December 15, 2005. Management has not determined what impact the adoption of the measurement and recognition guidance in EITF Issue No. 03-1 and the FSP will have on the Company’s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the ordinary course of its business, the Company makes certain indemnities, commitments and guarantees under 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No such losses have been recorded to date.</w:t>
      </w:r>
    </w:p>
    <w:p>
      <w:pPr>
        <w:spacing w:after="0" w:line="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Additionally, the Company is involved in various legal proceedings and other matters. In accordance with SFAS No. 5, “Accounting for Contingencies”, the Company would record a provision for a liability when it is both probable that a liability has been incurred and the amount of the loss can be reasonably estimated.</w:t>
      </w:r>
    </w:p>
    <w:p>
      <w:pPr>
        <w:spacing w:after="0" w:line="7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the year ended December 31, 2000, the Company issued an aggregate 699,972 shares of common stock to three consultants in exchange for notes receivable aggregating approximately $10,891,000. The notes are collateralized by the underlying common stock and bear interest at fixed rates. The notes-for-stock transactions have been accounted for as in-substance stock option grants to non-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employees. In November 2004, the borrowers notified the Company that they believed that they had entered into an agreement in October 2001 with the Company’s principal stockholder under which the stockholder would purchase from the borrowers some of the common stock, with the proceeds to be paid to the Company to pay down the notes. The borrowers informed the Company that they believe both the Company and the stockholder are in breach of certain agreements related to the transaction and indicated they intend to seek alleged damages arising from any failure of the agreement to be performed. The borrowers have not commenced any legal proceedings against the stockholder or the Company. On October 19, 2005, the principal and interest on the notes aggregating $14,637,000 became due and payable to the Company. As of September 30, 2005, the aggregate 699,972 shares of common stock issued for the notes receivable had a market value aggregating approximately $9,583,000. The Company is pursuing collection and has not deemed the notes uncollectible. As the notes-for-stock transactions were accounted for as in-substance stock option grants to non-employees, there is no impairment to assess for financial reporting purposes. While the outcome of this matter is uncertain, any modification to the terms of the notes could result in additional stock compensation being ascribed to the in-substance options. The amount of any additional stock compensation could have a material impact on the Company’s results of operations in the period of modification.</w:t>
      </w:r>
    </w:p>
    <w:p>
      <w:pPr>
        <w:spacing w:after="0" w:line="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November 2004, the Company learned that the parent company of a vendor with whom the Company has equipment deposits in the amount of $2.9 million as of September 30, 2005 was experiencing financial difficulties. On September 28, 2005, the parent company emerged from its bankruptcy proceedings. The Company assessed this matter in accordance with SFAS No. 5 and concluded that, based on currently available information, a loss accrual is not warranted.</w:t>
      </w:r>
    </w:p>
    <w:p>
      <w:pPr>
        <w:spacing w:after="0" w:line="39"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 xml:space="preserve">In May 2005, the Company’s former Chief Medical Officer filed a complaint against the Company in the California Superior Court, County of Los Angeles. </w:t>
      </w:r>
      <w:r>
        <w:rPr>
          <w:rFonts w:ascii="Arial" w:cs="Arial" w:eastAsia="Arial" w:hAnsi="Arial"/>
          <w:sz w:val="16"/>
          <w:szCs w:val="16"/>
          <w:i w:val="1"/>
          <w:iCs w:val="1"/>
          <w:color w:val="auto"/>
        </w:rPr>
        <w:t>Wayman Wendell Cheatham, M.D. v. MannKind Corporation</w:t>
      </w:r>
      <w:r>
        <w:rPr>
          <w:rFonts w:ascii="Arial" w:cs="Arial" w:eastAsia="Arial" w:hAnsi="Arial"/>
          <w:sz w:val="16"/>
          <w:szCs w:val="16"/>
          <w:color w:val="auto"/>
        </w:rPr>
        <w:t>, Case No. BC333845. The complaint alleges causes of action for wrongful termination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violation of public policy, breach of contract and retaliation, in connection with the Company’s termination of Dr. Cheatham’s employment. In the complaint, Dr. Cheatham seeks compensatory, punitive and exemplary damages in excess of $2.0 million as well as reimbursement of attorneys’ fees. In June 2005, the Company answered the complaint, generally denying each of Dr. Cheatham’s allegations and asserting various defenses. The Company believes the allegations in the complaint are without merit and intends to vigorously defend against them. The Company also filed a cross-complaint against</w:t>
      </w:r>
    </w:p>
    <w:p>
      <w:pPr>
        <w:spacing w:after="0" w:line="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Dr. Cheatham, alleging claims for libel per se, trade libel, breach of contract, breach of the implied covenant of good faith and fair dealing and breach of the duty of loyalty. The libel claims allege that Dr. Cheatham made certain false and malicious statements about the Company in a letter to the Food and Drug Administration (“FDA”) with regard to a request by the Company to hold a meeting with the FDA. The remaining causes of action in the cross-complaint arise out of the Company’s allegations that Dr. Cheatham had an undisclosed consulting relationship with a Company competitor during his employment with the Company, in violation of his agreement with the Company. In July 2005, Dr. Cheatham filed a demurrer and motion to strike the Company’s cross-complaint under California’s anti-SLAPP statute. On September 28, 2005, the California Superior Court overruled Dr. Cheatham’s demurrer and denied his motion to strike the Company’s cross-complaint. On November 4, 2005, Dr. Cheatham filed a notice of appeal of the Court’s ruling denying his motion to strike. Discovery as to Dr. Cheatham’s claims against the Company is proceeding, and this case is scheduled for trial to commence in July 2006. The Company believes that the ultimate resolution of this matter will not have a material impact on the Company’s financial position or results of operations.</w:t>
      </w:r>
    </w:p>
    <w:p>
      <w:pPr>
        <w:spacing w:after="0" w:line="5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September and October 2005, the principal and interest totaling $1,598,000 on notes issued in exchange for 78,010 shares of common stock to a former executive of the Company became due and payable to the Company. On September 30, 2005, the 78,010 shares of common stock issued in exchange for the notes receivable had a market value of approximately $1,068,000. The Company is pursuing collection and has not deemed the notes uncollectible. As the notes-for-stock transactions were accounted for as in-substance stock option grants, there is no impairment to assess for financial reporting purposes. The Company believes that the ultimate resolution of this matter will not have a material impact on the Company’s financial position or results of operations.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under the caption “Risk Factors” and elsewhere in this quarterly report on Form 10-Q. The interim financial statements and this Management’s Discussion and Analysis of Financial Condition and Results of Operations should be read in conjunction with the financial statements and notes thereto for the year ended December 31, 2004 and the related Management’s Discussion and Analysis of Financial Condition and Results of Operations, both of which are contained in our annual report on Form 10-K filed pursuant to Section 13 of the Securities Exchange Act of 1934.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a biopharmaceutical company focused on the discovery, development and commercialization of therapeutic products for diseases such as diabetes and cancer. We are currently in Phase 3 clinical trials in the United States and Europe of our lead product, the Technosphere Insulin System, to study its safety and efficacy in the treatment of diabetes. This therapy consists of a proprietary dry powder Technosphere formulation of insulin that is inhaled into the deep lung using our proprietary MedTone inhaler. We believe that the combination of the unique performance characteristics associated with the Technosphere Insulin System, including the rapid transfer of the insulin into the blood, the significantly higher bioavailability, and the convenience and ease of use may result in the potential to change the way diabetes is treated. We are developing additional applications for our proprietary Technosphere platform technology by formulating other drugs for pulmonary delivery, primarily for metabolic and immunological diseases. We are also developing therapies for the treatment of solid-tumor cancers. Our other product-candidates are in research and pre-clinical development.</w:t>
      </w:r>
    </w:p>
    <w:p>
      <w:pPr>
        <w:spacing w:after="0" w:line="71"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We are a development stage enterprise and have incurred significant losses since our inception in 1991. As of September 30, 2005, we have incurred a cumulative net loss of $524.0 million. To date, we have not generated any product revenues and have funded our operations primarily through the sale of equity securities. On August 5, 2005, we completed a private placement of securities for aggregate net proceeds of $170.2 million.</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do not anticipate sales of any product prior to regulatory approval and commercialization of our Technosphere Insulin System. We currently do not have the required approvals to market any of our product candidates, and we may not receive such approvals. We may not be profitable even if we succeed in commercializing any of our product candidates. We expect to make substantial and increasing expenditures and to incur additional operating losses for at least the next several years as we:</w:t>
      </w:r>
    </w:p>
    <w:p>
      <w:pPr>
        <w:spacing w:after="0" w:line="79" w:lineRule="exact"/>
        <w:rPr>
          <w:sz w:val="20"/>
          <w:szCs w:val="20"/>
          <w:color w:val="auto"/>
        </w:rPr>
      </w:pPr>
    </w:p>
    <w:p>
      <w:pPr>
        <w:ind w:left="800" w:hanging="454"/>
        <w:spacing w:after="0"/>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continue the clinical development and commercialization of our Technosphere Insulin System for the treatment of diabetes;</w:t>
      </w:r>
    </w:p>
    <w:p>
      <w:pPr>
        <w:spacing w:after="0" w:line="130" w:lineRule="exact"/>
        <w:rPr>
          <w:rFonts w:ascii="Arial" w:cs="Arial" w:eastAsia="Arial" w:hAnsi="Arial"/>
          <w:sz w:val="18"/>
          <w:szCs w:val="18"/>
          <w:b w:val="1"/>
          <w:bCs w:val="1"/>
          <w:color w:val="auto"/>
        </w:rPr>
      </w:pPr>
    </w:p>
    <w:p>
      <w:pPr>
        <w:ind w:left="800" w:hanging="454"/>
        <w:spacing w:after="0"/>
        <w:tabs>
          <w:tab w:leader="none" w:pos="80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expand our manufacturing operations for our Technosphere Insulin System to meet our currently anticipated commercial production needs;</w:t>
      </w:r>
    </w:p>
    <w:p>
      <w:pPr>
        <w:spacing w:after="0" w:line="142" w:lineRule="exact"/>
        <w:rPr>
          <w:rFonts w:ascii="Arial" w:cs="Arial" w:eastAsia="Arial" w:hAnsi="Arial"/>
          <w:sz w:val="17"/>
          <w:szCs w:val="17"/>
          <w:b w:val="1"/>
          <w:bCs w:val="1"/>
          <w:color w:val="auto"/>
        </w:rPr>
      </w:pPr>
    </w:p>
    <w:p>
      <w:pPr>
        <w:ind w:left="800" w:hanging="454"/>
        <w:spacing w:after="0"/>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expand our other research, discovery and development programs;</w:t>
      </w:r>
    </w:p>
    <w:p>
      <w:pPr>
        <w:spacing w:after="0" w:line="130" w:lineRule="exact"/>
        <w:rPr>
          <w:rFonts w:ascii="Arial" w:cs="Arial" w:eastAsia="Arial" w:hAnsi="Arial"/>
          <w:sz w:val="18"/>
          <w:szCs w:val="18"/>
          <w:b w:val="1"/>
          <w:bCs w:val="1"/>
          <w:color w:val="auto"/>
        </w:rPr>
      </w:pPr>
    </w:p>
    <w:p>
      <w:pPr>
        <w:ind w:left="800" w:hanging="454"/>
        <w:spacing w:after="0"/>
        <w:tabs>
          <w:tab w:leader="none" w:pos="80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expand our proprietary Technosphere platform technology and develop additional applications for the pulmonary delivery of other drugs; and</w:t>
      </w:r>
    </w:p>
    <w:p>
      <w:pPr>
        <w:spacing w:after="0" w:line="142" w:lineRule="exact"/>
        <w:rPr>
          <w:rFonts w:ascii="Arial" w:cs="Arial" w:eastAsia="Arial" w:hAnsi="Arial"/>
          <w:sz w:val="17"/>
          <w:szCs w:val="17"/>
          <w:b w:val="1"/>
          <w:bCs w:val="1"/>
          <w:color w:val="auto"/>
        </w:rPr>
      </w:pPr>
    </w:p>
    <w:p>
      <w:pPr>
        <w:ind w:left="800" w:right="240" w:hanging="454"/>
        <w:spacing w:after="0" w:line="277" w:lineRule="auto"/>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enter into sales and marketing collaborations with other companies, if available on commercially reasonable terms, or develop these capabilities ourselves.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Our research and development expenses consist mainly of costs associated with the clinical trials of our product candidates which have not yet received regulatory approval for marketing and for which no alternative future use has been identified. This includes the salaries, benefits and stock-based compensation of research and development personnel,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divided between our facilities in Valencia, California; Paramus, New Jersey; and Danbury, Connecticut. We expense research and development costs as we incur them.</w:t>
      </w:r>
    </w:p>
    <w:p>
      <w:pPr>
        <w:spacing w:after="0" w:line="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Clinical development timelines, likelihood of success and total costs vary widely. We are focused primarily on advancing the Technosphere Insulin System through Phase 3 clinical trials and regulatory filings. We plan to commercialize our lead product as a treatment for type 1 and type 2 diabetes.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this time, due to the risks inherent in the clinical trial process and given the early stage of development of our product candidates other than the Technosphere Insulin System, we are unable to estimate with any certainty the costs we will incur in the continued development of our product candidates for commercialization. The costs required to complete the development of our Technosphere Insulin System will be largely dependent on the scope of our clinical trials, the cost and efficiency of our manufacturing process and discussions with the FDA on its requirements. We anticipate that our research and development expenses, particularly for the Technosphere Insulin System, will increase significantly with the continuation of existing clinical trials, the initiation of new trials, the resulting manufacturing costs associated with producing clinical trial materials, and the expansion, qualification and validation of our commercial manufacturing processes and facilities.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business insurance and professional services costs.</w:t>
      </w:r>
    </w:p>
    <w:p>
      <w:pPr>
        <w:spacing w:after="0" w:line="73"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 xml:space="preserve">We expect general and administrative expenses to increase slightly, except for the effects of (non-cash) stock compensation expense resulting from the adoption of Statement of Financial Accounting Standards (“SFAS”) No. 123R, </w:t>
      </w:r>
      <w:r>
        <w:rPr>
          <w:rFonts w:ascii="Arial" w:cs="Arial" w:eastAsia="Arial" w:hAnsi="Arial"/>
          <w:sz w:val="16"/>
          <w:szCs w:val="16"/>
          <w:i w:val="1"/>
          <w:iCs w:val="1"/>
          <w:color w:val="auto"/>
        </w:rPr>
        <w:t>“</w:t>
      </w:r>
      <w:r>
        <w:rPr>
          <w:rFonts w:ascii="Arial" w:cs="Arial" w:eastAsia="Arial" w:hAnsi="Arial"/>
          <w:sz w:val="16"/>
          <w:szCs w:val="16"/>
          <w:color w:val="auto"/>
        </w:rPr>
        <w:t>Share-based Payment: an Amendment of FASB Statement 123 and 95” effective as of January 1, 2006. See “Note 4 — Accounting for stock-based compensation” in the footnotes to our financial statements.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as described in Item 7 to our annual report on Form 10-K for the year ended December 31, 2004.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for the three and nine month periods ended September 30, 2005 and 2004 are based upon our consolidated interim financial statements, which have been prepared in accordance with accounting principles generally accepted in the United States of America. The preparation of these consolidated financial statements requires us to make estimates and judgments that affect the reported amount of assets, liabilities, revenues and expenses, and as a result, actual condition or results may differ from our estimates under different assumptions or conditions.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No revenues were recorded for the three and nine month periods ended September 30, 2005 or 2004. We do not anticipate sales of any product prior to regulatory approval and commercialization of our Technosphere Insulin System.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comparison of the research and development expense categories for the three and nine month periods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2005 and 2004 (dollars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9"/>
          </w:tcPr>
          <w:p>
            <w:pPr>
              <w:ind w:left="460"/>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color w:val="auto"/>
                <w:w w:val="93"/>
              </w:rPr>
              <w:t>September 30,</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w w:val="92"/>
              </w:rPr>
              <w:t>$ Change</w:t>
            </w:r>
          </w:p>
        </w:tc>
        <w:tc>
          <w:tcPr>
            <w:tcW w:w="780" w:type="dxa"/>
            <w:vAlign w:val="bottom"/>
            <w:gridSpan w:val="2"/>
            <w:vMerge w:val="restart"/>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auto"/>
                <w:w w:val="97"/>
              </w:rPr>
              <w:t>% Change</w:t>
            </w:r>
          </w:p>
        </w:tc>
        <w:tc>
          <w:tcPr>
            <w:tcW w:w="3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2005</w:t>
            </w: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2004</w:t>
            </w:r>
          </w:p>
        </w:tc>
        <w:tc>
          <w:tcPr>
            <w:tcW w:w="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Clinical</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12,973</w:t>
            </w:r>
          </w:p>
        </w:tc>
        <w:tc>
          <w:tcPr>
            <w:tcW w:w="7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6,585</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6,388</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Manufacturing</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5,609</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4,212</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720"/>
              <w:spacing w:after="0"/>
              <w:rPr>
                <w:sz w:val="20"/>
                <w:szCs w:val="20"/>
                <w:color w:val="auto"/>
              </w:rPr>
            </w:pPr>
            <w:r>
              <w:rPr>
                <w:rFonts w:ascii="Arial" w:cs="Arial" w:eastAsia="Arial" w:hAnsi="Arial"/>
                <w:sz w:val="18"/>
                <w:szCs w:val="18"/>
                <w:color w:val="auto"/>
              </w:rPr>
              <w:t>1,397</w:t>
            </w:r>
          </w:p>
        </w:tc>
        <w:tc>
          <w:tcPr>
            <w:tcW w:w="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6,217</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4,496</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1,721</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Research and development tax credit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4"/>
          </w:tcPr>
          <w:p>
            <w:pPr>
              <w:jc w:val="right"/>
              <w:ind w:right="660"/>
              <w:spacing w:after="0"/>
              <w:rPr>
                <w:sz w:val="20"/>
                <w:szCs w:val="20"/>
                <w:color w:val="auto"/>
              </w:rPr>
            </w:pPr>
            <w:r>
              <w:rPr>
                <w:rFonts w:ascii="Arial" w:cs="Arial" w:eastAsia="Arial" w:hAnsi="Arial"/>
                <w:sz w:val="18"/>
                <w:szCs w:val="18"/>
                <w:color w:val="auto"/>
              </w:rPr>
              <w:t>(823)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(5,526)</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720"/>
              <w:spacing w:after="0"/>
              <w:rPr>
                <w:sz w:val="20"/>
                <w:szCs w:val="20"/>
                <w:color w:val="auto"/>
              </w:rPr>
            </w:pPr>
            <w:r>
              <w:rPr>
                <w:rFonts w:ascii="Arial" w:cs="Arial" w:eastAsia="Arial" w:hAnsi="Arial"/>
                <w:sz w:val="18"/>
                <w:szCs w:val="18"/>
                <w:color w:val="auto"/>
              </w:rPr>
              <w:t>4,703</w:t>
            </w:r>
          </w:p>
        </w:tc>
        <w:tc>
          <w:tcPr>
            <w:tcW w:w="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(1,533)</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24,466</w:t>
            </w:r>
          </w:p>
        </w:tc>
        <w:tc>
          <w:tcPr>
            <w:tcW w:w="700" w:type="dxa"/>
            <w:vAlign w:val="bottom"/>
          </w:tcPr>
          <w:p>
            <w:pPr>
              <w:spacing w:after="0"/>
              <w:rPr>
                <w:sz w:val="24"/>
                <w:szCs w:val="2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11,790</w:t>
            </w:r>
          </w:p>
        </w:tc>
        <w:tc>
          <w:tcPr>
            <w:tcW w:w="38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720"/>
              <w:spacing w:after="0"/>
              <w:rPr>
                <w:sz w:val="20"/>
                <w:szCs w:val="20"/>
                <w:color w:val="auto"/>
              </w:rPr>
            </w:pPr>
            <w:r>
              <w:rPr>
                <w:rFonts w:ascii="Arial" w:cs="Arial" w:eastAsia="Arial" w:hAnsi="Arial"/>
                <w:sz w:val="18"/>
                <w:szCs w:val="18"/>
                <w:color w:val="auto"/>
              </w:rPr>
              <w:t>12,676</w:t>
            </w:r>
          </w:p>
        </w:tc>
        <w:tc>
          <w:tcPr>
            <w:tcW w:w="6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6"/>
          </w:tcPr>
          <w:p>
            <w:pPr>
              <w:jc w:val="center"/>
              <w:ind w:left="295"/>
              <w:spacing w:after="0"/>
              <w:rPr>
                <w:sz w:val="20"/>
                <w:szCs w:val="20"/>
                <w:color w:val="auto"/>
              </w:rPr>
            </w:pPr>
            <w:r>
              <w:rPr>
                <w:rFonts w:ascii="Arial" w:cs="Arial" w:eastAsia="Arial" w:hAnsi="Arial"/>
                <w:sz w:val="14"/>
                <w:szCs w:val="14"/>
                <w:color w:val="auto"/>
                <w:w w:val="92"/>
              </w:rPr>
              <w:t>Nine months ended</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5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center"/>
              <w:ind w:left="295"/>
              <w:spacing w:after="0"/>
              <w:rPr>
                <w:sz w:val="20"/>
                <w:szCs w:val="20"/>
                <w:color w:val="auto"/>
              </w:rPr>
            </w:pPr>
            <w:r>
              <w:rPr>
                <w:rFonts w:ascii="Arial" w:cs="Arial" w:eastAsia="Arial" w:hAnsi="Arial"/>
                <w:sz w:val="14"/>
                <w:szCs w:val="14"/>
                <w:color w:val="auto"/>
                <w:w w:val="91"/>
              </w:rPr>
              <w:t>September 30,</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vMerge w:val="restart"/>
          </w:tcPr>
          <w:p>
            <w:pPr>
              <w:jc w:val="right"/>
              <w:ind w:right="31"/>
              <w:spacing w:after="0"/>
              <w:rPr>
                <w:sz w:val="20"/>
                <w:szCs w:val="20"/>
                <w:color w:val="auto"/>
              </w:rPr>
            </w:pPr>
            <w:r>
              <w:rPr>
                <w:rFonts w:ascii="Arial" w:cs="Arial" w:eastAsia="Arial" w:hAnsi="Arial"/>
                <w:sz w:val="14"/>
                <w:szCs w:val="14"/>
                <w:color w:val="auto"/>
                <w:w w:val="95"/>
              </w:rPr>
              <w:t>$ Change</w:t>
            </w:r>
          </w:p>
        </w:tc>
        <w:tc>
          <w:tcPr>
            <w:tcW w:w="800" w:type="dxa"/>
            <w:vAlign w:val="bottom"/>
            <w:gridSpan w:val="2"/>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720" w:type="dxa"/>
            <w:vAlign w:val="bottom"/>
            <w:vMerge w:val="restart"/>
          </w:tcPr>
          <w:p>
            <w:pPr>
              <w:ind w:left="20"/>
              <w:spacing w:after="0"/>
              <w:rPr>
                <w:sz w:val="20"/>
                <w:szCs w:val="20"/>
                <w:color w:val="auto"/>
              </w:rPr>
            </w:pPr>
            <w:r>
              <w:rPr>
                <w:rFonts w:ascii="Arial" w:cs="Arial" w:eastAsia="Arial" w:hAnsi="Arial"/>
                <w:sz w:val="14"/>
                <w:szCs w:val="14"/>
                <w:color w:val="auto"/>
              </w:rPr>
              <w:t>% Change</w:t>
            </w:r>
          </w:p>
        </w:tc>
        <w:tc>
          <w:tcPr>
            <w:tcW w:w="3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2005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Clinical</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34,568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15,326</w:t>
            </w:r>
          </w:p>
        </w:tc>
        <w:tc>
          <w:tcPr>
            <w:tcW w:w="3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19,242</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Manufacturing</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w w:val="83"/>
              </w:rPr>
              <w:t>16,878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13,534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3,344</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16,474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12,784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Research and development tax credit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(1,142)</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(5,526)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4,384</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(2,803)</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100"/>
              <w:spacing w:after="0"/>
              <w:rPr>
                <w:sz w:val="20"/>
                <w:szCs w:val="20"/>
                <w:color w:val="auto"/>
              </w:rPr>
            </w:pPr>
            <w:r>
              <w:rPr>
                <w:rFonts w:ascii="Arial" w:cs="Arial" w:eastAsia="Arial" w:hAnsi="Arial"/>
                <w:sz w:val="18"/>
                <w:szCs w:val="18"/>
                <w:color w:val="auto"/>
                <w:w w:val="83"/>
              </w:rPr>
              <w:t>66,758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38,901</w:t>
            </w:r>
          </w:p>
        </w:tc>
        <w:tc>
          <w:tcPr>
            <w:tcW w:w="380" w:type="dxa"/>
            <w:vAlign w:val="bottom"/>
          </w:tcPr>
          <w:p>
            <w:pPr>
              <w:spacing w:after="0"/>
              <w:rPr>
                <w:sz w:val="24"/>
                <w:szCs w:val="24"/>
                <w:color w:val="auto"/>
              </w:rPr>
            </w:pPr>
          </w:p>
        </w:tc>
        <w:tc>
          <w:tcPr>
            <w:tcW w:w="5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27,857</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increase in research and development expenses for the three and nine month periods ended September 30, 2005, as compared to the same periods in 2004 was primarily due to ongoing expenses related to the clinical development of our Technosphere Insulin System. Continuation of preclinical and clinical studies in 2005 increased our clinical research expenditures, which also resulted in increased manufacturing costs to supply clinical trial materials and to continue qualification and validation of our manufacturing system. Additionally, research activity related to expanding our proprietary Technosphere platform technology, developing additional applications for the pulmonary delivery of other drugs and the discovery and development of programs primarily focused on cancer therapies resulted in increased research expenditures. We anticipate that our research and development expenses associated with our Technosphere Insulin System, expanding our Technosphere platform technology and the pursuit of cancer therapies will increase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significantly. Specifically, we anticipate increased expenses related to the continuation of existing, and initiation of new clinical trials, and the resulting manufacturing costs associated with producing clinical trial materials.</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research and development tax credit recognized for the three and nine month periods ended September 30, 2005 and 2004 partially offsets our research and development expenses. The State of Connecticut provides an opportunity to exchange certain research and development tax credit carryforwards for cash in exchange for forgoing the carryforward of the research and development credits. The three months ended September 30, 2004 was the first period in which we were able to recognize the benefit of these credits for financial reporting purposes, and thus $4.3 million of the $5.5 million recognized as an offset to research and development expenses during that period was attributable to research and development expenditures in prior periods. For the nine months ended September 30, 2005, the Company recognized a $1.1 million research and development credit exchange receivable that was primarily related to 2005 research and development expenditures.</w:t>
      </w:r>
    </w:p>
    <w:p>
      <w:pPr>
        <w:spacing w:after="0" w:line="7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decrease in stock-based compensation expense for the three and nine month periods ended September 30, 2005 and 2004 primarily results from the effect of the decrease of our stock price since December 31, 2004. A significant portion of the compensation expense is tied to the stock options that were repriced in November 2003 as the compensation cost for all options repriced is measured on a quarterly basis until the options expire or are exercised or canceled.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comparison of the general and administrative expense categories for the three and nine month periods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2005 and 2004 (dollars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center"/>
              <w:ind w:left="317"/>
              <w:spacing w:after="0"/>
              <w:rPr>
                <w:sz w:val="20"/>
                <w:szCs w:val="20"/>
                <w:color w:val="auto"/>
              </w:rPr>
            </w:pPr>
            <w:r>
              <w:rPr>
                <w:rFonts w:ascii="Arial" w:cs="Arial" w:eastAsia="Arial" w:hAnsi="Arial"/>
                <w:sz w:val="14"/>
                <w:szCs w:val="14"/>
                <w:color w:val="auto"/>
                <w:w w:val="91"/>
              </w:rPr>
              <w:t>Three months ended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color w:val="auto"/>
                <w:w w:val="91"/>
              </w:rPr>
              <w:t>September 30,</w:t>
            </w:r>
          </w:p>
        </w:tc>
        <w:tc>
          <w:tcPr>
            <w:tcW w:w="5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34"/>
              <w:spacing w:after="0"/>
              <w:rPr>
                <w:sz w:val="20"/>
                <w:szCs w:val="20"/>
                <w:color w:val="auto"/>
              </w:rPr>
            </w:pPr>
            <w:r>
              <w:rPr>
                <w:rFonts w:ascii="Arial" w:cs="Arial" w:eastAsia="Arial" w:hAnsi="Arial"/>
                <w:sz w:val="14"/>
                <w:szCs w:val="14"/>
                <w:color w:val="auto"/>
                <w:w w:val="89"/>
              </w:rPr>
              <w:t>Change</w:t>
            </w:r>
          </w:p>
        </w:tc>
        <w:tc>
          <w:tcPr>
            <w:tcW w:w="820" w:type="dxa"/>
            <w:vAlign w:val="bottom"/>
            <w:vMerge w:val="restart"/>
          </w:tcPr>
          <w:p>
            <w:pPr>
              <w:spacing w:after="0"/>
              <w:rPr>
                <w:sz w:val="14"/>
                <w:szCs w:val="14"/>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color w:val="auto"/>
                <w:w w:val="91"/>
              </w:rPr>
              <w:t>% Change</w:t>
            </w:r>
          </w:p>
        </w:tc>
        <w:tc>
          <w:tcPr>
            <w:tcW w:w="3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rPr>
              <w:t>2005</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w w:val="96"/>
              </w:rPr>
              <w:t>2004</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bottom w:val="single" w:sz="8" w:color="auto"/>
            </w:tcBorders>
            <w:gridSpan w:val="2"/>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employee related and other general expenses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4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3,732</w:t>
            </w:r>
          </w:p>
        </w:tc>
        <w:tc>
          <w:tcPr>
            <w:tcW w:w="7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1,825</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4,981</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(3,156)</w:t>
            </w:r>
          </w:p>
        </w:tc>
        <w:tc>
          <w:tcPr>
            <w:tcW w:w="660" w:type="dxa"/>
            <w:vAlign w:val="bottom"/>
          </w:tcPr>
          <w:p>
            <w:pPr>
              <w:jc w:val="center"/>
              <w:spacing w:after="0"/>
              <w:rPr>
                <w:sz w:val="20"/>
                <w:szCs w:val="20"/>
                <w:color w:val="auto"/>
              </w:rPr>
            </w:pPr>
            <w:r>
              <w:rPr>
                <w:rFonts w:ascii="Arial" w:cs="Arial" w:eastAsia="Arial" w:hAnsi="Arial"/>
                <w:sz w:val="18"/>
                <w:szCs w:val="18"/>
                <w:color w:val="auto"/>
                <w:w w:val="95"/>
              </w:rPr>
              <w:t>(63)%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4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8,713</w:t>
            </w:r>
          </w:p>
        </w:tc>
        <w:tc>
          <w:tcPr>
            <w:tcW w:w="7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(317)</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5"/>
          </w:tcPr>
          <w:p>
            <w:pPr>
              <w:jc w:val="center"/>
              <w:ind w:left="297"/>
              <w:spacing w:after="0"/>
              <w:rPr>
                <w:sz w:val="20"/>
                <w:szCs w:val="20"/>
                <w:color w:val="auto"/>
              </w:rPr>
            </w:pPr>
            <w:r>
              <w:rPr>
                <w:rFonts w:ascii="Arial" w:cs="Arial" w:eastAsia="Arial" w:hAnsi="Arial"/>
                <w:sz w:val="14"/>
                <w:szCs w:val="14"/>
                <w:color w:val="auto"/>
                <w:w w:val="92"/>
              </w:rPr>
              <w:t>Nine months ended</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color w:val="auto"/>
                <w:w w:val="91"/>
              </w:rPr>
              <w:t>September 30,</w:t>
            </w: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34"/>
              <w:spacing w:after="0"/>
              <w:rPr>
                <w:sz w:val="20"/>
                <w:szCs w:val="20"/>
                <w:color w:val="auto"/>
              </w:rPr>
            </w:pPr>
            <w:r>
              <w:rPr>
                <w:rFonts w:ascii="Arial" w:cs="Arial" w:eastAsia="Arial" w:hAnsi="Arial"/>
                <w:sz w:val="14"/>
                <w:szCs w:val="14"/>
                <w:color w:val="auto"/>
                <w:w w:val="89"/>
              </w:rPr>
              <w:t>Change</w:t>
            </w:r>
          </w:p>
        </w:tc>
        <w:tc>
          <w:tcPr>
            <w:tcW w:w="820" w:type="dxa"/>
            <w:vAlign w:val="bottom"/>
            <w:vMerge w:val="restart"/>
          </w:tcPr>
          <w:p>
            <w:pPr>
              <w:spacing w:after="0"/>
              <w:rPr>
                <w:sz w:val="14"/>
                <w:szCs w:val="14"/>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color w:val="auto"/>
                <w:w w:val="91"/>
              </w:rPr>
              <w:t>% Change</w:t>
            </w:r>
          </w:p>
        </w:tc>
        <w:tc>
          <w:tcPr>
            <w:tcW w:w="3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color w:val="auto"/>
              </w:rPr>
              <w:t>2005</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w w:val="89"/>
              </w:rPr>
              <w:t>2004</w:t>
            </w:r>
          </w:p>
        </w:tc>
        <w:tc>
          <w:tcPr>
            <w:tcW w:w="40" w:type="dxa"/>
            <w:vAlign w:val="bottom"/>
            <w:tcBorders>
              <w:bottom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employee related and other general expenses</w:t>
            </w:r>
          </w:p>
        </w:tc>
        <w:tc>
          <w:tcPr>
            <w:tcW w:w="9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16,884</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9,954</w:t>
            </w:r>
          </w:p>
        </w:tc>
        <w:tc>
          <w:tcPr>
            <w:tcW w:w="2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6,930</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8"/>
              <w:spacing w:after="0"/>
              <w:rPr>
                <w:sz w:val="20"/>
                <w:szCs w:val="20"/>
                <w:color w:val="auto"/>
              </w:rPr>
            </w:pPr>
            <w:r>
              <w:rPr>
                <w:rFonts w:ascii="Arial" w:cs="Arial" w:eastAsia="Arial" w:hAnsi="Arial"/>
                <w:sz w:val="18"/>
                <w:szCs w:val="18"/>
                <w:color w:val="auto"/>
              </w:rPr>
              <w:t>(566)</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780"/>
              <w:spacing w:after="0"/>
              <w:rPr>
                <w:sz w:val="20"/>
                <w:szCs w:val="20"/>
                <w:color w:val="auto"/>
              </w:rPr>
            </w:pPr>
            <w:r>
              <w:rPr>
                <w:rFonts w:ascii="Arial" w:cs="Arial" w:eastAsia="Arial" w:hAnsi="Arial"/>
                <w:sz w:val="18"/>
                <w:szCs w:val="18"/>
                <w:color w:val="auto"/>
              </w:rPr>
              <w:t>6,598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(7,164)</w:t>
            </w: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(109)%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9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16,318</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16,552</w:t>
            </w:r>
          </w:p>
        </w:tc>
        <w:tc>
          <w:tcPr>
            <w:tcW w:w="2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(234)</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General and administrative expenses for the three and nine month periods ended September 30, 2005 decreased as compared to the same periods in 2004. Salaries, other employee related expenses and various other general and administrative expenses, such as insurance, accounting and legal fees increased as a result of operating as a public company. Offsetting increases to general and administrative expenses for these periods was a decrease in stock compensation expense resulting from the effect of the fluctuation of our stock price on the valuation of stock options that were repriced in November 2003. We expect general and administrative expenses to increase slightly, except for the effects of (non-cash) stock compensation expense resulting from the adoption of SFAS No. 123R. See “Note 4 — Accounting for stock-based compensation” in the footnotes to our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Deemed Dividend</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Deemed dividend for the three and nine month periods ended September 30, 2004 represents the beneficial conversion charge to common stockholders related to the downward adjustment of the Series B and C preferred stock conversion price. All outstanding preferred stock automatically converted into common stock at the close of the initial public offering in the third quarter of 2004, and no further deemed dividend has been or will be recognized.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Interest income for the three and nine month periods ended September 30, 2005 increased compared to the same periods in 2004 primarily due to higher levels of cash equivalents and marketable securities available for investment throughout 2005 compared to 2004.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funded our operations primarily through the sale of equity securities. On August 5, 2005, we closed a $175.0 million private placement of newly issued shares of common stock and the concurrent issuance of warrants for the purchase of additional shares of common stock to accredited investors including our principal stockholder who purchased approximately $87.3 million. We sold 17,132,000 shares of our common stock in the private placement, together with warrants to purchase up to 3,426,000 shares of common stock at an exercise price of $12.228 per share. In connection with this private placement, we paid $4.5 million in commissions to our placements agents and incurred $0.3 million in other offering expenses which resulted in net proceeds of approximately $170.2 million.</w:t>
      </w:r>
    </w:p>
    <w:p>
      <w:pPr>
        <w:spacing w:after="0" w:line="85" w:lineRule="exact"/>
        <w:rPr>
          <w:sz w:val="20"/>
          <w:szCs w:val="20"/>
          <w:color w:val="auto"/>
        </w:rPr>
      </w:pPr>
    </w:p>
    <w:p>
      <w:pPr>
        <w:ind w:right="300"/>
        <w:spacing w:after="0" w:line="288" w:lineRule="auto"/>
        <w:rPr>
          <w:sz w:val="20"/>
          <w:szCs w:val="20"/>
          <w:color w:val="auto"/>
        </w:rPr>
      </w:pPr>
      <w:r>
        <w:rPr>
          <w:rFonts w:ascii="Arial" w:cs="Arial" w:eastAsia="Arial" w:hAnsi="Arial"/>
          <w:sz w:val="16"/>
          <w:szCs w:val="16"/>
          <w:color w:val="auto"/>
        </w:rPr>
        <w:t>During the nine months ended September 30, 2005, operating activities used $70.8 million of cash, primarily due to a net loss of $81.0 million, which included depreciation and amortization of $5.5 million and $1.4 million recognized as research and development credit exchange receivable. Additionally, accounts payable and accrued expenses increased by an aggregate of $7.3 million. Deferred compensation of $1.4 million was repaid in May 2005 and</w:t>
      </w:r>
    </w:p>
    <w:p>
      <w:pPr>
        <w:ind w:right="20"/>
        <w:spacing w:after="0" w:line="261" w:lineRule="auto"/>
        <w:rPr>
          <w:sz w:val="20"/>
          <w:szCs w:val="20"/>
          <w:color w:val="auto"/>
        </w:rPr>
      </w:pPr>
      <w:r>
        <w:rPr>
          <w:rFonts w:ascii="Arial" w:cs="Arial" w:eastAsia="Arial" w:hAnsi="Arial"/>
          <w:sz w:val="18"/>
          <w:szCs w:val="18"/>
          <w:color w:val="auto"/>
        </w:rPr>
        <w:t>$1.5 million was received in April 2005 related to the Connecticut research and development tax credit exchange. We expect our negative operating cash flow to continue at least until we obtain regulatory approval and achieve commercialization of our Technosphere Insulin System.</w:t>
      </w:r>
    </w:p>
    <w:p>
      <w:pPr>
        <w:spacing w:after="0" w:line="7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During the nine months ended September 30, 2005, investing activities used $111.3 million of cash. Cash used in investing activities was primarily from net purchases of marketable securities of $101.5 million and $10.4 million used to purchase machinery and equipment to expand our manufacturing operations and quality systems in support of our expansion of clinical trials for Technosphere Insulin System. We expect to make significant purchases of equipment in the foreseeable future.</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nine months ended September 30, 2005, financing activities provided $172.3 million in cash primarily from the private placement in August 2005 and the exercise of stock options.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of September 30, 2005, we had $182.4 million in cash, cash equivalents and marketable securities. Although we believe our existing cash resources will be sufficient to fund our anticipated cash requirements into the third quarter of 2006, we will require significant additional financing in the future to fund our operations. If adequate funds are not available, we may be required to delay, reduce or eliminate expenditures for certain of our programs, including our Technosphere Insulin System development activities. Because the majority of our anticipated expenses in the near term can be reduced or eliminated in a relatively short period, we believe that if we are unable to obtain additional capital we can continue activities, on a reduced basis, through the end of 2006.</w:t>
      </w:r>
    </w:p>
    <w:p>
      <w:pPr>
        <w:spacing w:after="0" w:line="5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intend to use our capital resources to continue the development of our Technosphere Insulin System and to develop additional applications for our proprietary Technosphere platform technology. In addition, portions of our capital resources will be devoted to expanding our other product development programs for the treatment of solid-tumor cancers. We anticipate that we will expend a portion of our capital to scale up our manufacturing capabilities in our Danbury facilities. We also intend to use our capital resources for general corporate purposes, which may include in-licensing or acquiring additional technologies.</w:t>
      </w:r>
    </w:p>
    <w:p>
      <w:pPr>
        <w:spacing w:after="0" w:line="8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If we enter into a strategic business collaboration with a pharmaceutical or biotechnology company, we would expect, as part of the transaction, to receive additional capital and share a portion of the costs associated with the development, manufacture and commercialization of our Technosphere Insulin System.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equity financing, we may be required to reduce expenses through the delay, reduction or curtailment of our projects, including our Technosphere Insulin System development activities, or further reduction of costs for facilities and administration.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2005, we did not have any off-balance sheet arrangements as defined under Item 303(a)(4)(ii) of SEC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There have been no material changes to our contractual obligations disclosed in Item 7 to our annual report on Form 10-K for the year ended December 31, 2004 other than those in the ordinary course of our business, such as contracts related to the continuation of existing clinical trials, the initiation of new trials and the expansion, qualification and validation of our commercial manufacturing processes and facilities.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May 2005, the FASB issued SFAS No. 154, “Accounting Changes and Error Corrections” (“SFAS No. 154”), which replaces APB Opinion No. 20, “Accounting Changes” and SFAS No. 3, “Reporting Accounting Changes in Interim Financial Statements – An Amendment of APB Opinion No. 28.” SFAS No. 154 provides guidance on the accounting for and reporting of accounting changes and error corrections. It establishes retrospective application, or the latest practicable date, as the required method for reporting a change in accounting principle and the reporting of a correction of an error. SFAS No. 154 is effective for accounting changes and corrections of errors made in fiscal years beginning after December 15, 2005. We believe that the adoption of this statement will not have a material effect on our financial condition or results of operations.</w:t>
      </w:r>
    </w:p>
    <w:p>
      <w:pPr>
        <w:spacing w:after="0" w:line="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December 2004, the FASB issued SFAS No. 123R, “Share-based Payment: an Amendment of FASB Statements No. 123 and 95”. The statement requires companies to expense share-based payments to employees, including stock options, based on the fair value of the award at the grant date. The statement also eliminates the intrinsic value method of accounting for stock options permitted by APB No. 25, which we currently follow. We are required to adopt the standard for the quarter that begins January 1, 2006. While the fair value method under SFAS No. 123R is very similar to the fair value method under SFAS No. 123 with regards to measurement and recognition of stock-based compensation, we are currently evaluating the impact of several of the key differences between the two standards on our financial statements. For example, SFAS No. 123 permits recognition of forfeitures as they occur while SFAS No. 123R will require estimating future forfeitures and adjusting estimates on a quarterly basis. SFAS No. 123R will also require a classification change in the statement of cash flows, whereby a portion of any tax benefit from stock options will move from operating cash flows to financing cash flows (total cash flows will remain unchanged). While we continue to evaluate the impact of SFAS No. 123R on our financial statements, we believe that the expensing of stock-based compensation will have an impact on our Statements of Operations similar to the pro forma disclosure under SFAS No. 123.</w:t>
      </w:r>
    </w:p>
    <w:p>
      <w:pPr>
        <w:spacing w:after="0" w:line="6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March 2004, the FASB ratified the measurement and recognition guidance and certain disclosure requirements for impaired securities as described in EITF Issue No. 03-1, “The Meaning of Other-Than-Temporary Impairment and Its Application to Certain Investments”. On November 3, 2005, the FASB issued FASB Staff Position (“FSP”) Nos. FAS 115-1 and FAS 124-1 which addresses the determination as to when an investment is considered impaired, whether that impairment is other than temporary, and the measurement of an impairment loss. This FSP also includes accounting considerations subsequent to the recognition of an other-than-temporary impairment and requires certain disclosures about unrealized losses that have not been recognized as other-than-temporary impairments. The guidance in this FSP amends FASB Statements No. 115, “Accounting for Certain Investments in Debt and Equity Securities”, and No. 124, “Accounting for Certain Investments Held by Not-for-Profit Organizations” and APB Opinion No. 18, “The Equity Method of Accounting for Investments in Common Stock”. The FSP is effective for reporting periods beginning after December 15, 2005. We have not determined what impact the adoption of the measurement and recognition guidance in EITF Issue No. 03-1 and the FSP will have on our financial statements.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operating losses, we expect to continue to incur losses, and we may never become profitable.</w:t>
      </w:r>
    </w:p>
    <w:p>
      <w:pPr>
        <w:spacing w:after="0" w:line="12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are a development stage company with no commercial products. All of our product candidates are still being developed, and all but our Technosphere Insulin System are still in early stages of development. Our product candidates will require significant additional development, clinical trials, regulatory clearances and additional investment before they can be commercialized. We anticipate that our Technosphere Insulin System will not be commercially available for several years, if at all.</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never been profitable, and, as of September 30, 2005, we had an accumulated deficit of $524.0 million.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This accumulated deficit may increase significantly as we expand development and clinical trial efforts.</w:t>
      </w:r>
    </w:p>
    <w:p>
      <w:pPr>
        <w:spacing w:after="0" w:line="8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Our ability to achieve and sustain profitability depends upon obtaining regulatory approvals for and successfully commercializing our Technosphere Insulin System,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raise additional capital, our financial condition and business will suffer.</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It is costly to develop therapeutic products and conduct clinical trials for these products. Although we currently are focusing on our Technosphere Insulin System as our lead product candidate, we may in the future conduct clinical trials for a number of additional product candidates. Our future revenues may not be sufficient to support the expense of these activities.</w:t>
      </w:r>
    </w:p>
    <w:p>
      <w:pPr>
        <w:spacing w:after="0" w:line="7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Based upon our current expectations, we believe that our existing capital resources, including the net proceeds from our private placement in August 2005, will enable us to continue planned operations into the third quarter of 2006. However, we cannot assure you that our plans will not change or that changed circumstances will not result in the depletion of our capital resources more rapidly than we currently anticipate. Accordingly, we expect that we will need to raise additional capital, either through the sale of equity and/or debt securities, a strategic business collaboration or the establishment of other funding facilities, in order to continue the development and commercialization of our Technosphere Insulin System and other product candidates and to support our other ongoing activities. The amount of additional funds we need will depend on a number of factors, including:</w:t>
      </w:r>
    </w:p>
    <w:p>
      <w:pPr>
        <w:spacing w:after="0" w:line="70" w:lineRule="exact"/>
        <w:rPr>
          <w:sz w:val="20"/>
          <w:szCs w:val="20"/>
          <w:color w:val="auto"/>
        </w:rPr>
      </w:pPr>
    </w:p>
    <w:p>
      <w:pPr>
        <w:ind w:left="660" w:right="5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rate of progress and costs of our clinical trials and research and development activities, including costs of procuring clinical materials and expanding our own manufacturing facilities;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actions taken by the FDA and other regulatory authorities affecting our products and competitive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success in establishing strategic business collaborations;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timing and amount of milestone or other payments we might receive from potential commercial partnerships;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timing and amount of payments we might receive from potential licensees;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degree of success in commercializing our Technosphere Insulin System or our other product candidates;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emergence of competing technologies and products and other adverse market developments;</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costs of discontinuing projects and technologies or decommissioning existing facilities, if we undertake those activities.</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have raised capital in the past primarily through the sale of equity securities. We may in the future pursue the sale of equity and/or debt securities, or the establishment of other funding facilities. Issuances of debt or additional equity could impact your rights as a holder of our common stock, may dilute your ownership percentage and may impose restrictions on our operations. These restrictions could include limitations on additional borrowing and specific restrictions on the use of our assets, as well as prohibitions on our ability to create liens, pay dividends, redeem our stock or make investments.</w:t>
      </w:r>
    </w:p>
    <w:p>
      <w:pPr>
        <w:spacing w:after="0" w:line="4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also may seek to raise additional capital by pursuing opportunities for the licensing, sale or divestiture of certain intellectual property and other assets, including our Technosphere technology platform. We cannot offer assurances, however, that any strategic collaborations, sales of securities or sale or license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8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licensing arrangements, sales of securities and/or asset sales on a timely basis, we may be required to reduce expenses through the delay, reduction or curtailment of our projects, including our Technosphere Insulin System development activities, or further reduction of costs for facilities and administration.</w:t>
      </w:r>
    </w:p>
    <w:p>
      <w:pPr>
        <w:spacing w:after="0" w:line="69" w:lineRule="exact"/>
        <w:rPr>
          <w:sz w:val="20"/>
          <w:szCs w:val="20"/>
          <w:color w:val="auto"/>
        </w:rPr>
      </w:pPr>
    </w:p>
    <w:p>
      <w:pPr>
        <w:jc w:val="both"/>
        <w:ind w:right="140"/>
        <w:spacing w:after="0" w:line="282" w:lineRule="auto"/>
        <w:rPr>
          <w:sz w:val="20"/>
          <w:szCs w:val="20"/>
          <w:color w:val="auto"/>
        </w:rPr>
      </w:pPr>
      <w:r>
        <w:rPr>
          <w:rFonts w:ascii="Arial" w:cs="Arial" w:eastAsia="Arial" w:hAnsi="Arial"/>
          <w:sz w:val="18"/>
          <w:szCs w:val="18"/>
          <w:b w:val="1"/>
          <w:bCs w:val="1"/>
          <w:color w:val="auto"/>
        </w:rPr>
        <w:t>We depend heavily on the successful development and commercialization of our lead product candidate, the Technosphere Insulin System, which is still under development, and our other product candidates, which are in preclinical development.</w:t>
      </w:r>
    </w:p>
    <w:p>
      <w:pPr>
        <w:spacing w:after="0" w:line="58"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To date, we have not completed the development of any products through to commercialization. Only our Technosphere Insulin System is currently undergoing clinical trials, while our other product candidates are in research or preclinical development. We anticipate that in the near term our ability to generate revenues will depend solely on the successful development and commercialization of our Technosphere Insulin System.</w:t>
      </w:r>
    </w:p>
    <w:p>
      <w:pPr>
        <w:spacing w:after="0" w:line="3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expended significant time, money and effort in the development of our lead product candidate, the Technosphere Insulin System, which has not yet received regulatory approval and which may never be commercialized. Before we can market and sell our Technosphere Insulin System, we will need to advance our Technosphere Insulin System through Phase 3 clinical trials and demonstrate in these trials that our Technosphere Insulin System is safe and effective. We currently anticipate conducting several pivotal Phase 3 clinical trials as well as several special population studies involving, in total, more than 3,000 patients, which will require the expenditure of additional time and resources. We must also receive the necessary approvals from the FDA and similar foreign regulatory agencies before this product can be marketed in the United States or elsewhere. Even if we were to receive regulatory approval, we ultimately may be unable to gain market acceptance of our Technosphere Insulin System for a variety of reasons, including the treatment and dosage regimen, potential adverse effects, the availability of alternative treatments and cost effectiveness. If we fail to commercialize our Technosphere Insulin System, our business, financial condition and results of operations will be materially and adversely affected.</w:t>
      </w:r>
    </w:p>
    <w:p>
      <w:pPr>
        <w:spacing w:after="0" w:line="7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seeking to develop and expand our portfolio of product candidates through our internal research programs and through licensing or otherwise acquiring the rights to therapeutics in the areas of cancer and immunology. All of these product candidates will require additional research and development and significant preclinical, clinical and other testing prior to seeking regulatory approval to market them. Accordingly, these product candidates will not be commercially available for a number of years, if at all.</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significant portion of the research that we are conducting involves new and unproven compounds and technologies, including our Technosphere Insulin System, Technosphere platform technology and immunotherapy product candidates. Research programs to identify new product candidates require substantial technical, financial and human resources. Even if our research programs identify candidates that initially show promise, these candidates may fail to progress to clinical development for any number of reasons,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our Technosphere Insulin System or develop or expand our other product candidates, or are significantly delayed in doing so, our business and results of operations will be harmed and the value of our stock could decline.</w:t>
      </w:r>
    </w:p>
    <w:p>
      <w:pPr>
        <w:spacing w:after="0" w:line="5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If we do not achieve our projected development goals in the timeframes we announce and expect, the commercialization of our product candidates may be delayed and our business harmed.</w:t>
      </w:r>
    </w:p>
    <w:p>
      <w:pPr>
        <w:spacing w:after="0" w:line="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compared to our estimates—in many cases for reasons beyond our control—depending on numerous factors, including:</w:t>
      </w:r>
    </w:p>
    <w:p>
      <w:pPr>
        <w:spacing w:after="0" w:line="80" w:lineRule="exact"/>
        <w:rPr>
          <w:sz w:val="20"/>
          <w:szCs w:val="20"/>
          <w:color w:val="auto"/>
        </w:rPr>
      </w:pPr>
    </w:p>
    <w:p>
      <w:pPr>
        <w:ind w:left="660" w:right="2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identify and enroll patients who meet clinical trial eligibility criteria;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extent of scheduling conflicts with participating clinicians and clinical institutions;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receipt of approvals by our competitors and by us from the FDA and other regulatory agencies;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other actions by regulators;</w:t>
      </w:r>
    </w:p>
    <w:p>
      <w:pPr>
        <w:spacing w:after="0" w:line="130"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our Technosphere Insulin System;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costs of expanding and maintaining manufacturing operations, as necessary.</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sale or license of our assets on a timely basis, we may be required to reduce expenses by delaying, reducing or curtailing our Technosphere Insulin System or other product development activities, which would impact our ability to meet milestones. If we fail to commence or complete, or experience delays in or are forced to curtail, our proposed clinical programs or otherwise fail to adhere to our projected development goals in the timeframes we announce and expect, our business and results of operations will be harmed and the market price of our common stock may decline.</w:t>
      </w:r>
    </w:p>
    <w:p>
      <w:pPr>
        <w:spacing w:after="0" w:line="76"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We face substantial competition in the development of our product candidates and may not be able to compete successfully, and our product candidates may be rendered obsolete by rapid technological change.</w:t>
      </w:r>
    </w:p>
    <w:p>
      <w:pPr>
        <w:spacing w:after="0" w:line="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initially are focusing on the development of the Technosphere Insulin System for the treatment of diabetes, and we face intense competition in this area. Pfizer, Inc. and sanofi-aventis, in collaboration with Nektar Therapeutics, have been conducting Phase 3 clinical trials for the Exubera product. In September 2005, an FDA advisory committee panel recommended approval of Exubera for the treatment of adults with type 1 and type 2 diabetes. In October 2005, the Committee for Medicinal Products for Human Use of the European Medicines Evaluation Agency issued a positive opinion recommending approval of Exubera. Novo Nordisk A.S. has a pulmonary insulin product in development. In July 2005, Eli Lilly and Company, in collaboration with Alkermes, Inc., initiated a Phase 3 clinical trial required for registration of their inhaled insulin system and to define the safety and efficacy of the Lilly/Alkermes product. In addition, a number of established pharmaceutical companies have or are developing proprietary technologies or have entered into arrangements with, or acquired, companies with technologies for the treatment of diabetes. We also face substantial competition for the development of our other product candidates.</w:t>
      </w:r>
    </w:p>
    <w:p>
      <w:pPr>
        <w:spacing w:after="0" w:line="8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products becoming obsolete or noncompetitive. Our competitors may develop or introduce new products that would render our technology and our Technosphere Insulin System less competitive, uneconomical or obsolete. The fact that another company will likely be the first to commercialize a pulmonary insulin system may give that company an advantage in terms of being able to gain reputation and market share as well as set parameters for the pulmonary insulin market such as pricing. Our future success will depend not only on our ability to develop our products but to improve them and to keep pace with emerging industry developments. We cannot assure you that we will be able to do so.</w:t>
      </w:r>
    </w:p>
    <w:p>
      <w:pPr>
        <w:spacing w:after="0" w:line="8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69"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If we fail to enter into a strategic collaboration with respect to our Technosphere Insulin System, our most clinically advanced program, we may not be able to execute on our business model.</w:t>
      </w:r>
    </w:p>
    <w:p>
      <w:pPr>
        <w:spacing w:after="0" w:line="5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current strategy for developing, manufacturing and commercializing our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w:t>
      </w:r>
    </w:p>
    <w:p>
      <w:pPr>
        <w:spacing w:after="0" w:line="7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we are not able to enter into a collaboration on terms that are favorable to us for our products, we could be required to undertake and fund product development, clinical trials, manufacturing and marketing activities solely at our own expense. For example, we are currently evaluating potential collaborations with respect to our Technosphere Insulin System. We currently estimate that the cost to continue the development of the Technosphere Insulin System over the next 12 months would be in the range of $175 to $200 million. However, this estimate may change based on how the program proceeds. Failure to enter into a collaboration with respect to our Technosphere Insulin System following initial Phase 3 clinical trials or with respect to any other product candidate could substantially increase our requirements for capital, which might not be available on favorable terms, if at all. Alternatively, we would have to substantially reduce our development efforts, which would delay or otherwise impede the commercialization of our product candidates.</w:t>
      </w:r>
    </w:p>
    <w:p>
      <w:pPr>
        <w:spacing w:after="0" w:line="55" w:lineRule="exact"/>
        <w:rPr>
          <w:sz w:val="20"/>
          <w:szCs w:val="20"/>
          <w:color w:val="auto"/>
        </w:rPr>
      </w:pPr>
    </w:p>
    <w:p>
      <w:pPr>
        <w:jc w:val="both"/>
        <w:ind w:right="60"/>
        <w:spacing w:after="0" w:line="282" w:lineRule="auto"/>
        <w:rPr>
          <w:sz w:val="20"/>
          <w:szCs w:val="20"/>
          <w:color w:val="auto"/>
        </w:rPr>
      </w:pPr>
      <w:r>
        <w:rPr>
          <w:rFonts w:ascii="Arial" w:cs="Arial" w:eastAsia="Arial" w:hAnsi="Arial"/>
          <w:sz w:val="18"/>
          <w:szCs w:val="18"/>
          <w:b w:val="1"/>
          <w:bCs w:val="1"/>
          <w:color w:val="auto"/>
        </w:rPr>
        <w:t>If we enter into collaborative agreements and if our third-party collaborators do not perform satisfactorily or if our collaborations fail, development or commercialization of our product candidates may be delayed and our business could be harmed.</w:t>
      </w:r>
    </w:p>
    <w:p>
      <w:pPr>
        <w:spacing w:after="0" w:line="58"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We currently rely on clinical research organizations and hospitals to conduct, supervise or monitor some or all aspects of clinical trials involving our product candidates, including our Technosphere Insulin System. Further, we may also enter into license agreements, partnerships or other collaborative arrangements to support financing, development and marketing of our Technosphere Insulin System.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5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we enter into collaborative arrangements, we will have less control over the timing, planning and other aspects of our clinical trials, and the sale and marketing of our product candidates. We cannot offer assurances that we will be able to enter into satisfactory arrangements with third parties as contemplated or that any of our existing or future collaborations will be successful.</w:t>
      </w:r>
    </w:p>
    <w:p>
      <w:pPr>
        <w:spacing w:after="0" w:line="69"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Testing of a particular product candidate may not yield successful results, and even if it does, we may still be unable to commercialize that product candidate.</w:t>
      </w:r>
    </w:p>
    <w:p>
      <w:pPr>
        <w:spacing w:after="0" w:line="5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preclinical and clinical testing. We may experience numerous unforeseen events during, or as a result of, the testing process that could delay or prevent commercialization of our Technosphere Insulin System or any of our other product candidates, including the following: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0" w:hanging="452"/>
        <w:spacing w:after="0" w:line="264" w:lineRule="auto"/>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safety and efficacy results obtained in our preclinical and initial clinical testing may be inconclusive or may not be predictive of results obtained in later-stage clinical trials or following long-term use, and we may as a result be forced to stop developing product candidates that we currently believe are important to our future;</w:t>
      </w:r>
    </w:p>
    <w:p>
      <w:pPr>
        <w:spacing w:after="0" w:line="86"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data collected from clinical trials of our product candidates may not be sufficient to support FDA or other regulatory approval;</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after reviewing test results, we or any potential collaborators may abandon projects that we previously believed were promising; and</w:t>
      </w:r>
    </w:p>
    <w:p>
      <w:pPr>
        <w:spacing w:after="0" w:line="130" w:lineRule="exact"/>
        <w:rPr>
          <w:rFonts w:ascii="Arial" w:cs="Arial" w:eastAsia="Arial" w:hAnsi="Arial"/>
          <w:sz w:val="18"/>
          <w:szCs w:val="18"/>
          <w:b w:val="1"/>
          <w:bCs w:val="1"/>
          <w:color w:val="auto"/>
        </w:rPr>
      </w:pPr>
    </w:p>
    <w:p>
      <w:pPr>
        <w:ind w:left="460" w:right="480" w:hanging="452"/>
        <w:spacing w:after="0" w:line="277" w:lineRule="auto"/>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initiated the second of our Phase 3 studies, a pivotal safety study of our Technosphere Insulin System, primarily to evaluate pulmonary function during long term use. Our Technosphere Insulin System is intended for multiple uses per day. Due to the size and time frame over which the clinical trials are conducted, the results of clinical trials may not be indicative of the effects of long-term use. If long-term use of our product results in adverse health effects or reduced efficacy or both, the FDA or other regulatory agencies may terminate our ability to market and sell our Technosphere Insulin System, may narrow the approved indications for use or otherwise require restrictive product labeling or marketing, or may require further clinical trials, which may be time-consuming and expensive, and may not produce favorable results.</w:t>
      </w:r>
    </w:p>
    <w:p>
      <w:pPr>
        <w:spacing w:after="0" w:line="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As a result of any of these events, the FDA, other regulatory authorities, any collaborator or we may suspend or terminate clinical trials or marketing of our Technosphere Insulin System at any time. Any suspension or termination of our clinical trials or marketing activities may harm our business and results of operations and the market price of our common stock may decline.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third-party payors do not reimburse customers for our products, they might not be used or purchased, which would adversely affect our revenues.</w:t>
      </w:r>
    </w:p>
    <w:p>
      <w:pPr>
        <w:spacing w:after="0" w:line="14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revenues and profitability may be affected by the continuing efforts of governments and third-party payors to contain or reduce the costs of healthcare through various means. For example, in certain foreign markets the pricing or profitability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healthcare reform proposals or legislation. Such reforms may make it difficult to complete the development and testing of our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United States and elsewhere, sales of prescription pharmaceuticals still depend in large part on the availability of reimbursement to the consumer from third-party payors, such as governmental and private insurance plans. Third-party payors are increasingly challenging the prices charged for medical products and services. In addition, because each third-party payor individually approves reimbursement, obtaining these approvals is a time-consuming and costly process that will require us to provide scientific and clinical support for the use of each of our products to each third-party payor separately with no assurance that approval will be obtained. This process could delay the market acceptance of new products and could have a negative effect on our revenues and operating results. Even if we succeed in bringing one or more products to market, we cannot be certain that these products will be considered cost-effective or that reimbursement to the consumer will be available, in which case our business and results of operations will be harmed and the market price of our common stock may decline.</w:t>
      </w:r>
    </w:p>
    <w:p>
      <w:pPr>
        <w:spacing w:after="0" w:line="8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we are unable to transition successfully from an early-stage development company to a company that commercializes therapeutics, our operations will suffer.</w:t>
      </w:r>
    </w:p>
    <w:p>
      <w:pPr>
        <w:spacing w:after="0" w:line="5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are reaching a critical juncture in our development, transitioning from an early-stage development company to one with multiple Phase 3 clinical trials moving toward commercializing a product. Phase 3 development of the Technosphere Insulin System will be far more complex than the earlier phases. Overall, we plan to support a significant number of studies in the near term. We have not previously implemented the range of studies contemplated for our Phase 3 clinical program. Moreover, as a company, we have no previous experience in the Phase 3-through-new drug application, or NDA, stage of product development.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require a well-structured plan to make this transition. We are in the process of implementing the following measures, among others, to accommodate our transition and successfully implement our commercialization strategy for our Technosphere Insulin System:</w:t>
      </w:r>
    </w:p>
    <w:p>
      <w:pPr>
        <w:spacing w:after="0" w:line="62" w:lineRule="exact"/>
        <w:rPr>
          <w:sz w:val="20"/>
          <w:szCs w:val="20"/>
          <w:color w:val="auto"/>
        </w:rPr>
      </w:pPr>
    </w:p>
    <w:p>
      <w:pPr>
        <w:ind w:left="660" w:right="10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add a significant number of new personnel, particularly in clinical development, regulatory and manufacturing production, including personnel with significant Phase 3-to-commercialization experience;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expand our manufacturing capabilities;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develop comprehensive and detailed commercialization, clinical development and regulatory plans;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implement standard operating procedures, including those for protocol development;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align our management structure to accommodate the increasing complexity of our operations.</w:t>
      </w:r>
    </w:p>
    <w:p>
      <w:pPr>
        <w:spacing w:after="0" w:line="200" w:lineRule="exact"/>
        <w:rPr>
          <w:sz w:val="20"/>
          <w:szCs w:val="20"/>
          <w:color w:val="auto"/>
        </w:rPr>
      </w:pPr>
    </w:p>
    <w:p>
      <w:pPr>
        <w:spacing w:after="0" w:line="241"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complete our Phase 3 clinical trial program in a deliberate fashion, on time and within budget;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develop through our Phase 3 trials the key clinical data needed to obtain regulatory approval and compete successfully in the marketplace.</w:t>
      </w:r>
    </w:p>
    <w:p>
      <w:pPr>
        <w:spacing w:after="0" w:line="125"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We have never manufactured any of our product candidates in commercial quantities, and if we fail to develop an effective manufacturing capability for our product candidates or to engage third-party manufacturers with this capability, we may be unable to commercialize these products.</w:t>
      </w:r>
    </w:p>
    <w:p>
      <w:pPr>
        <w:spacing w:after="0" w:line="1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currently use our Danbury, Connecticut facility to manufacture raw Technosphere material, formulate Technosphere Insulin, fill plastic cartridges with Technosphere Insulin and blister package the cartridges for our clinical trials. We presently intend to increase our formulation, fill and finishing capabilities at Danbury in order to accommodate our activities through initial commercialization. This expansion will involve a number of third-party suppliers of equipment and materials as well as engineering and construction services. Our suppliers may not deliver all of the required equipment, materials and services in a timely manner or at reasonable prices. If we encounter difficulties in our relationships with these suppliers, or if a supplier becomes unable to provide us with goods or services at the agreed-upon price, our facilities expansion could be delayed or its costs increased.</w:t>
      </w:r>
    </w:p>
    <w:p>
      <w:pPr>
        <w:spacing w:after="0" w:line="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never manufactured any of our product candidates in commercial quantities. As our product candidates move through the regulatory process, we will need to either develop the capability of manufacturing on a commercial scale or engage third-party manufacturers with this capability, and we cannot offer assurances that we will be able to do either successfully.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In addition, before we would be able to produce commercial quantities of Technosphere Insulin at our Danbury facility, it will have to undergo a pre-approval inspection by the FDA. The expansion process and preparation for the FDA’s pre-approval inspection for commercial production at the Danbury facility could take an additional six months or longer. If we use a third-party supplier to formulate Technosphere Insulin or produce raw material, the transition could also require significant start-up time to qualify and implement the manufacturing process. If we engage a third-party manufacturer, our third-party manufacturer may not perform as agreed or may terminate its agreement with us.</w:t>
      </w:r>
    </w:p>
    <w:p>
      <w:pPr>
        <w:spacing w:after="0" w:line="7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Any of these factors could cause us to delay or suspend clinical trials, regulatory submissions, required approvals or commercialization of our product candidates, entail higher costs and result in our being unable to effectively commercialize our products. Furthermore, if we or our potential third-party manufacturers fail to deliver the required commercial quantities of our products on a timely basis and at commercially reasonable prices, and we were unable to promptly find one or more replacement manufacturers capable of production at a substantially equivalent cost, in substantially equivalent volume and on a timely basis, we would likely be unable to meet demand for our products and we would lose potential revenues.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600"/>
        <w:spacing w:after="0" w:line="266" w:lineRule="auto"/>
        <w:rPr>
          <w:sz w:val="20"/>
          <w:szCs w:val="20"/>
          <w:color w:val="auto"/>
        </w:rPr>
      </w:pPr>
      <w:r>
        <w:rPr>
          <w:rFonts w:ascii="Arial" w:cs="Arial" w:eastAsia="Arial" w:hAnsi="Arial"/>
          <w:sz w:val="18"/>
          <w:szCs w:val="18"/>
          <w:b w:val="1"/>
          <w:bCs w:val="1"/>
          <w:color w:val="auto"/>
        </w:rPr>
        <w:t>If our suppliers fail to deliver materials and services needed for the production of our Technosphere Insulin System in a timely and sufficient manner, or they fail to comply with applicable regulations, our business and results of operations will be harmed and the market price of our common stock may decline.</w:t>
      </w:r>
    </w:p>
    <w:p>
      <w:pPr>
        <w:spacing w:after="0" w:line="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our Technosphere Insulin System to be commercially viable, we need access to sufficient, reliable and affordable supplies of insulin, our MedTone inhaler, the related cartridges and other materials. We currently have a long-term supply agreement with Diosynth B.V., an independent supplier of insulin and a subsidiary of Akzo Nobel, which is currently our sole supplier for insulin. We are aware of at least five other suppliers of bulk insulin but to date we have not entered into a commercial relationship with any of the five. Currently we source our Technosphere pre-cursor raw material from Degussa AG, a major chemical manufacturer with facilities in Europe and North America. We utilize our in-house chemical manufacturing plant as a back up facility. Degussa AG has the capacity to supply our current clinical and future commercial requirements. We recently entered into a long-term supply agreement with Vaupell, Inc., the supplier of our MedTone inhaler and cartridges. We must rely on our suppliers to comply with relevant regulatory and other legal requirements, including the production of insulin in accordance with current drug Good Manufacturing Practices, or cGMP, and the production of MedTone inhaler and related cartridges in accordance with device Quality System Regulations, or QSR. The supply of all of these materials may be limited or the manufacturer may not meet relevant regulatory requirements, and if we are unable to obtain these materials in sufficient amounts, in a timely manner and at reasonable prices, or if we should encounter delays or difficulties in our relationships with manufacturers or suppliers, our development or manufacturing may be delayed. Any such events would delay the submission of our product candidates for regulatory approval or market introduction and subsequent sales and, if so, our business and results of operations will be harmed and the market price of our common stock may decline.</w:t>
      </w:r>
    </w:p>
    <w:p>
      <w:pPr>
        <w:spacing w:after="0" w:line="6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fail to enter into collaborations with third parties, we will be required to establish our own sales, marketing and distribution capabilities, which could delay the commercialization of our products and harm our business.</w:t>
      </w:r>
    </w:p>
    <w:p>
      <w:pPr>
        <w:spacing w:after="0" w:line="5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A broad base of physicians and specialists treat patients with diabetes. A large sales force will be required in order to educate and support these physicians and specialists. Therefore, we plan to enter into collaborations with one or more pharmaceutical companies to sell, market and distribute our Technosphere Insulin System. If we fail to enter into collaborations, we will be required to establish our own direct sales, marketing and distribution capabilities. Establishing these capabilities can be time-consuming and expensive and we estimate that establishing a specialty sales force would cost more than</w:t>
      </w:r>
    </w:p>
    <w:p>
      <w:pPr>
        <w:spacing w:after="0" w:line="2"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$20 million. Because of our size, we would be at a disadvantage to our potential competitors, all of which have collaborated with large pharmaceutical companies that have substantially more resources than we do. As a result, we would not initially be able to field a sales force as large as our competitors or provide the same degree of market research or marketing support. In addition, our competitors would have a greater ability to devote research resources toward expansion of the indications for their products. We cannot assure you that we will succeed in entering into acceptable collaborations, that any such collaboration will be successful or, if not, that we will successfully develop our own sales, marketing and distribution capabilities.</w:t>
      </w:r>
    </w:p>
    <w:p>
      <w:pPr>
        <w:spacing w:after="0" w:line="5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If our products do not become widely accepted by physicians, patients, third-party payors and the healthcare community, we may be unable to generate significant revenue, if any.</w:t>
      </w:r>
    </w:p>
    <w:p>
      <w:pPr>
        <w:spacing w:after="0" w:line="5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product candidates are new and unproven. Even if our product candidates obtain regulatory approvals, they may not gain market acceptance among physicians, patients, third-party payors and the healthcare community. Failure to achieve market acceptance would limit our ability to generate revenue and would adversely affect our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our product candidates will depend on many factors, including:</w:t>
      </w:r>
    </w:p>
    <w:p>
      <w:pPr>
        <w:spacing w:after="0" w:line="117"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claims for which FDA approval can be obtained, including superiority claims;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perceived advantages and disadvantages of competitive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willingness and ability of patients and the healthcare community to adopt new technologies;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to manufacture the product in sufficient quantities with acceptable quality and at an acceptable cost;</w:t>
      </w:r>
    </w:p>
    <w:p>
      <w:pPr>
        <w:spacing w:after="0" w:line="130" w:lineRule="exact"/>
        <w:rPr>
          <w:rFonts w:ascii="Arial" w:cs="Arial" w:eastAsia="Arial" w:hAnsi="Arial"/>
          <w:sz w:val="18"/>
          <w:szCs w:val="18"/>
          <w:b w:val="1"/>
          <w:bCs w:val="1"/>
          <w:color w:val="auto"/>
        </w:rPr>
      </w:pPr>
    </w:p>
    <w:p>
      <w:pPr>
        <w:ind w:left="660" w:right="44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perception of patients and the healthcare community, including third-party payors, regarding the safety, efficacy and benefits of the product compared to those of competing products or therapies;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convenience and ease of administration of the products relative to existing treatment methods;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pricing and reimbursement of our products relative to existing treatment therapeutics and methods;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marketing and distribution support for our products.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Physicians will not recommend our products until clinical data or other factors demonstrate the safety and efficacy of our products as compared to other treatments. Even if the clinical safety and efficacy of our product candidates is established, physicians may elect not to recommend these product candidates for a variety of factors, including the reimbursement policies of government and third-party payors and the effectiveness of our competitors in marketing their therapies. Because of these and other factors, our products may not gain market acceptance, which would materially harm our business, financial condition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product liability claims are brought against us, we may incur significant liabilities and suffer damage to our reputation.</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testing, manufacturing, marketing and sale of our various product candidates, including the Technosphere Insulin System,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$5 million. We believe these limits are reasonable to cover us from potential damages arising from current and previous clinical trials of our Technosphere Insulin System. In addition, we carry local policies per trial in each country in which we conduct clinical trials that requires us to carry local coverage. We intend to obtain product liability coverage for commercial sales in the future.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we may not have sufficient financial resources to complete development or commercialization of any of our product candidates and, if so, our business and results of operations will be harmed and the market price of our common stock may decline.</w:t>
      </w:r>
    </w:p>
    <w:p>
      <w:pPr>
        <w:spacing w:after="0" w:line="71"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We deal with hazardous materials and must comply with environmental laws and regulations, which can be expensive and restrict how we do business.</w:t>
      </w:r>
    </w:p>
    <w:p>
      <w:pPr>
        <w:spacing w:after="0" w:line="5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research and development work involves the controlled storage and use of hazardous materials, including chemical, radioactive and biological materials. In addition, our manufacturing operations involve the use of CBZ-lysine, which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 $2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70"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When we purchased the facilities located in Danbury, Connecticut, there was a soil cleanup plan in process. As part of the purchase, we obtained an indemnification from the seller related to the remediation of the soil for all known environmental conditions that existed at the time the seller acquired the property. The seller is, in turn, indemnified for these known environmental conditions by the previous owner. We estimate that the cost to complete the soil cleanup plan for industrial use is $1.5 to $3.0 million over the next 18 to 24 months. We also received an indemnification from the seller for environmental conditions created during its ownership of the property and for environmental problems unknown at the time that the seller acquired the property. These additional indemnities are limited to the purchase price that we paid for the Danbury facilities. In the event that any cleanup costs are imposed on us and we are unable to collect the full amount of these costs and expenses from the seller or the party responsible for the contamination, we may be required to pay these costs and our business and results of operations may be harmed.</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lose any key employees or scientific advisors, our operations and our ability to execute our business strategy could be materially harmed.</w:t>
      </w:r>
    </w:p>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In October 2005, Dr. Peter Richardson joined us as Corporate Vice President and Chief Scientific Officer.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8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our Chief Executive Officer is unable to devote sufficient time and attention to our business, our operations and our ability to execute our business strategy could be materially harmed.</w:t>
      </w:r>
    </w:p>
    <w:p>
      <w:pPr>
        <w:spacing w:after="0" w:line="5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Alfred Mann, our Chairman and Chief Executive Officer is also serving as the Chairman and Co-Chief Executive Officer of Advanced Bionics Corporation, which was acquired by Boston Scientific Corporation. Mr. Mann is involved in many other business and charitable activities. As a result, the time and attention Mr. Mann devotes to the operation of our business varies and he may not expend the same time or focus on our activities as other, similarly situated chief executive officers. Mr. Mann typically devotes anywhere between 25 and 50 hours a week to our business. If Mr. Mann is unable to devote the time and attention necessary to running our business, we may not be able to execute our business strategy and our business could be materially harmed.</w:t>
      </w:r>
    </w:p>
    <w:p>
      <w:pPr>
        <w:spacing w:after="0" w:line="46"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have been sued by our former Chief Medical Officer. As a result of this litigation, we may incur material costs and suffer other consequences, which may adversely affect us.</w:t>
      </w:r>
    </w:p>
    <w:p>
      <w:pPr>
        <w:spacing w:after="0" w:line="5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May 2005, Dr. Cheatham filed a complaint against us in the California Superior Court. The complaint alleges causes of action for wrongful termination in violation of public policy, breach of contract and retaliation in connection with the termination of Dr. Cheatham’s employment. In the complaint,</w:t>
      </w:r>
    </w:p>
    <w:p>
      <w:pPr>
        <w:ind w:right="80"/>
        <w:spacing w:after="0" w:line="290" w:lineRule="auto"/>
        <w:rPr>
          <w:sz w:val="20"/>
          <w:szCs w:val="20"/>
          <w:color w:val="auto"/>
        </w:rPr>
      </w:pPr>
      <w:r>
        <w:rPr>
          <w:rFonts w:ascii="Arial" w:cs="Arial" w:eastAsia="Arial" w:hAnsi="Arial"/>
          <w:sz w:val="16"/>
          <w:szCs w:val="16"/>
          <w:color w:val="auto"/>
        </w:rPr>
        <w:t>Dr. Cheatham seeks compensatory, punitive and exemplary damages in excess of $2.0 million as well as reimbursement of attorneys’ fees. In June 2005, we answered the complaint and also filed a cross-complaint against Dr. Cheatham, alleging claims for libel per se, trade libel, breach of contract, breach of the implied covenant of good faith and fair dealing and breach of the duty of loyalty. In July 2005, Dr. Cheatham filed a demurrer and motion to strike our cross-complaint under California’s anti-SLAPP statute. On September 28, 2005, the California Superior Court overruled Dr. Cheatham’s demurrer and denied his motion to strike the Company’s cross-complaint. On November 4, 2005, Dr. Cheatham filed a notice of appeal of the Court’s ruling denying his motion to strike. Discovery as to Dr. Cheatham’s claims against us is proceeding, and this case is scheduled for trial to commence in July 2006.</w:t>
      </w:r>
    </w:p>
    <w:p>
      <w:pPr>
        <w:spacing w:after="0" w:line="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litigation will result in costs and divert management’s attention and resources, any of which could adversely affect our business, results of operations or financial position. We are also concerned that, despite the findings by an independent counsel following an investigation and despite the endorsement of the independent counsel’s report by our board of directors, investors could give undue weight to Dr. Cheatham’s allegations, resulting in damage to our reputation, or the FDA could begin an investigation, either of which could adversely affect the trading price of our common stock. If we are not successful in this litigation, we could be forced to make a</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significant settlement or judgment payment to Dr. Cheatham, which could adversely affect our business, results of operations or financial position.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 that are located in Southern California may be affected by natural disasters.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headquarters and some of our research and development activities are located in Southern California, where they are subject to an enhanced risk of natural and other disasters such as power and telecommunications failures, mudslides, fires and earthquakes. A fire, earthquake or other catastrophic loss that causes significant damage to our facilities or interruption of our business could harm our business. We do not carry insurance to cover losses caused by earthquakes, and the insurance coverage that we carry for fire damage and for business interruption may be insufficient to compensate us for any losses that we may incur.</w:t>
      </w:r>
    </w:p>
    <w:p>
      <w:pPr>
        <w:spacing w:after="0" w:line="7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Failure to achieve and maintain effective internal controls in accordance with Section 404 of the Sarbanes-Oxley Act could have a material adverse effect on our business and stock price.</w:t>
      </w:r>
    </w:p>
    <w:p>
      <w:pPr>
        <w:spacing w:after="0" w:line="5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in the process of documenting and testing our internal control procedures in order to satisfy the requirements of Section 404 of the Sarbanes-Oxley Act, which, beginning with our fiscal year ending December 31, 2005, will require annual management assessments of the effectiveness of our internal controls over financial reporting and a report by our independent auditors that both addresses management’s assessments and provides for the independent auditor’s assessment of the effectiveness of our internal controls. During the course of our testing, we may identify deficiencies which we may not be able to remediate in time to meet the deadline for compliance with Section 404. Testing and maintaining internal controls also involves significant costs and can divert our management’s attention from other matters that are important to our business. We may not be able to conclude on an ongoing basis that we have effective internal controls over financial reporting in accordance with Section 404, and our independent auditors may not be able or willing to issue a favorable assessment of our conclusions. Failure to achieve and maintain an effective internal control environment could harm our operating results and could cause us to fail to meet our reporting obligations. Inferior internal controls could also cause investors to lose confidence in our reported financial information, which could have a negative effect on the trading price of our stock.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1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Our product candidates must undergo rigorous preclinical and clinical testing and we must obtain regulatory approvals, which could be costly and time-consuming and subject us to unanticipated delays or prevent us from marketing any products.</w:t>
      </w:r>
    </w:p>
    <w:p>
      <w:pPr>
        <w:spacing w:after="0" w:line="5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research and development activities, as well as the manufacturing and marketing of our product candidates, including our Technosphere Insulin System, are subject to regulation, including regulation for safety, efficacy and quality, by the FDA in the United States and comparable authorities in other countries. FDA regulations are wide-ranging and govern, among other things:</w:t>
      </w:r>
    </w:p>
    <w:p>
      <w:pPr>
        <w:spacing w:after="0" w:line="73"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product sales and distribution.</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Clinical testing can be costly and take many years, and the outcome is uncertain and susceptible to varying interpretations. We expect, based on our discussions with the FDA and on our understanding of the interactions between the FDA and other pharmaceutical companies developing pulmonary insulin delivery systems, that we will need safety data covering at least two years from patients treated with our Technosphere Insulin System and that we must complete a two-year carcinogenicity study of Technosphere Insulin in rodents to obtain approval, among other requirements. We cannot be certain when or under what conditions we will undertake further clinical trials.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candidates, including our Technosphere Insulin System.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3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our Technosphere Insulin System, outside the United States vary widely from country to country. Foreign approvals may take longer to obtain than FDA approvals and can require, among other things, additional testing and different clinical trial designs. Foreign regulatory approval processes include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5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process of obtaining FDA and other required regulatory approvals, including foreign approvals, is expensive, often takes many years and can vary substantially based upon the type, complexity and novelty of the products involved. To our knowledge, no pulmonary insulin product has yet been approved for marketing, and we are not aware of any precedent for the successful commercialization of products based on our technology or technologies similar to ours. However, an application for approval for another pulmonary insulin product candidate was recently filed in the United States, and we believe a decision could be made by the FDA in early 2006. The FDA has advised us that it will regulate our Technosphere Insulin System as a “combination product” because of the complex nature of the system that includes the combination of a new drug (Technosphere Insulin) and a new medical device (the MedTone inhaler used to administer the insulin). The FDA indicated that the review of a future drug marketing application for our Technosphere Insulin System will involve three separate review groups of the FDA: (1) the Metabolic and Endocrine Drug Products Division; (2) the Pulmonary Drug Products Division; and (3) the Center for Devices and Radiological Health within the FDA that reviews medical devices. We currently understand that the Metabolic and Endocrine Drug Products Division will be the lead group and will obtain consulting reviews from the other two FDA groups. The FDA has not made an official final decision in this regard, however, and we can make no assurances at this time about what impact FDA review by multiple groups will have on the review and approval of our product or whether we are correct in our understanding of how the Technosphere Insulin System will be reviewed and approved.</w:t>
      </w:r>
    </w:p>
    <w:p>
      <w:pPr>
        <w:spacing w:after="0" w:line="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Also, recent events regarding questions about the safety of marketed drugs,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our Technosphere Insulin System as a combination product therapy may lengthen the product development and regulatory approval process, increase our development costs and delay or prevent the commercialization of our Technosphere Insulin System.</w:t>
      </w:r>
    </w:p>
    <w:p>
      <w:pPr>
        <w:spacing w:after="0" w:line="8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are developing our Technosphere Insulin System as a new treatment for diabetes utilizing unique, proprietary components. As a combination product, any changes to either the MedTone inhaler, the Technosphere material or the insulin, including new suppliers, could possibly result in FDA requirements to repeat certain clinical studies. This means, for example, that switching to an alternate delivery system could require us to undertake additional clinical trials and other studies, which could significantly delay the development and commercialization of our Technosphere Insulin System. Our product candidates that are currently in development for the treatment of cancer also face similar obstacles and costs.</w:t>
      </w:r>
    </w:p>
    <w:p>
      <w:pPr>
        <w:spacing w:after="0" w:line="6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currently expect that our inhaler will be reviewed for approval as part of the NDA for our Technosphere Insulin System. No assurances exist that we will not be required to obtain separate device clearances or approval for use of our inhaler with our Technosphere Insulin System. This may result in our being subject to medical device review user fees and to other device requirements to market our inhaler and may result in significant delays in commercialization. Even if the device component is approved as part of our NDA for the Technosphere Insulin System, numerous device regulatory requirements still apply to the device part of the drug-device combination.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5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will not be able to commercialize our Technosphere Insulin System and other product candidates until we have obtained regulatory approval. We have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53" w:lineRule="exact"/>
        <w:rPr>
          <w:sz w:val="20"/>
          <w:szCs w:val="20"/>
          <w:color w:val="auto"/>
        </w:rPr>
      </w:pPr>
    </w:p>
    <w:p>
      <w:pPr>
        <w:jc w:val="both"/>
        <w:ind w:right="500"/>
        <w:spacing w:after="0" w:line="266" w:lineRule="auto"/>
        <w:rPr>
          <w:sz w:val="20"/>
          <w:szCs w:val="20"/>
          <w:color w:val="auto"/>
        </w:rPr>
      </w:pPr>
      <w:r>
        <w:rPr>
          <w:rFonts w:ascii="Arial" w:cs="Arial" w:eastAsia="Arial" w:hAnsi="Arial"/>
          <w:sz w:val="18"/>
          <w:szCs w:val="18"/>
          <w:b w:val="1"/>
          <w:b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7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60"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Even if we obtain regulatory approval for our product candidates, such approval may be limited and we will be subject to stringent, ongoing government regulation.</w:t>
      </w:r>
    </w:p>
    <w:p>
      <w:pPr>
        <w:spacing w:after="0" w:line="5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Even if regulatory authorities approve any of our product candidates, they could approve less than the full scope of uses or labeling that we seek or otherwise require special warnings or other restrictions on use or marketing. Regulatory authorities may limit the segments of the diabetes population to which we or others may market our Technosphere Insulin System or limit the target population for our other product candidates. Based on currently available clinical studies, we believe that our Technosphere Insulin System may have certain advantages over currently approved insulin products or pulmonary insulin products in development, including its approximation of the natural first-phase insulin release spike. Nonetheless, there are no assurances that these and other advantages, if any, of the Technosphere Insulin System have clinical significance or can be confirmed in head-to-head clinical trials against appropriate approved comparator insulin drug products. Such comparative clinical trials are required to make these types of superiority claims in labeling or advertising. These aforementioned observations and others may therefore not be capable of substantiation in comparative clinical trials prior to our NDA submission, if at all, or otherwise may not be suitable for inclusion in product labeling or advertising and, as a result, our Technosphere Insulin System may not have competitive advantages when compared to other insulin products.</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manufacture, marketing and sale of these product candidates will be subject to stringent and ongoing government regulation. The FDA may also withdraw product approvals if problems concerning safety or efficacy of the product occur following approval. In response to recent events regarding questions about the safety of certain approved prescription products, including the lack of adequate warnings, the FDA and Congress are currently considering new regulatory and legislative approaches to advertising, monitoring and assessing the safety of marketed drugs, including legislation providing the FDA with authority to mandate labeling changes for approved pharmaceutical products, particularly those related to safety. We also cannot be sure that the current Congressional and FDA initiatives pertaining to ensuring the safety of marketed drugs or other developments pertaining to the pharmaceutical industry will not adversely affect our operations.</w:t>
      </w:r>
    </w:p>
    <w:p>
      <w:pPr>
        <w:spacing w:after="0" w:line="8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result in civil fines, product seizures, injunctions and/or criminal prosecution of responsible individuals and us. Any such actions would have a material adverse effect on our business and results of operations.</w:t>
      </w:r>
    </w:p>
    <w:p>
      <w:pPr>
        <w:spacing w:after="0" w:line="5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insulin supplier does not yet supply human recombinant insulin for an FDA-approved product and will likely be subject to an FDA preapproval inspection before the agency will approve a future marketing application for our Technosphere Insulin System.</w:t>
      </w:r>
    </w:p>
    <w:p>
      <w:pPr>
        <w:spacing w:after="0" w:line="5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We can make no assurances that our insulin supplier will be acceptable to the FDA.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our Technosphere Insulin System. We also depend on suppliers for other materials that comprise our Technosphere Insulin System, including our MedTone inhaler and cartridges. All of our device suppliers must comply with relevant regulatory requirements including QSR. It also is likely that major suppliers will be subject to FDA preapproval inspections before the agency will approve a future marketing application for our Technosphere Insulin System. At the present time our insulin supplier is certified to the ISO9001:2000 Standard. There can be no assurance, however, that if the FDA were to conduct a preapproval inspection of our insulin supplier or other suppliers, that the agency would find that the supplier substantially comply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Any regulatory approvals that we receive for our product candidates may also be subject to limitations on the indicated uses for which the product candidate may be marketed or contain requirements for potentially costly post-marketing follow-up clinical trials.</w:t>
      </w:r>
    </w:p>
    <w:p>
      <w:pPr>
        <w:spacing w:after="0" w:line="5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5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At present, there are a number of clinical trials being conducted by us and other pharmaceutical companies involving insulin delivery systems. If we discover that our product is associated with a significantly increased frequency of adverse events, or if other pharmaceutical companies announce that they observed frequent adverse events in their trials involving the pulmonary delivery of insulin, we could encounter delays in the timing of our clinical trials or difficulties in obtaining the approval of our Technosphere Insulin System. As well, the public perception of our products might be adversely affected, which could harm our business and results of operations and cause the market price of our common stock to decline, even if the concern relates to another company’s product.</w:t>
      </w:r>
    </w:p>
    <w:p>
      <w:pPr>
        <w:spacing w:after="0" w:line="5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example, in August 2004, an analyst reported that the United Kingdom Committee on the Safety of Medicines had expressed concern that a European application for approval of a drug for the treatment of diabetes was not licensable at the time. Earlier in 2004, sanofi-aventis, on behalf of Pfizer and Nektar, filed for regulatory approval in Europe of Exubera. Although the identity of the drug was not disclosed in the analyst’s report, the news nonetheless triggered temporary but sharp declines in the market prices of Nektar’s common stock as well as our common stock.</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protect our proprietary rights, we may not be able to compete effectively, or operate profitably.</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know-how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similar technologies.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if we attempt to enforce them and they are challenged in court or in other proceedings, such as oppositions, which may be brought in US or foreign jurisdictions to challenge the validity of a patent. A third party may challenge the validity or enforceability of a patent after its issuance by the US Patent and Trademark Office, or USPTO.</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8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An adverse determination of any litigation or defense proceedings could put one or more of our patents at risk of being invalidated or interpreted narrowly and could put our patent applications at risk of not issuing.</w:t>
      </w:r>
    </w:p>
    <w:p>
      <w:pPr>
        <w:spacing w:after="0" w:line="8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5"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1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a patent and the courts do not always arrive at uniform conclusions.</w:t>
      </w:r>
    </w:p>
    <w:p>
      <w:pPr>
        <w:spacing w:after="0" w:line="7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 third party may claim that we are using inventions covered by such third party’s patents and may go to court to stop us from engaging in our normal operations and activities. These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Although we own a number of domestic and foreign patents and patent applications relating to our Technosphere Insulin System and cancer vaccine products under development, we have identified certain third-party patents that a court may interpret to restrict our freedom to operate (that is, to cover our products) in the areas of Technosphere formulations, pulmonary insulin delivery and the treatment of cancer. Specifically, we have identified certain third-party patents having claims relating to chemical compositions of matter and pulmonary insulin delivery that may trigger an allegation of infringement upon the commercial manufacture and sale of our Technosphere Insulin System. We have also identified third-party patents disclosing methods of use and compositions of matter related to DNA-based vaccines that also may trigger an allegation of infringement upon the commercial manufacture and sale of our cancer 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Patent litigation is costly and time-consuming. Among other things, such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Although patent and intellectual property disputes in the pharmaceutical area have often been settled for licensing or similar arrangements, associated costs may be substantial and could include ongoing royalties.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obtain trademark registrations for our potential trade names.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not selected trade names for some of our products and product candidates; therefore, we have not filed trademark registrations for our potential trade names for those products in any jurisdiction, including the United States.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that our stock price will fluctuate significantly.</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completed our initial public offering on August 2, 2004. Prior to that, our stockholders could not buy or sell our common stock publicly. An active public market for our common stock may not continue to develop or be sustained. The stock market, particularly in recent years, has experienced significant volatility particularly with respect to pharmaceutical and biotechnology stocks. Since August 2, 2004, the high and low sales price of our common stock has varied significantly, from a low of $8.42 to a high of $24.31.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progress and results of our clinical trials;</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concerning their clinical trial results, acquisitions, strategic alliances, technological innovations and newly approved commercial products;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the availability of critical materials used in developing and manufacturing our Technosphere Insulin System or other product candidates;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developments concerning our patents, proprietary rights and potential infringement claims;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changes in securities analysts’ estimates of our financial and operating performance;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sales of large blocks of our common stock, including sales by our executive officers, directors and significant stockholders; and</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discussion of our Technosphere Insulin System, our other product candidates, competitors’ products, or our stock price by the financial and scientific press, the healthcare community and online investor communities such as chat rooms.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11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If other biotechnology and biopharmaceutical companies or the securities markets in general encounter problems, the market price of our common stock could be adversely affected.</w:t>
      </w:r>
    </w:p>
    <w:p>
      <w:pPr>
        <w:spacing w:after="0" w:line="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Public companies in general and companies included on The Nasdaq National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69"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Our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7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Mr. Mann has been our primary source of financing to date. Following the close of the private placement on August 5, 2005, Mr. Mann beneficially owned approximately 48.6% of our outstanding shares of capital stock. Members of Mr. Mann’s family beneficially owned at least an additional 1.6% of our outstanding shares of common stock, although Mr. Mann does not have voting or investment power with respect to these shares. By virtue of his holdings, Mr. Mann can and will continue to be able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Subject to compliance with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 at the University of Southern California, and that may serve as funding organizations for any other charities that he may establish. The AEMMRO is a membership foundation consisting of six members, including Mr. Mann,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four of his children and Dr. Joseph Schulman, the director of AMF. The AEMFBE is a membership foundation consisting of five members, including Mr. Mann and the same four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future sale of our common stock could negatively affect our stock price.</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As of September 30, 2005, we had approximately 50.2 million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Furthermore, if we were to include in a company-initiated registration statement shares held by our stockholders pursuant to the exercise of their registrations rights, the sale of those shares could impair our ability to raise needed capital by depressing the price at which we could sell our common stock.</w:t>
      </w:r>
    </w:p>
    <w:p>
      <w:pPr>
        <w:spacing w:after="0" w:line="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If we raise additional funds by issuing equity securities, the market price of our common stock may decline and our existing stockholders may experience significant dilution.</w:t>
      </w:r>
    </w:p>
    <w:p>
      <w:pPr>
        <w:spacing w:after="0" w:line="58" w:lineRule="exact"/>
        <w:rPr>
          <w:sz w:val="20"/>
          <w:szCs w:val="20"/>
          <w:color w:val="auto"/>
        </w:rPr>
      </w:pPr>
    </w:p>
    <w:p>
      <w:pPr>
        <w:ind w:right="680"/>
        <w:spacing w:after="0" w:line="347" w:lineRule="auto"/>
        <w:rPr>
          <w:sz w:val="20"/>
          <w:szCs w:val="20"/>
          <w:color w:val="auto"/>
        </w:rPr>
      </w:pPr>
      <w:r>
        <w:rPr>
          <w:rFonts w:ascii="Arial" w:cs="Arial" w:eastAsia="Arial" w:hAnsi="Arial"/>
          <w:sz w:val="16"/>
          <w:szCs w:val="16"/>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amended and restated certificate of incorporation and bylaws include anti-takeover provisions, such as a prohibition on stockholder actions by written consent, the authority of our board of directors to issue preferred stock without stockholder approval, and supermajority voting requirements for specified actions. In addition, because we are incorporated in Delaware,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Because we do not expect to pay dividends in the foreseeable future, you must rely on stock appreciation for any return on your investment.</w:t>
      </w:r>
    </w:p>
    <w:p>
      <w:pPr>
        <w:spacing w:after="0" w:line="13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in value after the offering or even maintain the price at which you purchased your shares, and you may not realize a return on your investment in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have not used derivative financial instruments for speculation or trading purposes. However, we are exposed to market risk related to changes in interest rates. Our current policy is to maintain a highly liquid short-term investment portfolio consisting mainly of US money market funds and government and investment-grade corporate debt. Our cash is deposited in and invested through highly rated financial institutions in North America. Our short-term investments are subject to interest rate risk and will fall in value if market interest rates increase. If market interest rates were to increase immediately and uniformly by ten percent from levels at September 30, 2005, we estimate that the fair value of our investment portfolio would decline by an immaterial amount.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assets are primarily monetary, consisting of cash and cash equivalents. Because of their liquidity, these assets are not directly affected by inflation. We also believe that we have intangible assets in the value of our technology. In accordance with generally accepted accounting principles, we have not capitalized the value of this intellectual property on our consolidated balance sheet. Due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 the nature of this intellectual property, we believe that these intangible assets are not affected by inflation. Because we intend to retain and continue to use our equipment, furniture and fixtures and leasehold improvements, we believe that the incremental inflation related to replacement costs of such items will not materially affect our operations. However, the rate of inflation affects our expenses, such as those for employee compensation and contract services, which could increase our level of expenses and the rate at which we use our resources.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foregoing, our chief executive officer and chief financial officer concluded that our disclosure controls and procedures were effective at the reasonable assurance level.</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fiscal quarter ended September 30, 2005 that has materially affected, or is reasonably likely to materially affect, our internal control over financial reporting.</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 xml:space="preserve">As previously disclosed in our quarterly report on Form 10-Q for the quarter ended June 30, 2005, in May 2005, our former Chief Medical Officer filed a complaint against us in the California Superior Court, County of Los Angeles. </w:t>
      </w:r>
      <w:r>
        <w:rPr>
          <w:rFonts w:ascii="Arial" w:cs="Arial" w:eastAsia="Arial" w:hAnsi="Arial"/>
          <w:sz w:val="16"/>
          <w:szCs w:val="16"/>
          <w:i w:val="1"/>
          <w:iCs w:val="1"/>
          <w:color w:val="auto"/>
        </w:rPr>
        <w:t>Wayman Wendell Cheatham, M.D. v. MannKind Corporation</w:t>
      </w:r>
      <w:r>
        <w:rPr>
          <w:rFonts w:ascii="Arial" w:cs="Arial" w:eastAsia="Arial" w:hAnsi="Arial"/>
          <w:sz w:val="16"/>
          <w:szCs w:val="16"/>
          <w:color w:val="auto"/>
        </w:rPr>
        <w:t>, Case</w:t>
      </w:r>
    </w:p>
    <w:p>
      <w:pPr>
        <w:spacing w:after="0"/>
        <w:rPr>
          <w:sz w:val="20"/>
          <w:szCs w:val="20"/>
          <w:color w:val="auto"/>
        </w:rPr>
      </w:pPr>
      <w:r>
        <w:rPr>
          <w:rFonts w:ascii="Arial" w:cs="Arial" w:eastAsia="Arial" w:hAnsi="Arial"/>
          <w:sz w:val="16"/>
          <w:szCs w:val="16"/>
          <w:color w:val="auto"/>
        </w:rPr>
        <w:t>No. BC333845. The complaint alleges causes of action for wrongful termination in violation of public policy, breach of contract and retaliation,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our termination of Dr. Cheatham’s employment. In the complaint, Dr. Cheatham seeks compensatory, punitive and exemplary damages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 million, as well as reimbursement of attorneys’ fees. In June 2005, we answered the complaint, generally denying each of Dr. Cheatham’s allegations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asserting various defenses. We believe the allegations in the complaint are without merit and intend to vigorously defend against them. We also filed a cross-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complaint against Dr. Cheatham, alleging claims for libel per se, trade libel, breach of contract, breach of the implied covenant of good faith and fair dealing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breach of the duty of loyalty. The libel claims allege that Dr. Cheatham made certain false and malicious statements about us in a letter to the FDA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regard to a request by us to hold a meeting with the FDA. The remaining causes of action in the cross-complaint arise out of our allegations that Dr. Cheatham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had an undisclosed consulting relationship with a competitor during his employment with us, in violation of our agreement. In July 2005, Dr. Cheatham filed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demurrer and motion to strike our cross-complaint under California’s anti-SLAPP statute. On September 28, 2005, the California Superior Court overruled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 Cheatham’s demurrer and denied his motion to strike our cross-complaint. On November 4, 2005, Dr. Cheatham filed a notice of appeal of the Court’s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ruling denying his motion to strike. Discovery as to Dr. Cheatham’s claims against us is proceeding, and this case is scheduled for trial to commence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July 2006. We believe that the ultimate resolution of this matter will not have a material impact on our financial position or results of operations.</w:t>
      </w:r>
    </w:p>
    <w:p>
      <w:pPr>
        <w:spacing w:after="0" w:line="1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year ended December 31, 2000, we issued an aggregate 699,972 shares of common stock to three consultants in exchange for notes receivable aggregating approximately $10,891,000. The notes are collateralized by the underlying common stock and bear interest at fixed rates. The notes-for-stock transactions have been accounted for as in-substance stock option grants to non-employees. On November 10, 2004, the borrowers notified us that they believed that they had entered into an agreement in October 2001 with Alfred E. Mann, our Chairman, Chief Executive Officer and principal stockholder, under which Mr. Mann would purchase from the borrowers some of the common stock, with the proceeds to be paid to us to pay down the notes. The borrowers have informed us that they believe both we and Mr. Mann are in breach of certain agreements related to the transaction and indicated they intend to seek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alleged damages arising from any failure of the agreement to be performed. The borrowers have not commenced any legal proceedings against Mr. Mann or us. On October 19, 2005, the principal and interest on the notes aggregating $14,637,000 became due and payable to us. On September 30, 2005, the aggregate 699,972 shares of common stock issued for the notes receivable had a market value aggregating approximately $9,583,000. We are pursuing collection and have not deemed the notes uncollectible. As the notes-for-stock transactions were accounted for as in-substance stock option grants to non-employees, there is no impairment to assess for financial reporting purposes. While the outcome of this matter is uncertain, any modification to the terms of the notes could result in additional stock compensation being ascribed to the in-substance options. The amount of any additional stock compensation could have a material impact on our results of operations in the period of modification.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Use of Proceeds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initial public offering of our common stock, par value $0.01 per share, was effected through a Registration Statement on Form S-1 (File No. 333-115020) that was declared effective by the SEC on July 27, 2004, and a Registration Statement on Form S-1 (File No. 333-117702) that became effective upon filing with the SEC on July 28, 2004. The Registration Statements covered the offer and sale of up to 7,187,500 shares of our common stock, including an over-allotment option we granted to the underwriters to purchase up to 937,500 shares of our common stock from us, for an aggregate offering price of</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$100.6 million. Our initial public offering commenced on July 28, 2004. On August 2, 2004, 6,250,000 shares of our common stock were sold for an aggregate offering price of $87.5 million. The managing underwriters in the offering were UBS Investment Bank, Piper Jaffray, Wachovia Securities, Jefferies</w:t>
      </w:r>
    </w:p>
    <w:p>
      <w:pPr>
        <w:spacing w:after="0" w:line="1" w:lineRule="exact"/>
        <w:rPr>
          <w:sz w:val="20"/>
          <w:szCs w:val="20"/>
          <w:color w:val="auto"/>
        </w:rPr>
      </w:pPr>
    </w:p>
    <w:p>
      <w:pPr>
        <w:ind w:right="40" w:firstLine="8"/>
        <w:spacing w:after="0" w:line="261" w:lineRule="auto"/>
        <w:tabs>
          <w:tab w:leader="none" w:pos="1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Company, Inc. and Harris Nesbitt. The underwriters exercised 307,100 shares of the over-allotment option on August 28, 2004 and the closing occurred on September 1, 2004.</w:t>
      </w:r>
    </w:p>
    <w:p>
      <w:pPr>
        <w:spacing w:after="0" w:line="7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initial public offering resulted in aggregate net proceeds to us of approximately $83.2 million, including approximately $4.0 million in proceeds from the exercise of the underwriter’s over-allotment option. In connection with the offering, we paid $6.4 million in underwriting discounts and commissions and offering expenses of approximately $2.2 million.</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 offering expenses were paid directly or indirectly to any of our directors or officers (or their associates) or person owning ten percent or more of any class of our equity securities or to any other affiliates. All offering expenses were paid directly to others.</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September 30, 2005, we estimate that we had used approximately $70.6 million of the net proceeds of our initial public offering for operating activities and approximately $8.9 million of the net proceeds for the purchase of manufacturing equipment. The remainder of the net proceeds has been invested into short-term securities and cash equivalents.</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foregoing payments were direct payments made to third parties who were not our directors or officers (or their associates), persons owning ten percent or more of any class of our equity securities or any other affiliate, except that the proceeds used for working capital included regular compensation for officers and directors. The use of proceeds does not represent a material change from the use of proceeds described in the prospectus we filed pursuant to Rule 424(b) of the Securities Act with the SEC on July 28, 2004.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September 22, 2005, our Corporate Vice President and General Counsel entered into a 10b5-1 plan pursuant to which he will exercise and sell certain stock options aggregating 59,095 shares over a period of 24 months, commencing in October 2005.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340" w:type="dxa"/>
            <w:vAlign w:val="bottom"/>
          </w:tcPr>
          <w:p>
            <w:pPr>
              <w:spacing w:after="0"/>
              <w:rPr>
                <w:sz w:val="14"/>
                <w:szCs w:val="14"/>
                <w:color w:val="auto"/>
              </w:rPr>
            </w:pPr>
          </w:p>
        </w:tc>
        <w:tc>
          <w:tcPr>
            <w:tcW w:w="10040" w:type="dxa"/>
            <w:vAlign w:val="bottom"/>
            <w:vMerge w:val="restart"/>
          </w:tcPr>
          <w:p>
            <w:pPr>
              <w:ind w:left="44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4"/>
                <w:szCs w:val="14"/>
                <w:color w:val="auto"/>
              </w:rPr>
            </w:pPr>
          </w:p>
        </w:tc>
        <w:tc>
          <w:tcPr>
            <w:tcW w:w="10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3.1</w:t>
            </w:r>
          </w:p>
        </w:tc>
        <w:tc>
          <w:tcPr>
            <w:tcW w:w="340" w:type="dxa"/>
            <w:vAlign w:val="bottom"/>
          </w:tcPr>
          <w:p>
            <w:pPr>
              <w:spacing w:after="0"/>
              <w:rPr>
                <w:sz w:val="16"/>
                <w:szCs w:val="16"/>
                <w:color w:val="auto"/>
              </w:rPr>
            </w:pPr>
          </w:p>
        </w:tc>
        <w:tc>
          <w:tcPr>
            <w:tcW w:w="10040" w:type="dxa"/>
            <w:vAlign w:val="bottom"/>
          </w:tcPr>
          <w:p>
            <w:pPr>
              <w:spacing w:after="0" w:line="195" w:lineRule="exact"/>
              <w:rPr>
                <w:sz w:val="20"/>
                <w:szCs w:val="20"/>
                <w:color w:val="auto"/>
              </w:rPr>
            </w:pPr>
            <w:r>
              <w:rPr>
                <w:rFonts w:ascii="Arial" w:cs="Arial" w:eastAsia="Arial" w:hAnsi="Arial"/>
                <w:sz w:val="18"/>
                <w:szCs w:val="18"/>
                <w:color w:val="auto"/>
                <w:w w:val="91"/>
              </w:rPr>
              <w:t>Amended and Restated Certificate of Incorporation (incorporated by reference from Exhibit 3.5 to the Registrant’s Registration Statement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on Form S-1, File No. 333-115020)</w:t>
            </w:r>
          </w:p>
        </w:tc>
        <w:tc>
          <w:tcPr>
            <w:tcW w:w="0" w:type="dxa"/>
            <w:vAlign w:val="bottom"/>
          </w:tcPr>
          <w:p>
            <w:pPr>
              <w:spacing w:after="0"/>
              <w:rPr>
                <w:sz w:val="1"/>
                <w:szCs w:val="1"/>
                <w:color w:val="auto"/>
              </w:rPr>
            </w:pP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Amended and Restated Bylaws (incorporated by reference from Exhibit 3.7 to the Registrant’s Registration Statement on Form S-1, File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No. 333-115020)</w:t>
            </w:r>
          </w:p>
        </w:tc>
        <w:tc>
          <w:tcPr>
            <w:tcW w:w="0" w:type="dxa"/>
            <w:vAlign w:val="bottom"/>
          </w:tcPr>
          <w:p>
            <w:pPr>
              <w:spacing w:after="0"/>
              <w:rPr>
                <w:sz w:val="1"/>
                <w:szCs w:val="1"/>
                <w:color w:val="auto"/>
              </w:rPr>
            </w:pP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Form of Common Stock Certificate (incorporated by reference from Exhibit 4.1 to the Registrant’s Registration Statement on Form S-1,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File No. 333-115020)</w:t>
            </w:r>
          </w:p>
        </w:tc>
        <w:tc>
          <w:tcPr>
            <w:tcW w:w="0" w:type="dxa"/>
            <w:vAlign w:val="bottom"/>
          </w:tcPr>
          <w:p>
            <w:pPr>
              <w:spacing w:after="0"/>
              <w:rPr>
                <w:sz w:val="1"/>
                <w:szCs w:val="1"/>
                <w:color w:val="auto"/>
              </w:rPr>
            </w:pP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Securities Purchase Agreement dated August 2, 2005 by and among MannKind Corporation and the purchasers listed on Exhibit A thereto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(incorporated by reference from Exhibit 99.1 to the Registrant’s Current Report on Form 8-K filed August 5, 2005)</w:t>
            </w:r>
          </w:p>
        </w:tc>
        <w:tc>
          <w:tcPr>
            <w:tcW w:w="0" w:type="dxa"/>
            <w:vAlign w:val="bottom"/>
          </w:tcPr>
          <w:p>
            <w:pPr>
              <w:spacing w:after="0"/>
              <w:rPr>
                <w:sz w:val="1"/>
                <w:szCs w:val="1"/>
                <w:color w:val="auto"/>
              </w:rPr>
            </w:pP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Certification of the Chief Executive Officer Pursuant to Rules 13a-14(a) and 15d-14(a) of the Securities Exchange Act of 1934,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Amended</w:t>
            </w:r>
          </w:p>
        </w:tc>
        <w:tc>
          <w:tcPr>
            <w:tcW w:w="0" w:type="dxa"/>
            <w:vAlign w:val="bottom"/>
          </w:tcPr>
          <w:p>
            <w:pPr>
              <w:spacing w:after="0"/>
              <w:rPr>
                <w:sz w:val="1"/>
                <w:szCs w:val="1"/>
                <w:color w:val="auto"/>
              </w:rPr>
            </w:pPr>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8"/>
              </w:rPr>
              <w:t>Certification of the Chief Financial Officer Pursuant to Rules 13a-14(a) and 15d-14(a) of the Securities Exchange Act of 1934,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Amended</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80" w:right="440" w:hanging="1372"/>
        <w:spacing w:after="0" w:line="342" w:lineRule="auto"/>
        <w:tabs>
          <w:tab w:leader="none" w:pos="1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Certifications of the Chief Executive Officer and Chief Financial Officer Pursuant to Rules 13a-14(b) and 15d-14(b) of the Securities Exchange Act of 1934, as Amended and Section 1350 of Chapter 63 of Title 18 of the United States Code (18 U.S.C. § 1350)</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Dated: November 14, 2005</w:t>
      </w:r>
      <w:r>
        <w:rPr>
          <w:sz w:val="20"/>
          <w:szCs w:val="20"/>
          <w:color w:val="auto"/>
        </w:rPr>
        <w:tab/>
      </w:r>
      <w:r>
        <w:rPr>
          <w:rFonts w:ascii="Arial" w:cs="Arial" w:eastAsia="Arial" w:hAnsi="Arial"/>
          <w:sz w:val="17"/>
          <w:szCs w:val="17"/>
          <w:color w:val="auto"/>
        </w:rPr>
        <w:t>M</w:t>
      </w:r>
      <w:r>
        <w:rPr>
          <w:rFonts w:ascii="Arial" w:cs="Arial" w:eastAsia="Arial" w:hAnsi="Arial"/>
          <w:sz w:val="11"/>
          <w:szCs w:val="11"/>
          <w:color w:val="auto"/>
        </w:rPr>
        <w:t>ANN</w:t>
      </w:r>
      <w:r>
        <w:rPr>
          <w:rFonts w:ascii="Arial" w:cs="Arial" w:eastAsia="Arial" w:hAnsi="Arial"/>
          <w:sz w:val="17"/>
          <w:szCs w:val="17"/>
          <w:color w:val="auto"/>
        </w:rPr>
        <w:t>K</w:t>
      </w:r>
      <w:r>
        <w:rPr>
          <w:rFonts w:ascii="Arial" w:cs="Arial" w:eastAsia="Arial" w:hAnsi="Arial"/>
          <w:sz w:val="11"/>
          <w:szCs w:val="11"/>
          <w:color w:val="auto"/>
        </w:rPr>
        <w:t>IND</w:t>
      </w:r>
      <w:r>
        <w:rPr>
          <w:rFonts w:ascii="Arial" w:cs="Arial" w:eastAsia="Arial" w:hAnsi="Arial"/>
          <w:sz w:val="17"/>
          <w:szCs w:val="17"/>
          <w:color w:val="auto"/>
        </w:rPr>
        <w:t xml:space="preserve"> C</w:t>
      </w:r>
      <w:r>
        <w:rPr>
          <w:rFonts w:ascii="Arial" w:cs="Arial" w:eastAsia="Arial" w:hAnsi="Arial"/>
          <w:sz w:val="11"/>
          <w:szCs w:val="11"/>
          <w:color w:val="auto"/>
        </w:rPr>
        <w:t>ORPORATION</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Richard L. Anderson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1299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Corporate Vice President and 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19" w:right="4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CERTIFICATION OF CHIEF EXECUTIVE OFFICER</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PURSUANT TO RULES 13a-14(a) AND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17" w:lineRule="exact"/>
        <w:rPr>
          <w:sz w:val="20"/>
          <w:szCs w:val="20"/>
          <w:color w:val="auto"/>
        </w:rPr>
      </w:pPr>
    </w:p>
    <w:p>
      <w:pPr>
        <w:ind w:left="420" w:hanging="187"/>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MannKind Corporation;</w:t>
      </w:r>
    </w:p>
    <w:p>
      <w:pPr>
        <w:spacing w:after="0" w:line="117" w:lineRule="exact"/>
        <w:rPr>
          <w:rFonts w:ascii="Arial" w:cs="Arial" w:eastAsia="Arial" w:hAnsi="Arial"/>
          <w:sz w:val="18"/>
          <w:szCs w:val="18"/>
          <w:color w:val="auto"/>
        </w:rPr>
      </w:pPr>
    </w:p>
    <w:p>
      <w:pPr>
        <w:ind w:right="420" w:firstLine="233"/>
        <w:spacing w:after="0" w:line="342" w:lineRule="auto"/>
        <w:tabs>
          <w:tab w:leader="none" w:pos="405"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80" w:firstLine="233"/>
        <w:spacing w:after="0" w:line="277" w:lineRule="auto"/>
        <w:tabs>
          <w:tab w:leader="none" w:pos="4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520" w:firstLine="233"/>
        <w:spacing w:after="0" w:line="277" w:lineRule="auto"/>
        <w:tabs>
          <w:tab w:leader="none" w:pos="40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sz w:val="20"/>
          <w:szCs w:val="20"/>
          <w:color w:val="auto"/>
        </w:rPr>
      </w:pPr>
    </w:p>
    <w:p>
      <w:pPr>
        <w:ind w:left="660" w:hanging="436"/>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40" w:hanging="436"/>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80" w:hanging="436"/>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220" w:firstLine="233"/>
        <w:spacing w:after="0" w:line="308" w:lineRule="auto"/>
        <w:tabs>
          <w:tab w:leader="none" w:pos="402"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660" w:right="20" w:hanging="436"/>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60" w:hanging="436"/>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2005</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21780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Alfred E. Mann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368"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CERTIFICATION OF CHIEF FINANCIAL OFFICER</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PURSUANT TO RULES 13a-14(a) AND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L. Anderson, certify that:</w:t>
      </w:r>
    </w:p>
    <w:p>
      <w:pPr>
        <w:spacing w:after="0" w:line="117" w:lineRule="exact"/>
        <w:rPr>
          <w:sz w:val="20"/>
          <w:szCs w:val="20"/>
          <w:color w:val="auto"/>
        </w:rPr>
      </w:pPr>
    </w:p>
    <w:p>
      <w:pPr>
        <w:ind w:left="420" w:hanging="187"/>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MannKind Corporation;</w:t>
      </w:r>
    </w:p>
    <w:p>
      <w:pPr>
        <w:spacing w:after="0" w:line="117" w:lineRule="exact"/>
        <w:rPr>
          <w:rFonts w:ascii="Arial" w:cs="Arial" w:eastAsia="Arial" w:hAnsi="Arial"/>
          <w:sz w:val="18"/>
          <w:szCs w:val="18"/>
          <w:color w:val="auto"/>
        </w:rPr>
      </w:pPr>
    </w:p>
    <w:p>
      <w:pPr>
        <w:ind w:right="420" w:firstLine="233"/>
        <w:spacing w:after="0" w:line="342" w:lineRule="auto"/>
        <w:tabs>
          <w:tab w:leader="none" w:pos="405"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80" w:firstLine="233"/>
        <w:spacing w:after="0" w:line="277" w:lineRule="auto"/>
        <w:tabs>
          <w:tab w:leader="none" w:pos="4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520" w:firstLine="233"/>
        <w:spacing w:after="0" w:line="277" w:lineRule="auto"/>
        <w:tabs>
          <w:tab w:leader="none" w:pos="40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sz w:val="20"/>
          <w:szCs w:val="20"/>
          <w:color w:val="auto"/>
        </w:rPr>
      </w:pPr>
    </w:p>
    <w:p>
      <w:pPr>
        <w:ind w:left="660" w:hanging="436"/>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particularly during the period in which this report is being prepared;</w:t>
      </w:r>
    </w:p>
    <w:p>
      <w:pPr>
        <w:spacing w:after="0" w:line="86" w:lineRule="exact"/>
        <w:rPr>
          <w:rFonts w:ascii="Arial" w:cs="Arial" w:eastAsia="Arial" w:hAnsi="Arial"/>
          <w:sz w:val="18"/>
          <w:szCs w:val="18"/>
          <w:color w:val="auto"/>
        </w:rPr>
      </w:pPr>
    </w:p>
    <w:p>
      <w:pPr>
        <w:ind w:left="660" w:right="40" w:hanging="436"/>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80" w:hanging="436"/>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220" w:firstLine="233"/>
        <w:spacing w:after="0" w:line="308" w:lineRule="auto"/>
        <w:tabs>
          <w:tab w:leader="none" w:pos="40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660" w:right="20" w:hanging="436"/>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60" w:hanging="436"/>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2005</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21780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Richard L. Anderson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935"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CERTIFICATIONS OF</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RULES 13a-14(b) AND 15d-14(b) OF THE SECURITIES EXCHANGE ACT OF 1934, AS AMENDED AND SECTION 1350 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10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 Alfred E. Mann, Chief Executive Officer of MannKind Corporation (the “Company”), certify, pursuant to Rules 13a-14(b) and 15d-14(b) of the Securities Exchange Act of 1934, as Amended and Section 1350 of Chapter 63 of Title 18 of the United States Code (18 U.S.C. § 1350), that to my knowledge:</w:t>
      </w:r>
    </w:p>
    <w:p>
      <w:pPr>
        <w:spacing w:after="0" w:line="16" w:lineRule="exact"/>
        <w:rPr>
          <w:sz w:val="20"/>
          <w:szCs w:val="20"/>
          <w:color w:val="auto"/>
        </w:rPr>
      </w:pPr>
    </w:p>
    <w:p>
      <w:pPr>
        <w:ind w:right="200" w:firstLine="233"/>
        <w:spacing w:after="0" w:line="277" w:lineRule="auto"/>
        <w:tabs>
          <w:tab w:leader="none" w:pos="4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2005 (the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firstLine="233"/>
        <w:spacing w:after="0" w:line="277" w:lineRule="auto"/>
        <w:tabs>
          <w:tab w:leader="none" w:pos="4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 covered by the Report.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Date: November 14, 2005</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21780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Alfred E. Mann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Chief Executive Officer</w:t>
      </w:r>
    </w:p>
    <w:p>
      <w:pPr>
        <w:spacing w:after="0" w:line="103"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I, Richard L. Anderson, Chief Financial Officer of MannKind Corporation (the “Company”), certify pursuant to Rules 13a-14(b) and 15d-14(b) of the Securities Exchange Act of 1934, as Amended and Section 1350 of Chapter 63 of Title 18 of the United States Code (18 U.S.C. § 1350), that to my knowledge:</w:t>
      </w:r>
    </w:p>
    <w:p>
      <w:pPr>
        <w:spacing w:after="0" w:line="73" w:lineRule="exact"/>
        <w:rPr>
          <w:sz w:val="20"/>
          <w:szCs w:val="20"/>
          <w:color w:val="auto"/>
        </w:rPr>
      </w:pPr>
    </w:p>
    <w:p>
      <w:pPr>
        <w:ind w:right="200" w:firstLine="233"/>
        <w:spacing w:after="0" w:line="277" w:lineRule="auto"/>
        <w:tabs>
          <w:tab w:leader="none" w:pos="40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2005 (the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firstLine="233"/>
        <w:spacing w:after="0" w:line="277" w:lineRule="auto"/>
        <w:tabs>
          <w:tab w:leader="none" w:pos="40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 covered by the Report.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Date: November 14, 2005</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21780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Richard L. Anderson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Chief Financial Officer</w:t>
      </w:r>
    </w:p>
    <w:p>
      <w:pPr>
        <w:spacing w:after="0" w:line="1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signed original of these certifications has been provided to MannKind Corporation and will be retained by MannKind Corporation and furnished to the Securities and Exchange Commission or its staff upon request.</w:t>
      </w:r>
    </w:p>
    <w:p>
      <w:pPr>
        <w:spacing w:after="0" w:line="62"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These certifications are being furnished solely to accompany this quarterly report pursuant to 18 U.S.C. Section 1350, and shall not be deemed filed for purposes of Section 18 of the Securities Exchange Act of 1934 into any filing of MannKind Corporation, whether made before or after the date hereof, regardless of any general incorporation language in such filing.</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sectPr>
      <w:pgSz w:w="11900" w:h="16838" w:orient="portrait"/>
      <w:cols w:equalWidth="0" w:num="1">
        <w:col w:w="11340"/>
      </w:cols>
      <w:pgMar w:left="240" w:top="93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amp;"/>
      <w:numFmt w:val="bullet"/>
      <w:start w:val="1"/>
    </w:lvl>
  </w:abstractNum>
  <w:abstractNum w:abstractNumId="14">
    <w:nsid w:val="62BBD95A"/>
    <w:multiLevelType w:val="hybridMultilevel"/>
    <w:lvl w:ilvl="0">
      <w:lvlJc w:val="left"/>
      <w:lvlText w:val="%1"/>
      <w:numFmt w:val="decimal"/>
      <w:start w:val="32"/>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2019-12-11T23:21:32Z</dcterms:created>
  <dcterms:modified xsi:type="dcterms:W3CDTF">2019-12-11T23:21:32Z</dcterms:modified>
</cp:coreProperties>
</file>