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ind w:left="3780" w:right="1700" w:hanging="3772"/>
        <w:spacing w:after="0" w:line="328"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60"/>
        <w:spacing w:after="0"/>
        <w:tabs>
          <w:tab w:leader="none" w:pos="6680" w:val="left"/>
          <w:tab w:leader="none" w:pos="75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3763010</wp:posOffset>
            </wp:positionH>
            <wp:positionV relativeFrom="paragraph">
              <wp:posOffset>-5080</wp:posOffset>
            </wp:positionV>
            <wp:extent cx="1066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88"/>
        </w:trPr>
        <w:tc>
          <w:tcPr>
            <w:tcW w:w="4500" w:type="dxa"/>
            <w:vAlign w:val="bottom"/>
            <w:gridSpan w:val="2"/>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1 Casper Street</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Danbury, Connecticut</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Times New Roman" w:cs="Times New Roman" w:eastAsia="Times New Roman" w:hAnsi="Times New Roman"/>
                <w:sz w:val="18"/>
                <w:szCs w:val="18"/>
                <w:b w:val="1"/>
                <w:bCs w:val="1"/>
                <w:color w:val="auto"/>
              </w:rPr>
              <w:t>06810</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(818) 661-5000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600" w:type="dxa"/>
            <w:vAlign w:val="bottom"/>
            <w:gridSpan w:val="7"/>
          </w:tcPr>
          <w:p>
            <w:pPr>
              <w:jc w:val="center"/>
              <w:ind w:left="353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6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56"/>
        </w:trPr>
        <w:tc>
          <w:tcPr>
            <w:tcW w:w="7600" w:type="dxa"/>
            <w:vAlign w:val="bottom"/>
            <w:gridSpan w:val="7"/>
          </w:tcPr>
          <w:p>
            <w:pPr>
              <w:jc w:val="center"/>
              <w:ind w:left="357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40" w:type="dxa"/>
            <w:vAlign w:val="bottom"/>
            <w:vMerge w:val="restart"/>
          </w:tcPr>
          <w:p>
            <w:pPr>
              <w:jc w:val="center"/>
              <w:ind w:right="5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MNKD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6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25, 2025, there were 303,932,852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60" w:type="dxa"/>
            <w:vAlign w:val="bottom"/>
            <w:gridSpan w:val="19"/>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Three months ended March 31, 2025 and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Three months ended March 31, 2025 and 2024</w:t>
            </w:r>
          </w:p>
        </w:tc>
        <w:tc>
          <w:tcPr>
            <w:tcW w:w="270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March 31, 2025 and December 31,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Three months ended March 31, 2025 and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8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Three months ended March 31, 2025 and 2024</w:t>
            </w:r>
          </w:p>
        </w:tc>
        <w:tc>
          <w:tcPr>
            <w:tcW w:w="288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718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58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49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374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0" w:type="dxa"/>
            <w:vAlign w:val="bottom"/>
            <w:tcBorders>
              <w:bottom w:val="single" w:sz="8" w:color="0000EE"/>
            </w:tcBorders>
          </w:tcPr>
          <w:p>
            <w:pPr>
              <w:spacing w:after="0"/>
              <w:rPr>
                <w:sz w:val="17"/>
                <w:szCs w:val="17"/>
                <w:color w:val="auto"/>
              </w:rPr>
            </w:pPr>
          </w:p>
        </w:tc>
        <w:tc>
          <w:tcPr>
            <w:tcW w:w="8400" w:type="dxa"/>
            <w:vAlign w:val="bottom"/>
            <w:gridSpan w:val="1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18"/>
        </w:trPr>
        <w:tc>
          <w:tcPr>
            <w:tcW w:w="2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8120" w:type="dxa"/>
            <w:vAlign w:val="bottom"/>
            <w:gridSpan w:val="1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18"/>
        </w:trPr>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860" w:type="dxa"/>
            <w:vAlign w:val="bottom"/>
            <w:gridSpan w:val="1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9160" w:type="dxa"/>
            <w:vAlign w:val="bottom"/>
            <w:gridSpan w:val="1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860" w:type="dxa"/>
            <w:vAlign w:val="bottom"/>
            <w:gridSpan w:val="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600" w:type="dxa"/>
            <w:vAlign w:val="bottom"/>
            <w:tcBorders>
              <w:top w:val="single" w:sz="8" w:color="0000FF"/>
            </w:tcBorders>
            <w:gridSpan w:val="3"/>
          </w:tcPr>
          <w:p>
            <w:pPr>
              <w:spacing w:after="0"/>
              <w:rPr>
                <w:sz w:val="17"/>
                <w:szCs w:val="17"/>
                <w:color w:val="auto"/>
              </w:rPr>
            </w:pPr>
          </w:p>
        </w:tc>
        <w:tc>
          <w:tcPr>
            <w:tcW w:w="7820" w:type="dxa"/>
            <w:vAlign w:val="bottom"/>
            <w:gridSpan w:val="10"/>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8880" w:type="dxa"/>
            <w:vAlign w:val="bottom"/>
            <w:gridSpan w:val="1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07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18"/>
        </w:trPr>
        <w:tc>
          <w:tcPr>
            <w:tcW w:w="1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600" w:type="dxa"/>
            <w:vAlign w:val="bottom"/>
            <w:gridSpan w:val="1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5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520" w:type="dxa"/>
            <w:vAlign w:val="bottom"/>
            <w:gridSpan w:val="7"/>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7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w:t>
            </w:r>
          </w:p>
        </w:tc>
        <w:tc>
          <w:tcPr>
            <w:tcW w:w="18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8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1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1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09"/>
        </w:trPr>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184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1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10"/>
        </w:trPr>
        <w:tc>
          <w:tcPr>
            <w:tcW w:w="588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expense</w:t>
            </w:r>
          </w:p>
        </w:tc>
        <w:tc>
          <w:tcPr>
            <w:tcW w:w="184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 basic</w:t>
            </w:r>
          </w:p>
        </w:tc>
        <w:tc>
          <w:tcPr>
            <w:tcW w:w="2780" w:type="dxa"/>
            <w:vAlign w:val="bottom"/>
            <w:gridSpan w:val="2"/>
            <w:shd w:val="clear" w:color="auto" w:fill="CFF0FC"/>
          </w:tcPr>
          <w:p>
            <w:pPr>
              <w:jc w:val="right"/>
              <w:ind w:right="7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w:t>
            </w:r>
          </w:p>
        </w:tc>
        <w:tc>
          <w:tcPr>
            <w:tcW w:w="184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303,481</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270,356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8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 basic</w:t>
            </w:r>
          </w:p>
        </w:tc>
        <w:tc>
          <w:tcPr>
            <w:tcW w:w="1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2780" w:type="dxa"/>
            <w:vAlign w:val="bottom"/>
            <w:gridSpan w:val="2"/>
            <w:shd w:val="clear" w:color="auto" w:fill="CFF0FC"/>
          </w:tcPr>
          <w:p>
            <w:pPr>
              <w:jc w:val="right"/>
              <w:ind w:right="7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w:t>
            </w:r>
          </w:p>
        </w:tc>
        <w:tc>
          <w:tcPr>
            <w:tcW w:w="184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320,897</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324,733</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8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 diluted</w:t>
            </w:r>
          </w:p>
        </w:tc>
        <w:tc>
          <w:tcPr>
            <w:tcW w:w="1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-3291205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-2472055</wp:posOffset>
            </wp:positionV>
            <wp:extent cx="9398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-2472055</wp:posOffset>
            </wp:positionV>
            <wp:extent cx="9398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-2167890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-1045210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-736600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-719455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-282575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COMPREHENSIVE INCOME (Unaudited)</w:t>
      </w:r>
    </w:p>
    <w:p>
      <w:pPr>
        <w:spacing w:after="0" w:line="38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7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gridSpan w:val="2"/>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17"/>
        </w:trPr>
        <w:tc>
          <w:tcPr>
            <w:tcW w:w="7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160" w:type="dxa"/>
            <w:vAlign w:val="bottom"/>
            <w:gridSpan w:val="4"/>
          </w:tcPr>
          <w:p>
            <w:pPr>
              <w:jc w:val="right"/>
              <w:ind w:right="1151"/>
              <w:spacing w:after="0" w:line="118" w:lineRule="exact"/>
              <w:rPr>
                <w:sz w:val="20"/>
                <w:szCs w:val="20"/>
                <w:color w:val="auto"/>
              </w:rPr>
            </w:pPr>
            <w:r>
              <w:rPr>
                <w:rFonts w:ascii="Times New Roman" w:cs="Times New Roman" w:eastAsia="Times New Roman" w:hAnsi="Times New Roman"/>
                <w:sz w:val="13"/>
                <w:szCs w:val="13"/>
                <w:b w:val="1"/>
                <w:bCs w:val="1"/>
                <w:color w:val="auto"/>
              </w:rPr>
              <w:t>except share</w:t>
            </w:r>
          </w:p>
        </w:tc>
        <w:tc>
          <w:tcPr>
            <w:tcW w:w="100" w:type="dxa"/>
            <w:vAlign w:val="bottom"/>
          </w:tcPr>
          <w:p>
            <w:pPr>
              <w:spacing w:after="0"/>
              <w:rPr>
                <w:sz w:val="10"/>
                <w:szCs w:val="10"/>
                <w:color w:val="auto"/>
              </w:rPr>
            </w:pPr>
          </w:p>
        </w:tc>
      </w:tr>
      <w:tr>
        <w:trPr>
          <w:trHeight w:val="173"/>
        </w:trPr>
        <w:tc>
          <w:tcPr>
            <w:tcW w:w="7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00" w:type="dxa"/>
            <w:vAlign w:val="bottom"/>
            <w:gridSpan w:val="6"/>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and per share data)</w:t>
            </w:r>
          </w:p>
        </w:tc>
      </w:tr>
      <w:tr>
        <w:trPr>
          <w:trHeight w:val="216"/>
        </w:trPr>
        <w:tc>
          <w:tcPr>
            <w:tcW w:w="706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46,339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150,917</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268,306</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100" w:type="dxa"/>
            <w:vAlign w:val="bottom"/>
          </w:tcPr>
          <w:p>
            <w:pPr>
              <w:spacing w:after="0"/>
              <w:rPr>
                <w:sz w:val="18"/>
                <w:szCs w:val="18"/>
                <w:color w:val="auto"/>
              </w:rPr>
            </w:pPr>
          </w:p>
        </w:tc>
      </w:tr>
      <w:tr>
        <w:trPr>
          <w:trHeight w:val="24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410,141</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393,843</w:t>
            </w:r>
          </w:p>
        </w:tc>
        <w:tc>
          <w:tcPr>
            <w:tcW w:w="100" w:type="dxa"/>
            <w:vAlign w:val="bottom"/>
            <w:shd w:val="clear" w:color="auto" w:fill="CFF0FC"/>
          </w:tcPr>
          <w:p>
            <w:pPr>
              <w:spacing w:after="0"/>
              <w:rPr>
                <w:sz w:val="21"/>
                <w:szCs w:val="21"/>
                <w:color w:val="auto"/>
              </w:rPr>
            </w:pPr>
          </w:p>
        </w:tc>
      </w:tr>
      <w:tr>
        <w:trPr>
          <w:trHeight w:val="197"/>
        </w:trPr>
        <w:tc>
          <w:tcPr>
            <w:tcW w:w="70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06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convertible notes – current</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for sale of future royalties – current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liability – current</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tcBorders>
              <w:bottom w:val="single" w:sz="8" w:color="CFF0FC"/>
            </w:tcBorders>
          </w:tcPr>
          <w:p>
            <w:pPr>
              <w:spacing w:after="0"/>
              <w:rPr>
                <w:sz w:val="18"/>
                <w:szCs w:val="18"/>
                <w:color w:val="auto"/>
              </w:rPr>
            </w:pPr>
          </w:p>
        </w:tc>
      </w:tr>
      <w:tr>
        <w:trPr>
          <w:trHeight w:val="21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81,837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sale of future royalties – long term</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liability – long term</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58,204</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Milestone liabilities</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80" w:type="dxa"/>
            <w:vAlign w:val="bottom"/>
          </w:tcPr>
          <w:p>
            <w:pPr>
              <w:spacing w:after="0"/>
              <w:rPr>
                <w:sz w:val="18"/>
                <w:szCs w:val="18"/>
                <w:color w:val="auto"/>
              </w:rPr>
            </w:pPr>
          </w:p>
        </w:tc>
        <w:tc>
          <w:tcPr>
            <w:tcW w:w="18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100" w:type="dxa"/>
            <w:vAlign w:val="bottom"/>
          </w:tcPr>
          <w:p>
            <w:pPr>
              <w:spacing w:after="0"/>
              <w:rPr>
                <w:sz w:val="18"/>
                <w:szCs w:val="18"/>
                <w:color w:val="auto"/>
              </w:rPr>
            </w:pPr>
          </w:p>
        </w:tc>
      </w:tr>
      <w:tr>
        <w:trPr>
          <w:trHeight w:val="210"/>
        </w:trPr>
        <w:tc>
          <w:tcPr>
            <w:tcW w:w="7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468,759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472,659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shares issued or outstanding as of March 31, 2025 or December 31, 2024</w:t>
            </w:r>
          </w:p>
        </w:tc>
        <w:tc>
          <w:tcPr>
            <w:tcW w:w="280" w:type="dxa"/>
            <w:vAlign w:val="bottom"/>
          </w:tcPr>
          <w:p>
            <w:pPr>
              <w:spacing w:after="0"/>
              <w:rPr>
                <w:sz w:val="20"/>
                <w:szCs w:val="20"/>
                <w:color w:val="auto"/>
              </w:rPr>
            </w:pPr>
          </w:p>
        </w:tc>
        <w:tc>
          <w:tcPr>
            <w:tcW w:w="18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 800,000,000 shares authorized;</w:t>
            </w:r>
          </w:p>
        </w:tc>
        <w:tc>
          <w:tcPr>
            <w:tcW w:w="2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303,918,969 and 302,959,782 shares issued and outstanding as of</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28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shd w:val="clear" w:color="auto" w:fill="CFF0FC"/>
          </w:tcPr>
          <w:p>
            <w:pPr>
              <w:spacing w:after="0"/>
              <w:rPr>
                <w:sz w:val="20"/>
                <w:szCs w:val="20"/>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3,125,830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3,118,865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8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(3,188,661)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(3,201,819)</w:t>
            </w:r>
          </w:p>
        </w:tc>
      </w:tr>
      <w:tr>
        <w:trPr>
          <w:trHeight w:val="20"/>
        </w:trPr>
        <w:tc>
          <w:tcPr>
            <w:tcW w:w="7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(58,618)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(78,816)</w:t>
            </w:r>
          </w:p>
        </w:tc>
      </w:tr>
      <w:tr>
        <w:trPr>
          <w:trHeight w:val="20"/>
        </w:trPr>
        <w:tc>
          <w:tcPr>
            <w:tcW w:w="7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410,141</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393,843</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-5322570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-5322570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-4208145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-4191000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-2948305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-1855470</wp:posOffset>
            </wp:positionV>
            <wp:extent cx="939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-1855470</wp:posOffset>
            </wp:positionV>
            <wp:extent cx="9398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STOCKHOLDERS’ DEFICIT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210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3"/>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BALANCE, JANUARY 1, 2024</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270,034</w:t>
            </w:r>
          </w:p>
        </w:tc>
        <w:tc>
          <w:tcPr>
            <w:tcW w:w="400" w:type="dxa"/>
            <w:vAlign w:val="bottom"/>
            <w:gridSpan w:val="2"/>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w:t>
            </w:r>
          </w:p>
        </w:tc>
        <w:tc>
          <w:tcPr>
            <w:tcW w:w="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2,980,539</w:t>
            </w:r>
          </w:p>
        </w:tc>
        <w:tc>
          <w:tcPr>
            <w:tcW w:w="2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(3,229,407)</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(246,168)</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3,885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9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270,802</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2,703</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2,986,104</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(3,218,777)</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(229,970)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45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3"/>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BALANCE, JANUARY 1, 2025</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302,960</w:t>
            </w:r>
          </w:p>
        </w:tc>
        <w:tc>
          <w:tcPr>
            <w:tcW w:w="400" w:type="dxa"/>
            <w:vAlign w:val="bottom"/>
            <w:gridSpan w:val="2"/>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3,029</w:t>
            </w:r>
          </w:p>
        </w:tc>
        <w:tc>
          <w:tcPr>
            <w:tcW w:w="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3,118,865</w:t>
            </w:r>
          </w:p>
        </w:tc>
        <w:tc>
          <w:tcPr>
            <w:tcW w:w="2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(3,201,819)</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(78,816)</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Unrealized loss on available-for-sale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Borders>
              <w:bottom w:val="single" w:sz="8" w:color="CFF0FC"/>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13,158</w:t>
            </w: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9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303,919</w:t>
            </w:r>
          </w:p>
        </w:tc>
        <w:tc>
          <w:tcPr>
            <w:tcW w:w="26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3,039</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3,125,830</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1,174</w:t>
            </w:r>
          </w:p>
        </w:tc>
        <w:tc>
          <w:tcPr>
            <w:tcW w:w="2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(3,188,661)</w:t>
            </w:r>
          </w:p>
        </w:tc>
        <w:tc>
          <w:tcPr>
            <w:tcW w:w="220" w:type="dxa"/>
            <w:vAlign w:val="bottom"/>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(58,618)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-1422400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-1405255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-1422400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-1405255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-1422400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-1405255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-1422400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-1405255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-1422400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-1405255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-119380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-119380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-119380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-119380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-119380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MANNKIND CORPORATION AND SUBSIDIARIES</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tcBorders>
              <w:bottom w:val="single" w:sz="8" w:color="auto"/>
            </w:tcBorders>
            <w:gridSpan w:val="5"/>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6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Borders>
              <w:bottom w:val="single" w:sz="8" w:color="auto"/>
            </w:tcBorders>
          </w:tcPr>
          <w:p>
            <w:pPr>
              <w:jc w:val="right"/>
              <w:ind w:right="6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6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280" w:type="dxa"/>
            <w:vAlign w:val="bottom"/>
            <w:gridSpan w:val="3"/>
          </w:tcPr>
          <w:p>
            <w:pPr>
              <w:jc w:val="right"/>
              <w:ind w:right="717"/>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6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940" w:type="dxa"/>
            <w:vAlign w:val="bottom"/>
            <w:gridSpan w:val="2"/>
          </w:tcPr>
          <w:p>
            <w:pPr>
              <w:jc w:val="right"/>
              <w:ind w:right="921"/>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13,158</w:t>
            </w:r>
          </w:p>
        </w:tc>
        <w:tc>
          <w:tcPr>
            <w:tcW w:w="120" w:type="dxa"/>
            <w:vAlign w:val="bottom"/>
          </w:tcPr>
          <w:p>
            <w:pPr>
              <w:spacing w:after="0"/>
              <w:rPr>
                <w:sz w:val="12"/>
                <w:szCs w:val="12"/>
                <w:color w:val="auto"/>
              </w:rPr>
            </w:pPr>
          </w:p>
        </w:tc>
        <w:tc>
          <w:tcPr>
            <w:tcW w:w="1160" w:type="dxa"/>
            <w:vAlign w:val="bottom"/>
            <w:gridSpan w:val="2"/>
          </w:tcPr>
          <w:p>
            <w:pPr>
              <w:jc w:val="right"/>
              <w:ind w:right="89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10,630</w:t>
            </w:r>
          </w:p>
        </w:tc>
        <w:tc>
          <w:tcPr>
            <w:tcW w:w="100" w:type="dxa"/>
            <w:vAlign w:val="bottom"/>
          </w:tcPr>
          <w:p>
            <w:pPr>
              <w:spacing w:after="0"/>
              <w:rPr>
                <w:sz w:val="12"/>
                <w:szCs w:val="12"/>
                <w:color w:val="auto"/>
              </w:rPr>
            </w:pPr>
          </w:p>
        </w:tc>
      </w:tr>
      <w:tr>
        <w:trPr>
          <w:trHeight w:val="126"/>
        </w:trPr>
        <w:tc>
          <w:tcPr>
            <w:tcW w:w="684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to net cash (used in) provided by</w:t>
            </w:r>
          </w:p>
        </w:tc>
        <w:tc>
          <w:tcPr>
            <w:tcW w:w="9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operating activities:</w:t>
            </w: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9"/>
        </w:trPr>
        <w:tc>
          <w:tcPr>
            <w:tcW w:w="6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3,885</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on liability for sale of future royalties</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(gain) on foreign currency transaction</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(1,399)</w:t>
            </w:r>
          </w:p>
        </w:tc>
      </w:tr>
      <w:tr>
        <w:trPr>
          <w:trHeight w:val="148"/>
        </w:trPr>
        <w:tc>
          <w:tcPr>
            <w:tcW w:w="6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Write-off of inventory</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2"/>
                <w:szCs w:val="12"/>
                <w:color w:val="auto"/>
              </w:rPr>
            </w:pPr>
          </w:p>
        </w:tc>
      </w:tr>
      <w:tr>
        <w:trPr>
          <w:trHeight w:val="149"/>
        </w:trPr>
        <w:tc>
          <w:tcPr>
            <w:tcW w:w="68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Sold portion of royalty revenue</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(3,000)</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accretion of investments</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(919)</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(984)</w:t>
            </w:r>
          </w:p>
        </w:tc>
      </w:tr>
      <w:tr>
        <w:trPr>
          <w:trHeight w:val="148"/>
        </w:trPr>
        <w:tc>
          <w:tcPr>
            <w:tcW w:w="68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estimated returns of acquired product</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on Mann Group convertible note</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2"/>
                <w:szCs w:val="12"/>
                <w:color w:val="auto"/>
              </w:rPr>
            </w:pPr>
          </w:p>
        </w:tc>
      </w:tr>
      <w:tr>
        <w:trPr>
          <w:trHeight w:val="149"/>
        </w:trPr>
        <w:tc>
          <w:tcPr>
            <w:tcW w:w="68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(17,096)</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(5,456)</w:t>
            </w:r>
          </w:p>
        </w:tc>
      </w:tr>
      <w:tr>
        <w:trPr>
          <w:trHeight w:val="148"/>
        </w:trPr>
        <w:tc>
          <w:tcPr>
            <w:tcW w:w="68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(1,472)</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(3,044)</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(3,274)</w:t>
            </w:r>
          </w:p>
        </w:tc>
      </w:tr>
      <w:tr>
        <w:trPr>
          <w:trHeight w:val="149"/>
        </w:trPr>
        <w:tc>
          <w:tcPr>
            <w:tcW w:w="68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(1,661)</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(314)</w:t>
            </w:r>
          </w:p>
        </w:tc>
      </w:tr>
      <w:tr>
        <w:trPr>
          <w:trHeight w:val="148"/>
        </w:trPr>
        <w:tc>
          <w:tcPr>
            <w:tcW w:w="68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(1,751)</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(2,431)</w:t>
            </w:r>
          </w:p>
        </w:tc>
      </w:tr>
      <w:tr>
        <w:trPr>
          <w:trHeight w:val="148"/>
        </w:trPr>
        <w:tc>
          <w:tcPr>
            <w:tcW w:w="68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(4,450)</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(3,537)</w:t>
            </w:r>
          </w:p>
        </w:tc>
      </w:tr>
      <w:tr>
        <w:trPr>
          <w:trHeight w:val="148"/>
        </w:trPr>
        <w:tc>
          <w:tcPr>
            <w:tcW w:w="68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Recognized loss on purchase commitments</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(669)</w:t>
            </w:r>
          </w:p>
        </w:tc>
      </w:tr>
      <w:tr>
        <w:trPr>
          <w:trHeight w:val="149"/>
        </w:trPr>
        <w:tc>
          <w:tcPr>
            <w:tcW w:w="68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(972)</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(232)</w:t>
            </w:r>
          </w:p>
        </w:tc>
      </w:tr>
      <w:tr>
        <w:trPr>
          <w:trHeight w:val="128"/>
        </w:trPr>
        <w:tc>
          <w:tcPr>
            <w:tcW w:w="684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900" w:type="dxa"/>
            <w:vAlign w:val="bottom"/>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(6,377)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6,703</w:t>
            </w:r>
          </w:p>
        </w:tc>
        <w:tc>
          <w:tcPr>
            <w:tcW w:w="100" w:type="dxa"/>
            <w:vAlign w:val="bottom"/>
          </w:tcPr>
          <w:p>
            <w:pPr>
              <w:spacing w:after="0"/>
              <w:rPr>
                <w:sz w:val="11"/>
                <w:szCs w:val="11"/>
                <w:color w:val="auto"/>
              </w:rPr>
            </w:pPr>
          </w:p>
        </w:tc>
      </w:tr>
      <w:tr>
        <w:trPr>
          <w:trHeight w:val="142"/>
        </w:trPr>
        <w:tc>
          <w:tcPr>
            <w:tcW w:w="6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8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available-for-sale securities</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(44,104)</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(330)</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(2,408)</w:t>
            </w:r>
          </w:p>
        </w:tc>
      </w:tr>
      <w:tr>
        <w:trPr>
          <w:trHeight w:val="149"/>
        </w:trPr>
        <w:tc>
          <w:tcPr>
            <w:tcW w:w="68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held-to-maturity securities</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(68,399)</w:t>
            </w:r>
          </w:p>
        </w:tc>
      </w:tr>
      <w:tr>
        <w:trPr>
          <w:trHeight w:val="148"/>
        </w:trPr>
        <w:tc>
          <w:tcPr>
            <w:tcW w:w="6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held-to-maturity securities</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21,974</w:t>
            </w:r>
          </w:p>
        </w:tc>
        <w:tc>
          <w:tcPr>
            <w:tcW w:w="100" w:type="dxa"/>
            <w:vAlign w:val="bottom"/>
          </w:tcPr>
          <w:p>
            <w:pPr>
              <w:spacing w:after="0"/>
              <w:rPr>
                <w:sz w:val="12"/>
                <w:szCs w:val="12"/>
                <w:color w:val="auto"/>
              </w:rPr>
            </w:pPr>
          </w:p>
        </w:tc>
      </w:tr>
      <w:tr>
        <w:trPr>
          <w:trHeight w:val="135"/>
        </w:trPr>
        <w:tc>
          <w:tcPr>
            <w:tcW w:w="684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4"/>
                <w:szCs w:val="14"/>
                <w:color w:val="auto"/>
              </w:rPr>
              <w:t>Proceeds from insurance claim</w:t>
            </w:r>
          </w:p>
        </w:tc>
        <w:tc>
          <w:tcPr>
            <w:tcW w:w="9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684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5,962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(48,437)</w:t>
            </w:r>
          </w:p>
        </w:tc>
      </w:tr>
      <w:tr>
        <w:trPr>
          <w:trHeight w:val="142"/>
        </w:trPr>
        <w:tc>
          <w:tcPr>
            <w:tcW w:w="6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90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26"/>
        </w:trPr>
        <w:tc>
          <w:tcPr>
            <w:tcW w:w="684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Payments for taxes related to net issuance of common stock associated with</w:t>
            </w: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 units and stock options</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4"/>
                <w:szCs w:val="14"/>
                <w:color w:val="auto"/>
              </w:rPr>
            </w:pPr>
          </w:p>
        </w:tc>
      </w:tr>
      <w:tr>
        <w:trPr>
          <w:trHeight w:val="148"/>
        </w:trPr>
        <w:tc>
          <w:tcPr>
            <w:tcW w:w="68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on financing liability</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(200)</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(101)</w:t>
            </w:r>
          </w:p>
        </w:tc>
      </w:tr>
      <w:tr>
        <w:trPr>
          <w:trHeight w:val="149"/>
        </w:trPr>
        <w:tc>
          <w:tcPr>
            <w:tcW w:w="6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market price stock purchase plan and employee stock purchase plan</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MidCap credit facility</w:t>
            </w: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(5,000)</w:t>
            </w:r>
          </w:p>
        </w:tc>
      </w:tr>
      <w:tr>
        <w:trPr>
          <w:trHeight w:val="128"/>
        </w:trPr>
        <w:tc>
          <w:tcPr>
            <w:tcW w:w="684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00" w:type="dxa"/>
            <w:vAlign w:val="bottom"/>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1,390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(3,474)</w:t>
            </w:r>
          </w:p>
        </w:tc>
        <w:tc>
          <w:tcPr>
            <w:tcW w:w="100" w:type="dxa"/>
            <w:vAlign w:val="bottom"/>
          </w:tcPr>
          <w:p>
            <w:pPr>
              <w:spacing w:after="0"/>
              <w:rPr>
                <w:sz w:val="11"/>
                <w:szCs w:val="11"/>
                <w:color w:val="auto"/>
              </w:rPr>
            </w:pPr>
          </w:p>
        </w:tc>
      </w:tr>
      <w:tr>
        <w:trPr>
          <w:trHeight w:val="129"/>
        </w:trPr>
        <w:tc>
          <w:tcPr>
            <w:tcW w:w="68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975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(45,208)</w:t>
            </w:r>
          </w:p>
        </w:tc>
      </w:tr>
      <w:tr>
        <w:trPr>
          <w:trHeight w:val="128"/>
        </w:trPr>
        <w:tc>
          <w:tcPr>
            <w:tcW w:w="68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900" w:type="dxa"/>
            <w:vAlign w:val="bottom"/>
            <w:tcBorders>
              <w:top w:val="single" w:sz="8" w:color="CFF0FC"/>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47,076</w:t>
            </w: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238,480</w:t>
            </w:r>
          </w:p>
        </w:tc>
        <w:tc>
          <w:tcPr>
            <w:tcW w:w="100" w:type="dxa"/>
            <w:vAlign w:val="bottom"/>
            <w:tcBorders>
              <w:top w:val="single" w:sz="8" w:color="CFF0FC"/>
            </w:tcBorders>
          </w:tcPr>
          <w:p>
            <w:pPr>
              <w:spacing w:after="0"/>
              <w:rPr>
                <w:sz w:val="11"/>
                <w:szCs w:val="11"/>
                <w:color w:val="auto"/>
              </w:rPr>
            </w:pPr>
          </w:p>
        </w:tc>
      </w:tr>
      <w:tr>
        <w:trPr>
          <w:trHeight w:val="169"/>
        </w:trPr>
        <w:tc>
          <w:tcPr>
            <w:tcW w:w="68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9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48,051</w:t>
            </w:r>
          </w:p>
        </w:tc>
        <w:tc>
          <w:tcPr>
            <w:tcW w:w="1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gridSpan w:val="2"/>
            <w:shd w:val="clear" w:color="auto" w:fill="CFF0FC"/>
          </w:tcPr>
          <w:p>
            <w:pPr>
              <w:jc w:val="right"/>
              <w:ind w:right="8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193,272</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-1837690</wp:posOffset>
            </wp:positionV>
            <wp:extent cx="93980"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-1837690</wp:posOffset>
            </wp:positionV>
            <wp:extent cx="93980"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-1071245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-415290</wp:posOffset>
            </wp:positionV>
            <wp:extent cx="93980"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-415290</wp:posOffset>
            </wp:positionV>
            <wp:extent cx="93980"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-213995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92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57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5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1340" w:type="dxa"/>
            <w:vAlign w:val="bottom"/>
            <w:gridSpan w:val="2"/>
          </w:tcPr>
          <w:p>
            <w:pPr>
              <w:jc w:val="right"/>
              <w:ind w:right="777"/>
              <w:spacing w:after="0" w:line="142"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FLOWS DISCLOSURES:</w:t>
            </w:r>
          </w:p>
        </w:tc>
        <w:tc>
          <w:tcPr>
            <w:tcW w:w="19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 in cash</w:t>
            </w:r>
          </w:p>
        </w:tc>
        <w:tc>
          <w:tcPr>
            <w:tcW w:w="3080" w:type="dxa"/>
            <w:vAlign w:val="bottom"/>
            <w:gridSpan w:val="2"/>
          </w:tcPr>
          <w:p>
            <w:pPr>
              <w:jc w:val="right"/>
              <w:ind w:right="97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340" w:type="dxa"/>
            <w:vAlign w:val="bottom"/>
            <w:gridSpan w:val="2"/>
          </w:tcPr>
          <w:p>
            <w:pPr>
              <w:jc w:val="right"/>
              <w:ind w:right="9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5,931</w:t>
            </w:r>
          </w:p>
        </w:tc>
        <w:tc>
          <w:tcPr>
            <w:tcW w:w="100" w:type="dxa"/>
            <w:vAlign w:val="bottom"/>
          </w:tcPr>
          <w:p>
            <w:pPr>
              <w:spacing w:after="0"/>
              <w:rPr>
                <w:sz w:val="12"/>
                <w:szCs w:val="12"/>
                <w:color w:val="auto"/>
              </w:rPr>
            </w:pPr>
          </w:p>
        </w:tc>
      </w:tr>
      <w:tr>
        <w:trPr>
          <w:trHeight w:val="148"/>
        </w:trPr>
        <w:tc>
          <w:tcPr>
            <w:tcW w:w="57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paid in cash</w:t>
            </w:r>
          </w:p>
        </w:tc>
        <w:tc>
          <w:tcPr>
            <w:tcW w:w="19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7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construction-in-progress, property and equipment</w:t>
            </w:r>
          </w:p>
        </w:tc>
        <w:tc>
          <w:tcPr>
            <w:tcW w:w="19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100" w:type="dxa"/>
            <w:vAlign w:val="bottom"/>
            <w:shd w:val="clear" w:color="auto" w:fill="CFF0FC"/>
          </w:tcPr>
          <w:p>
            <w:pPr>
              <w:spacing w:after="0"/>
              <w:rPr>
                <w:sz w:val="12"/>
                <w:szCs w:val="12"/>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 w:name="page8"/>
    <w:bookmarkEnd w:id="7"/>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2024, filed with the SEC on February 26, 2025 (the “Annual Report”).</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2025 may not be indicative of the results that may be expected for the full year.</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stock-based compensation, the determination of the provision for income taxes and corresponding deferred tax assets and liabilities, the valuation allowance recorded against net deferred tax assets, and expected cash flows from royalties received in connection with United Therapeutics' ("UT's") net revenue for the sale of Tyvaso DPI.</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is a biopharmaceutical company focused on the development and commercialization of innovative therapeutic products and devices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address serious unmet medical needs for those living with endocrine and orphan lung diseases. The Company’s signature technologies—Technosphere dry-powder formulations and Dreamboat inhalation devices—offer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UT, began commercializing Tyvaso DPI in June 2022 and is obligated to pay a 10% royalty on net sales of the product, of which 9% is allocated to the Company and 1% to another party as detailed in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The Company also receives a margin on supplies of Tyvaso DPI that it manufactures for UT.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have been eliminated.</w:t>
      </w:r>
    </w:p>
    <w:p>
      <w:pPr>
        <w:spacing w:after="0" w:line="205"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amounts reported in prior years have been reclassified to conform with the current year presentation.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selling expenses with general and administrative expenses as selling, general and administrative expenses in the condensed consolidated statements of operations.</w:t>
      </w:r>
    </w:p>
    <w:p>
      <w:pPr>
        <w:spacing w:after="0" w:line="173"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evaluation by the chief operating decision-maker (the "CODM") in making decisions regarding resource allocation and assessing performance. To date, the Company has viewed its operations and manages its business as one segment operating in the United States of America ("U.S.").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manufactures products using the Technosphere technology for commercial distribution and continues to pursue other product candidates through collaboration and internal research and development of its pipeline. The business and accounting policies of the Company's single reportable segment are further explained below. The measure of segment assets is reported as total assets in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condensed consolidated balance sheets. No intra-entity sales or transfers are transacted within the Company.</w:t>
      </w:r>
    </w:p>
    <w:p>
      <w:pPr>
        <w:spacing w:after="0" w:line="225" w:lineRule="exact"/>
        <w:rPr>
          <w:sz w:val="20"/>
          <w:szCs w:val="20"/>
          <w:color w:val="auto"/>
        </w:rPr>
      </w:pPr>
    </w:p>
    <w:p>
      <w:pPr>
        <w:jc w:val="both"/>
        <w:ind w:right="520"/>
        <w:spacing w:after="0" w:line="258" w:lineRule="auto"/>
        <w:rPr>
          <w:sz w:val="20"/>
          <w:szCs w:val="20"/>
          <w:color w:val="auto"/>
        </w:rPr>
      </w:pPr>
      <w:r>
        <w:rPr>
          <w:rFonts w:ascii="Times New Roman" w:cs="Times New Roman" w:eastAsia="Times New Roman" w:hAnsi="Times New Roman"/>
          <w:sz w:val="18"/>
          <w:szCs w:val="18"/>
          <w:color w:val="auto"/>
        </w:rPr>
        <w:t>The key metric utilized by the CODM to assess resource allocation and performance is the Company’s segment net income, which is the same as the consolidated net income reported in the condensed consolidated statements of operations. The CODM also analyzes the Company's consolidated net income to evaluate its return on segment assets and to establish budgets and forecasts. The table below shows the details of the Company’s segment revenues and significant expense categories regularly provided to and reviewed by the CODM as well as other significant segment items included in consolidated net income in the condensed 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Afrezza</w:t>
            </w:r>
          </w:p>
        </w:tc>
        <w:tc>
          <w:tcPr>
            <w:tcW w:w="25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V-Go</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w:t>
            </w:r>
          </w:p>
        </w:tc>
        <w:tc>
          <w:tcPr>
            <w:tcW w:w="2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segment expenses (income):</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28"/>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160" w:type="dxa"/>
            <w:vAlign w:val="bottom"/>
          </w:tcPr>
          <w:p>
            <w:pPr>
              <w:spacing w:after="0"/>
              <w:rPr>
                <w:sz w:val="19"/>
                <w:szCs w:val="19"/>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Includes loss (gain) on foreign currency transaction and income tax expense.</w:t>
      </w:r>
    </w:p>
    <w:p>
      <w:pPr>
        <w:spacing w:after="0" w:line="21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 Net Revenue — Commercial Product Sales — </w:t>
      </w:r>
      <w:r>
        <w:rPr>
          <w:rFonts w:ascii="Times New Roman" w:cs="Times New Roman" w:eastAsia="Times New Roman" w:hAnsi="Times New Roman"/>
          <w:sz w:val="18"/>
          <w:szCs w:val="18"/>
          <w:color w:val="auto"/>
        </w:rPr>
        <w:t>The Company sells its products to a limited number of wholesale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and retail pharmacies, and DMEs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transfers control and recognizes revenue upon delivery of product to wholesale distributors and specialty pharmacies. The Company transfers control and recognizes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Reserves for Variable Consideration</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spacing w:after="0" w:line="1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Customers with discounts which include incentives, such as prompt pay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and historical return information, including its visibility into the inventory remaining in the distribution channel. Adjustments to the returns reserve are made when changes in the Company's assumptions result in revised estimates to the Company’s assumptions.</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8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manufacturers' discount program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 w:name="page11"/>
    <w:bookmarkEnd w:id="10"/>
    <w:p>
      <w:pPr>
        <w:ind w:right="240"/>
        <w:spacing w:after="0" w:line="282" w:lineRule="auto"/>
        <w:rPr>
          <w:sz w:val="20"/>
          <w:szCs w:val="20"/>
          <w:color w:val="auto"/>
        </w:rPr>
      </w:pPr>
      <w:r>
        <w:rPr>
          <w:rFonts w:ascii="Times New Roman" w:cs="Times New Roman" w:eastAsia="Times New Roman" w:hAnsi="Times New Roman"/>
          <w:sz w:val="18"/>
          <w:szCs w:val="18"/>
          <w:color w:val="auto"/>
        </w:rPr>
        <w:t>end of each reporting period. The Company’s estimates include consideration of historical claims experience, payer channel mix, current contract prices, unbilled claims, claim submission time lags and inventory in the distribution channel.</w:t>
      </w:r>
    </w:p>
    <w:p>
      <w:pPr>
        <w:spacing w:after="0" w:line="16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Collaborations and Services </w:t>
      </w:r>
      <w:r>
        <w:rPr>
          <w:rFonts w:ascii="Times New Roman" w:cs="Times New Roman" w:eastAsia="Times New Roman" w:hAnsi="Times New Roman"/>
          <w:sz w:val="18"/>
          <w:szCs w:val="18"/>
          <w:color w:val="auto"/>
        </w:rPr>
        <w:t>— The Company enters into licensing, research or other agreements under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9 – </w:t>
      </w:r>
      <w:r>
        <w:rPr>
          <w:rFonts w:ascii="Times New Roman" w:cs="Times New Roman" w:eastAsia="Times New Roman" w:hAnsi="Times New Roman"/>
          <w:sz w:val="18"/>
          <w:szCs w:val="18"/>
          <w:i w:val="1"/>
          <w:iCs w:val="1"/>
          <w:color w:val="auto"/>
        </w:rPr>
        <w:t>Collaborations,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Licensing and Other Arrangements.</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 For further information, see Note 9 – </w:t>
      </w:r>
      <w:r>
        <w:rPr>
          <w:rFonts w:ascii="Times New Roman" w:cs="Times New Roman" w:eastAsia="Times New Roman" w:hAnsi="Times New Roman"/>
          <w:sz w:val="18"/>
          <w:szCs w:val="18"/>
          <w:i w:val="1"/>
          <w:iCs w:val="1"/>
          <w:color w:val="auto"/>
        </w:rPr>
        <w:t>Collaborations, Licensing and Other Arrangements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220"/>
        <w:spacing w:after="0" w:line="282" w:lineRule="auto"/>
        <w:rPr>
          <w:sz w:val="20"/>
          <w:szCs w:val="20"/>
          <w:color w:val="auto"/>
        </w:rPr>
      </w:pPr>
      <w:r>
        <w:rPr>
          <w:rFonts w:ascii="Times New Roman" w:cs="Times New Roman" w:eastAsia="Times New Roman" w:hAnsi="Times New Roman"/>
          <w:sz w:val="18"/>
          <w:szCs w:val="18"/>
          <w:color w:val="auto"/>
        </w:rPr>
        <w:t>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6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long-term commercial supply agreement with UT (as amended, the "CSA")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Royalties — </w:t>
      </w:r>
      <w:r>
        <w:rPr>
          <w:rFonts w:ascii="Times New Roman" w:cs="Times New Roman" w:eastAsia="Times New Roman" w:hAnsi="Times New Roman"/>
          <w:sz w:val="18"/>
          <w:szCs w:val="18"/>
          <w:color w:val="auto"/>
        </w:rPr>
        <w:t>The Company recognizes royalty revenue for a sales-based or usage-based royalty if it is promised in exchange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intellectual property license. The royalty revenue is recognized as the latter of the subsequent sale of the product occurs or if the performance obligation to which the royalty has been allocated has been satisfied or partially satisfied. The Company’s UT License Agreement (as defined in Note 9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Collaborations, Licensing and Other Arrangements</w:t>
      </w:r>
      <w:r>
        <w:rPr>
          <w:rFonts w:ascii="Times New Roman" w:cs="Times New Roman" w:eastAsia="Times New Roman" w:hAnsi="Times New Roman"/>
          <w:sz w:val="18"/>
          <w:szCs w:val="18"/>
          <w:color w:val="auto"/>
        </w:rPr>
        <w:t>) entitles it to receive a 10% royalty on net sales of Tyvaso DPI for the license of the Company’s IP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considered to be interdependent with the development activities that supported the approval of Tyvaso DPI. Although the Company recognizes a 10% royalty on net revenue from the sale of Tyvaso DPI as revenue, it only collects 9% of future royalties due to its sale in December 2023 of 1% of future royalties as detailed in Note 14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net revenue and cost of revenue and goods sold as shown on the condensed consolidated statement of operations is comprised of revenue generated from product sales, services and royalties as shown below (in thousands):</w:t>
      </w:r>
    </w:p>
    <w:p>
      <w:pPr>
        <w:spacing w:after="0" w:line="4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46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Product revenue </w:t>
            </w:r>
            <w:r>
              <w:rPr>
                <w:rFonts w:ascii="Times New Roman" w:cs="Times New Roman" w:eastAsia="Times New Roman" w:hAnsi="Times New Roman"/>
                <w:sz w:val="24"/>
                <w:szCs w:val="24"/>
                <w:color w:val="auto"/>
                <w:vertAlign w:val="superscript"/>
              </w:rPr>
              <w:t>(1)</w:t>
            </w:r>
          </w:p>
        </w:tc>
        <w:tc>
          <w:tcPr>
            <w:tcW w:w="406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6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43,228</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4"/>
                <w:szCs w:val="24"/>
                <w:color w:val="auto"/>
                <w:vertAlign w:val="superscript"/>
              </w:rPr>
              <w:t>(2)</w:t>
            </w:r>
          </w:p>
        </w:tc>
        <w:tc>
          <w:tcPr>
            <w:tcW w:w="3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4"/>
                <w:szCs w:val="24"/>
                <w:color w:val="auto"/>
                <w:vertAlign w:val="superscript"/>
              </w:rPr>
              <w:t>(3)</w:t>
            </w:r>
          </w:p>
        </w:tc>
        <w:tc>
          <w:tcPr>
            <w:tcW w:w="30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Pr>
          <w:p>
            <w:pPr>
              <w:spacing w:after="0"/>
              <w:rPr>
                <w:sz w:val="18"/>
                <w:szCs w:val="18"/>
                <w:color w:val="auto"/>
              </w:rPr>
            </w:pPr>
          </w:p>
        </w:tc>
      </w:tr>
      <w:tr>
        <w:trPr>
          <w:trHeight w:val="228"/>
        </w:trPr>
        <w:tc>
          <w:tcPr>
            <w:tcW w:w="4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net revenue</w:t>
            </w:r>
          </w:p>
        </w:tc>
        <w:tc>
          <w:tcPr>
            <w:tcW w:w="3080" w:type="dxa"/>
            <w:vAlign w:val="bottom"/>
          </w:tcPr>
          <w:p>
            <w:pPr>
              <w:spacing w:after="0"/>
              <w:rPr>
                <w:sz w:val="19"/>
                <w:szCs w:val="19"/>
                <w:color w:val="auto"/>
              </w:rPr>
            </w:pP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78,354</w:t>
            </w:r>
          </w:p>
        </w:tc>
        <w:tc>
          <w:tcPr>
            <w:tcW w:w="30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revenue from Afrezza and V-Go sales to wholesalers and specialty pharmacies and Tyvaso DPI to UT.</w:t>
      </w:r>
    </w:p>
    <w:p>
      <w:pPr>
        <w:spacing w:after="0" w:line="8" w:lineRule="exact"/>
        <w:rPr>
          <w:rFonts w:ascii="Times New Roman" w:cs="Times New Roman" w:eastAsia="Times New Roman" w:hAnsi="Times New Roman"/>
          <w:sz w:val="13"/>
          <w:szCs w:val="13"/>
          <w:color w:val="auto"/>
        </w:rPr>
      </w:pPr>
    </w:p>
    <w:p>
      <w:pPr>
        <w:ind w:left="380" w:right="280" w:hanging="372"/>
        <w:spacing w:after="0" w:line="288" w:lineRule="auto"/>
        <w:tabs>
          <w:tab w:leader="none" w:pos="3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Amounts represent revenue generated from the Company's collaboration arrangements, including Next-Gen R&amp;D Services (as defined in Note 9) for UT as well as arrangements with other collaboration partners. See Note 9 – </w:t>
      </w:r>
      <w:r>
        <w:rPr>
          <w:rFonts w:ascii="Times New Roman" w:cs="Times New Roman" w:eastAsia="Times New Roman" w:hAnsi="Times New Roman"/>
          <w:sz w:val="16"/>
          <w:szCs w:val="16"/>
          <w:i w:val="1"/>
          <w:iCs w:val="1"/>
          <w:color w:val="auto"/>
        </w:rPr>
        <w:t>Collaborations, Licensing and Other Arrangements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380" w:hanging="372"/>
        <w:spacing w:after="0"/>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royalties on UT’s net revenue from Tyvaso DPI sales.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and cost of revenue:</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cost of goods sold – commercial of $3.8 million for each of the three months ended March 31, 2025 and 2024 is associated with product revenue for Afrezza and V-Go. The cost of revenue – collaborations and services of $13.7 million and $14.8 million for the three months ended March 31, 2025 and 2024, respectively, is associated with product revenue for Tyvaso DPI.</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material, labor costs and manufacturing overhead. Cost of goods sold also includes a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in prior years.</w:t>
      </w:r>
    </w:p>
    <w:p>
      <w:pPr>
        <w:spacing w:after="0" w:line="182" w:lineRule="exact"/>
        <w:rPr>
          <w:sz w:val="20"/>
          <w:szCs w:val="20"/>
          <w:color w:val="auto"/>
        </w:rPr>
      </w:pPr>
    </w:p>
    <w:p>
      <w:pPr>
        <w:jc w:val="both"/>
        <w:ind w:right="5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Cost of Revenues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Collaborations and Services </w:t>
      </w:r>
      <w:r>
        <w:rPr>
          <w:rFonts w:ascii="Times New Roman" w:cs="Times New Roman" w:eastAsia="Times New Roman" w:hAnsi="Times New Roman"/>
          <w:sz w:val="17"/>
          <w:szCs w:val="17"/>
          <w:color w:val="auto"/>
        </w:rPr>
        <w:t>— Cost of revenues for collaborations and services includes material, labor costs, manufacturing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overhead, and excess capacity costs. These costs, in addition to the write-offs of inventory are recorded as expenses in the period in which they are incurred, rather than as a portion of inventory costs. Cost of revenues for collaborations and services also includes the cost of product development.</w:t>
      </w:r>
    </w:p>
    <w:p>
      <w:pPr>
        <w:spacing w:after="0" w:line="15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 </w:t>
      </w:r>
      <w:r>
        <w:rPr>
          <w:rFonts w:ascii="Times New Roman" w:cs="Times New Roman" w:eastAsia="Times New Roman" w:hAnsi="Times New Roman"/>
          <w:sz w:val="18"/>
          <w:szCs w:val="18"/>
          <w:color w:val="auto"/>
        </w:rPr>
        <w:t>Clinical trial expenses result from obligations under contracts with vendors, consultants and clinical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 The Company considers all highly liquid investments with original maturities of 90 days or less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purchase, that are readily convertible into cash to be cash equivalents. As of March 31, 2025 and December 31, 2024, cash equivalents were comprised of interest-bearing money market funds, U.S. Treasury securities, corporate bonds and commercial paper with original maturities of 90 days or less from the date of purchase.</w:t>
      </w:r>
    </w:p>
    <w:p>
      <w:pPr>
        <w:spacing w:after="0" w:line="1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 The Company's available-for-sale investments consist primarily of highly liquid money market funds, commercial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paper, and U.S. Treasury securities that are intended to facilitate liquidity and capital preservation. Additionally, the Company has two convertible promissory notes issued by Thirona Bio, Inc. ("Thirona") which it classifies as an available-for-sale investment. Available-for-sale investments are measured at fair value with realized gains and losses and unrealized losses related to credit risk reported in other income (expense) in the condensed consolidated statements of operations. Unrealized holding gains and losses are excluded from earnings and reported in other comprehensive income until realized. These investments with maturities less than 12 months are included in short-term investments and investments with maturities in excess of 12 months are included in long-term investments in the condensed consolidated balance sheets. The accretion of these investments, net of amortization, is recognized as interest income in the condensed consolidated statements of operations. See Note 2 </w:t>
      </w:r>
      <w:r>
        <w:rPr>
          <w:rFonts w:ascii="Times New Roman" w:cs="Times New Roman" w:eastAsia="Times New Roman" w:hAnsi="Times New Roman"/>
          <w:sz w:val="18"/>
          <w:szCs w:val="18"/>
          <w:i w:val="1"/>
          <w:iCs w:val="1"/>
          <w:color w:val="auto"/>
        </w:rPr>
        <w:t>– Investments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0" w:right="379" w:bottom="1440" w:gutter="0" w:footer="0" w:header="0"/>
        </w:sectPr>
      </w:pPr>
    </w:p>
    <w:bookmarkStart w:id="13" w:name="page14"/>
    <w:bookmarkEnd w:id="13"/>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concentration of credit risk consisted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investments. Investments generally consisted of commercial paper, corporate notes or bonds and U.S. Treasury securities. Cash equivalents and investments are regularly monitored by management.</w:t>
      </w:r>
    </w:p>
    <w:p>
      <w:pPr>
        <w:spacing w:after="0" w:line="17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choosing instead to recognize such costs as R&amp;D expense in the period incurred. See Note 4 – </w:t>
      </w:r>
      <w:r>
        <w:rPr>
          <w:rFonts w:ascii="Times New Roman" w:cs="Times New Roman" w:eastAsia="Times New Roman" w:hAnsi="Times New Roman"/>
          <w:sz w:val="18"/>
          <w:szCs w:val="18"/>
          <w:i w:val="1"/>
          <w:iCs w:val="1"/>
          <w:color w:val="auto"/>
        </w:rPr>
        <w:t>Inventories.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spacing w:after="0" w:line="18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performs an assessment of projected sales and evaluates the lower of cost or net realizable value and the potential excess inventory on hand at the end of each reporting period.</w:t>
      </w:r>
    </w:p>
    <w:p>
      <w:pPr>
        <w:spacing w:after="0" w:line="18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recorded at historical cost, net of accumulated depreciation. Depreciation expense is recorded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assets’ useful lives on a straight-line basis and included in cost of goods sold, research and development, and selling, general and administrative expense in the condensed consolidated statements of operations. See Note 5 –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Long-lived assets include property and equipment, operating lease right-of-use assets and other intangible assets.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long-lived assets for impairment whenever events or changes in circumstances indicate that the carrying value of an asset may not be recoverable. Assets are considered to be impaired if the carrying value is considered to be unrecoverable.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market, income or cost approaches as appropriate for the asset. Any write-downs are treated as permanent reductions in the carrying amount of the asset and recognized as an operating loss.</w:t>
      </w:r>
    </w:p>
    <w:p>
      <w:pPr>
        <w:spacing w:after="0" w:line="1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and liabilities assumed are recorded at their respective fair values as of the acquisition date in the Company’s condensed consolidated financial statements. Leases are recorded at the net present value of the remaining lease payments. The excess of the fair value of consideration transferred over the fair value of the net assets acquired is recorded as goodwill. A gain on bargain purchase is recorded if the fair value of the net assets acquired exceeds the fair value of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4" w:name="page15"/>
    <w:bookmarkEnd w:id="14"/>
    <w:p>
      <w:pPr>
        <w:ind w:right="40"/>
        <w:spacing w:after="0" w:line="261" w:lineRule="auto"/>
        <w:rPr>
          <w:sz w:val="20"/>
          <w:szCs w:val="20"/>
          <w:color w:val="auto"/>
        </w:rPr>
      </w:pPr>
      <w:r>
        <w:rPr>
          <w:rFonts w:ascii="Times New Roman" w:cs="Times New Roman" w:eastAsia="Times New Roman" w:hAnsi="Times New Roman"/>
          <w:sz w:val="18"/>
          <w:szCs w:val="18"/>
          <w:color w:val="auto"/>
        </w:rPr>
        <w:t>consideration transferred.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either a cost approach or an income approach.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approach establishes fair value based on the cost of reproducing or replacing the asset, less depreciation for functional or economic obsolescence. The income approach, referred to as the excess earnings method, utilizes Level 3 fair value inputs to determine the present value of future economic benefits to be derived from ownership of the intangible asset. Market participant valuations assume a global view considering all potential jurisdictions and indications based on discounted after-tax cash flow projections, risk adjusted for estimated probability of technical and regulatory success.</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IPR&amp;D acquired in a business combination is considered an indefinite-lived intangible asset until the completion or abandonment of the associated R&amp;D efforts. During the R&amp;D period, the asset is not amortized but rather is tested for impairment when facts or circumstances suggest that the carrying value of the asset may not be recoverable. Once the R&amp;D efforts are completed, the Company accounts for the resulting asset as a finite-lived intangible asset. If the R&amp;D efforts are abandoned, the asset balance is written off to R&amp;D expense.</w:t>
      </w:r>
    </w:p>
    <w:p>
      <w:pPr>
        <w:spacing w:after="0" w:line="17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w:t>
      </w:r>
      <w:r>
        <w:rPr>
          <w:rFonts w:ascii="Times New Roman" w:cs="Times New Roman" w:eastAsia="Times New Roman" w:hAnsi="Times New Roman"/>
          <w:sz w:val="18"/>
          <w:szCs w:val="18"/>
          <w:color w:val="auto"/>
        </w:rPr>
        <w:t>— The Company reviews the terms of the long-term supply agreements and assesses the need for any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estimated losses, such as lower of cost or net realizable value, that will not be recovered by future product sales. The recognized loss on purchase commitments is reduced as inventory items are received or as the liability is extinguished.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$50.0 million of which remains payable as of March 31, 2025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10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is remeasured as the specified milestone events are achieved. Specifically, as each milestone event is achieved, the portion of the initially recorded Milestone Rights liability that pertains to the milestone event being achieved, is remeasured to the amount of the specified related milestone payment. The resulting change in the balance of the Milestone Rights liability due to remeasurement is recorded in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Company’s condensed consolidated statements of operations as interest expense. Furthermore, the Milestone Rights liability is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applies various valuation approaches in determining the fair value of its financial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(“RSUs”), performance-based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 See Note 13 – </w:t>
      </w:r>
      <w:r>
        <w:rPr>
          <w:rFonts w:ascii="Times New Roman" w:cs="Times New Roman" w:eastAsia="Times New Roman" w:hAnsi="Times New Roman"/>
          <w:sz w:val="18"/>
          <w:szCs w:val="18"/>
          <w:i w:val="1"/>
          <w:iCs w:val="1"/>
          <w:color w:val="auto"/>
        </w:rPr>
        <w:t>Stock Based Compensation Expense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Per Share of Common Stock </w:t>
      </w:r>
      <w:r>
        <w:rPr>
          <w:rFonts w:ascii="Times New Roman" w:cs="Times New Roman" w:eastAsia="Times New Roman" w:hAnsi="Times New Roman"/>
          <w:sz w:val="18"/>
          <w:szCs w:val="18"/>
          <w:color w:val="auto"/>
        </w:rPr>
        <w:t>— Basic net income or loss per share ("EPS") is computed by dividing net income or loss by the weighted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common shares outstanding for the period. Diluted EPS reflects the effect of potential common stock issuances resulting from assumed stock option exercises and vesting of restricted stock units,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December 2023, the FASB issued ASU No. 2023-09,</w:t>
      </w:r>
      <w:r>
        <w:rPr>
          <w:rFonts w:ascii="Times New Roman" w:cs="Times New Roman" w:eastAsia="Times New Roman" w:hAnsi="Times New Roman"/>
          <w:sz w:val="18"/>
          <w:szCs w:val="18"/>
          <w:i w:val="1"/>
          <w:iCs w:val="1"/>
          <w:color w:val="auto"/>
        </w:rPr>
        <w:t xml:space="preserve"> Improvements to Income Tax Disclosures (Topic 740)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requires disaggregated information about a public entity’s effective tax rate reconciliation as well as additional information on income taxes paid. This ASU is effective on a prospective basis for annual periods beginning after December 15, 2024. Early adoption is permitted for annual financial statements that have not yet been issued or made available for issuance. The Company does not anticipate that adoption of this ASU will have a material impact on the Company's financial position or results of operations.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which amends ASC 220-40,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w:t>
      </w:r>
      <w:r>
        <w:rPr>
          <w:rFonts w:ascii="Times New Roman" w:cs="Times New Roman" w:eastAsia="Times New Roman" w:hAnsi="Times New Roman"/>
          <w:sz w:val="18"/>
          <w:szCs w:val="18"/>
          <w:color w:val="auto"/>
        </w:rPr>
        <w:t>, to require disaggregated disclosure of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public entities. This ASU does not change the expense captions an entity presents on the face of the income statement; rather, it requires disaggregation of certain expense captions into specified categories in disclosures within the footnotes to the financial statements. The objective of this ASU is to address requests from investors for more detailed information about the types of expenses included in commonly presented expense captions. This ASU is effective for all public entities for fiscal years beginning after December 15, 2026, and interim periods within fiscal years beginning after December 15, 2027. Early adoption is permitted. The Company does not anticipate that adoption of this ASU will have a material impact on the Company's financial position or results of operations.</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maturities of 90 days or less at the time of purchase that are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cash.</w:t>
      </w:r>
    </w:p>
    <w:p>
      <w:pPr>
        <w:spacing w:after="0" w:line="158"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Portfolio </w:t>
      </w:r>
      <w:r>
        <w:rPr>
          <w:rFonts w:ascii="Times New Roman" w:cs="Times New Roman" w:eastAsia="Times New Roman" w:hAnsi="Times New Roman"/>
          <w:sz w:val="18"/>
          <w:szCs w:val="18"/>
          <w:color w:val="auto"/>
        </w:rPr>
        <w:t>—The Company's investments portfolio consists of highly liquid money market funds, commercial bonds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and U.S. Treasury securities (collectively, the "Investments") for which the Company has accounted for as available-for-sale effective October 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Investments are summarized below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96"/>
        </w:trPr>
        <w:tc>
          <w:tcPr>
            <w:tcW w:w="4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Held-to-Maturity Investments</w:t>
            </w:r>
          </w:p>
        </w:tc>
      </w:tr>
      <w:tr>
        <w:trPr>
          <w:trHeight w:val="117"/>
        </w:trPr>
        <w:tc>
          <w:tcPr>
            <w:tcW w:w="4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r>
      <w:tr>
        <w:trPr>
          <w:trHeight w:val="173"/>
        </w:trPr>
        <w:tc>
          <w:tcPr>
            <w:tcW w:w="4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10"/>
        </w:trPr>
        <w:tc>
          <w:tcPr>
            <w:tcW w:w="42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Due in one year or less</w:t>
            </w:r>
            <w:r>
              <w:rPr>
                <w:rFonts w:ascii="Times New Roman" w:cs="Times New Roman" w:eastAsia="Times New Roman" w:hAnsi="Times New Roman"/>
                <w:sz w:val="24"/>
                <w:szCs w:val="24"/>
                <w:color w:val="auto"/>
                <w:vertAlign w:val="superscript"/>
              </w:rPr>
              <w:t>(1)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156,097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165,662</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r>
      <w:tr>
        <w:trPr>
          <w:trHeight w:val="228"/>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172,831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investments due in one year or less include cash equivalents of $21.9 million as of March 31, 2025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$14.7 million as of December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Investments are disclosed below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8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4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other</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17,332</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17,332</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55,528</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55,544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99,908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99,955</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172,831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(21,921)</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(21,921)</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150,847</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150,910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vMerge w:val="restart"/>
          </w:tcPr>
          <w:p>
            <w:pPr>
              <w:jc w:val="right"/>
              <w:ind w:right="434"/>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-1499235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-1499235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-1499235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-1216660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-1216660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-1216660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98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4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44,170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112,074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112,229</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171,144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156,399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-453390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-453390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-453390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there was $1.1 million and $1.0 million, respectively, of accrued interest receivable on investments which is included in prepaid expense and other current assets in our condensed consolidated balance sheets.</w:t>
      </w:r>
    </w:p>
    <w:p>
      <w:pPr>
        <w:spacing w:after="0" w:line="16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 Thirona — </w:t>
      </w:r>
      <w:r>
        <w:rPr>
          <w:rFonts w:ascii="Times New Roman" w:cs="Times New Roman" w:eastAsia="Times New Roman" w:hAnsi="Times New Roman"/>
          <w:sz w:val="18"/>
          <w:szCs w:val="18"/>
          <w:color w:val="auto"/>
        </w:rPr>
        <w:t>In June 2021, the Company purchased a $3.0 million convertible promissory note issued by Thirona.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2022, the Company purchased an additional $5.0 million convertible promissory note issued by Thirona (the "Thirona convertible notes"). The Thirona convertible notes are general unsecured obligations of Thirona and initially accrued interest at a rate of 6% per annum. Unless earlier converted into conversion shares pursuant to the note purchase agreement, the aggregate principal of $8.0 million and accrued interest shall be due and payable by Thirona on demand by the Company at any time after the maturity date. The Thirona convertible notes were amended in February 2023 to extend the maturity date from December 31, 2022 to June 30, 2024, and again on June 27, 2024 to extend the maturity date to June 30, 2026 and increase the interest rate to 10% per annum. The Thirona convertible notes were included in other assets as of March 31, 2025 and December 31, 2024 in the condensed consolidated balance sheets.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evaluates the fair value of its investment in Thirona by applying a scenario based model with hypothetical yield of 35.0% and 28.0%, and volatility of 70.0% and 70.0% as of March 31, 2025 and December 31, 2024, respectively. As of March 31, 2025 and December 31, 2024, the fair value of the Company's investment in Thirona was $6.5 million and $6.3 million, respectively. For the three months ended March 31, 2025, the Company recorded an unrealized holding gain of $0.2 million. No interest income on the Company's investment in Thirona was recognized for the three months ended March 31, 2025 or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18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0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(4,186)</w:t>
            </w: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returns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(8,858)</w:t>
            </w:r>
          </w:p>
        </w:tc>
      </w:tr>
      <w:tr>
        <w:trPr>
          <w:trHeight w:val="210"/>
        </w:trPr>
        <w:tc>
          <w:tcPr>
            <w:tcW w:w="5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accounts receivable – commercial, net</w:t>
            </w:r>
          </w:p>
        </w:tc>
        <w:tc>
          <w:tcPr>
            <w:tcW w:w="18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 collaborations and services</w:t>
            </w:r>
            <w:r>
              <w:rPr>
                <w:rFonts w:ascii="Times New Roman" w:cs="Times New Roman" w:eastAsia="Times New Roman" w:hAnsi="Times New Roman"/>
                <w:sz w:val="24"/>
                <w:szCs w:val="24"/>
                <w:color w:val="auto"/>
                <w:vertAlign w:val="superscript"/>
              </w:rPr>
              <w:t>(1)</w:t>
            </w:r>
          </w:p>
        </w:tc>
        <w:tc>
          <w:tcPr>
            <w:tcW w:w="1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r>
      <w:tr>
        <w:trPr>
          <w:trHeight w:val="228"/>
        </w:trPr>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 w:lineRule="exact"/>
        <w:rPr>
          <w:sz w:val="20"/>
          <w:szCs w:val="20"/>
          <w:color w:val="auto"/>
        </w:rPr>
      </w:pPr>
    </w:p>
    <w:p>
      <w:pPr>
        <w:ind w:left="380" w:right="380" w:hanging="372"/>
        <w:spacing w:after="0" w:line="288" w:lineRule="auto"/>
        <w:tabs>
          <w:tab w:leader="none" w:pos="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balance as of December 31, 2024 includes the $1.1 million regulatory milestone payment receivable from Cipla. See Note 9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Collaborations, Licensing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Other Arrangements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 Cipla License and Distribution Agreement.</w:t>
      </w:r>
    </w:p>
    <w:p>
      <w:pPr>
        <w:spacing w:after="0" w:line="15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three wholesale distributors representing approximately 86% of commercial accounts receivable and approximately 75% of gross sales during the three months ended March 31, 2025.</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March 31, 2025, there was no allowance for credit losses for collaborations and services accounts receivable. The Company had one collaboration partner, UT, that comprised 98% of the collaboration and services net accounts receivable as of March 31, 2025 and approximately 98% of gross revenue from collaborations and services for the three months ended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6,184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10,661</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27,886</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Work-in-process and finished goods as of March 31, 2025 and December 31, 2024 include conversion costs and exclude the cost of insulin. All insulin inventory on hand was written off in prior years and the projected loss on the purchase commitment contract to purchase future insulin was accrued.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Contingencies — Commitments.</w:t>
      </w:r>
      <w:r>
        <w:rPr>
          <w:rFonts w:ascii="Times New Roman" w:cs="Times New Roman" w:eastAsia="Times New Roman" w:hAnsi="Times New Roman"/>
          <w:sz w:val="18"/>
          <w:szCs w:val="18"/>
          <w:color w:val="auto"/>
        </w:rPr>
        <w:t xml:space="preserve"> Raw materials inventory included $0.8 million of pre-launch inventory as of March 31, 2025 and December 31, 2024, which consisted of FDKP received in November 2019.</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March 31, 2025 and December 31, 2024. Inventory that did not meet acceptable standards or was forecasted to become obsolete due to expiration is reserved for inventory obsolescence in the condensed consolidated balance sheets and recognized as costs of goods sold in the condensed consolidated statements of operations. As a result of these assessments, there were inventory write-offs of $0.5 million and $1.0 million for the three months ended March 31, 2025 and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(dollars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90,813</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3,122</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6,378</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192,456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(108,675)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(106,676)</w:t>
            </w: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83,781</w:t>
            </w:r>
          </w:p>
        </w:tc>
        <w:tc>
          <w:tcPr>
            <w:tcW w:w="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as follows (in thousands):</w:t>
            </w: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8"/>
              </w:rPr>
              <w:t>2,058</w:t>
            </w:r>
          </w:p>
        </w:tc>
        <w:tc>
          <w:tcPr>
            <w:tcW w:w="2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-1276350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-993775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1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arising from business combinations. The balance of goodwill was $1.9 million as of March 31, 2025 and December 31, 2024 as a result of the Company's acquisition of V-Go in May 2022. Goodwill is tested at least annually for impairment by assessing qualitative factors in determining whether it is more likely than not that the fair value of net assets is below their carrying amounts. See Note 1 – </w:t>
      </w:r>
      <w:r>
        <w:rPr>
          <w:rFonts w:ascii="Times New Roman" w:cs="Times New Roman" w:eastAsia="Times New Roman" w:hAnsi="Times New Roman"/>
          <w:sz w:val="17"/>
          <w:szCs w:val="17"/>
          <w:i w:val="1"/>
          <w:iCs w:val="1"/>
          <w:color w:val="auto"/>
        </w:rPr>
        <w:t>Description of Business and Significant Accounting Policies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 Other intangible assets consisted of the following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11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Useful</w:t>
            </w:r>
          </w:p>
        </w:tc>
        <w:tc>
          <w:tcPr>
            <w:tcW w:w="260" w:type="dxa"/>
            <w:vAlign w:val="bottom"/>
          </w:tcPr>
          <w:p>
            <w:pPr>
              <w:spacing w:after="0"/>
              <w:rPr>
                <w:sz w:val="10"/>
                <w:szCs w:val="10"/>
                <w:color w:val="auto"/>
              </w:rPr>
            </w:pPr>
          </w:p>
        </w:tc>
        <w:tc>
          <w:tcPr>
            <w:tcW w:w="8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48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iSPERSE License – IPR&amp;D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48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5,217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-24765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right="380"/>
        <w:spacing w:after="0" w:line="284" w:lineRule="auto"/>
        <w:rPr>
          <w:sz w:val="20"/>
          <w:szCs w:val="20"/>
          <w:color w:val="auto"/>
        </w:rPr>
      </w:pPr>
      <w:r>
        <w:rPr>
          <w:rFonts w:ascii="Times New Roman" w:cs="Times New Roman" w:eastAsia="Times New Roman" w:hAnsi="Times New Roman"/>
          <w:sz w:val="18"/>
          <w:szCs w:val="18"/>
          <w:color w:val="auto"/>
        </w:rPr>
        <w:t xml:space="preserve">Amortization expense related to the developed technology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months ended March 31, 2025 and 2024. The estimated annual amortization expense for the developed technology will be approximately $0.2 million per year for the years ended December 31, 2025 through 2029.</w:t>
      </w:r>
    </w:p>
    <w:p>
      <w:pPr>
        <w:spacing w:after="0" w:line="16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iSPERSE License — IPR&amp;D is an indefinite-lived intangible asset which is tested for impairment when facts or circumstances indicate the carrying value of the asset may not be recoverable. Upon completion of the underlying R&amp;D efforts, the intangible asset will be accounted for as a finite-lived intangible asset. If the R&amp;D efforts are abandoned, the IPR&amp;D asset balance will be written off to R&amp;D expense. The iSPERSE License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IPR&amp;D was acquired from Pulmatrix, Inc. ("Pulmatrix") in July 2024.</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assets for potential impairment when events or changes in circumstances indicate that the carrying amount of an asset or asset group may not be recoverable.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20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00" w:type="dxa"/>
            <w:vAlign w:val="bottom"/>
            <w:shd w:val="clear" w:color="auto" w:fill="CFF0FC"/>
          </w:tcPr>
          <w:p>
            <w:pPr>
              <w:spacing w:after="0"/>
              <w:rPr>
                <w:sz w:val="18"/>
                <w:szCs w:val="18"/>
                <w:color w:val="auto"/>
              </w:rPr>
            </w:pPr>
          </w:p>
        </w:tc>
      </w:tr>
      <w:tr>
        <w:trPr>
          <w:trHeight w:val="16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7,541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9,393</w:t>
            </w:r>
          </w:p>
        </w:tc>
        <w:tc>
          <w:tcPr>
            <w:tcW w:w="100" w:type="dxa"/>
            <w:vAlign w:val="bottom"/>
          </w:tcPr>
          <w:p>
            <w:pPr>
              <w:spacing w:after="0"/>
              <w:rPr>
                <w:sz w:val="14"/>
                <w:szCs w:val="14"/>
                <w:color w:val="auto"/>
              </w:rPr>
            </w:pPr>
          </w:p>
        </w:tc>
      </w:tr>
      <w:tr>
        <w:trPr>
          <w:trHeight w:val="270"/>
        </w:trPr>
        <w:tc>
          <w:tcPr>
            <w:tcW w:w="5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Accrued interest</w:t>
            </w:r>
            <w:r>
              <w:rPr>
                <w:rFonts w:ascii="Times New Roman" w:cs="Times New Roman" w:eastAsia="Times New Roman" w:hAnsi="Times New Roman"/>
                <w:sz w:val="25"/>
                <w:szCs w:val="25"/>
                <w:color w:val="auto"/>
                <w:vertAlign w:val="superscript"/>
              </w:rPr>
              <w:t>(1)</w:t>
            </w:r>
          </w:p>
        </w:tc>
        <w:tc>
          <w:tcPr>
            <w:tcW w:w="1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3"/>
                <w:szCs w:val="23"/>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Current portion of milestone rights liability</w:t>
            </w:r>
            <w:r>
              <w:rPr>
                <w:rFonts w:ascii="Times New Roman" w:cs="Times New Roman" w:eastAsia="Times New Roman" w:hAnsi="Times New Roman"/>
                <w:sz w:val="24"/>
                <w:szCs w:val="24"/>
                <w:color w:val="auto"/>
                <w:vertAlign w:val="superscript"/>
              </w:rPr>
              <w:t>(2)</w:t>
            </w: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Returns reserve for acquired product</w:t>
            </w:r>
            <w:r>
              <w:rPr>
                <w:rFonts w:ascii="Times New Roman" w:cs="Times New Roman" w:eastAsia="Times New Roman" w:hAnsi="Times New Roman"/>
                <w:sz w:val="24"/>
                <w:szCs w:val="24"/>
                <w:color w:val="auto"/>
                <w:vertAlign w:val="superscript"/>
              </w:rPr>
              <w:t>(3)</w:t>
            </w: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6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-979805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 w:lineRule="exact"/>
        <w:rPr>
          <w:sz w:val="20"/>
          <w:szCs w:val="20"/>
          <w:color w:val="auto"/>
        </w:rPr>
      </w:pPr>
    </w:p>
    <w:p>
      <w:pPr>
        <w:ind w:left="380" w:right="260" w:hanging="372"/>
        <w:spacing w:after="0" w:line="259" w:lineRule="auto"/>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As of March 31, 2025, accrued interest includes $4.4 million related to a milestone payment of $5.0 million to be paid in the second quarter of 2025. See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Commitments and Contingencies </w:t>
      </w:r>
      <w:r>
        <w:rPr>
          <w:rFonts w:ascii="Times New Roman" w:cs="Times New Roman" w:eastAsia="Times New Roman" w:hAnsi="Times New Roman"/>
          <w:sz w:val="16"/>
          <w:szCs w:val="16"/>
          <w:color w:val="auto"/>
        </w:rPr>
        <w:t>under</w:t>
      </w:r>
      <w:r>
        <w:rPr>
          <w:rFonts w:ascii="Times New Roman" w:cs="Times New Roman" w:eastAsia="Times New Roman" w:hAnsi="Times New Roman"/>
          <w:sz w:val="16"/>
          <w:szCs w:val="16"/>
          <w:i w:val="1"/>
          <w:iCs w:val="1"/>
          <w:color w:val="auto"/>
        </w:rPr>
        <w:t xml:space="preserve"> Contingencies — Milestone Rights.</w:t>
      </w:r>
    </w:p>
    <w:p>
      <w:pPr>
        <w:spacing w:after="0" w:line="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Contingencies — Milestone Rights.</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Loss Contingencies — Returns Reserve for Acquired Product.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Borrowings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Senior convertible notes </w:t>
      </w:r>
      <w:r>
        <w:rPr>
          <w:rFonts w:ascii="Times New Roman" w:cs="Times New Roman" w:eastAsia="Times New Roman" w:hAnsi="Times New Roman"/>
          <w:sz w:val="18"/>
          <w:szCs w:val="18"/>
          <w:color w:val="auto"/>
        </w:rPr>
        <w:t>– In March 2021, the Company issued $230.0 million aggregate principal amount of senior convertible notes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notes”) in a private offering. The senior convertible notes were issued pursuant to an indenture, dated March 4, 2021 (the “Indenture”), between the Company and U.S. Bank National Association, as trustee. The senior convertible notes are general unsecured obligations of the Company and will mature on March 1, 2026, unless earlier converted, redeemed or repurchased by the Company. The senior convertible notes bear cash interest from March 4, 2021 at an annual rate of 2.50% payable semi-annually in arrears on March 1 and September 1 of each year, beginning on September 1, 2021.</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17, 2024, the Company entered into separate, privately negotiated exchange agreements (the "Exchange Agreements") with certain holders (the “Holders”) of the senior convertible notes. Under the terms of the Exchange Agreements, the Holders agreed to exchange an aggregate principal amount of approximately $193.7 million of the senior convertible notes in exchange for an aggregate of 26,749,559 shares of the Company’s common stock. In addition, pursuant to the exchange agreements, the Company made an aggregate cash payment of approximately $89.2 million to the Holders for additional exchange consideration. Immediately following the exchange, approximately $36.3 million in aggregate principal amount of the senior convertible notes remained outstanding.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18"/>
          <w:szCs w:val="18"/>
          <w:color w:val="auto"/>
        </w:rPr>
        <w:t>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senior convertible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senior convertible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senior convertible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senior convertible notes called for redemption during the related redemption period (as defined in the Indenture), as the case may be.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senior convertible notes at a fundamental change repurchase price equal to 100% of the principal amount of the senior convertible notes to be repurchased, plus accrued and unpaid interest to, but excluding, the fundamental change repurchase date.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ind w:right="6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net proceeds from the March 2021 offering were approximately $222.7 million, after deducting the initial purchasers’ discounts and commissions and the estimated offering expenses payable by the Company. As of March 31, 2025 and December 31, 2024, the unamortized debt issuance cost was $0.2 million and $0.3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borrowings as of March 31, 2025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26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48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principal payments</w:t>
            </w:r>
          </w:p>
        </w:tc>
        <w:tc>
          <w:tcPr>
            <w:tcW w:w="2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6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debt issuance costs and debt discounts related to borrowings were as follows (in thousands):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gridSpan w:val="5"/>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600" w:type="dxa"/>
            <w:vAlign w:val="bottom"/>
          </w:tcPr>
          <w:p>
            <w:pPr>
              <w:spacing w:after="0"/>
              <w:rPr>
                <w:sz w:val="12"/>
                <w:szCs w:val="12"/>
                <w:color w:val="auto"/>
              </w:rPr>
            </w:pPr>
          </w:p>
        </w:tc>
        <w:tc>
          <w:tcPr>
            <w:tcW w:w="10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20" w:type="dxa"/>
            <w:vAlign w:val="bottom"/>
            <w:vMerge w:val="continue"/>
          </w:tcPr>
          <w:p>
            <w:pPr>
              <w:spacing w:after="0"/>
              <w:rPr>
                <w:sz w:val="13"/>
                <w:szCs w:val="13"/>
                <w:color w:val="auto"/>
              </w:rPr>
            </w:pPr>
          </w:p>
        </w:tc>
        <w:tc>
          <w:tcPr>
            <w:tcW w:w="3640" w:type="dxa"/>
            <w:vAlign w:val="bottom"/>
            <w:gridSpan w:val="2"/>
          </w:tcPr>
          <w:p>
            <w:pPr>
              <w:jc w:val="right"/>
              <w:ind w:right="888"/>
              <w:spacing w:after="0" w:line="15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3"/>
                <w:szCs w:val="13"/>
                <w:color w:val="auto"/>
              </w:rPr>
            </w:pPr>
          </w:p>
        </w:tc>
        <w:tc>
          <w:tcPr>
            <w:tcW w:w="1100" w:type="dxa"/>
            <w:vAlign w:val="bottom"/>
            <w:gridSpan w:val="2"/>
          </w:tcPr>
          <w:p>
            <w:pPr>
              <w:jc w:val="right"/>
              <w:ind w:right="828"/>
              <w:spacing w:after="0" w:line="15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5120" w:type="dxa"/>
            <w:vAlign w:val="bottom"/>
          </w:tcPr>
          <w:p>
            <w:pPr>
              <w:spacing w:after="0" w:line="268" w:lineRule="exact"/>
              <w:rPr>
                <w:sz w:val="20"/>
                <w:szCs w:val="20"/>
                <w:color w:val="auto"/>
              </w:rPr>
            </w:pPr>
            <w:r>
              <w:rPr>
                <w:rFonts w:ascii="Times New Roman" w:cs="Times New Roman" w:eastAsia="Times New Roman" w:hAnsi="Times New Roman"/>
                <w:sz w:val="18"/>
                <w:szCs w:val="18"/>
                <w:color w:val="auto"/>
              </w:rPr>
              <w:t xml:space="preserve">Amortization of debt discount </w:t>
            </w:r>
            <w:r>
              <w:rPr>
                <w:rFonts w:ascii="Times New Roman" w:cs="Times New Roman" w:eastAsia="Times New Roman" w:hAnsi="Times New Roman"/>
                <w:sz w:val="25"/>
                <w:szCs w:val="25"/>
                <w:color w:val="auto"/>
                <w:vertAlign w:val="superscript"/>
              </w:rPr>
              <w:t>(1)</w:t>
            </w:r>
          </w:p>
        </w:tc>
        <w:tc>
          <w:tcPr>
            <w:tcW w:w="2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-1369695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amortization of a debt discount related to the MidCap credit facility as further explained below.</w:t>
      </w: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MidCap credit facility </w:t>
      </w:r>
      <w:r>
        <w:rPr>
          <w:rFonts w:ascii="Times New Roman" w:cs="Times New Roman" w:eastAsia="Times New Roman" w:hAnsi="Times New Roman"/>
          <w:sz w:val="18"/>
          <w:szCs w:val="18"/>
          <w:color w:val="auto"/>
        </w:rPr>
        <w:t>— In August 2019, the Company entered into the MidCap credit facility and borrowed the first advance of $40.0 million (“Tranche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in August 2019 and the second advance of $10.0 million (“Tranche 2”) in December 2020. In April 2021, $10.0 million was prepaid. During the three months ended March 31, 2024, the Company made $5.0 million in principal payments on the MidCap credit facility. On April 1, 2024, the Company exercised its option to prepay in full all outstanding indebtedness.</w:t>
      </w:r>
    </w:p>
    <w:p>
      <w:pPr>
        <w:spacing w:after="0" w:line="18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Tranche 1 and Tranche 2 accrued interest at an annual rate equal to the lesser of (i) 8.25% and (ii) the one-month Secured Overnight Financing Rate ("SOFR") (subject to a one-month floor of 1.00%) plus 6.25%. Interest on each term loan advance was due and payable monthly in arrears. Principal on each term loan advance under Tranche 1 and Tranche 2 was payable in 24 equal monthly installments that began September 1, 2023.</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April 2024, the Company prepaid in full the remaining $28.3 million in principal and $0.2 million in accrued interest, and terminated all commitments and obligations under the MidCap credit facility that would have matured on August 1, 2025 in exchange for a payment of $31.6 million, including an exit fee of $2.8 million which is 7.00% of the initial Tranche 1 balance of $40.0 million, and a prepayment fee of $0.3 million which is 1.00% of principal prepaid. Additionally, unamortized debt discount and capitalized prepayment fees totaling $0.2 million were written off, resulting in a loss on early extinguishment of debt of $3.3 million included in loss on settlement of debt in the condensed consolidated statements of operations. In connection with the repayment of outstanding indebtedness by the Company, all liens, mortgages and security interests in any assets or property securing the obligations under the MidCap credit facility were automatically terminated and released and the Company was automatically released from all guarantees.</w:t>
      </w:r>
    </w:p>
    <w:p>
      <w:pPr>
        <w:spacing w:after="0" w:line="18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Mann Group convertible note </w:t>
      </w:r>
      <w:r>
        <w:rPr>
          <w:rFonts w:ascii="Times New Roman" w:cs="Times New Roman" w:eastAsia="Times New Roman" w:hAnsi="Times New Roman"/>
          <w:sz w:val="18"/>
          <w:szCs w:val="18"/>
          <w:color w:val="auto"/>
        </w:rPr>
        <w:t>— In August 2019, the Company issued a $35.0 million note that was convertible into shares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$2.50 per share (the “Mann Group convertible note”) as part of a restructuring of its then existing indebtedness to Mann Group. On April 2, 2024, the Company and Mann Group agreed to discharge and terminate the Mann Group convertible note.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Mann Group convertible note accrued interest at the rate of 2.5% per year on the principal amount, payable quarterly in arrears on the first day of each calendar quarter, with a maturity date of December 31, 2025.</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April 2, 2024, the outstanding principal balance of the Mann Group convertible note plus accrued interest was $8.9 million and was convertible at Mann Group’s option into 3,554,198 shares of common stock of the Company. The Company and Mann Group agreed to terminate all outstanding indebtedness, rights and obligations under the Mann Group convertible note in exchange for (i)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40"/>
        <w:spacing w:after="0" w:line="258" w:lineRule="auto"/>
        <w:rPr>
          <w:sz w:val="20"/>
          <w:szCs w:val="20"/>
          <w:color w:val="auto"/>
        </w:rPr>
      </w:pPr>
      <w:r>
        <w:rPr>
          <w:rFonts w:ascii="Times New Roman" w:cs="Times New Roman" w:eastAsia="Times New Roman" w:hAnsi="Times New Roman"/>
          <w:sz w:val="18"/>
          <w:szCs w:val="18"/>
          <w:color w:val="auto"/>
        </w:rPr>
        <w:t>Company’s issuance to Mann Group of 1,500,000 shares of the Company’s common stock converted at the contractual rate of $2.50 per share and (ii) the Company’s payment to Mann Group of $8.9 million, which represented the market value of 2,054,198 shares of common stock of the Company on April 2, 2024 to settle the remaining principal and interest of $5.1 million, after the conversion noted in (i) above. Termination of the Mann Group convertible note resulted in a loss on early extinguishment of debt of $3.7 million included in loss on settlement of debt in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Collaborations, Licensing and Other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were as follows (in thousands):</w:t>
      </w:r>
    </w:p>
    <w:p>
      <w:pPr>
        <w:spacing w:after="0" w:line="11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6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UT CSA</w:t>
            </w:r>
            <w:r>
              <w:rPr>
                <w:rFonts w:ascii="Times New Roman" w:cs="Times New Roman" w:eastAsia="Times New Roman" w:hAnsi="Times New Roman"/>
                <w:sz w:val="24"/>
                <w:szCs w:val="24"/>
                <w:color w:val="auto"/>
                <w:vertAlign w:val="superscript"/>
              </w:rPr>
              <w:t>(1)</w:t>
            </w:r>
          </w:p>
        </w:tc>
        <w:tc>
          <w:tcPr>
            <w:tcW w:w="30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28,818</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24,464</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Amphastar co-promotion agreement</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2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2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30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29,376</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-156845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-10795</wp:posOffset>
            </wp:positionV>
            <wp:extent cx="2168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-79375</wp:posOffset>
            </wp:positionV>
            <wp:extent cx="2168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Manufacturing Services to UT for the periods presented.</w:t>
      </w:r>
    </w:p>
    <w:p>
      <w:pPr>
        <w:spacing w:after="0" w:line="21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from UT was as follows (in thousands):</w:t>
      </w:r>
    </w:p>
    <w:p>
      <w:pPr>
        <w:spacing w:after="0" w:line="11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47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UT</w:t>
            </w:r>
          </w:p>
        </w:tc>
        <w:tc>
          <w:tcPr>
            <w:tcW w:w="2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Royalties</w:t>
            </w:r>
            <w:r>
              <w:rPr>
                <w:rFonts w:ascii="Times New Roman" w:cs="Times New Roman" w:eastAsia="Times New Roman" w:hAnsi="Times New Roman"/>
                <w:sz w:val="24"/>
                <w:szCs w:val="24"/>
                <w:color w:val="auto"/>
                <w:vertAlign w:val="superscript"/>
              </w:rPr>
              <w:t>(1)</w:t>
            </w:r>
          </w:p>
        </w:tc>
        <w:tc>
          <w:tcPr>
            <w:tcW w:w="394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6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 CSA</w:t>
            </w:r>
          </w:p>
        </w:tc>
        <w:tc>
          <w:tcPr>
            <w:tcW w:w="2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24,464</w:t>
            </w:r>
          </w:p>
        </w:tc>
        <w:tc>
          <w:tcPr>
            <w:tcW w:w="10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2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r>
      <w:tr>
        <w:trPr>
          <w:trHeight w:val="228"/>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 from UT</w:t>
            </w:r>
          </w:p>
        </w:tc>
        <w:tc>
          <w:tcPr>
            <w:tcW w:w="2960" w:type="dxa"/>
            <w:vAlign w:val="bottom"/>
          </w:tcPr>
          <w:p>
            <w:pPr>
              <w:spacing w:after="0"/>
              <w:rPr>
                <w:sz w:val="19"/>
                <w:szCs w:val="19"/>
                <w:color w:val="auto"/>
              </w:rPr>
            </w:pP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58,823</w:t>
            </w:r>
          </w:p>
        </w:tc>
        <w:tc>
          <w:tcPr>
            <w:tcW w:w="30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220" w:hanging="372"/>
        <w:spacing w:after="0" w:line="275"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royalties associated with the UT License Agreement. The contract assets related to the royalties is included in prepaid expense and other current assets in the condensed consolidated balance sheets.</w:t>
      </w:r>
    </w:p>
    <w:p>
      <w:pPr>
        <w:spacing w:after="0" w:line="1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Pursuant to the UT License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spacing w:after="0" w:line="183"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The activities and deliverables under the CSA and UT License Agreement resulted in distinct performance obligations which include the: (1) R&amp;D Services and License, (2) Next-Gen R&amp;D Services, and (3) Manufacturing Services. The Manufacturing Services performance obligation will be recognized as control of manufactured products is transferred to UT. The Company will sell product to UT under individual purchase orders which represent distinct performance obligations and is recognized upon transfer of control.</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have been various amendments to the UT License Agreement and the CSA since inception. As amended,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2024, the Company also entered into additional agreements for individual performance obligations which are accounted for separately as they are distinct from Manufacturing Services and offered at a standalone selling price. Revenue is recognized at a point in time as services are rendered.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320"/>
        <w:spacing w:after="0" w:line="282" w:lineRule="auto"/>
        <w:rPr>
          <w:sz w:val="20"/>
          <w:szCs w:val="20"/>
          <w:color w:val="auto"/>
        </w:rPr>
      </w:pPr>
      <w:r>
        <w:rPr>
          <w:rFonts w:ascii="Times New Roman" w:cs="Times New Roman" w:eastAsia="Times New Roman" w:hAnsi="Times New Roman"/>
          <w:sz w:val="18"/>
          <w:szCs w:val="18"/>
          <w:color w:val="auto"/>
        </w:rPr>
        <w:t>Also during 2024, the Company fully recognized the Next-Gen R&amp;D Services performance obligation and the pre-production activities under the CSA, such as facility expansion services that were bundled services under the Manufacturing Services performance obligation.</w:t>
      </w:r>
    </w:p>
    <w:p>
      <w:pPr>
        <w:spacing w:after="0" w:line="16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As of March 31, 2025, deferred revenue from UT consisted of $58.0 million, of which $11.7 million was classified as current and $46.3 million was classified as long-term on the condensed consolidated balance sheet. As of December 31, 2024, deferred revenue consisted of $62.4 million, of which $12.3 million was classified as current and $50.1 million was classified as long-term on the condensed consolidated balance sheet. The Company determined that the revenue recognition associated with the capital improvements should be combined with the Manufacturing Services performance obligation.</w:t>
      </w:r>
    </w:p>
    <w:p>
      <w:pPr>
        <w:spacing w:after="0" w:line="18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Thirona’s compound for the treatment of fibrotic pulmonary diseases.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however, no consideration was exchanged between the parties. The costs incurred by the Company were expensed as R&amp;D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S.A. ("Biomm") entered into a supply and distribution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No additional shipments of product were made to Biomm since 2020.</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is entitled to an additional regulatory milestone payment, minimum purchase commitment revenue and royalties on Afrezza sales in India once cumulative gross sales have reached a specified threshold. In December 2024, the Central Drugs Standard Control Organisation ("CDSCO") in India approved Afrezza for adults and, accordingly, the Company was entitled to the regulatory milestone payment from Cipla totaling $1.1 million, which was included in accounts receivable, net, in the condensed consolidated balance sheet as of December 31, 2024 and was received during the three months ended March 31, 2025. The Company expects to ship product once Cipla obtains the registration certificate and import license.</w:t>
      </w:r>
    </w:p>
    <w:p>
      <w:pPr>
        <w:spacing w:after="0" w:line="1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initial $2.2 million nonrefundable licensing fee was recorded in deferred revenue and is being recognized in net revenue – collaborations over 15 years, representing the estimated period to satisfy the performance obligation.</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March 31, 2025, the deferred revenue balance for Cipla was $1.2 million, of which $0.1 million was classified as current and $1.1 million was classified as long term in the condensed consolidated balance sheets. As of December 31, 2024, the deferred revenue balance was $1.2 million, of which $0.1 million was classified as current and $1.1 million was classified as long term in the condensed consolidated balance sheets.</w:t>
      </w:r>
    </w:p>
    <w:p>
      <w:pPr>
        <w:spacing w:after="0" w:line="1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Amphastar </w:t>
      </w:r>
      <w:r>
        <w:rPr>
          <w:rFonts w:ascii="Times New Roman" w:cs="Times New Roman" w:eastAsia="Times New Roman" w:hAnsi="Times New Roman"/>
          <w:sz w:val="18"/>
          <w:szCs w:val="18"/>
          <w:color w:val="auto"/>
        </w:rPr>
        <w:t>— During the quarter ended December 31, 2024, the Company entered into a co-promotion agreement which provides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which the Company's sales force shall promote Baqsimi (glucagon) nasal powder to designated health care professionals where the Company currently promotes Afrezza. Amphastar is obligated to pay fixed quarterly payments to the Company through December 2025. Either party may terminate the agreement or suspend performance upon written notice to the other party at any time during the contract term. The co-promotion agreement may be renewed or extended only upon the mutual written agreement of both parties.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identified a single performance obligation that the Company will satisfy over time. The total transaction price of $2.5 million is considered fixed consideration of which $0.5 million was recognized as revenue from collaborations and services in our condensed consolidated statement of operations in the three months ended March 31, 2025. The remaining $1.5 million will be recognized based on the measurement of progress as the performance obligation is satisfied through December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200"/>
        <w:spacing w:after="0" w:line="266" w:lineRule="auto"/>
        <w:rPr>
          <w:sz w:val="20"/>
          <w:szCs w:val="20"/>
          <w:color w:val="auto"/>
        </w:rPr>
      </w:pPr>
      <w:r>
        <w:rPr>
          <w:rFonts w:ascii="Times New Roman" w:cs="Times New Roman" w:eastAsia="Times New Roman" w:hAnsi="Times New Roman"/>
          <w:sz w:val="18"/>
          <w:szCs w:val="18"/>
          <w:color w:val="auto"/>
        </w:rPr>
        <w:t>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Milestone Rights liability, Financing liability and Liability for sale of future royalties are disclosed below.</w:t>
      </w:r>
    </w:p>
    <w:p>
      <w:pPr>
        <w:spacing w:after="0" w:line="174"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(Level 3 in the fair value hierarchy)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140"/>
              <w:spacing w:after="0" w:line="178" w:lineRule="exact"/>
              <w:rPr>
                <w:sz w:val="20"/>
                <w:szCs w:val="20"/>
                <w:color w:val="auto"/>
              </w:rPr>
            </w:pPr>
            <w:r>
              <w:rPr>
                <w:rFonts w:ascii="Times New Roman" w:cs="Times New Roman" w:eastAsia="Times New Roman" w:hAnsi="Times New Roman"/>
                <w:sz w:val="15"/>
                <w:szCs w:val="15"/>
                <w:color w:val="auto"/>
              </w:rPr>
              <w:t>Financing liability</w:t>
            </w:r>
            <w:r>
              <w:rPr>
                <w:rFonts w:ascii="Times New Roman" w:cs="Times New Roman" w:eastAsia="Times New Roman" w:hAnsi="Times New Roman"/>
                <w:sz w:val="20"/>
                <w:szCs w:val="20"/>
                <w:color w:val="auto"/>
                <w:vertAlign w:val="superscript"/>
              </w:rPr>
              <w:t>(3)</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6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240" w:hanging="372"/>
        <w:spacing w:after="0" w:line="257"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7.5%, volatility of 37.6% and a Monte Carlo simulation for the value of the conversion feature. A change in yield of + or – 2% would result in a fair value of $38.8 million and $40.0 million, respectively.</w:t>
      </w:r>
    </w:p>
    <w:p>
      <w:pPr>
        <w:jc w:val="both"/>
        <w:ind w:left="380" w:right="80" w:hanging="372"/>
        <w:spacing w:after="0" w:line="264"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4.1%, dividend yield of 0%, volatility of 45.0%, period of 6.75 years and credit risk of 11.0%.</w:t>
      </w:r>
    </w:p>
    <w:p>
      <w:pPr>
        <w:ind w:left="380" w:hanging="372"/>
        <w:spacing w:after="0" w:line="264"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8.0%. A change in yield of + or – 2% would result in a fair value of $103.0 million and $134.5 million, respectively.</w:t>
      </w:r>
    </w:p>
    <w:p>
      <w:pPr>
        <w:ind w:left="380" w:hanging="372"/>
        <w:spacing w:after="0" w:line="288"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9.0%. A change in yield of + or – 2% would result in a fair value of $138.9 million and $180.4 million,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140"/>
              <w:spacing w:after="0" w:line="178" w:lineRule="exact"/>
              <w:rPr>
                <w:sz w:val="20"/>
                <w:szCs w:val="20"/>
                <w:color w:val="auto"/>
              </w:rPr>
            </w:pPr>
            <w:r>
              <w:rPr>
                <w:rFonts w:ascii="Times New Roman" w:cs="Times New Roman" w:eastAsia="Times New Roman" w:hAnsi="Times New Roman"/>
                <w:sz w:val="15"/>
                <w:szCs w:val="15"/>
                <w:color w:val="auto"/>
              </w:rPr>
              <w:t>Financing liability</w:t>
            </w:r>
            <w:r>
              <w:rPr>
                <w:rFonts w:ascii="Times New Roman" w:cs="Times New Roman" w:eastAsia="Times New Roman" w:hAnsi="Times New Roman"/>
                <w:sz w:val="20"/>
                <w:szCs w:val="20"/>
                <w:color w:val="auto"/>
                <w:vertAlign w:val="superscript"/>
              </w:rPr>
              <w:t>(3)</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6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240" w:hanging="372"/>
        <w:spacing w:after="0" w:line="257"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7.5%, volatility of 49.5% and a Monte Carlo simulation for the value of the conversion feature. A change in yield of + or – 2% would result in a fair value of $46.2 million and $47.6 million, respectively.</w:t>
      </w:r>
    </w:p>
    <w:p>
      <w:pPr>
        <w:jc w:val="both"/>
        <w:ind w:left="380" w:right="80" w:hanging="372"/>
        <w:spacing w:after="0" w:line="264"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4.5%, dividend yield of 0%, volatility of 45.0%, period of 7 years and credit risk of 11.0%.</w:t>
      </w:r>
    </w:p>
    <w:p>
      <w:pPr>
        <w:ind w:left="380" w:hanging="372"/>
        <w:spacing w:after="0" w:line="288"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8.0%. A change in yield of + or – 2% would result in a fair value of $103.1 million and $135.2 million,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380" w:hanging="372"/>
        <w:spacing w:after="0" w:line="298"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9.0%. A change in yield of + or – 2% would result in a fair value of $137.9 million and $180.0 million, respectively.</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Milestone Rights liability is sensitive to the discount rate and the timing of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See Note 14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The sale of a portion of our royalty rights in December 2023 resulted in a liability for sale of future royalties.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and Preferred Stock</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March 31, 2025 and December 31, 2024, 303,918,969 and 302,959,782 shares of common stock, respectively, were issued and outstanding and no shares of preferred stock were outstanding.</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(as amended and restated in February 2025,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In February 2025, the Company filed a sales agreement prospectus under a registration statement on Form S-3 (File No. 333-285286) covering the sale of up to $200.0 million of common stock through Cantor Fitzgerald under the CF Sales Agreement. Under the CF Sales Agreement, Cantor Fitzgerald may sell shares by any method deemed to be an “at-the-market offering” as defined in Rule 415 under the Securities Act of 1933, as amended. There have been no sales under the CF Sales Agreement since 2023.</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received $1.4 million from the market price stock purchase plan ("MPSPP") for 416,099 shares of common stock.</w:t>
      </w:r>
    </w:p>
    <w:p>
      <w:pPr>
        <w:spacing w:after="0" w:line="16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For shares of common stock issued pursuant to the Company's 2004 employee stock purchase plan ("ESPP"), see Note 13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11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EPS – basic:</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(numerator)</w:t>
            </w:r>
          </w:p>
        </w:tc>
        <w:tc>
          <w:tcPr>
            <w:tcW w:w="940" w:type="dxa"/>
            <w:vAlign w:val="bottom"/>
            <w:gridSpan w:val="2"/>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303,481</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gridSpan w:val="2"/>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EPS – diluted:</w:t>
            </w:r>
          </w:p>
        </w:tc>
        <w:tc>
          <w:tcPr>
            <w:tcW w:w="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Effect of interest and amortization expense on convertible notes</w:t>
            </w:r>
          </w:p>
        </w:tc>
        <w:tc>
          <w:tcPr>
            <w:tcW w:w="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net income (numerator)</w:t>
            </w:r>
          </w:p>
        </w:tc>
        <w:tc>
          <w:tcPr>
            <w:tcW w:w="940" w:type="dxa"/>
            <w:vAlign w:val="bottom"/>
            <w:gridSpan w:val="2"/>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303,481</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270,356</w:t>
            </w: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 – common shares issuable</w:t>
            </w: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54,377</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Adjusted weighted average common shares (denominator)</w:t>
            </w:r>
          </w:p>
        </w:tc>
        <w:tc>
          <w:tcPr>
            <w:tcW w:w="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320,897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940" w:type="dxa"/>
            <w:vAlign w:val="bottom"/>
            <w:gridSpan w:val="2"/>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6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-1362075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diluted net income per share excluded the weighted average effect of 4.9 million shares of common stock underlying RSUs and Market RSUs and 0.3 million shares of common stock underlying options and PNQs as they were antidilutive.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diluted net income per share excluded the weighted average effect of 5.4 million shares of common stock underlying RSUs and Market RSUs and 2.1 million shares underlying options and PNQs as they were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 Expense</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767,353 RSUs to employees with a weighted average grant date fair value of $5.26 per share, of which 263,160 RSUs had a vesting period of 33.3% annually over the second, third and fourth anniversary of the vesting determination date and 504,193 RSUs had a vesting period of 25% annually over four years.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2025, there was $23.2 million and $20.7 million of unrecognized stock-based compensation expense related to RSUs and Market RSUs, respectively, which is expected to be recognized over a weighted average period of approximately 2.55 and 1.49 years, respectively.</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as cost of goods sold, cost of revenue – collaborations and services, R&amp;D and selling, general and administrative expense was as follows (in thousands):</w:t>
      </w:r>
    </w:p>
    <w:p>
      <w:pPr>
        <w:spacing w:after="0" w:line="47"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options</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r>
      <w:tr>
        <w:trPr>
          <w:trHeight w:val="250"/>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2.4 million shares of common stock available for issuance under the ESPP as of March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The Company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8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Contingencies — Milestone Rights </w:t>
      </w:r>
      <w:r>
        <w:rPr>
          <w:rFonts w:ascii="Times New Roman" w:cs="Times New Roman" w:eastAsia="Times New Roman" w:hAnsi="Times New Roman"/>
          <w:sz w:val="18"/>
          <w:szCs w:val="18"/>
          <w:color w:val="auto"/>
        </w:rPr>
        <w:t>— In July 2013, the Company entered into the Milestone Rights Agreement with the Original Milestone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Company granted the Milestone Rights to receive payments up to $90.0 million upon the occurrence of specified strategic and sales milestones, of which $50.0 million remains payable to the Milestone Purchasers as of March 31, 2025.</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achieved an Afrezza net sales milestone, as specified by the Milestone Rights, and the portion of the $5.0 million payment related to the Milestone Rights liability on our condensed consolidated balance sheets was approximately $0.6 million and represents the fair value as determined in 2013 (the most recent measurement date).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each of March 31, 2025 and December 31, 2024, the remaining Milestone Rights liability balance was $3.2 million and consisted of $0.6 million of current liability, which was presented as accrued expenses and other current liabilities, and $2.5 million of long-term liability, which was presented as milestone liabilities in the condensed consolidated balance sheets. The value of the Milestone Rights liability was based on initial fair value estimates calculated using the income approach and is reduced by milestone achievement payments made.</w:t>
      </w:r>
    </w:p>
    <w:p>
      <w:pPr>
        <w:spacing w:after="0" w:line="1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Contingencies — Returns Reserve for Acquired Product — </w:t>
      </w:r>
      <w:r>
        <w:rPr>
          <w:rFonts w:ascii="Times New Roman" w:cs="Times New Roman" w:eastAsia="Times New Roman" w:hAnsi="Times New Roman"/>
          <w:sz w:val="18"/>
          <w:szCs w:val="18"/>
          <w:color w:val="auto"/>
        </w:rPr>
        <w:t>During the three months ended March 31, 2024, the Company reassessed its previously-determined estimate for product returns associated with sales of V-Go that pre-date the Company's acquisition of the product and recorded an additional $1.2 million, which was recorded in accrued expenses and other current liabilities in the condensed consolidated balance sheet as of March 31, 2024. The return accrual is being reduced as product returns are received. Related losses on estimated returns of acquired product were recorded in selling, general and administrative expenses in the condensed consolidated statements of operations.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In December 2023, the Company executed a Purchase and Sale Agreement (the “PSA”) with Sagard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12 consecutive months on or prior to December 31, 2026 (“Net Sales Threshold A”), or a milestone of $45.0 million if net Sales Threshold A is not met and net sales of Tyvaso DPI meet or exceed $2.3 billion for any 12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ind w:right="140"/>
        <w:spacing w:after="0" w:line="254" w:lineRule="auto"/>
        <w:rPr>
          <w:sz w:val="20"/>
          <w:szCs w:val="20"/>
          <w:color w:val="auto"/>
        </w:rPr>
      </w:pPr>
      <w:r>
        <w:rPr>
          <w:rFonts w:ascii="Times New Roman" w:cs="Times New Roman" w:eastAsia="Times New Roman" w:hAnsi="Times New Roman"/>
          <w:sz w:val="18"/>
          <w:szCs w:val="18"/>
          <w:color w:val="auto"/>
        </w:rPr>
        <w:t>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condensed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condensed consolidated statements of operations over the life of the PSA using the effective interest method. Unamortized transaction costs were approximately $4.1 million as of each of March 31, 2025 and December 31, 2024.</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will continue to recognize the full 10% of future royalty revenues in its condensed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condensed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spacing w:after="0" w:line="18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Royalty Liability account as well as the effective interest rate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7012940</wp:posOffset>
            </wp:positionH>
            <wp:positionV relativeFrom="paragraph">
              <wp:posOffset>73025</wp:posOffset>
            </wp:positionV>
            <wp:extent cx="137160" cy="1365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3652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r>
      <w:tr>
        <w:trPr>
          <w:trHeight w:val="209"/>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149,645</w:t>
            </w:r>
          </w:p>
        </w:tc>
        <w:tc>
          <w:tcPr>
            <w:tcW w:w="180" w:type="dxa"/>
            <w:vAlign w:val="bottom"/>
            <w:shd w:val="clear" w:color="auto" w:fill="CFF0FC"/>
          </w:tcPr>
          <w:p>
            <w:pPr>
              <w:spacing w:after="0"/>
              <w:rPr>
                <w:sz w:val="18"/>
                <w:szCs w:val="18"/>
                <w:color w:val="auto"/>
              </w:rPr>
            </w:pPr>
          </w:p>
        </w:tc>
      </w:tr>
      <w:tr>
        <w:trPr>
          <w:trHeight w:val="216"/>
        </w:trPr>
        <w:tc>
          <w:tcPr>
            <w:tcW w:w="8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transaction costs</w:t>
            </w:r>
          </w:p>
        </w:tc>
        <w:tc>
          <w:tcPr>
            <w:tcW w:w="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r>
      <w:tr>
        <w:trPr>
          <w:trHeight w:val="216"/>
        </w:trPr>
        <w:tc>
          <w:tcPr>
            <w:tcW w:w="8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interest expense on liability for sale of future royalties</w:t>
            </w: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80" w:type="dxa"/>
            <w:vAlign w:val="bottom"/>
            <w:shd w:val="clear" w:color="auto" w:fill="CFF0FC"/>
          </w:tcPr>
          <w:p>
            <w:pPr>
              <w:spacing w:after="0"/>
              <w:rPr>
                <w:sz w:val="18"/>
                <w:szCs w:val="18"/>
                <w:color w:val="auto"/>
              </w:rPr>
            </w:pPr>
          </w:p>
        </w:tc>
      </w:tr>
      <w:tr>
        <w:trPr>
          <w:trHeight w:val="216"/>
        </w:trPr>
        <w:tc>
          <w:tcPr>
            <w:tcW w:w="8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revenue earned by or payable to Sagard</w:t>
            </w:r>
          </w:p>
        </w:tc>
        <w:tc>
          <w:tcPr>
            <w:tcW w:w="4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49"/>
        </w:trPr>
        <w:tc>
          <w:tcPr>
            <w:tcW w:w="8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150,222</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8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4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-299720</wp:posOffset>
            </wp:positionV>
            <wp:extent cx="1117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-281940</wp:posOffset>
            </wp:positionV>
            <wp:extent cx="1117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In November 2021, the Company sold certain land, building and improvements located in Danbury, CT (the "Property")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of Creative Manufacturing Properties (the "Purchaser") for a sales price of $102.3 million, subject to terms and the conditions contained in a purchase and sale agreement.</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utilizing a weighted average discount rate of 9.0%.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or (ii) the fair market value of the Property.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160"/>
        <w:spacing w:after="0" w:line="266" w:lineRule="auto"/>
        <w:rPr>
          <w:sz w:val="20"/>
          <w:szCs w:val="20"/>
          <w:color w:val="auto"/>
        </w:rPr>
      </w:pPr>
      <w:r>
        <w:rPr>
          <w:rFonts w:ascii="Times New Roman" w:cs="Times New Roman" w:eastAsia="Times New Roman" w:hAnsi="Times New Roman"/>
          <w:sz w:val="18"/>
          <w:szCs w:val="18"/>
          <w:color w:val="auto"/>
        </w:rPr>
        <w:t>As of March 31, 2025, the related financing liability was $103.8 million, which was recognized in the condensed consolidated balance sheet and of which $93.7 million was long-term and $10.1 million was current. As of December 31, 2024, the related financing liability was $103.9 million, of which $93.9 million was long-term and $10.1 million was current.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was as follows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5"/>
                <w:szCs w:val="15"/>
                <w:color w:val="auto"/>
              </w:rPr>
            </w:pP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556"/>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7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50"/>
        </w:trPr>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shd w:val="clear" w:color="auto" w:fill="CFF0FC"/>
          </w:tcPr>
          <w:p>
            <w:pPr>
              <w:spacing w:after="0"/>
              <w:rPr>
                <w:sz w:val="21"/>
                <w:szCs w:val="21"/>
                <w:color w:val="auto"/>
              </w:rPr>
            </w:pPr>
          </w:p>
        </w:tc>
      </w:tr>
      <w:tr>
        <w:trPr>
          <w:trHeight w:val="413"/>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Company's remaining financing liability payments were as follows (in thousands):</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10"/>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7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217,545</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(111,340)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7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liability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-1919605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-1902460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pursuant to which Amphastar manufactures for and supplies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March 31, 2025 were as follows (€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1640" w:type="dxa"/>
            <w:vAlign w:val="bottom"/>
          </w:tcPr>
          <w:p>
            <w:pPr>
              <w:jc w:val="center"/>
              <w:ind w:left="271"/>
              <w:spacing w:after="0" w:line="118" w:lineRule="exact"/>
              <w:rPr>
                <w:sz w:val="20"/>
                <w:szCs w:val="20"/>
                <w:color w:val="auto"/>
              </w:rPr>
            </w:pPr>
            <w:r>
              <w:rPr>
                <w:rFonts w:ascii="Times New Roman" w:cs="Times New Roman" w:eastAsia="Times New Roman" w:hAnsi="Times New Roman"/>
                <w:sz w:val="13"/>
                <w:szCs w:val="13"/>
                <w:b w:val="1"/>
                <w:bCs w:val="1"/>
                <w:color w:val="auto"/>
              </w:rPr>
              <w:t>Remaining Purchase</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 Capacity Fees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64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54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2025 (Remaining)</w:t>
            </w:r>
            <w:r>
              <w:rPr>
                <w:rFonts w:ascii="Times New Roman" w:cs="Times New Roman" w:eastAsia="Times New Roman" w:hAnsi="Times New Roman"/>
                <w:sz w:val="24"/>
                <w:szCs w:val="24"/>
                <w:color w:val="auto"/>
                <w:vertAlign w:val="superscript"/>
              </w:rPr>
              <w:t>(1)</w:t>
            </w:r>
          </w:p>
        </w:tc>
        <w:tc>
          <w:tcPr>
            <w:tcW w:w="2360" w:type="dxa"/>
            <w:vAlign w:val="bottom"/>
            <w:gridSpan w:val="3"/>
            <w:shd w:val="clear" w:color="auto" w:fill="CFF0FC"/>
          </w:tcPr>
          <w:p>
            <w:pPr>
              <w:jc w:val="right"/>
              <w:ind w:right="19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2032</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2033</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2034</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2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300" w:hanging="372"/>
        <w:spacing w:after="0" w:line="275" w:lineRule="auto"/>
        <w:tabs>
          <w:tab w:leader="none" w:pos="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During the three months ended March 31, 2025, the Company incurred a capacity fee of €375,000, or $0.4 million, which was recognized as cost of goods sold for commercial sales in our condensed consolidated statement of operations.</w:t>
      </w:r>
    </w:p>
    <w:p>
      <w:pPr>
        <w:spacing w:after="0" w:line="17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the later of December 31, 2034 or until the completion of the total remaining purchase commitment quantities, unless terminated earlier, and can be renewed for additional,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60"/>
        <w:spacing w:after="0" w:line="255" w:lineRule="auto"/>
        <w:rPr>
          <w:sz w:val="20"/>
          <w:szCs w:val="20"/>
          <w:color w:val="auto"/>
        </w:rPr>
      </w:pPr>
      <w:r>
        <w:rPr>
          <w:rFonts w:ascii="Times New Roman" w:cs="Times New Roman" w:eastAsia="Times New Roman" w:hAnsi="Times New Roman"/>
          <w:sz w:val="18"/>
          <w:szCs w:val="18"/>
          <w:color w:val="auto"/>
        </w:rPr>
        <w:t>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$60.7 million and $58.2 million is included in our condensed consolidated balance sheets as of March 31, 2025 and December 31, 2024, respectively, and is reduced as inventory items are received or such liability is extinguished.</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spacing w:after="0" w:line="17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Vehicle Leases </w:t>
      </w:r>
      <w:r>
        <w:rPr>
          <w:rFonts w:ascii="Times New Roman" w:cs="Times New Roman" w:eastAsia="Times New Roman" w:hAnsi="Times New Roman"/>
          <w:sz w:val="18"/>
          <w:szCs w:val="18"/>
          <w:color w:val="auto"/>
        </w:rPr>
        <w:t>— During the second quarter of 2018, the Company entered into a master lease agreement with Enterprise Fleet Management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payment inclusive of maintenance fees, insurance and taxes is approximately $0.1 million. The lease expense is included in selling, general and administrative expenses in the condensed consolidated statements of operations.</w:t>
      </w:r>
    </w:p>
    <w:p>
      <w:pPr>
        <w:spacing w:after="0" w:line="17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was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2024, the Company entered into several transactions with Pulmatrix to acquire certain lab assets, enter into multiple agreements, and assume certain liabilities (the “Pulmatrix Transaction”). In July 2024, the Company assumed certain leased real property (the "Bedford Lease") in connection with the Pulmatrix Transaction. The Bedford Lease pertains to certain premises in a building located in Bedford, Massachusetts.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Lease information was as follows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249"/>
        </w:trPr>
        <w:tc>
          <w:tcPr>
            <w:tcW w:w="56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24"/>
                <w:szCs w:val="24"/>
                <w:color w:val="auto"/>
                <w:vertAlign w:val="superscript"/>
              </w:rPr>
              <w:t>(1)</w:t>
            </w:r>
          </w:p>
        </w:tc>
        <w:tc>
          <w:tcPr>
            <w:tcW w:w="2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180" w:type="dxa"/>
            <w:vAlign w:val="bottom"/>
            <w:shd w:val="clear" w:color="auto" w:fill="CFF0FC"/>
          </w:tcPr>
          <w:p>
            <w:pPr>
              <w:spacing w:after="0"/>
              <w:rPr>
                <w:sz w:val="21"/>
                <w:szCs w:val="21"/>
                <w:color w:val="auto"/>
              </w:rPr>
            </w:pPr>
          </w:p>
        </w:tc>
      </w:tr>
      <w:tr>
        <w:trPr>
          <w:trHeight w:val="197"/>
        </w:trPr>
        <w:tc>
          <w:tcPr>
            <w:tcW w:w="5600" w:type="dxa"/>
            <w:vAlign w:val="bottom"/>
            <w:tcBorders>
              <w:top w:val="single" w:sz="8" w:color="CFF0FC"/>
            </w:tcBorders>
          </w:tcPr>
          <w:p>
            <w:pPr>
              <w:spacing w:after="0"/>
              <w:rPr>
                <w:sz w:val="17"/>
                <w:szCs w:val="17"/>
                <w:color w:val="auto"/>
              </w:rPr>
            </w:pPr>
          </w:p>
        </w:tc>
        <w:tc>
          <w:tcPr>
            <w:tcW w:w="20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16"/>
        </w:trPr>
        <w:tc>
          <w:tcPr>
            <w:tcW w:w="5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Operating lease liability-current</w:t>
            </w:r>
            <w:r>
              <w:rPr>
                <w:rFonts w:ascii="Times New Roman" w:cs="Times New Roman" w:eastAsia="Times New Roman" w:hAnsi="Times New Roman"/>
                <w:sz w:val="24"/>
                <w:szCs w:val="24"/>
                <w:color w:val="auto"/>
                <w:vertAlign w:val="superscript"/>
              </w:rPr>
              <w:t>(2)</w:t>
            </w:r>
          </w:p>
        </w:tc>
        <w:tc>
          <w:tcPr>
            <w:tcW w:w="2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liability-long-term</w:t>
            </w:r>
          </w:p>
        </w:tc>
        <w:tc>
          <w:tcPr>
            <w:tcW w:w="2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80" w:type="dxa"/>
            <w:vAlign w:val="bottom"/>
          </w:tcPr>
          <w:p>
            <w:pPr>
              <w:spacing w:after="0"/>
              <w:rPr>
                <w:sz w:val="18"/>
                <w:szCs w:val="18"/>
                <w:color w:val="auto"/>
              </w:rPr>
            </w:pPr>
          </w:p>
        </w:tc>
      </w:tr>
      <w:tr>
        <w:trPr>
          <w:trHeight w:val="250"/>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80" w:type="dxa"/>
            <w:vAlign w:val="bottom"/>
            <w:shd w:val="clear" w:color="auto" w:fill="CFF0FC"/>
          </w:tcPr>
          <w:p>
            <w:pPr>
              <w:spacing w:after="0"/>
              <w:rPr>
                <w:sz w:val="21"/>
                <w:szCs w:val="21"/>
                <w:color w:val="auto"/>
              </w:rPr>
            </w:pPr>
          </w:p>
        </w:tc>
      </w:tr>
      <w:tr>
        <w:trPr>
          <w:trHeight w:val="129"/>
        </w:trPr>
        <w:tc>
          <w:tcPr>
            <w:tcW w:w="5600" w:type="dxa"/>
            <w:vAlign w:val="bottom"/>
            <w:tcBorders>
              <w:top w:val="single" w:sz="8" w:color="CFF0FC"/>
            </w:tcBorders>
          </w:tcPr>
          <w:p>
            <w:pPr>
              <w:spacing w:after="0"/>
              <w:rPr>
                <w:sz w:val="11"/>
                <w:szCs w:val="11"/>
                <w:color w:val="auto"/>
              </w:rPr>
            </w:pPr>
          </w:p>
        </w:tc>
        <w:tc>
          <w:tcPr>
            <w:tcW w:w="20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3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8"/>
                <w:szCs w:val="18"/>
                <w:color w:val="auto"/>
              </w:rPr>
            </w:pPr>
          </w:p>
        </w:tc>
      </w:tr>
      <w:tr>
        <w:trPr>
          <w:trHeight w:val="202"/>
        </w:trPr>
        <w:tc>
          <w:tcPr>
            <w:tcW w:w="5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139"/>
        </w:trPr>
        <w:tc>
          <w:tcPr>
            <w:tcW w:w="56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-1056640</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-1039495</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-1056640</wp:posOffset>
            </wp:positionV>
            <wp:extent cx="111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-1039495</wp:posOffset>
            </wp:positionV>
            <wp:extent cx="1117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-473710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-456565</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-473710</wp:posOffset>
            </wp:positionV>
            <wp:extent cx="111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-456565</wp:posOffset>
            </wp:positionV>
            <wp:extent cx="1117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80" w:right="280" w:hanging="372"/>
        <w:spacing w:after="0" w:line="257" w:lineRule="auto"/>
        <w:tabs>
          <w:tab w:leader="none" w:pos="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right-of-use assets related to vehicles, offices and the manufacturing facility for V-Go are included in other assets in the condensed consolidated balance sheets.</w:t>
      </w:r>
    </w:p>
    <w:p>
      <w:pPr>
        <w:ind w:left="380" w:hanging="372"/>
        <w:spacing w:after="0"/>
        <w:tabs>
          <w:tab w:leader="none" w:pos="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lease liability – current is included in accrued expenses and other current liabilities in the condensed consolidated balance sheets.</w:t>
      </w:r>
    </w:p>
    <w:p>
      <w:pPr>
        <w:spacing w:after="0" w:line="21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8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4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r>
      <w:tr>
        <w:trPr>
          <w:trHeight w:val="432"/>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future minimum office and vehicle lease payments were as follows (in thousands):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7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22"/>
                <w:szCs w:val="22"/>
                <w:color w:val="auto"/>
              </w:rPr>
            </w:pPr>
          </w:p>
        </w:tc>
      </w:tr>
      <w:tr>
        <w:trPr>
          <w:trHeight w:val="20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2,361</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2,579</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2,540</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Pr>
          <w:p>
            <w:pPr>
              <w:spacing w:after="0"/>
              <w:rPr>
                <w:sz w:val="18"/>
                <w:szCs w:val="18"/>
                <w:color w:val="auto"/>
              </w:rPr>
            </w:pPr>
          </w:p>
        </w:tc>
      </w:tr>
      <w:tr>
        <w:trPr>
          <w:trHeight w:val="210"/>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17,288</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(3,774)</w:t>
            </w:r>
          </w:p>
        </w:tc>
      </w:tr>
      <w:tr>
        <w:trPr>
          <w:trHeight w:val="250"/>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74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income tax expense of $0.5 million and $0.3 million, respectively, related to state taxes, which was calculated using the discrete year-to-date method. The effective tax rate differs from the statutory tax rate of 21% primarily due to the existence of valuation allowances against net deferred tax assets and current liabilities resulting from the estimated state income tax liabilities.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three months ended March 31, 2025, the Company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interest and penalties. The Company’s tax years since 2020 remain subject to examination by tax authorities.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2024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V-Go received 510(k) clearance by the FDA in 2010 and has been available commercially since 2012. In May 2022, we acquired V-Go from Zealand Pharma A/S and Zealand Pharma US, Inc. (together, “Zealand”). V-Go is a mechanical basal-bolus insulin delivery system that is worn like a patch and can eliminate the need for taking multiple daily injections.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pipeline of potential treatments for orphan lung diseases includes MNKD-101, a nebulized formulation of clofazimine, for the treatment of severe chronic and recurrent pulmonary infections, including nontuberculous mycobacterial ("NTM") lung disease. The FDA has designated MNKD-101 as both an orphan drug and as a qualified infectious disease product for the treatment of pulmonary NTM infections. It has also granted Fast Track designation to our development program. In 2024, we initiated a global Phase 3 registrational study of MNKD-101 with sites in the United States, Japan, South Korea, Taiwan, and Australia. We expect enrollment of subjects into this study to continue into 2026. The other major program in our pipeline is MNKD-201, a dry-powder formulation of nintedanib, for the treatment of idiopathic pulmonary fibrosis ("IPF"). In 2024, we conducted a Phase 1 clinical study of MNKD-201, which met its primary objective of demonstrating positive safety results and good tolerability in healthy volunteers. We are pursuing a global trial and expect to continue to the next phase of development in the second half of 2025.</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 The recently enacted and proposed tariffs by the U.S. government may potentially raise the future cost to source the raw materials and components needed to manufacture our products. We are actively monitoring this situation and exploring strategies to mitigate the risks.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2025, we had cash, cash equivalents and investments of $198.2 million, an accumulated deficit of $3.2 billion and a total stockholders’ deficit of $58.6 million. We had net income of $13.2 million and $10.6 million for the three months ended March 31, 2025 and 2024,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from proceeds of the sale-leaseback of our manufacturing facility in Danbury, CT and from the sale of a portion of future royalties that we receive from UT.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can be found in Item 7. Management’s Discussion and Analysis of Financial Condition and Results of Operations in our Annual Report.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 xml:space="preserve"> in the condensed consolidated financial statements included in Part I – Financial Statements (Unaudited) for descriptions of the new accounting policies and impact of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Our collaboration agreement with UT entitles us to receive a 10% royalty on net sales of Tyvaso DPI, subject to our sale of a 1% royalty on future net sales to a royalty purchaser (leaving us with a 9% royalty) in December 2023. Our royalty revenue reflects the upward trend in demand for Tyvaso DPI in the marketplace.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condensed consolidated financial statements.</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revenue categories for the three months ended March 31, 2025 and 2024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2"/>
                <w:szCs w:val="12"/>
                <w:color w:val="auto"/>
              </w:rPr>
            </w:pPr>
          </w:p>
        </w:tc>
        <w:tc>
          <w:tcPr>
            <w:tcW w:w="8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revenue from 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29,576</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566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discounts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(672)</w:t>
            </w:r>
          </w:p>
        </w:tc>
        <w:tc>
          <w:tcPr>
            <w:tcW w:w="1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revenue from commercial 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78,354</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66,263</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-727710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-727710</wp:posOffset>
            </wp:positionV>
            <wp:extent cx="1117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1111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1117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Gross revenue from sales of Afrezza increased by $2.4 million, or 11%, for the three months ended March 31,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The increase was driven primarily by higher demand and price. The gross-to-net adjustment was 36% of gross revenue, or $8.3 million, for the three months ended March 31, 2025 compared to 31% of gross revenue, or $6.4 million, for the same period in the prior year. The increased gross-to-net percentage was primarily attributable to a decrease in anticipated product returns (as a percentage of gross sales) in the prior year period. As a result, net revenue from sales of Afrezza increased by $0.4 million, or 3%, for the three months ended March 31, 2025 compared to the same period in the prior year.</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Gross revenue from sales of V-Go decreased by $2.8 million, or 30%, for the three months ended March 31, 2025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and was primarily a result of lower demand partially offset by increased price. The gross-to-net adjustment was 36% of gross revenue, or $2.3 million, for the three months ended March 31, 2025 compared to 53% of gross revenue, or $4.9 million, for the same period in the prior year. The improved gross-to-net percentage was primarily attributable to a decrease in rebates primarily related to a reduction in active contracts. As a result of lower demand being partially offset by improved gross-to-net percentage, net revenue from sales of V-Go decreased by $0.2 million, or 6%, for the three months ended March 31, 2025 compared to the same period in the prior year.</w:t>
      </w:r>
    </w:p>
    <w:p>
      <w:pPr>
        <w:spacing w:after="0" w:line="18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w:t>
      </w:r>
      <w:r>
        <w:rPr>
          <w:rFonts w:ascii="Times New Roman" w:cs="Times New Roman" w:eastAsia="Times New Roman" w:hAnsi="Times New Roman"/>
          <w:sz w:val="18"/>
          <w:szCs w:val="18"/>
          <w:color w:val="auto"/>
        </w:rPr>
        <w:t>— Net revenue from collaborations and services increased by $4.5 million, or 18%,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same period in the prior year. The increase in revenue was primarily attributable to increased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ind w:right="260"/>
        <w:spacing w:after="0" w:line="282" w:lineRule="auto"/>
        <w:rPr>
          <w:sz w:val="20"/>
          <w:szCs w:val="20"/>
          <w:color w:val="auto"/>
        </w:rPr>
      </w:pPr>
      <w:r>
        <w:rPr>
          <w:rFonts w:ascii="Times New Roman" w:cs="Times New Roman" w:eastAsia="Times New Roman" w:hAnsi="Times New Roman"/>
          <w:sz w:val="18"/>
          <w:szCs w:val="18"/>
          <w:color w:val="auto"/>
        </w:rPr>
        <w:t>product sold to UT. Royalty revenue from UT increased by $7.4 million, or 32%, for the three months ended March 31, 2025 due to UT's increase in net revenue from sales of Tyvaso DPI due to higher patient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 gross profit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commercial product gross profit categories for the three months ended March 31, 2025 and 2024 (dollars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Cost of goods sold</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-307975</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-307975</wp:posOffset>
            </wp:positionV>
            <wp:extent cx="111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Commercial product gross profit and gross margin remained consistent for the three months ended March 31, 2025 compared to the same period in the prior year. Cost of goods sold for Afrezza increased primarily as a result of higher sales volumes offset by lower cost of goods sold for V-Go, which was driven by lower production and sales volumes.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expense categories for the three months ended March 31, 2025 and 2024 (dollars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24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24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(1,399)</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50"/>
        </w:trPr>
        <w:tc>
          <w:tcPr>
            <w:tcW w:w="57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56,061</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49,541</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CFF0FC"/>
              <w:bottom w:val="single" w:sz="8" w:color="CFF0FC"/>
            </w:tcBorders>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88"/>
        </w:trPr>
        <w:tc>
          <w:tcPr>
            <w:tcW w:w="574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_________________________</w:t>
            </w: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-226695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-209550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-372745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-226695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-209550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-372745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revenue – collaborations and services decreased by $1.0 million, or 7%, for the three months ended March 31, 2025 compared to the same period in the prior year. The decrease was primarily a result of producing Tyvaso DPI at volumes which result in efficiencies of scale at our Danbury, Connecticut facility.</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$1.0 million, or 10%, for the three months ended March 31, 2025 compared to the same period in the prior year. The increase was primarily attributable to increased expenditures for development activities, including a Phase 3 clinical study for MNKD-101, clinical production scale up for MNKD-201, and personnel costs primarily due to additional headcount as a result of the Pulmatrix Transaction in the third quarter of 2024, which bolstered our research capabilities and capacity.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$2.7 million, or 12%, for the three months ended March 31, 2025 compared to the same period in the prior year. The increase was primarily attributable to increases in headcount and personnel-related costs and increases in Afrezza promotional costs, partially offset by a loss of $1.2 million in the prior year period for estimated returns associated with sales of V-Go that pre-dated our acquisition of the product.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Loss on foreign currency transaction was $2.5 million for the three months ended March 31, 2025 compared to a gain of $1.4 million for the same period in the prior year due to fluctuations in Euro to U.S. dollar exchange rates. Under the Insulin Supply Agreement with Amphastar, payment obligations for future purchases are denominated in Euros. We are required to record the foreign currency transaction impact of the U.S. dollar to Euro exchange rate associated with the recognized gain or loss on purchase commitments.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other income (expense) categories for the three months ended March 31, 2025 and 2024 (dollars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20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(1,478)</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(4,645)</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(2,567)</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(3,577)</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(4,248)</w:t>
            </w: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(2,410)</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(2,447)</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49"/>
        </w:trPr>
        <w:tc>
          <w:tcPr>
            <w:tcW w:w="57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CFF0FC"/>
              <w:bottom w:val="single" w:sz="8" w:color="CFF0FC"/>
            </w:tcBorders>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income, net, consisting of interest and accretion on investments net of amortization, decreased by $1.5 million for the three months ended March 31, 2025 compared to the same period in the prior year primarily due to a lower average balance on our securities portfolio and lower yields.</w:t>
      </w:r>
    </w:p>
    <w:p>
      <w:pPr>
        <w:spacing w:after="0" w:line="16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increased by $2.1 million for the three months ended March 31, 2025 compared to the same period in the prior year. The increase was primarily attributed to the recognition of $4.4 million of interest expense related to our achievement of an Afrezza net sales milestone.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The increase in interest expense was partially offset by a decrease in interest as a result of the following principal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reductions that occurred in 2024: (i) the exchange of an aggregate principal amount of approximately $193.7 million of our senior convertible notes due March 2026 in December 2024, (ii) $28.3 million full repayment to MidCap under the MidCap credit facility in April 2024, and (iii) the discharge and termination of $8.8 million of the outstanding principal balance under the Mann Group convertible note in April 2024.</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on liability for sale of future royalties decreased by $0.7 million for the three months ended March 31, 2025 compared to the same period in the prior year. Interest consists of imputed interest and the amortization of debt issuance costs on the liability recorded in connection with the sale of 1% of our Tyvaso DPI royalties in December 2023. See Note 14 – </w:t>
      </w:r>
      <w:r>
        <w:rPr>
          <w:rFonts w:ascii="Times New Roman" w:cs="Times New Roman" w:eastAsia="Times New Roman" w:hAnsi="Times New Roman"/>
          <w:sz w:val="18"/>
          <w:szCs w:val="18"/>
          <w:i w:val="1"/>
          <w:iCs w:val="1"/>
          <w:color w:val="auto"/>
        </w:rPr>
        <w:t>Commitments and Contingencies.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expense on financing liability was $2.4 million for the three months ended March 31, 2025 and 2024, and represented interest incurred on the sale lease-back transaction for our manufacturing facility in Danbury, Connecticut.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on-GAAP Measures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under GAAP, we are presenting non-GAAP financial measures for net income and net income per share – basic. We are providing these non-GAAP financial measures, which are among the indicators management uses as a basis for evaluating our financial performance, to disclose additional information to facilitate the comparison of past and present operations. We believe that these non-GAAP financial measures, when considered together with our GAAP financial results, provide management and investors with an additional understanding of our business operating results, including underlying trends.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are not meant to be considered in isolation or as a substitute for comparable GAAP measures; 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our financial measures for net income and net income per share ("EPS") for basic weighted average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ind w:right="360"/>
        <w:spacing w:after="0" w:line="282" w:lineRule="auto"/>
        <w:rPr>
          <w:sz w:val="20"/>
          <w:szCs w:val="20"/>
          <w:color w:val="auto"/>
        </w:rPr>
      </w:pPr>
      <w:r>
        <w:rPr>
          <w:rFonts w:ascii="Times New Roman" w:cs="Times New Roman" w:eastAsia="Times New Roman" w:hAnsi="Times New Roman"/>
          <w:sz w:val="18"/>
          <w:szCs w:val="18"/>
          <w:color w:val="auto"/>
        </w:rPr>
        <w:t>shares as reported in our condensed consolidated statements of operations to a non-GAAP presentation as adjusted by certain non-cash items identified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00" w:type="dxa"/>
            <w:vAlign w:val="bottom"/>
          </w:tcPr>
          <w:p>
            <w:pPr>
              <w:spacing w:after="0"/>
              <w:rPr>
                <w:sz w:val="17"/>
                <w:szCs w:val="17"/>
                <w:color w:val="auto"/>
              </w:rPr>
            </w:pPr>
          </w:p>
        </w:tc>
      </w:tr>
      <w:tr>
        <w:trPr>
          <w:trHeight w:val="209"/>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35"/>
        </w:trPr>
        <w:tc>
          <w:tcPr>
            <w:tcW w:w="62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GAAP reported 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13,158</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16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16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100" w:type="dxa"/>
            <w:vAlign w:val="bottom"/>
            <w:shd w:val="clear" w:color="auto" w:fill="CFF0FC"/>
          </w:tcPr>
          <w:p>
            <w:pPr>
              <w:spacing w:after="0"/>
              <w:rPr>
                <w:sz w:val="11"/>
                <w:szCs w:val="11"/>
                <w:color w:val="auto"/>
              </w:rPr>
            </w:pPr>
          </w:p>
        </w:tc>
      </w:tr>
      <w:tr>
        <w:trPr>
          <w:trHeight w:val="135"/>
        </w:trPr>
        <w:tc>
          <w:tcPr>
            <w:tcW w:w="6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Non-GAAP adjustments:</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2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 xml:space="preserve">Sold portion of royalty revenue </w:t>
            </w:r>
            <w:r>
              <w:rPr>
                <w:rFonts w:ascii="Times New Roman" w:cs="Times New Roman" w:eastAsia="Times New Roman" w:hAnsi="Times New Roman"/>
                <w:sz w:val="15"/>
                <w:szCs w:val="15"/>
                <w:color w:val="auto"/>
                <w:vertAlign w:val="superscript"/>
              </w:rPr>
              <w:t>(1)</w:t>
            </w: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(3,000)</w:t>
            </w: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(2,265)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(0.01)</w:t>
            </w:r>
          </w:p>
        </w:tc>
      </w:tr>
      <w:tr>
        <w:trPr>
          <w:trHeight w:val="135"/>
        </w:trPr>
        <w:tc>
          <w:tcPr>
            <w:tcW w:w="62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expense on liability for sale of future royalties</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3,577</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4,248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00" w:type="dxa"/>
            <w:vAlign w:val="bottom"/>
          </w:tcPr>
          <w:p>
            <w:pPr>
              <w:spacing w:after="0"/>
              <w:rPr>
                <w:sz w:val="11"/>
                <w:szCs w:val="11"/>
                <w:color w:val="auto"/>
              </w:rPr>
            </w:pPr>
          </w:p>
        </w:tc>
      </w:tr>
      <w:tr>
        <w:trPr>
          <w:trHeight w:val="135"/>
        </w:trPr>
        <w:tc>
          <w:tcPr>
            <w:tcW w:w="62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Stock compensation</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3,885</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FF0FC"/>
          </w:tcPr>
          <w:p>
            <w:pPr>
              <w:spacing w:after="0"/>
              <w:rPr>
                <w:sz w:val="11"/>
                <w:szCs w:val="11"/>
                <w:color w:val="auto"/>
              </w:rPr>
            </w:pPr>
          </w:p>
        </w:tc>
      </w:tr>
      <w:tr>
        <w:trPr>
          <w:trHeight w:val="135"/>
        </w:trPr>
        <w:tc>
          <w:tcPr>
            <w:tcW w:w="62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 (gain) on foreign currency transaction</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2,509</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(0.01)</w:t>
            </w:r>
          </w:p>
        </w:tc>
      </w:tr>
      <w:tr>
        <w:trPr>
          <w:trHeight w:val="169"/>
        </w:trPr>
        <w:tc>
          <w:tcPr>
            <w:tcW w:w="6220" w:type="dxa"/>
            <w:vAlign w:val="bottom"/>
            <w:tcBorders>
              <w:top w:val="single" w:sz="8" w:color="CFF0FC"/>
              <w:bottom w:val="single" w:sz="8" w:color="CFF0FC"/>
            </w:tcBorders>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Non-GAAP adjusted net income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21,629</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0.07</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15,099</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0.06</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97"/>
        </w:trPr>
        <w:tc>
          <w:tcPr>
            <w:tcW w:w="622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Weighted average shares used to compute net income</w:t>
            </w: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1"/>
        </w:trPr>
        <w:tc>
          <w:tcPr>
            <w:tcW w:w="6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 share – basic</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303,481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270,356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-195580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-178435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-289560</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-195580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-178435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-289560</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-195580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-178435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-289560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-195580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-178435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-289560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jc w:val="both"/>
        <w:ind w:left="380" w:hanging="372"/>
        <w:spacing w:after="0" w:line="267" w:lineRule="auto"/>
        <w:tabs>
          <w:tab w:leader="none" w:pos="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Represents the non-cash portion of the 1% royalty on net sales of Tyvaso DPI earned during the three months ended March 31, 2025 and 2024, which is remitted to the royalty purchaser and recognized as royalties from collaborations in our condensed consolidated statements of operations. Our royalties from collaborations during the three months ended March 31, 2025 and 2024 totaled $30.0 million and $22.7 million, respectively, of which $3.0 million and $2.3 million, respectively were remitted to the royalty purchaser.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development of our product pipeline, manufacturing and marketing of Afrezza and V-Go, manufacturing Tyvaso DPI, selling, general and administrative expenses, and principal and interest payments on our financing liability and debt.</w:t>
      </w:r>
    </w:p>
    <w:p>
      <w:pPr>
        <w:spacing w:after="0" w:line="176"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the sale of equity and convertible debt securities, from the receipt of upfront and milestone payments from collaborations, from borrowings, from the sale of certain assets and from the sale of a portion of our future royalties that we receive from UT. More recently, sales of Afrezza and V-Go, and royalties and manufacturing revenue from UT, have become a more significant source of funding for our operations. In combination with our cash, cash equivalents and investments on hand, we believe that these sources of revenue, as well as the potential financing sources currently available to us, will allow us to meet our liquidity needs over the next 12 months and in the longer term.</w:t>
      </w:r>
    </w:p>
    <w:p>
      <w:pPr>
        <w:spacing w:after="0" w:line="18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of March 31, 2025, we had $60.7 million in insulin purchase commitments and $36.3 million principal amount of outstanding senior convertible notes bearing interest at 2.50%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 With the repayment of the MidCap credit facility and the Mann Group convertible note in April 2024, our senior convertible notes are our only remaining notes outstanding. We may from time to time seek to retire or purchase our outstanding senior convertible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$50.0 million of which remain payable as of March 31, 2025.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for further information related to the Milestone Rights.</w:t>
      </w:r>
    </w:p>
    <w:p>
      <w:pPr>
        <w:spacing w:after="0" w:line="72"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w:t>
      </w:r>
    </w:p>
    <w:p>
      <w:pPr>
        <w:spacing w:after="0" w:line="5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February 2018, we entered into the CF Sales Agreement with Cantor Fitzgerald, as sales agent, which was amended and restated in February 2025. Under the CF Sales Agreement, Cantor Fitzgerald may sell shares of our common stock by any method deemed to be an “at-the-market offering” as defined in Rule 415 under the Securities Act of 1933, as amended. In February 2025, we filed a sales agreement prospectus under a registration statement on Form S-3 covering the sale of up to $200.0 million of our common stock through Cantor Fitzgerald under the CF Sales Agreement, of which $200.0 million remained available as of March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used $6.4 million of cash for our operating activities, which reflects our net income of $13.2 million increased by stock-based compensation of $5.4 million, offset by the sold portion of royalty revenue of $3.0 million and decreases for changes in operating assets and liabilities including a $17.1 million increase in accounts receivable and a decrease in liabilities for the recognition of $4.5 million in deferred revenue.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generated $6.7 million of cash from our operating activities, which primarily consisted of $55.5 million in cash receipts from customers, in addition to non-cash revenue consisting of $3.5 million net recognition of revenue that was previously deferred and $2.3 million of revenue for the 1% sold portion of our royalties, partially offset by $16.8 million of cost of goods sold, $9.8 million of selling expenses, $7.8 million of costs for research and development, $6.7 million of general and administrative expenses, and $5.8 million of net cash paid for interest.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of $6.0 million for the three months ended March 31, 2025 was primarily due to the maturity of $50.4 million of debt securities, partially offset by the purchase of $44.0 million of debt securities.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$48.4 million for the three months ended March 31, 2024 was primarily due to the purchase of $68.4 million of debt securities and $2.4 million of property and equipment, partially offset by the maturity of $22.0 million of debt securities.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$1.4 million for the three months ended March 31, 2025 was primarily due to $1.6 million of payments to taxing authorities from equity withheld upon vesting of RSUs and stock options.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$3.5 million for the three months ended March 31, 2024 was primarily due to principal payments on the MidCap credit facility of $5.0 million partially offset by $1.4 million in proceeds from the MPSPP.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Liquidity Needs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we have not generated net income or cash flows from operating activities on a consistent basis, 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We expect to continue to incur expenditures for the foreseeable future in support of our manufacturing operations, sales and marketing costs for our products and development costs for other product candidates in our pipeline. As of March 31, 2025, we had capital resources comprised of cash, cash equivalents, short-term investments and long-term investments totaling $198.2 million, and total principal amount of outstanding borrowings of $36.3 million.</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at least the next 12 months from the date of issuance of our condensed consolidated financial statements included in Part I – Financial Statements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The senior convertible notes have a fixed interest rate of 2.50%, and therefore the interest expense associated with such debt is not exposed to changes in market interest rates.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information about the principal amount of outstanding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three months ended March 31, 2025, we realized a $2.5 million currency loss, which was reflected as loss on foreign currency transaction in the accompanying condensed consolidated statements of operations.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March 31, 2025 were to have occurred, this change would have resulted in a foreign currency impact to our pre-tax income of approximately $6.1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2025, our Chief Executive Officer and our Chief Financial Officer have concluded, as of such date, that our disclosure controls and procedures were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ind w:left="45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immediately following the below summary, and should be carefully considered, together with other information in this Quarterly Report on Form 10-Q and our other filings with the SEC before making investment decisions regarding our common stock.</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or our collaboration partner are commercializing may only achieve a limited degree of commercial success.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Tyvaso DPI, which could reduce our gross margin and profitability.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policies, including tariffs, sanctions and trade barriers may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data or our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1"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current or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safety and efficacy of approved products may differ from clinical studies, which could negatively impact sales and could lead to reputational harm or other negative effects.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be rendered obsolete by rapid technological change.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1" w:name="page42"/>
    <w:bookmarkEnd w:id="41"/>
    <w:p>
      <w:pPr>
        <w:ind w:left="1020" w:right="8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ongoing government regulation.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020" w:right="4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products that we or our collaboration partner are commercializing may only achieve a limited degree of commercial success.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any products that we may develop or acquire in the future) and the product that is commercialized by our current collaboration partner (including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w:t>
      </w:r>
    </w:p>
    <w:p>
      <w:pPr>
        <w:spacing w:after="0" w:line="7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 or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adoption and sales of our products, we need to continue to develop our commercial organization, including maintaining and growing a highly experienced and skilled workforce with qualified sales representatives.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built a sales force that promotes our products to endocrinologists and selected primary care physicians. In order to successfully commercialize any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retain and effectively manage adequate numbers of effective sales personnel;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complementary products to be offered by sales personnel, which may put us at a competitive disadvantage relative to companies that have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costs and expenses associated with maintaining our sales organization.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are unable to maintain an effective sales force for our products, including potential future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spacing w:after="0" w:line="22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Similarly, if UT does not effectively engage or maintain its sales force for Tyvaso DPI, our ability to recognize royalties and manufacturing revenue from this collaboration will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Tyvaso DPI, which could reduce our gross margin and profitability.*</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our Danbury, Connecticut facility, we assemble the inhalers from their individual molded parts, formulate both the Afrezza and Tyvaso DPI inhalation powders, fill plastic cartridges with the powders, package the cartridges into secondary packaging and assemble the final kits. If and when needed, we also utilize a contract packager to assemble final kits for commercial sale.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If we fail to deliver the required commercial quantities of the product on a timely basis, at commercially reasonable prices and at acceptable quality, and we were unable to promptly find on a timely basis one or more replacement manufacturers capable of production at a substantially equivalent cost, in substantially equivalent volume and quality, we would likely be unable to meet demand for such drug products and we would lose potential revenues.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Unlike Afrezza and Tyvaso DPI, which are assembled and formulated domestically, V-Go is wholly manufactured on our behalf by contract manufacturers located in China.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V-Go business is subject to risks associated with doing business in China, including:</w:t>
      </w:r>
    </w:p>
    <w:p>
      <w:pPr>
        <w:spacing w:after="0" w:line="72" w:lineRule="exact"/>
        <w:rPr>
          <w:sz w:val="20"/>
          <w:szCs w:val="20"/>
          <w:color w:val="auto"/>
        </w:rPr>
      </w:pPr>
    </w:p>
    <w:p>
      <w:pPr>
        <w:ind w:left="1020" w:right="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may be exacerbated by our limited experience with V-Go and its manufacturing processes.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recent enactment of tariffs by the U.S. government, including a tariff on imported goods from China, along with the unpredictability of the rates, poses a significant risk to our V-Go business operations. We expect that such tariffs, if they remain in place or we are unable to obtain an exception, may increase the cost of goods for future orders of V-Go, which could adversely affect our profit margins. We stopped promoting V-Go in the fourth quarter of 2024 and expect that V-Go sales may decline in future periods as new technologies gain market share, making it hard to justify the incremental costs of on-shoring production at this time. We are actively monitoring the situation and exploring strategies to mitigate the risks, but there may be no way to sufficiently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4" w:name="page45"/>
    <w:bookmarkEnd w:id="44"/>
    <w:p>
      <w:pPr>
        <w:ind w:right="120"/>
        <w:spacing w:after="0" w:line="282" w:lineRule="auto"/>
        <w:rPr>
          <w:sz w:val="20"/>
          <w:szCs w:val="20"/>
          <w:color w:val="auto"/>
        </w:rPr>
      </w:pPr>
      <w:r>
        <w:rPr>
          <w:rFonts w:ascii="Times New Roman" w:cs="Times New Roman" w:eastAsia="Times New Roman" w:hAnsi="Times New Roman"/>
          <w:sz w:val="18"/>
          <w:szCs w:val="18"/>
          <w:color w:val="auto"/>
        </w:rPr>
        <w:t>offset the negative impact of tariffs on our V-Go business. See also the risk factor titled “International trade policies, including tariffs, sanctions and trade barriers may adversely affect our business, financial condition, results of operations, and growth prospects.”</w:t>
      </w:r>
    </w:p>
    <w:p>
      <w:pPr>
        <w:spacing w:after="0" w:line="266"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raw materials for formulating powders, such as FDKP, as well as other components, such as the inhaler, the related cartridges and packaging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cGMP for drug products, and the molding of the inhaler and cartridges components in accordance with QSRs.</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p>
    <w:p>
      <w:pPr>
        <w:spacing w:after="0" w:line="18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Because we do not have long-standing relationships with all of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pricing and quality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w:t>
      </w:r>
    </w:p>
    <w:p>
      <w:pPr>
        <w:spacing w:after="0" w:line="18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addition, materials sourced from suppliers located outside the United States have or may become subject to tariffs under U.S. trade policies. Although our current inventories of such materials are sufficient to meet our projected production levels for 2025, our manufacturing costs may be impacted by any prevailing tariffs on imports at the time such materials enter the United States. Components made domestically from imported materials, such as steel and aluminum, that are currently subject to tariffs are also expected to become more expensive in the future. These and any future tariffs will increase our cost of goods and decrease our operating margins.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affect our business and operations. The current international trade and regulatory environment is subject to significant ongoing uncertainty.</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we manufacture Afrezza and Tyvaso DPI in our Danbury, Connecticut facility, we source raw materials, chemicals, device components, and specialized equipment from international suppliers. In addition, V-Go is manufactured for us by contract manufacturers in China. Tariff policies, particularly those affecting China and pharmaceutical products, could materially increase our costs and reduce our profitability. Recent and potential future changes in international trade policies, particularly regarding U.S.-China trade relations and pharmaceutical-specific tariffs, present material risks to our operations and financial performance.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Recent policy discussions have included potential targeted tariffs or other trade measures specifically aimed at pharmaceutical products and ingredients as part of broader healthcare cost control or national security initiatives. Unlike consumer goods, pharmaceuticals face unique regulatory constraints that make rapid supply chain adjustments particularly difficult and costly.</w:t>
      </w:r>
    </w:p>
    <w:p>
      <w:pPr>
        <w:spacing w:after="0" w:line="176"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Our ability to pass increased costs to customers is limited by the structure of pharmaceutical and medical device pricing and reimbursement systems. Pricing for our products is established through annual or multi-year contracts with commercial, third-party payors and pharmacy benefit managers,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 or future tariffs will also result in increased manufacturing expense, as well as research and development expenses, including with respect to increased costs associated with APIs,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royalty revenue and results of operations may also be adversely impacted if our marketing and collaboration partner, United Therapeutics, is adversely impacted by any of the factors described above.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tariffs and other trade developments have and may continue to heighten the risks related to the other risk factors described elsewhere in this report.</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In general, patients are less likely to use our products unless coverage is provided and reimbursement is adequate to cover a significant portion of the cost of our products.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Even if favorable coverage and reimbursement status is attained from some payers for our products, less favorable coverage policies and reimbursement rates may be implemented in the future. Such less favorable coverage could impact the market acceptance of any product and could have a negative effect on our revenues and operating results. Even if we succeed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ind w:right="820"/>
        <w:spacing w:after="0" w:line="282" w:lineRule="auto"/>
        <w:rPr>
          <w:sz w:val="20"/>
          <w:szCs w:val="20"/>
          <w:color w:val="auto"/>
        </w:rPr>
      </w:pPr>
      <w:r>
        <w:rPr>
          <w:rFonts w:ascii="Times New Roman" w:cs="Times New Roman" w:eastAsia="Times New Roman" w:hAnsi="Times New Roman"/>
          <w:sz w:val="18"/>
          <w:szCs w:val="18"/>
          <w:color w:val="auto"/>
        </w:rPr>
        <w:t>bringing more products to market, we cannot be certain that any such products would be considered cost-effective or that coverage and adequate reimbursement to the consumer would be available.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limited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or any collaboration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partner’s ability to successfully commercialize such products and would impact our profitability, results of operations, financial condition,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products that we or a collaboration partner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Afrezza;</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senior convertible notes to require us to repay or repurchase such debt securities if and when required;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senior convertible notes or any other convertible debt securities we may issue are converted into or exchanged for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R&amp;D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V-Go, Tyvaso DPI, our product candidates or competitive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80"/>
        <w:spacing w:after="0" w:line="256" w:lineRule="auto"/>
        <w:rPr>
          <w:sz w:val="20"/>
          <w:szCs w:val="20"/>
          <w:color w:val="auto"/>
        </w:rPr>
      </w:pPr>
      <w:r>
        <w:rPr>
          <w:rFonts w:ascii="Times New Roman" w:cs="Times New Roman" w:eastAsia="Times New Roman" w:hAnsi="Times New Roman"/>
          <w:sz w:val="18"/>
          <w:szCs w:val="18"/>
          <w:color w:val="auto"/>
        </w:rPr>
        <w:t>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00" w:lineRule="exact"/>
        <w:rPr>
          <w:sz w:val="20"/>
          <w:szCs w:val="20"/>
          <w:color w:val="auto"/>
        </w:rPr>
      </w:pPr>
    </w:p>
    <w:p>
      <w:pPr>
        <w:spacing w:after="0" w:line="20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data or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and third parties with whom we work, employ and are increasingly dependent upon information technology systems, infrastructure, applications, websites and other resources. Our business, and that of the third parties with whom we work,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physical threats, such as telecommunications failures, earthquakes, fires or floods, as well as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line="253"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and productivity software, and other functions. We also rely on third-party service providers to provide other products or services, or otherwise to operate our business. Our business, including our ability to manufacture drug products and conduct clinical 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on a timely basis. It may also be difficult and/or costly to detect, investigate, 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have required us to implement and maintain specific security measures, industry-standards or reasonable security measures to protect our information technology systems and sensitive information.</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although we have not directly experienced a cyberattack, third parties with whom we work have experienced security incidents, such as the SolarWinds attack in December 2020, the ransomware attack on Kronos Private Cloud in December 2021 and the Change Healthcare data breach in February 2024. In all of these cases, we were able to apply software patches or move operations to a new provider in order to avoid any negative impact on our operations or the sensitive information we may process. Nonetheless, these incidents illustrate that despite our efforts to identify and remediate vulnerabilities, if any, in our information technology systems and those of third parties with whom we work, our efforts may not be successful.</w:t>
      </w:r>
    </w:p>
    <w:p>
      <w:pPr>
        <w:spacing w:after="0" w:line="19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the use of generative artificial intelligence (“AI”) technologies by our employees, personnel or vendors.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5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achieve and sustain positive cash flow from operations and profitability depends heavily upon successfully commercializing our products, and although we had positive cash flows from operations and net income in the year ended December 31, 2024, we may not continue to generate positive cash flow from operations or be profitable in the future. In addition, we cannot assure you that we will maintain a level of cash flows from operating activities sufficient to permit us to make scheduled payments on our insulin purchase commitments and debt obligations. If our cash flows and capital resources are insufficient to fund our obligations, we may be forced to reduce or delay capital expenditures, sell assets or operations, seek additional capital or restructure or refinance our obligations. In the past, we have had losses that have had, and we may in the future have losses that have, an adverse impact on our working capital, total assets and stockholders’ equity.</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March 31, 2025,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For example, in December 2024, we exchanged an aggregate principal amount of approximately $193.7 million of our senior convertible notes for 26,749,559 shares of our common stock and a cash payment of approximately $89.2 million, and we may seek to retire or purchase the remaining senior convertible notes.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29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policy of strict lockdowns in order to reduce the spread of disease. Disruptions in sales and demand for our products would be expected to occur:</w:t>
      </w:r>
    </w:p>
    <w:p>
      <w:pPr>
        <w:spacing w:after="0" w:line="8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chronic disease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0" w:name="page51"/>
    <w:bookmarkEnd w:id="50"/>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our products to be prescribed and reimbursed.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Afrezza has been approved in the United States, Brazil and India, but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current or future products.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product candidates through our internal research programs. All product candidates require preclinical, clinical and other testing prior to seeking regulatory approval to market them. Accordingly, the development timelines for product candidates can stretch over many years. Further research and development on these programs requires significant financial resources. Given our limited financial resources, we may not be able to complete the full clinical development of our product candidates unless we are able to obtain specific funding for these programs or enter into collaborations with third parties.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8" w:lineRule="exact"/>
        <w:rPr>
          <w:sz w:val="20"/>
          <w:szCs w:val="20"/>
          <w:color w:val="auto"/>
        </w:rPr>
      </w:pPr>
    </w:p>
    <w:p>
      <w:pPr>
        <w:ind w:left="1020" w:right="2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products and product candidates may not reach the statistical significance necessary, or otherwise be sufficient to support FDA or other regulatory approval for the claimed indications;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left="1020" w:right="4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or to source clinical supplies from contract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long-term safety and efficacy of approved products may differ from clinical studies, which could negatively impact sales and could lead to reputational harm or other negative effects.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V-Go received pre-market clearance in 2010 under Section 510(k) of the U.S. Federal Food, Drug, and Cosmetic Act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mandatory product recalls, suspension or withdrawal of FDA clearance or approval, significant legal liability or harm to our business reputation.</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any future acquisition or strategic transaction; we may be unable to successfully integrate new products, technologies or businesses we may acquire.</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periodically evaluate and pursue acquisition of therapeutic products or product candidates and technologies. The integration of any acquired business, product, technology or other assets into our company may be complex and time-consuming and, if such businesses, products, technologies or assets are not successfully integrated, we may not achieve the anticipated benefits, cost-savings or growth opportunities. Potential difficulties that may be encountered in the integration process include the following:</w:t>
      </w:r>
    </w:p>
    <w:p>
      <w:pPr>
        <w:spacing w:after="0" w:line="7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rendered obsolete by rapid technological change.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our operations and our ability to execute our business strategy could be materially harmed.</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2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may be subject to limitations.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$1.9 billion and $1.3 billion available, respectively, to reduce future taxable income. $492.9 million of the federal net operating loss carryforwards do not expire and the remaining federal net operating loss carryforwards will begin expiring in 2026 through various future dates.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2024, to determine whether additional limitations apply to the net operating loss carryforwards and other tax attributes, and no additional changes in ownership that met Section 382 study ownership change threshold have been identified through December 31, 2024. There is a risk that changes in ownership may occur in tax years after December 31, 2024.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5" w:name="page56"/>
    <w:bookmarkEnd w:id="55"/>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29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Disruptions or significant changes in staffing levels at the FDA and other agencies may also slow the time necessary for new drugs to be reviewed and/or approved by necessary government agencies, which would adversely affect our business. For example, over the last decade,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at banking institutions in the United States that we believe are of high quality. Cash held in these accounts often exceed the Federal Deposit Insurance Corporation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7" w:name="page58"/>
    <w:bookmarkEnd w:id="57"/>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9" w:lineRule="exact"/>
        <w:rPr>
          <w:sz w:val="20"/>
          <w:szCs w:val="20"/>
          <w:color w:val="auto"/>
        </w:rPr>
      </w:pPr>
    </w:p>
    <w:p>
      <w:pPr>
        <w:ind w:left="1020" w:right="6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the approval of Afrezza, the FDA required us to conduct certain additional clinical studies of Afrezza, including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 New Drug Application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has been a number of legislative and regulatory proposals in recent years to change the healthcare system in ways that could impact our ability to sell our products profitably. For example, the Patient Protection and Affordable Care Act ("PPACA"), enacted in March 2010, substantially changed the way healthcare is financed by both governmental and private insurers and continues to significantly affect the healthcare industry. There have been executive, judicial and congressional challenges and amendments to certain provisions of the PPACA. In addition, there have been proposed and enacted health reform initiatives affecting the PPACA. For example, the Inflation Reduction Act of 2022 ("IRA")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capped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See the discussion above in Item 1 – Business; Government Regulation, Price and Reimbursement.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expect that the IRA, as well as other healthcare reform measures that may be adopted in the future, are likely to have a significant effect on the pharmaceutical industry, may result in more rigorous coverage criteria and in additional downward pressure on the price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140"/>
        <w:spacing w:after="0" w:line="266" w:lineRule="auto"/>
        <w:rPr>
          <w:sz w:val="20"/>
          <w:szCs w:val="20"/>
          <w:color w:val="auto"/>
        </w:rPr>
      </w:pPr>
      <w:r>
        <w:rPr>
          <w:rFonts w:ascii="Times New Roman" w:cs="Times New Roman" w:eastAsia="Times New Roman" w:hAnsi="Times New Roman"/>
          <w:sz w:val="18"/>
          <w:szCs w:val="18"/>
          <w:color w:val="auto"/>
        </w:rPr>
        <w:t>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the U.S. Department of Health and Human Services ("HHS"), the FDA, the Centers for Medicare and Medicaid Services (“CMS”) and related agencies. These actions, presently directed by executive orders or memoranda from the Office of Management and Budget, may propose policy changes that create additional uncertainty for MannKind’s business. These actions include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directing HHS and other agencies to lower prescription drug costs for Medicare through a variety of initiatives, including by improving upon the Medicare Drug Price Negotiation Program, and directing certain federal agencies to enforce existing law regarding hospital and plan price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Finally, Congress may introduce and ultimately pass health care related legislation that could impact the drug approval process and make changes to the Medicare Drug Price Negotiation Program created under the IRA.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30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5" w:lineRule="exact"/>
        <w:rPr>
          <w:sz w:val="20"/>
          <w:szCs w:val="20"/>
          <w:color w:val="auto"/>
        </w:rPr>
      </w:pPr>
    </w:p>
    <w:p>
      <w:pPr>
        <w:ind w:left="1020" w:right="140" w:hanging="503"/>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9" w:lineRule="exact"/>
        <w:rPr>
          <w:rFonts w:ascii="Times New Roman" w:cs="Times New Roman" w:eastAsia="Times New Roman" w:hAnsi="Times New Roman"/>
          <w:sz w:val="18"/>
          <w:szCs w:val="18"/>
          <w:color w:val="auto"/>
        </w:rPr>
      </w:pPr>
    </w:p>
    <w:p>
      <w:pPr>
        <w:ind w:left="1020" w:right="120" w:hanging="503"/>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9"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the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0" w:name="page61"/>
    <w:bookmarkEnd w:id="60"/>
    <w:p>
      <w:pPr>
        <w:ind w:left="1020" w:right="180"/>
        <w:spacing w:after="0" w:line="266" w:lineRule="auto"/>
        <w:rPr>
          <w:sz w:val="20"/>
          <w:szCs w:val="20"/>
          <w:color w:val="auto"/>
        </w:rPr>
      </w:pPr>
      <w:r>
        <w:rPr>
          <w:rFonts w:ascii="Times New Roman" w:cs="Times New Roman" w:eastAsia="Times New Roman" w:hAnsi="Times New Roman"/>
          <w:sz w:val="18"/>
          <w:szCs w:val="18"/>
          <w:color w:val="auto"/>
        </w:rPr>
        <w:t>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68" w:lineRule="exact"/>
        <w:rPr>
          <w:sz w:val="20"/>
          <w:szCs w:val="20"/>
          <w:color w:val="auto"/>
        </w:rPr>
      </w:pPr>
    </w:p>
    <w:p>
      <w:pPr>
        <w:ind w:left="1020" w:hanging="503"/>
        <w:spacing w:after="0" w:line="254"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9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We cannot ensure that all our employees, agents, contractors, vendors, licensees, partners or collaborators will comply with all applicable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3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are being considered in several other states, as well as at the federal</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ind w:right="80"/>
        <w:spacing w:after="0" w:line="282" w:lineRule="auto"/>
        <w:rPr>
          <w:sz w:val="20"/>
          <w:szCs w:val="20"/>
          <w:color w:val="auto"/>
        </w:rPr>
      </w:pPr>
      <w:r>
        <w:rPr>
          <w:rFonts w:ascii="Times New Roman" w:cs="Times New Roman" w:eastAsia="Times New Roman" w:hAnsi="Times New Roman"/>
          <w:sz w:val="18"/>
          <w:szCs w:val="18"/>
          <w:color w:val="auto"/>
        </w:rPr>
        <w:t>and local levels, and we expect more states to pass similar laws in the future. These developments further complicate compliance efforts and increase legal risk and compliance costs for us and the third parties with whom we work.</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GDPR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such as the Department of Justice, are also increasingly scrutinizing certain personal data transfers and have imposed and may enact certain data localization requirements, particularly if we transfer personal data to, or process personal data of residents of, high risk or sanctioned jurisdictions, such as the Biden Administration’s executive order Preventing Access to Americans’ Bulk Sensitive Personal Data and United States Government-Related Data by Countries of Concern.</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2" w:name="page63"/>
    <w:bookmarkEnd w:id="62"/>
    <w:p>
      <w:pPr>
        <w:ind w:right="100"/>
        <w:spacing w:after="0" w:line="256" w:lineRule="auto"/>
        <w:rPr>
          <w:sz w:val="20"/>
          <w:szCs w:val="20"/>
          <w:color w:val="auto"/>
        </w:rPr>
      </w:pPr>
      <w:r>
        <w:rPr>
          <w:rFonts w:ascii="Times New Roman" w:cs="Times New Roman" w:eastAsia="Times New Roman" w:hAnsi="Times New Roman"/>
          <w:sz w:val="18"/>
          <w:szCs w:val="18"/>
          <w:color w:val="auto"/>
        </w:rPr>
        <w:t>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9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("ESG") matters or our reporting of such matters.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For example, we have not previously reported our environmental emissions. The SEC recently finalized rules designed to enhance and standardize climate-related disclosures. These climate disclosure rules have been challenged in court and the SEC has issued an order staying their implementation pending the outcome of judicial review. These new climate-related disclosures, if required, may significantly increase our compliance and reporting costs and may also result in disclosures that certain investors or other stakeholders deem to impact our reputation negatively and/or that harm our stock price.</w:t>
      </w:r>
    </w:p>
    <w:p>
      <w:pPr>
        <w:spacing w:after="0" w:line="2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240"/>
        <w:spacing w:after="0" w:line="282" w:lineRule="auto"/>
        <w:rPr>
          <w:sz w:val="20"/>
          <w:szCs w:val="20"/>
          <w:color w:val="auto"/>
        </w:rPr>
      </w:pPr>
      <w:r>
        <w:rPr>
          <w:rFonts w:ascii="Times New Roman" w:cs="Times New Roman" w:eastAsia="Times New Roman" w:hAnsi="Times New Roman"/>
          <w:sz w:val="18"/>
          <w:szCs w:val="18"/>
          <w:color w:val="auto"/>
        </w:rPr>
        <w:t>and be subject to the restrictions of the ‘40 Act, those restrictions likely would require significant changes in the way we do business and add significant administrative costs and burdens to our operations.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Although we do not believe that our products or product candidates infringe any third-party patents, if a plaintiff was to allege infringement of their patent rights, we would have to establish with the court that their patents are invalid or unenforceable in order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5" w:name="page66"/>
    <w:bookmarkEnd w:id="65"/>
    <w:p>
      <w:pPr>
        <w:spacing w:after="0" w:line="256" w:lineRule="auto"/>
        <w:rPr>
          <w:sz w:val="20"/>
          <w:szCs w:val="20"/>
          <w:color w:val="auto"/>
        </w:rPr>
      </w:pPr>
      <w:r>
        <w:rPr>
          <w:rFonts w:ascii="Times New Roman" w:cs="Times New Roman" w:eastAsia="Times New Roman" w:hAnsi="Times New Roman"/>
          <w:sz w:val="18"/>
          <w:szCs w:val="18"/>
          <w:color w:val="auto"/>
        </w:rPr>
        <w:t>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8" w:lineRule="exact"/>
        <w:rPr>
          <w:sz w:val="20"/>
          <w:szCs w:val="20"/>
          <w:color w:val="auto"/>
        </w:rPr>
      </w:pPr>
    </w:p>
    <w:p>
      <w:pPr>
        <w:ind w:left="1020" w:right="11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commercialization of our products in foreign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royalties, prescriptions or other operating metrics;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such as inflation, tariffs, and other fiscal and trade policy changes, especially for emerging growth and pharmaceutical market sectors;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67" w:name="page68"/>
    <w:bookmarkEnd w:id="6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p>
    <w:p>
      <w:pPr>
        <w:spacing w:after="0" w:line="28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8" w:name="page69"/>
    <w:bookmarkEnd w:id="68"/>
    <w:p>
      <w:pPr>
        <w:ind w:right="28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There is no guarantee that our common stock will appreciate or maintain its current price. You could lose the entire value of any investment in our common stock.</w:t>
      </w:r>
    </w:p>
    <w:p>
      <w:pPr>
        <w:spacing w:after="0" w:line="2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Likewise, the issuance of additional shares of our common stock upon the exchange or conversion of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a substantial number of shares of our common stock is reserved for issuance upon the exercise of stock options, the vesting of restricted stock unit awards and purchases under our ESPP. The issuance or sale of substantial amounts of common stock, or the perception that such issuances or sales may occur, could adversely affect the market price of our common stock and other securities.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global credit and financial markets have recently experienced extreme volatility and disruptions.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 volatile business environment, currency fluctuations, actual or anticipated bank failures,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20"/>
        <w:spacing w:after="0" w:line="256" w:lineRule="auto"/>
        <w:rPr>
          <w:sz w:val="20"/>
          <w:szCs w:val="20"/>
          <w:color w:val="auto"/>
        </w:rPr>
      </w:pPr>
      <w:r>
        <w:rPr>
          <w:rFonts w:ascii="Times New Roman" w:cs="Times New Roman" w:eastAsia="Times New Roman" w:hAnsi="Times New Roman"/>
          <w:sz w:val="18"/>
          <w:szCs w:val="18"/>
          <w:color w:val="auto"/>
        </w:rPr>
        <w:t>tariffs and trade wars,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subsequently a larger regional conflict. Furthermore, following Hamas’ attack on Israel, the Houthi movement, which controls parts of Yemen, launched a number of attacks on commercial marine vessels in the Red Sea. The Red Sea is an important maritime route for international trade and as such disruptions to these trade routes can have an impact on global supply chains. As a result of such disruptions, we may experience in the future extended lead times, delays in supplier deliveries, and increased freight costs.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Currently, our manufacturing facility in Connecticut is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in March 2023, Silicon Valley Bank (“SVB”) was closed by the California Department of Financial Protection and Innovation, which appointed the FDIC as receiver. Similarly, days later, Signature Bank and Silvergate Capital Corp. were each swept into receivership. In addition, in May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380"/>
        <w:spacing w:after="0" w:line="282" w:lineRule="auto"/>
        <w:rPr>
          <w:sz w:val="20"/>
          <w:szCs w:val="20"/>
          <w:color w:val="auto"/>
        </w:rPr>
      </w:pPr>
      <w:r>
        <w:rPr>
          <w:rFonts w:ascii="Times New Roman" w:cs="Times New Roman" w:eastAsia="Times New Roman" w:hAnsi="Times New Roman"/>
          <w:sz w:val="18"/>
          <w:szCs w:val="18"/>
          <w:color w:val="auto"/>
        </w:rPr>
        <w:t>uninsured loss of deposits or other financial assets; or termination of cash management arrangements and/or delays in accessing or actual loss of funds subject to cash management arrangements.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0" w:lineRule="exact"/>
        <w:rPr>
          <w:sz w:val="20"/>
          <w:szCs w:val="20"/>
          <w:color w:val="auto"/>
        </w:rPr>
      </w:pPr>
    </w:p>
    <w:p>
      <w:pPr>
        <w:spacing w:after="0" w:line="201" w:lineRule="exact"/>
        <w:rPr>
          <w:sz w:val="20"/>
          <w:szCs w:val="20"/>
          <w:color w:val="auto"/>
        </w:rPr>
      </w:pPr>
    </w:p>
    <w:p>
      <w:pPr>
        <w:ind w:right="41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4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4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Amended and Restated Certificate of Incorporation (incorporated by reference to Exhibit 3.1 to MannKind’s Quarterly Report on Form 10-</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Q (File No. 000-50865), filed with the SEC on August 9, 2016).</w:t>
              </w:r>
            </w:hyperlink>
          </w:p>
        </w:tc>
        <w:tc>
          <w:tcPr>
            <w:tcW w:w="5400" w:type="dxa"/>
            <w:vAlign w:val="bottom"/>
            <w:tcBorders>
              <w:top w:val="single" w:sz="8" w:color="0000FF"/>
            </w:tcBorders>
            <w:gridSpan w:val="17"/>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Exhibit 3.1 to MannKind’s Current Report on Form 8-K (File No. 000-50865), filed with the SEC on March 2,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Exhibit 3.1 to MannKind’s Current Report on Form 8-K (File No. 000-50865), filed with the SEC on December 13,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Exhibit 3.1 to MannKind’s Current Report on Form 8-K (File No. 000-50865), filed with the SEC on May 27, 2020).</w:t>
              </w:r>
            </w:hyperlink>
          </w:p>
        </w:tc>
        <w:tc>
          <w:tcPr>
            <w:tcW w:w="1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4"/>
                <w:szCs w:val="24"/>
                <w:color w:val="auto"/>
              </w:rPr>
            </w:pP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Certificate of Amendment of Amended and Restated Certificate of Incorporation of MannKind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Exhibit 3.1 to MannKind’s Current Report on Form 8-K (File No. 000-50865), filed with the SEC on May 30, 2023).</w:t>
              </w:r>
            </w:hyperlink>
          </w:p>
        </w:tc>
        <w:tc>
          <w:tcPr>
            <w:tcW w:w="1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4"/>
                <w:szCs w:val="24"/>
                <w:color w:val="auto"/>
              </w:rPr>
            </w:pPr>
          </w:p>
        </w:tc>
        <w:tc>
          <w:tcPr>
            <w:tcW w:w="95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Amended and Restated Bylaws (incorporated by reference to Exhibit 3.2 to MannKind’s Current Report on Form 8-K (File No. 000-</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50865)</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May 27, 2020).</w:t>
              </w:r>
            </w:hyperlink>
          </w:p>
        </w:tc>
        <w:tc>
          <w:tcPr>
            <w:tcW w:w="67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261">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 </w:t>
            </w:r>
            <w:hyperlink r:id="rId262">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 xml:space="preserve">, </w:t>
            </w:r>
            <w:hyperlink r:id="rId263">
              <w:r>
                <w:rPr>
                  <w:rFonts w:ascii="Times New Roman" w:cs="Times New Roman" w:eastAsia="Times New Roman" w:hAnsi="Times New Roman"/>
                  <w:sz w:val="18"/>
                  <w:szCs w:val="18"/>
                  <w:color w:val="0000FF"/>
                </w:rPr>
                <w:t>3.3</w:t>
              </w:r>
            </w:hyperlink>
            <w:r>
              <w:rPr>
                <w:rFonts w:ascii="Times New Roman" w:cs="Times New Roman" w:eastAsia="Times New Roman" w:hAnsi="Times New Roman"/>
                <w:sz w:val="18"/>
                <w:szCs w:val="18"/>
                <w:color w:val="auto"/>
              </w:rPr>
              <w:t xml:space="preserve">, </w:t>
            </w:r>
            <w:hyperlink r:id="rId264">
              <w:r>
                <w:rPr>
                  <w:rFonts w:ascii="Times New Roman" w:cs="Times New Roman" w:eastAsia="Times New Roman" w:hAnsi="Times New Roman"/>
                  <w:sz w:val="18"/>
                  <w:szCs w:val="18"/>
                  <w:color w:val="0000FF"/>
                </w:rPr>
                <w:t>3.4</w:t>
              </w:r>
            </w:hyperlink>
            <w:r>
              <w:rPr>
                <w:rFonts w:ascii="Times New Roman" w:cs="Times New Roman" w:eastAsia="Times New Roman" w:hAnsi="Times New Roman"/>
                <w:sz w:val="18"/>
                <w:szCs w:val="18"/>
                <w:color w:val="auto"/>
              </w:rPr>
              <w:t xml:space="preserve">, </w:t>
            </w:r>
            <w:hyperlink r:id="rId265">
              <w:r>
                <w:rPr>
                  <w:rFonts w:ascii="Times New Roman" w:cs="Times New Roman" w:eastAsia="Times New Roman" w:hAnsi="Times New Roman"/>
                  <w:sz w:val="18"/>
                  <w:szCs w:val="18"/>
                  <w:color w:val="0000FF"/>
                </w:rPr>
                <w:t>3.5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266">
              <w:r>
                <w:rPr>
                  <w:rFonts w:ascii="Times New Roman" w:cs="Times New Roman" w:eastAsia="Times New Roman" w:hAnsi="Times New Roman"/>
                  <w:sz w:val="18"/>
                  <w:szCs w:val="18"/>
                  <w:color w:val="0000FF"/>
                </w:rPr>
                <w:t>3.6</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100" w:type="dxa"/>
            <w:vAlign w:val="bottom"/>
            <w:gridSpan w:val="40"/>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of common stock certificate (incorporated by reference to Exhibit 4.2 to MannKind’s Annual Report on Form 10-K (File No. 000-</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50865)</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March 16, 2017).</w:t>
              </w:r>
            </w:hyperlink>
          </w:p>
        </w:tc>
        <w:tc>
          <w:tcPr>
            <w:tcW w:w="6360" w:type="dxa"/>
            <w:vAlign w:val="bottom"/>
            <w:tcBorders>
              <w:top w:val="single" w:sz="8" w:color="0000FF"/>
            </w:tcBorders>
            <w:gridSpan w:val="18"/>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97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Milestone Rights Purchase Agreement, dated as of July 1, 2013, by and among MannKind, Deerfield Private Design Fund II, L.P. and</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Horizon Santé FLML SÁRL (incorporated by reference to Exhibit 99.3 to MannKind’s Current Report on Form 8-K (File No. 000-50865),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filed with the SEC on July 1, 2013).</w:t>
              </w:r>
            </w:hyperlink>
          </w:p>
        </w:tc>
        <w:tc>
          <w:tcPr>
            <w:tcW w:w="75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96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Form of Warrant to Purchase Stock issued to MidCap Financial Trust on August 6, 2019 (incorporated by reference to Exhibit 4.1 to</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tcBorders>
              <w:right w:val="single" w:sz="8" w:color="0000FF"/>
            </w:tcBorders>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9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Indenture, dated as of March 4, 2021, by and between MannKind Corporation and U.S. Bank National Association, as Trustee</w:t>
              </w:r>
            </w:hyperlink>
          </w:p>
        </w:tc>
        <w:tc>
          <w:tcPr>
            <w:tcW w:w="9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(incorporated by reference to Exhibit 4.1 to MannKind’s Current Report on Form 8-K (File No. 000-50865), filed with the SEC on March</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270">
              <w:r>
                <w:rPr>
                  <w:rFonts w:ascii="Times New Roman" w:cs="Times New Roman" w:eastAsia="Times New Roman" w:hAnsi="Times New Roman"/>
                  <w:sz w:val="18"/>
                  <w:szCs w:val="18"/>
                  <w:color w:val="0000FF"/>
                  <w:w w:val="96"/>
                </w:rPr>
                <w:t>5, 2021).</w:t>
              </w:r>
            </w:hyperlink>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96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Form of Global Note, representing MannKind Corporation’s 2.50% Convertible Senior Notes due 2026 (included as Exhibit A to the</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Indenture filed as Exhibit 4.15) (incorporated by reference to Exhibit 4.2 to MannKind’s Current Report on Form 8-K (File No. 000-</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50865)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March 5, 2021).</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tcBorders>
              <w:right w:val="single" w:sz="8" w:color="0000EE"/>
            </w:tcBorders>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Non-Employee Director Compensation Policy.</w:t>
            </w:r>
          </w:p>
        </w:tc>
        <w:tc>
          <w:tcPr>
            <w:tcW w:w="20" w:type="dxa"/>
            <w:vAlign w:val="bottom"/>
            <w:tcBorders>
              <w:bottom w:val="single" w:sz="8" w:color="0000EE"/>
            </w:tcBorders>
          </w:tcPr>
          <w:p>
            <w:pPr>
              <w:spacing w:after="0"/>
              <w:rPr>
                <w:sz w:val="24"/>
                <w:szCs w:val="24"/>
                <w:color w:val="auto"/>
              </w:rPr>
            </w:pPr>
          </w:p>
        </w:tc>
        <w:tc>
          <w:tcPr>
            <w:tcW w:w="670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3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Fifth Amendment to Commercial Supply Agreement, dated January 8, 2024, by and between MannKind and United Therapeutics</w:t>
            </w:r>
          </w:p>
        </w:tc>
        <w:tc>
          <w:tcPr>
            <w:tcW w:w="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Corporation.</w:t>
            </w:r>
          </w:p>
        </w:tc>
        <w:tc>
          <w:tcPr>
            <w:tcW w:w="20" w:type="dxa"/>
            <w:vAlign w:val="bottom"/>
            <w:tcBorders>
              <w:bottom w:val="single" w:sz="8" w:color="0000EE"/>
            </w:tcBorders>
          </w:tcPr>
          <w:p>
            <w:pPr>
              <w:spacing w:after="0"/>
              <w:rPr>
                <w:sz w:val="17"/>
                <w:szCs w:val="17"/>
                <w:color w:val="auto"/>
              </w:rPr>
            </w:pPr>
          </w:p>
        </w:tc>
        <w:tc>
          <w:tcPr>
            <w:tcW w:w="916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5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Sixth Amendment to Commercial Supply Agreement, dated December 2, 2024, by and between MannKind and United Therapeutics</w:t>
            </w:r>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Corporation.</w:t>
            </w:r>
          </w:p>
        </w:tc>
        <w:tc>
          <w:tcPr>
            <w:tcW w:w="918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4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Rules 13a-14(a) and 15d-14(a) of the Securities Exchange Act of 1934, as</w:t>
            </w:r>
          </w:p>
        </w:tc>
        <w:tc>
          <w:tcPr>
            <w:tcW w:w="6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40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6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Rules 13a-14(a) and 15d-14(a) of the Securities Exchange Act of 1934, as amended.</w:t>
            </w:r>
          </w:p>
        </w:tc>
        <w:tc>
          <w:tcPr>
            <w:tcW w:w="20" w:type="dxa"/>
            <w:vAlign w:val="bottom"/>
            <w:tcBorders>
              <w:bottom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10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Rules 13a-14(b) and 15d-14(b) of the Securities Exchange Act of 1934, as amended</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and Section 1350 of Chapter 63 of Title 18 of the United States Code (18 U.S.C. §1350).</w:t>
            </w:r>
          </w:p>
        </w:tc>
        <w:tc>
          <w:tcPr>
            <w:tcW w:w="20" w:type="dxa"/>
            <w:vAlign w:val="bottom"/>
            <w:tcBorders>
              <w:bottom w:val="single" w:sz="8" w:color="0000EE"/>
            </w:tcBorders>
          </w:tcPr>
          <w:p>
            <w:pPr>
              <w:spacing w:after="0"/>
              <w:rPr>
                <w:sz w:val="17"/>
                <w:szCs w:val="17"/>
                <w:color w:val="auto"/>
              </w:rPr>
            </w:pPr>
          </w:p>
        </w:tc>
        <w:tc>
          <w:tcPr>
            <w:tcW w:w="3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08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Rules 13a-14(b) and 15d-14(b) of the Securities Exchange Act of 1934, as amended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and Section 1350 of Chapter 63 of Title 18 of the United States Code (18 U.S.C. §1350).</w:t>
            </w:r>
          </w:p>
        </w:tc>
        <w:tc>
          <w:tcPr>
            <w:tcW w:w="37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00" w:type="dxa"/>
            <w:vAlign w:val="bottom"/>
          </w:tcPr>
          <w:p>
            <w:pPr>
              <w:spacing w:after="0"/>
              <w:rPr>
                <w:sz w:val="24"/>
                <w:szCs w:val="24"/>
                <w:color w:val="auto"/>
              </w:rPr>
            </w:pPr>
          </w:p>
        </w:tc>
        <w:tc>
          <w:tcPr>
            <w:tcW w:w="4760" w:type="dxa"/>
            <w:vAlign w:val="bottom"/>
            <w:gridSpan w:val="21"/>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100" w:type="dxa"/>
            <w:vAlign w:val="bottom"/>
            <w:vMerge w:val="restart"/>
          </w:tcPr>
          <w:p>
            <w:pPr>
              <w:ind w:left="42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00" w:type="dxa"/>
            <w:vAlign w:val="bottom"/>
          </w:tcPr>
          <w:p>
            <w:pPr>
              <w:jc w:val="right"/>
              <w:ind w:right="46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Interactive Data Files pursuant to Rule 405 of Regulation S-T.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140" w:hanging="952"/>
        <w:spacing w:after="0"/>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has been formatted in Inline XBRL.</w:t>
      </w:r>
    </w:p>
    <w:p>
      <w:pPr>
        <w:spacing w:after="0" w:line="22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May 8, 2025</w:t>
      </w:r>
      <w:r>
        <w:rPr>
          <w:sz w:val="20"/>
          <w:szCs w:val="20"/>
          <w:color w:val="auto"/>
        </w:rPr>
        <w:tab/>
      </w:r>
      <w:r>
        <w:rPr>
          <w:rFonts w:ascii="Times New Roman" w:cs="Times New Roman" w:eastAsia="Times New Roman" w:hAnsi="Times New Roman"/>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34"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November 17, 2017</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Modified November 14, 2018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Modified August 2, 2024</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820" w:type="dxa"/>
            <w:vAlign w:val="bottom"/>
            <w:tcBorders>
              <w:right w:val="single" w:sz="8" w:color="auto"/>
            </w:tcBorders>
          </w:tcPr>
          <w:p>
            <w:pPr>
              <w:spacing w:after="0"/>
              <w:rPr>
                <w:sz w:val="24"/>
                <w:szCs w:val="24"/>
                <w:color w:val="auto"/>
              </w:rPr>
            </w:pPr>
          </w:p>
        </w:tc>
        <w:tc>
          <w:tcPr>
            <w:tcW w:w="3660" w:type="dxa"/>
            <w:vAlign w:val="bottom"/>
            <w:tcBorders>
              <w:top w:val="single" w:sz="8" w:color="auto"/>
              <w:bottom w:val="single" w:sz="8" w:color="D9D9D9"/>
              <w:right w:val="single" w:sz="8" w:color="auto"/>
            </w:tcBorders>
            <w:shd w:val="clear" w:color="auto" w:fill="D9D9D9"/>
          </w:tcPr>
          <w:p>
            <w:pPr>
              <w:ind w:left="1420"/>
              <w:spacing w:after="0"/>
              <w:rPr>
                <w:sz w:val="20"/>
                <w:szCs w:val="20"/>
                <w:color w:val="auto"/>
              </w:rPr>
            </w:pPr>
            <w:r>
              <w:rPr>
                <w:rFonts w:ascii="Times New Roman" w:cs="Times New Roman" w:eastAsia="Times New Roman" w:hAnsi="Times New Roman"/>
                <w:sz w:val="22"/>
                <w:szCs w:val="22"/>
                <w:b w:val="1"/>
                <w:bCs w:val="1"/>
                <w:color w:val="auto"/>
              </w:rPr>
              <w:t>Element</w:t>
            </w:r>
          </w:p>
        </w:tc>
        <w:tc>
          <w:tcPr>
            <w:tcW w:w="5980" w:type="dxa"/>
            <w:vAlign w:val="bottom"/>
            <w:tcBorders>
              <w:top w:val="single" w:sz="8" w:color="auto"/>
              <w:bottom w:val="single" w:sz="8" w:color="D9D9D9"/>
              <w:right w:val="single" w:sz="8" w:color="auto"/>
            </w:tcBorders>
            <w:shd w:val="clear" w:color="auto" w:fill="D9D9D9"/>
          </w:tcPr>
          <w:p>
            <w:pPr>
              <w:ind w:left="2580"/>
              <w:spacing w:after="0"/>
              <w:rPr>
                <w:sz w:val="20"/>
                <w:szCs w:val="20"/>
                <w:color w:val="auto"/>
              </w:rPr>
            </w:pPr>
            <w:r>
              <w:rPr>
                <w:rFonts w:ascii="Times New Roman" w:cs="Times New Roman" w:eastAsia="Times New Roman" w:hAnsi="Times New Roman"/>
                <w:sz w:val="22"/>
                <w:szCs w:val="22"/>
                <w:b w:val="1"/>
                <w:bCs w:val="1"/>
                <w:color w:val="auto"/>
              </w:rPr>
              <w:t>Amount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0" w:type="dxa"/>
            <w:vAlign w:val="bottom"/>
            <w:tcBorders>
              <w:right w:val="single" w:sz="8" w:color="666666"/>
            </w:tcBorders>
          </w:tcPr>
          <w:p>
            <w:pPr>
              <w:spacing w:after="0"/>
              <w:rPr>
                <w:sz w:val="23"/>
                <w:szCs w:val="23"/>
                <w:color w:val="auto"/>
              </w:rPr>
            </w:pPr>
          </w:p>
        </w:tc>
        <w:tc>
          <w:tcPr>
            <w:tcW w:w="3660" w:type="dxa"/>
            <w:vAlign w:val="bottom"/>
            <w:tcBorders>
              <w:top w:val="single" w:sz="8" w:color="auto"/>
              <w:right w:val="single" w:sz="8" w:color="666666"/>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Annual Cash Retainer</w:t>
            </w:r>
          </w:p>
        </w:tc>
        <w:tc>
          <w:tcPr>
            <w:tcW w:w="5980" w:type="dxa"/>
            <w:vAlign w:val="bottom"/>
            <w:tcBorders>
              <w:top w:val="single" w:sz="8" w:color="auto"/>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$50,000 (cash)</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In lieu of cash, a director can elect to receive a RSU valued at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Borders>
              <w:right w:val="single" w:sz="8" w:color="666666"/>
            </w:tcBorders>
          </w:tcPr>
          <w:p>
            <w:pPr>
              <w:spacing w:after="0"/>
              <w:rPr>
                <w:sz w:val="21"/>
                <w:szCs w:val="21"/>
                <w:color w:val="auto"/>
              </w:rPr>
            </w:pPr>
          </w:p>
        </w:tc>
        <w:tc>
          <w:tcPr>
            <w:tcW w:w="3660" w:type="dxa"/>
            <w:vAlign w:val="bottom"/>
            <w:tcBorders>
              <w:right w:val="single" w:sz="8" w:color="666666"/>
            </w:tcBorders>
          </w:tcPr>
          <w:p>
            <w:pPr>
              <w:spacing w:after="0"/>
              <w:rPr>
                <w:sz w:val="21"/>
                <w:szCs w:val="21"/>
                <w:color w:val="auto"/>
              </w:rPr>
            </w:pPr>
          </w:p>
        </w:tc>
        <w:tc>
          <w:tcPr>
            <w:tcW w:w="5980" w:type="dxa"/>
            <w:vAlign w:val="bottom"/>
            <w:tcBorders>
              <w:right w:val="single" w:sz="8" w:color="666666"/>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w w:val="99"/>
              </w:rPr>
              <w:t>$50,000 on the basis of the 20-day trailing average closing price as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Borders>
              <w:right w:val="single" w:sz="8" w:color="666666"/>
            </w:tcBorders>
          </w:tcPr>
          <w:p>
            <w:pPr>
              <w:spacing w:after="0"/>
              <w:rPr>
                <w:sz w:val="21"/>
                <w:szCs w:val="21"/>
                <w:color w:val="auto"/>
              </w:rPr>
            </w:pPr>
          </w:p>
        </w:tc>
        <w:tc>
          <w:tcPr>
            <w:tcW w:w="3660" w:type="dxa"/>
            <w:vAlign w:val="bottom"/>
            <w:tcBorders>
              <w:right w:val="single" w:sz="8" w:color="666666"/>
            </w:tcBorders>
          </w:tcPr>
          <w:p>
            <w:pPr>
              <w:spacing w:after="0"/>
              <w:rPr>
                <w:sz w:val="21"/>
                <w:szCs w:val="21"/>
                <w:color w:val="auto"/>
              </w:rPr>
            </w:pPr>
          </w:p>
        </w:tc>
        <w:tc>
          <w:tcPr>
            <w:tcW w:w="5980" w:type="dxa"/>
            <w:vAlign w:val="bottom"/>
            <w:tcBorders>
              <w:right w:val="single" w:sz="8" w:color="666666"/>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of the trading day immediately preceding the date of the annual</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meeting</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20" w:type="dxa"/>
            <w:vAlign w:val="bottom"/>
            <w:tcBorders>
              <w:right w:val="single" w:sz="8" w:color="666666"/>
            </w:tcBorders>
          </w:tcPr>
          <w:p>
            <w:pPr>
              <w:spacing w:after="0"/>
              <w:rPr>
                <w:sz w:val="8"/>
                <w:szCs w:val="8"/>
                <w:color w:val="auto"/>
              </w:rPr>
            </w:pPr>
          </w:p>
        </w:tc>
        <w:tc>
          <w:tcPr>
            <w:tcW w:w="3660" w:type="dxa"/>
            <w:vAlign w:val="bottom"/>
            <w:tcBorders>
              <w:bottom w:val="single" w:sz="8" w:color="666666"/>
              <w:right w:val="single" w:sz="8" w:color="666666"/>
            </w:tcBorders>
          </w:tcPr>
          <w:p>
            <w:pPr>
              <w:spacing w:after="0"/>
              <w:rPr>
                <w:sz w:val="8"/>
                <w:szCs w:val="8"/>
                <w:color w:val="auto"/>
              </w:rPr>
            </w:pPr>
          </w:p>
        </w:tc>
        <w:tc>
          <w:tcPr>
            <w:tcW w:w="5980" w:type="dxa"/>
            <w:vAlign w:val="bottom"/>
            <w:tcBorders>
              <w:bottom w:val="single" w:sz="8" w:color="666666"/>
              <w:right w:val="single" w:sz="8" w:color="666666"/>
            </w:tcBorders>
          </w:tcPr>
          <w:p>
            <w:pPr>
              <w:spacing w:after="0"/>
              <w:rPr>
                <w:sz w:val="8"/>
                <w:szCs w:val="8"/>
                <w:color w:val="auto"/>
              </w:rPr>
            </w:pPr>
          </w:p>
        </w:tc>
        <w:tc>
          <w:tcPr>
            <w:tcW w:w="7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Annual Equity Grant</w:t>
            </w: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Intended equity value: $250,000</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(The number of shares for this equity award will be determined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Borders>
              <w:right w:val="single" w:sz="8" w:color="666666"/>
            </w:tcBorders>
          </w:tcPr>
          <w:p>
            <w:pPr>
              <w:spacing w:after="0"/>
              <w:rPr>
                <w:sz w:val="21"/>
                <w:szCs w:val="21"/>
                <w:color w:val="auto"/>
              </w:rPr>
            </w:pPr>
          </w:p>
        </w:tc>
        <w:tc>
          <w:tcPr>
            <w:tcW w:w="3660" w:type="dxa"/>
            <w:vAlign w:val="bottom"/>
            <w:tcBorders>
              <w:right w:val="single" w:sz="8" w:color="666666"/>
            </w:tcBorders>
          </w:tcPr>
          <w:p>
            <w:pPr>
              <w:spacing w:after="0"/>
              <w:rPr>
                <w:sz w:val="21"/>
                <w:szCs w:val="21"/>
                <w:color w:val="auto"/>
              </w:rPr>
            </w:pPr>
          </w:p>
        </w:tc>
        <w:tc>
          <w:tcPr>
            <w:tcW w:w="5980" w:type="dxa"/>
            <w:vAlign w:val="bottom"/>
            <w:tcBorders>
              <w:right w:val="single" w:sz="8" w:color="666666"/>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using the then-current guideline price for employee equity</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awards.)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20" w:type="dxa"/>
            <w:vAlign w:val="bottom"/>
            <w:tcBorders>
              <w:right w:val="single" w:sz="8" w:color="666666"/>
            </w:tcBorders>
          </w:tcPr>
          <w:p>
            <w:pPr>
              <w:spacing w:after="0"/>
              <w:rPr>
                <w:sz w:val="8"/>
                <w:szCs w:val="8"/>
                <w:color w:val="auto"/>
              </w:rPr>
            </w:pPr>
          </w:p>
        </w:tc>
        <w:tc>
          <w:tcPr>
            <w:tcW w:w="3660" w:type="dxa"/>
            <w:vAlign w:val="bottom"/>
            <w:tcBorders>
              <w:bottom w:val="single" w:sz="8" w:color="666666"/>
              <w:right w:val="single" w:sz="8" w:color="666666"/>
            </w:tcBorders>
          </w:tcPr>
          <w:p>
            <w:pPr>
              <w:spacing w:after="0"/>
              <w:rPr>
                <w:sz w:val="8"/>
                <w:szCs w:val="8"/>
                <w:color w:val="auto"/>
              </w:rPr>
            </w:pPr>
          </w:p>
        </w:tc>
        <w:tc>
          <w:tcPr>
            <w:tcW w:w="5980" w:type="dxa"/>
            <w:vAlign w:val="bottom"/>
            <w:tcBorders>
              <w:bottom w:val="single" w:sz="8" w:color="666666"/>
              <w:right w:val="single" w:sz="8" w:color="666666"/>
            </w:tcBorders>
          </w:tcPr>
          <w:p>
            <w:pPr>
              <w:spacing w:after="0"/>
              <w:rPr>
                <w:sz w:val="8"/>
                <w:szCs w:val="8"/>
                <w:color w:val="auto"/>
              </w:rPr>
            </w:pPr>
          </w:p>
        </w:tc>
        <w:tc>
          <w:tcPr>
            <w:tcW w:w="7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Equity Vehicles</w:t>
            </w: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100% RSU</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(RSUs vest immediately, but shares will not be distributed until</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the director leaves the board.)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20" w:type="dxa"/>
            <w:vAlign w:val="bottom"/>
            <w:tcBorders>
              <w:right w:val="single" w:sz="8" w:color="666666"/>
            </w:tcBorders>
          </w:tcPr>
          <w:p>
            <w:pPr>
              <w:spacing w:after="0"/>
              <w:rPr>
                <w:sz w:val="8"/>
                <w:szCs w:val="8"/>
                <w:color w:val="auto"/>
              </w:rPr>
            </w:pPr>
          </w:p>
        </w:tc>
        <w:tc>
          <w:tcPr>
            <w:tcW w:w="3660" w:type="dxa"/>
            <w:vAlign w:val="bottom"/>
            <w:tcBorders>
              <w:bottom w:val="single" w:sz="8" w:color="666666"/>
              <w:right w:val="single" w:sz="8" w:color="666666"/>
            </w:tcBorders>
          </w:tcPr>
          <w:p>
            <w:pPr>
              <w:spacing w:after="0"/>
              <w:rPr>
                <w:sz w:val="8"/>
                <w:szCs w:val="8"/>
                <w:color w:val="auto"/>
              </w:rPr>
            </w:pPr>
          </w:p>
        </w:tc>
        <w:tc>
          <w:tcPr>
            <w:tcW w:w="5980" w:type="dxa"/>
            <w:vAlign w:val="bottom"/>
            <w:tcBorders>
              <w:bottom w:val="single" w:sz="8" w:color="666666"/>
              <w:right w:val="single" w:sz="8" w:color="666666"/>
            </w:tcBorders>
          </w:tcPr>
          <w:p>
            <w:pPr>
              <w:spacing w:after="0"/>
              <w:rPr>
                <w:sz w:val="8"/>
                <w:szCs w:val="8"/>
                <w:color w:val="auto"/>
              </w:rPr>
            </w:pPr>
          </w:p>
        </w:tc>
        <w:tc>
          <w:tcPr>
            <w:tcW w:w="7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Initial Equity Grant</w:t>
            </w: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None</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820" w:type="dxa"/>
            <w:vAlign w:val="bottom"/>
            <w:tcBorders>
              <w:right w:val="single" w:sz="8" w:color="666666"/>
            </w:tcBorders>
          </w:tcPr>
          <w:p>
            <w:pPr>
              <w:spacing w:after="0"/>
              <w:rPr>
                <w:sz w:val="5"/>
                <w:szCs w:val="5"/>
                <w:color w:val="auto"/>
              </w:rPr>
            </w:pPr>
          </w:p>
        </w:tc>
        <w:tc>
          <w:tcPr>
            <w:tcW w:w="3660" w:type="dxa"/>
            <w:vAlign w:val="bottom"/>
            <w:tcBorders>
              <w:bottom w:val="single" w:sz="8" w:color="666666"/>
              <w:right w:val="single" w:sz="8" w:color="666666"/>
            </w:tcBorders>
          </w:tcPr>
          <w:p>
            <w:pPr>
              <w:spacing w:after="0"/>
              <w:rPr>
                <w:sz w:val="5"/>
                <w:szCs w:val="5"/>
                <w:color w:val="auto"/>
              </w:rPr>
            </w:pPr>
          </w:p>
        </w:tc>
        <w:tc>
          <w:tcPr>
            <w:tcW w:w="5980" w:type="dxa"/>
            <w:vAlign w:val="bottom"/>
            <w:tcBorders>
              <w:bottom w:val="single" w:sz="8" w:color="666666"/>
              <w:right w:val="single" w:sz="8" w:color="666666"/>
            </w:tcBorders>
          </w:tcPr>
          <w:p>
            <w:pPr>
              <w:spacing w:after="0"/>
              <w:rPr>
                <w:sz w:val="5"/>
                <w:szCs w:val="5"/>
                <w:color w:val="auto"/>
              </w:rPr>
            </w:pPr>
          </w:p>
        </w:tc>
        <w:tc>
          <w:tcPr>
            <w:tcW w:w="7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Independent Chairman Premium</w:t>
            </w: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$50,000 (cash)</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820" w:type="dxa"/>
            <w:vAlign w:val="bottom"/>
            <w:tcBorders>
              <w:right w:val="single" w:sz="8" w:color="666666"/>
            </w:tcBorders>
          </w:tcPr>
          <w:p>
            <w:pPr>
              <w:spacing w:after="0"/>
              <w:rPr>
                <w:sz w:val="5"/>
                <w:szCs w:val="5"/>
                <w:color w:val="auto"/>
              </w:rPr>
            </w:pPr>
          </w:p>
        </w:tc>
        <w:tc>
          <w:tcPr>
            <w:tcW w:w="3660" w:type="dxa"/>
            <w:vAlign w:val="bottom"/>
            <w:tcBorders>
              <w:bottom w:val="single" w:sz="8" w:color="666666"/>
              <w:right w:val="single" w:sz="8" w:color="666666"/>
            </w:tcBorders>
          </w:tcPr>
          <w:p>
            <w:pPr>
              <w:spacing w:after="0"/>
              <w:rPr>
                <w:sz w:val="5"/>
                <w:szCs w:val="5"/>
                <w:color w:val="auto"/>
              </w:rPr>
            </w:pPr>
          </w:p>
        </w:tc>
        <w:tc>
          <w:tcPr>
            <w:tcW w:w="5980" w:type="dxa"/>
            <w:vAlign w:val="bottom"/>
            <w:tcBorders>
              <w:bottom w:val="single" w:sz="8" w:color="666666"/>
              <w:right w:val="single" w:sz="8" w:color="666666"/>
            </w:tcBorders>
          </w:tcPr>
          <w:p>
            <w:pPr>
              <w:spacing w:after="0"/>
              <w:rPr>
                <w:sz w:val="5"/>
                <w:szCs w:val="5"/>
                <w:color w:val="auto"/>
              </w:rPr>
            </w:pPr>
          </w:p>
        </w:tc>
        <w:tc>
          <w:tcPr>
            <w:tcW w:w="7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Committee Member Compensation</w:t>
            </w: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Audit: $10,000</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Compensation: $7,500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Nominating/Governance: $5,000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20" w:type="dxa"/>
            <w:vAlign w:val="bottom"/>
            <w:tcBorders>
              <w:right w:val="single" w:sz="8" w:color="666666"/>
            </w:tcBorders>
          </w:tcPr>
          <w:p>
            <w:pPr>
              <w:spacing w:after="0"/>
              <w:rPr>
                <w:sz w:val="8"/>
                <w:szCs w:val="8"/>
                <w:color w:val="auto"/>
              </w:rPr>
            </w:pPr>
          </w:p>
        </w:tc>
        <w:tc>
          <w:tcPr>
            <w:tcW w:w="3660" w:type="dxa"/>
            <w:vAlign w:val="bottom"/>
            <w:tcBorders>
              <w:bottom w:val="single" w:sz="8" w:color="666666"/>
              <w:right w:val="single" w:sz="8" w:color="666666"/>
            </w:tcBorders>
          </w:tcPr>
          <w:p>
            <w:pPr>
              <w:spacing w:after="0"/>
              <w:rPr>
                <w:sz w:val="8"/>
                <w:szCs w:val="8"/>
                <w:color w:val="auto"/>
              </w:rPr>
            </w:pPr>
          </w:p>
        </w:tc>
        <w:tc>
          <w:tcPr>
            <w:tcW w:w="5980" w:type="dxa"/>
            <w:vAlign w:val="bottom"/>
            <w:tcBorders>
              <w:bottom w:val="single" w:sz="8" w:color="666666"/>
              <w:right w:val="single" w:sz="8" w:color="666666"/>
            </w:tcBorders>
          </w:tcPr>
          <w:p>
            <w:pPr>
              <w:spacing w:after="0"/>
              <w:rPr>
                <w:sz w:val="8"/>
                <w:szCs w:val="8"/>
                <w:color w:val="auto"/>
              </w:rPr>
            </w:pPr>
          </w:p>
        </w:tc>
        <w:tc>
          <w:tcPr>
            <w:tcW w:w="7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Committee Chair Premiums</w:t>
            </w: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Audit: $15,000</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Comp: $12,500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Nominating/Governance: $5,000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666666"/>
            </w:tcBorders>
          </w:tcPr>
          <w:p>
            <w:pPr>
              <w:spacing w:after="0"/>
              <w:rPr>
                <w:sz w:val="24"/>
                <w:szCs w:val="24"/>
                <w:color w:val="auto"/>
              </w:rPr>
            </w:pPr>
          </w:p>
        </w:tc>
        <w:tc>
          <w:tcPr>
            <w:tcW w:w="3660" w:type="dxa"/>
            <w:vAlign w:val="bottom"/>
            <w:tcBorders>
              <w:right w:val="single" w:sz="8" w:color="666666"/>
            </w:tcBorders>
          </w:tcPr>
          <w:p>
            <w:pPr>
              <w:spacing w:after="0"/>
              <w:rPr>
                <w:sz w:val="24"/>
                <w:szCs w:val="24"/>
                <w:color w:val="auto"/>
              </w:rPr>
            </w:pPr>
          </w:p>
        </w:tc>
        <w:tc>
          <w:tcPr>
            <w:tcW w:w="5980" w:type="dxa"/>
            <w:vAlign w:val="bottom"/>
            <w:tcBorders>
              <w:right w:val="single" w:sz="8" w:color="666666"/>
            </w:tcBorders>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20" w:type="dxa"/>
            <w:vAlign w:val="bottom"/>
            <w:tcBorders>
              <w:right w:val="single" w:sz="8" w:color="666666"/>
            </w:tcBorders>
          </w:tcPr>
          <w:p>
            <w:pPr>
              <w:spacing w:after="0"/>
              <w:rPr>
                <w:sz w:val="8"/>
                <w:szCs w:val="8"/>
                <w:color w:val="auto"/>
              </w:rPr>
            </w:pPr>
          </w:p>
        </w:tc>
        <w:tc>
          <w:tcPr>
            <w:tcW w:w="3660" w:type="dxa"/>
            <w:vAlign w:val="bottom"/>
            <w:tcBorders>
              <w:bottom w:val="single" w:sz="8" w:color="666666"/>
              <w:right w:val="single" w:sz="8" w:color="666666"/>
            </w:tcBorders>
          </w:tcPr>
          <w:p>
            <w:pPr>
              <w:spacing w:after="0"/>
              <w:rPr>
                <w:sz w:val="8"/>
                <w:szCs w:val="8"/>
                <w:color w:val="auto"/>
              </w:rPr>
            </w:pPr>
          </w:p>
        </w:tc>
        <w:tc>
          <w:tcPr>
            <w:tcW w:w="5980" w:type="dxa"/>
            <w:vAlign w:val="bottom"/>
            <w:tcBorders>
              <w:bottom w:val="single" w:sz="8" w:color="666666"/>
              <w:right w:val="single" w:sz="8" w:color="666666"/>
            </w:tcBorders>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8"/>
        </w:trPr>
        <w:tc>
          <w:tcPr>
            <w:tcW w:w="8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FIFTH AMENDMENT</w:t>
      </w:r>
    </w:p>
    <w:p>
      <w:pPr>
        <w:jc w:val="center"/>
        <w:spacing w:after="0" w:line="225" w:lineRule="auto"/>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COMMERCIAL SUPPLY AGREEMENT</w:t>
      </w:r>
    </w:p>
    <w:p>
      <w:pPr>
        <w:spacing w:after="0" w:line="182" w:lineRule="exact"/>
        <w:rPr>
          <w:sz w:val="20"/>
          <w:szCs w:val="20"/>
          <w:color w:val="auto"/>
        </w:rPr>
      </w:pPr>
    </w:p>
    <w:p>
      <w:pPr>
        <w:ind w:right="820"/>
        <w:spacing w:after="0" w:line="237" w:lineRule="auto"/>
        <w:rPr>
          <w:sz w:val="20"/>
          <w:szCs w:val="20"/>
          <w:color w:val="auto"/>
        </w:rPr>
      </w:pPr>
      <w:r>
        <w:rPr>
          <w:rFonts w:ascii="Arial" w:cs="Arial" w:eastAsia="Arial" w:hAnsi="Arial"/>
          <w:sz w:val="20"/>
          <w:szCs w:val="20"/>
          <w:color w:val="auto"/>
        </w:rPr>
        <w:t xml:space="preserve">This amendment is effective the last date signed by a party, between </w:t>
      </w:r>
      <w:r>
        <w:rPr>
          <w:rFonts w:ascii="Arial" w:cs="Arial" w:eastAsia="Arial" w:hAnsi="Arial"/>
          <w:sz w:val="20"/>
          <w:szCs w:val="20"/>
          <w:b w:val="1"/>
          <w:bCs w:val="1"/>
          <w:color w:val="auto"/>
        </w:rPr>
        <w:t>MannKind Corporation</w:t>
      </w:r>
      <w:r>
        <w:rPr>
          <w:rFonts w:ascii="Arial" w:cs="Arial" w:eastAsia="Arial" w:hAnsi="Arial"/>
          <w:sz w:val="20"/>
          <w:szCs w:val="20"/>
          <w:color w:val="auto"/>
        </w:rPr>
        <w:t>, a Delaware corporation (“</w:t>
      </w:r>
      <w:r>
        <w:rPr>
          <w:rFonts w:ascii="Arial" w:cs="Arial" w:eastAsia="Arial" w:hAnsi="Arial"/>
          <w:sz w:val="20"/>
          <w:szCs w:val="20"/>
          <w:b w:val="1"/>
          <w:bCs w:val="1"/>
          <w:color w:val="auto"/>
        </w:rPr>
        <w:t>MannKind</w:t>
      </w:r>
      <w:r>
        <w:rPr>
          <w:rFonts w:ascii="Arial" w:cs="Arial" w:eastAsia="Arial" w:hAnsi="Arial"/>
          <w:sz w:val="20"/>
          <w:szCs w:val="20"/>
          <w:color w:val="auto"/>
        </w:rPr>
        <w:t xml:space="preserve">”), having a principal place of business at One Casper Street, Danbury, Connecticut 06810, and </w:t>
      </w:r>
      <w:r>
        <w:rPr>
          <w:rFonts w:ascii="Arial" w:cs="Arial" w:eastAsia="Arial" w:hAnsi="Arial"/>
          <w:sz w:val="20"/>
          <w:szCs w:val="20"/>
          <w:b w:val="1"/>
          <w:bCs w:val="1"/>
          <w:color w:val="auto"/>
        </w:rPr>
        <w:t>United</w:t>
      </w:r>
      <w:r>
        <w:rPr>
          <w:rFonts w:ascii="Arial" w:cs="Arial" w:eastAsia="Arial" w:hAnsi="Arial"/>
          <w:sz w:val="20"/>
          <w:szCs w:val="20"/>
          <w:color w:val="auto"/>
        </w:rPr>
        <w:t xml:space="preserve"> </w:t>
      </w:r>
      <w:r>
        <w:rPr>
          <w:rFonts w:ascii="Arial" w:cs="Arial" w:eastAsia="Arial" w:hAnsi="Arial"/>
          <w:sz w:val="20"/>
          <w:szCs w:val="20"/>
          <w:b w:val="1"/>
          <w:bCs w:val="1"/>
          <w:color w:val="auto"/>
        </w:rPr>
        <w:t>Therapeutics Corporation</w:t>
      </w:r>
      <w:r>
        <w:rPr>
          <w:rFonts w:ascii="Arial" w:cs="Arial" w:eastAsia="Arial" w:hAnsi="Arial"/>
          <w:sz w:val="20"/>
          <w:szCs w:val="20"/>
          <w:color w:val="auto"/>
        </w:rPr>
        <w:t>, a Delaware public benefit corporation (“</w:t>
      </w:r>
      <w:r>
        <w:rPr>
          <w:rFonts w:ascii="Arial" w:cs="Arial" w:eastAsia="Arial" w:hAnsi="Arial"/>
          <w:sz w:val="20"/>
          <w:szCs w:val="20"/>
          <w:b w:val="1"/>
          <w:bCs w:val="1"/>
          <w:color w:val="auto"/>
        </w:rPr>
        <w:t>United Therapeutics</w:t>
      </w:r>
      <w:r>
        <w:rPr>
          <w:rFonts w:ascii="Arial" w:cs="Arial" w:eastAsia="Arial" w:hAnsi="Arial"/>
          <w:sz w:val="20"/>
          <w:szCs w:val="20"/>
          <w:color w:val="auto"/>
        </w:rPr>
        <w:t>”), having a principal place of</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at 1040 Spring Street, Silver Spring, Maryland 20910.</w:t>
      </w:r>
    </w:p>
    <w:p>
      <w:pPr>
        <w:spacing w:after="0" w:line="172"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to this amendment entered into a Commercial Supply Agreement effective as of August 12, 2021 (such</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amended in a First Amendment effective October 16, 2021, a Second Amendment effective June 15, 2022, a Third Amendment effective August 31, 2022, and a Fourth Amendment effective December 22, 2022, the “</w:t>
      </w:r>
      <w:r>
        <w:rPr>
          <w:rFonts w:ascii="Arial" w:cs="Arial" w:eastAsia="Arial" w:hAnsi="Arial"/>
          <w:sz w:val="20"/>
          <w:szCs w:val="20"/>
          <w:b w:val="1"/>
          <w:bCs w:val="1"/>
          <w:color w:val="auto"/>
        </w:rPr>
        <w:t>Agreement</w:t>
      </w:r>
      <w:r>
        <w:rPr>
          <w:rFonts w:ascii="Arial" w:cs="Arial" w:eastAsia="Arial" w:hAnsi="Arial"/>
          <w:sz w:val="20"/>
          <w:szCs w:val="20"/>
          <w:color w:val="auto"/>
        </w:rPr>
        <w:t>”), and the parties now wish to amend the Agreement as set forth below.</w:t>
      </w:r>
    </w:p>
    <w:p>
      <w:pPr>
        <w:spacing w:after="0" w:line="172"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terms and conditions specified herein and other good and valuable consideration,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and sufficiency of which is hereby acknowledged, the parties hereby agree as follows:</w:t>
      </w:r>
    </w:p>
    <w:p>
      <w:pPr>
        <w:spacing w:after="0" w:line="152" w:lineRule="exact"/>
        <w:rPr>
          <w:sz w:val="20"/>
          <w:szCs w:val="20"/>
          <w:color w:val="auto"/>
        </w:rPr>
      </w:pPr>
    </w:p>
    <w:p>
      <w:pPr>
        <w:ind w:left="760" w:hanging="378"/>
        <w:spacing w:after="0"/>
        <w:tabs>
          <w:tab w:leader="none" w:pos="760" w:val="left"/>
        </w:tabs>
        <w:numPr>
          <w:ilvl w:val="0"/>
          <w:numId w:val="41"/>
        </w:numPr>
        <w:rPr>
          <w:rFonts w:ascii="Calibri" w:cs="Calibri" w:eastAsia="Calibri" w:hAnsi="Calibri"/>
          <w:sz w:val="20"/>
          <w:szCs w:val="20"/>
          <w:b w:val="1"/>
          <w:bCs w:val="1"/>
          <w:color w:val="auto"/>
        </w:rPr>
      </w:pPr>
      <w:r>
        <w:rPr>
          <w:rFonts w:ascii="Arial" w:cs="Arial" w:eastAsia="Arial" w:hAnsi="Arial"/>
          <w:sz w:val="20"/>
          <w:szCs w:val="20"/>
          <w:b w:val="1"/>
          <w:bCs w:val="1"/>
          <w:color w:val="auto"/>
        </w:rPr>
        <w:t>AMENDMENTS</w:t>
      </w:r>
      <w:r>
        <w:rPr>
          <w:rFonts w:ascii="Arial" w:cs="Arial" w:eastAsia="Arial" w:hAnsi="Arial"/>
          <w:sz w:val="20"/>
          <w:szCs w:val="20"/>
          <w:color w:val="auto"/>
        </w:rPr>
        <w:t>.</w:t>
      </w:r>
    </w:p>
    <w:p>
      <w:pPr>
        <w:spacing w:after="0" w:line="230" w:lineRule="exact"/>
        <w:rPr>
          <w:rFonts w:ascii="Calibri" w:cs="Calibri" w:eastAsia="Calibri" w:hAnsi="Calibri"/>
          <w:sz w:val="20"/>
          <w:szCs w:val="20"/>
          <w:b w:val="1"/>
          <w:bCs w:val="1"/>
          <w:color w:val="auto"/>
        </w:rPr>
      </w:pPr>
    </w:p>
    <w:p>
      <w:pPr>
        <w:ind w:left="1500" w:right="60" w:hanging="369"/>
        <w:spacing w:after="0" w:line="233" w:lineRule="auto"/>
        <w:tabs>
          <w:tab w:leader="none" w:pos="1500" w:val="left"/>
        </w:tabs>
        <w:numPr>
          <w:ilvl w:val="1"/>
          <w:numId w:val="41"/>
        </w:numPr>
        <w:rPr>
          <w:rFonts w:ascii="Calibri" w:cs="Calibri" w:eastAsia="Calibri" w:hAnsi="Calibri"/>
          <w:sz w:val="20"/>
          <w:szCs w:val="20"/>
          <w:color w:val="auto"/>
        </w:rPr>
      </w:pPr>
      <w:r>
        <w:rPr>
          <w:rFonts w:ascii="Arial" w:cs="Arial" w:eastAsia="Arial" w:hAnsi="Arial"/>
          <w:sz w:val="20"/>
          <w:szCs w:val="20"/>
          <w:color w:val="auto"/>
        </w:rPr>
        <w:t>Effective January 1, 2024, Appendices A, B and E of the Agreement are deleted in their entirety and replaced with the versions of such appendices attached hereto, and all references to such appendices in the Agreement shall be construed as references to the updated versions of each such appendices attached hereto as of such date. Until such date, the existing version of Appendices A, B and E shall remain in effect.</w:t>
      </w:r>
    </w:p>
    <w:p>
      <w:pPr>
        <w:spacing w:after="0" w:line="173" w:lineRule="exact"/>
        <w:rPr>
          <w:rFonts w:ascii="Calibri" w:cs="Calibri" w:eastAsia="Calibri" w:hAnsi="Calibri"/>
          <w:sz w:val="20"/>
          <w:szCs w:val="20"/>
          <w:color w:val="auto"/>
        </w:rPr>
      </w:pPr>
    </w:p>
    <w:p>
      <w:pPr>
        <w:ind w:left="1500" w:right="160" w:hanging="369"/>
        <w:spacing w:after="0" w:line="236" w:lineRule="auto"/>
        <w:tabs>
          <w:tab w:leader="none" w:pos="1500" w:val="left"/>
        </w:tabs>
        <w:numPr>
          <w:ilvl w:val="1"/>
          <w:numId w:val="41"/>
        </w:numPr>
        <w:rPr>
          <w:rFonts w:ascii="Calibri" w:cs="Calibri" w:eastAsia="Calibri" w:hAnsi="Calibri"/>
          <w:sz w:val="20"/>
          <w:szCs w:val="20"/>
          <w:color w:val="auto"/>
        </w:rPr>
      </w:pPr>
      <w:r>
        <w:rPr>
          <w:rFonts w:ascii="Arial" w:cs="Arial" w:eastAsia="Arial" w:hAnsi="Arial"/>
          <w:sz w:val="20"/>
          <w:szCs w:val="20"/>
          <w:color w:val="auto"/>
        </w:rPr>
        <w:t>Effective immediately, Appendix F of the Agreement is deleted in its entirety and replaced with the version of Appendix F attached hereto. All references to Appendix F in the Agreement shall be construed as a reference to the updated version of Appendix F attached hereto.</w:t>
      </w:r>
    </w:p>
    <w:p>
      <w:pPr>
        <w:spacing w:after="0" w:line="169" w:lineRule="exact"/>
        <w:rPr>
          <w:rFonts w:ascii="Calibri" w:cs="Calibri" w:eastAsia="Calibri" w:hAnsi="Calibri"/>
          <w:sz w:val="20"/>
          <w:szCs w:val="20"/>
          <w:color w:val="auto"/>
        </w:rPr>
      </w:pPr>
    </w:p>
    <w:p>
      <w:pPr>
        <w:ind w:left="760" w:right="60" w:hanging="378"/>
        <w:spacing w:after="0" w:line="226" w:lineRule="auto"/>
        <w:tabs>
          <w:tab w:leader="none" w:pos="760" w:val="left"/>
        </w:tabs>
        <w:numPr>
          <w:ilvl w:val="0"/>
          <w:numId w:val="41"/>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All terms of the Agreement that are not specifically modified by this amendment remain in full force and</w:t>
      </w:r>
      <w:r>
        <w:rPr>
          <w:rFonts w:ascii="Arial" w:cs="Arial" w:eastAsia="Arial" w:hAnsi="Arial"/>
          <w:sz w:val="20"/>
          <w:szCs w:val="20"/>
          <w:b w:val="1"/>
          <w:bCs w:val="1"/>
          <w:color w:val="auto"/>
        </w:rPr>
        <w:t xml:space="preserve"> </w:t>
      </w:r>
      <w:r>
        <w:rPr>
          <w:rFonts w:ascii="Arial" w:cs="Arial" w:eastAsia="Arial" w:hAnsi="Arial"/>
          <w:sz w:val="20"/>
          <w:szCs w:val="20"/>
          <w:color w:val="auto"/>
        </w:rPr>
        <w:t>effect. The parties may execute this amendment in counterparts, each of which is deemed an original for all purposes, and which together will constitute the same instrument. The parties may execute this amendment by electronic means (electronic signature through generally recognized e-signature vendors), by scanned pdfs of wet-ink signed documents, or by return of originals.</w:t>
      </w:r>
    </w:p>
    <w:p>
      <w:pPr>
        <w:spacing w:after="0" w:line="3" w:lineRule="exact"/>
        <w:rPr>
          <w:rFonts w:ascii="Calibri" w:cs="Calibri" w:eastAsia="Calibri" w:hAnsi="Calibri"/>
          <w:sz w:val="20"/>
          <w:szCs w:val="20"/>
          <w:b w:val="1"/>
          <w:bCs w:val="1"/>
          <w:color w:val="auto"/>
        </w:rPr>
      </w:pPr>
    </w:p>
    <w:p>
      <w:pPr>
        <w:ind w:left="5140"/>
        <w:spacing w:after="0"/>
        <w:rPr>
          <w:rFonts w:ascii="Calibri" w:cs="Calibri" w:eastAsia="Calibri" w:hAnsi="Calibri"/>
          <w:sz w:val="20"/>
          <w:szCs w:val="20"/>
          <w:b w:val="1"/>
          <w:bCs w:val="1"/>
          <w:color w:val="auto"/>
        </w:rPr>
      </w:pPr>
      <w:r>
        <w:rPr>
          <w:rFonts w:ascii="Arial" w:cs="Arial" w:eastAsia="Arial" w:hAnsi="Arial"/>
          <w:sz w:val="20"/>
          <w:szCs w:val="20"/>
          <w:i w:val="1"/>
          <w:iCs w:val="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6" w:name="page77"/>
    <w:bookmarkEnd w:id="76"/>
    <w:p>
      <w:pPr>
        <w:ind w:right="220"/>
        <w:spacing w:after="0" w:line="257" w:lineRule="auto"/>
        <w:rPr>
          <w:sz w:val="20"/>
          <w:szCs w:val="20"/>
          <w:color w:val="auto"/>
        </w:rPr>
      </w:pPr>
      <w:r>
        <w:rPr>
          <w:rFonts w:ascii="Arial" w:cs="Arial" w:eastAsia="Arial" w:hAnsi="Arial"/>
          <w:sz w:val="20"/>
          <w:szCs w:val="20"/>
          <w:color w:val="auto"/>
        </w:rPr>
        <w:t>IN WITNESS WHEREOF, the parties have caused this amendment to be signed by their duly authorized representatives as of the date indicated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540" w:type="dxa"/>
            <w:vAlign w:val="bottom"/>
          </w:tcPr>
          <w:p>
            <w:pPr>
              <w:ind w:left="100"/>
              <w:spacing w:after="0"/>
              <w:rPr>
                <w:sz w:val="20"/>
                <w:szCs w:val="20"/>
                <w:color w:val="auto"/>
              </w:rPr>
            </w:pPr>
            <w:r>
              <w:rPr>
                <w:rFonts w:ascii="Arial" w:cs="Arial" w:eastAsia="Arial" w:hAnsi="Arial"/>
                <w:sz w:val="20"/>
                <w:szCs w:val="20"/>
                <w:b w:val="1"/>
                <w:bCs w:val="1"/>
                <w:color w:val="auto"/>
              </w:rPr>
              <w:t>UNITED THERAPEUTICS CORPORATION</w:t>
            </w:r>
          </w:p>
        </w:tc>
        <w:tc>
          <w:tcPr>
            <w:tcW w:w="6700" w:type="dxa"/>
            <w:vAlign w:val="bottom"/>
          </w:tcPr>
          <w:p>
            <w:pPr>
              <w:ind w:left="1180"/>
              <w:spacing w:after="0"/>
              <w:rPr>
                <w:sz w:val="20"/>
                <w:szCs w:val="20"/>
                <w:color w:val="auto"/>
              </w:rPr>
            </w:pPr>
            <w:r>
              <w:rPr>
                <w:rFonts w:ascii="Arial" w:cs="Arial" w:eastAsia="Arial" w:hAnsi="Arial"/>
                <w:sz w:val="20"/>
                <w:szCs w:val="20"/>
                <w:b w:val="1"/>
                <w:bCs w:val="1"/>
                <w:color w:val="auto"/>
              </w:rPr>
              <w:t>MANNKIND CORPORATION</w:t>
            </w:r>
          </w:p>
        </w:tc>
      </w:tr>
      <w:tr>
        <w:trPr>
          <w:trHeight w:val="809"/>
        </w:trPr>
        <w:tc>
          <w:tcPr>
            <w:tcW w:w="4540" w:type="dxa"/>
            <w:vAlign w:val="bottom"/>
          </w:tcPr>
          <w:p>
            <w:pPr>
              <w:ind w:left="100"/>
              <w:spacing w:after="0"/>
              <w:rPr>
                <w:sz w:val="20"/>
                <w:szCs w:val="20"/>
                <w:color w:val="auto"/>
              </w:rPr>
            </w:pPr>
            <w:r>
              <w:rPr>
                <w:rFonts w:ascii="Arial" w:cs="Arial" w:eastAsia="Arial" w:hAnsi="Arial"/>
                <w:sz w:val="20"/>
                <w:szCs w:val="20"/>
                <w:color w:val="auto"/>
              </w:rPr>
              <w:t>By: /s/ Patrick Poisson</w:t>
            </w:r>
          </w:p>
        </w:tc>
        <w:tc>
          <w:tcPr>
            <w:tcW w:w="6700" w:type="dxa"/>
            <w:vAlign w:val="bottom"/>
          </w:tcPr>
          <w:p>
            <w:pPr>
              <w:ind w:left="1180"/>
              <w:spacing w:after="0"/>
              <w:rPr>
                <w:sz w:val="20"/>
                <w:szCs w:val="20"/>
                <w:color w:val="auto"/>
              </w:rPr>
            </w:pPr>
            <w:r>
              <w:rPr>
                <w:rFonts w:ascii="Arial" w:cs="Arial" w:eastAsia="Arial" w:hAnsi="Arial"/>
                <w:sz w:val="20"/>
                <w:szCs w:val="20"/>
                <w:color w:val="auto"/>
              </w:rPr>
              <w:t>By: /s/ Sanjay Singh</w:t>
            </w:r>
          </w:p>
        </w:tc>
      </w:tr>
      <w:tr>
        <w:trPr>
          <w:trHeight w:val="216"/>
        </w:trPr>
        <w:tc>
          <w:tcPr>
            <w:tcW w:w="4540" w:type="dxa"/>
            <w:vAlign w:val="bottom"/>
          </w:tcPr>
          <w:p>
            <w:pPr>
              <w:ind w:left="100"/>
              <w:spacing w:after="0" w:line="216" w:lineRule="exact"/>
              <w:rPr>
                <w:sz w:val="20"/>
                <w:szCs w:val="20"/>
                <w:color w:val="auto"/>
              </w:rPr>
            </w:pPr>
            <w:r>
              <w:rPr>
                <w:rFonts w:ascii="Arial" w:cs="Arial" w:eastAsia="Arial" w:hAnsi="Arial"/>
                <w:sz w:val="20"/>
                <w:szCs w:val="20"/>
                <w:color w:val="auto"/>
              </w:rPr>
              <w:t>Name: Patrick Poisson</w:t>
            </w:r>
          </w:p>
        </w:tc>
        <w:tc>
          <w:tcPr>
            <w:tcW w:w="6700" w:type="dxa"/>
            <w:vAlign w:val="bottom"/>
          </w:tcPr>
          <w:p>
            <w:pPr>
              <w:ind w:left="1180"/>
              <w:spacing w:after="0" w:line="216" w:lineRule="exact"/>
              <w:rPr>
                <w:sz w:val="20"/>
                <w:szCs w:val="20"/>
                <w:color w:val="auto"/>
              </w:rPr>
            </w:pPr>
            <w:r>
              <w:rPr>
                <w:rFonts w:ascii="Arial" w:cs="Arial" w:eastAsia="Arial" w:hAnsi="Arial"/>
                <w:sz w:val="20"/>
                <w:szCs w:val="20"/>
                <w:color w:val="auto"/>
              </w:rPr>
              <w:t>Name: Sanjay Singh</w:t>
            </w:r>
          </w:p>
        </w:tc>
      </w:tr>
      <w:tr>
        <w:trPr>
          <w:trHeight w:val="216"/>
        </w:trPr>
        <w:tc>
          <w:tcPr>
            <w:tcW w:w="4540" w:type="dxa"/>
            <w:vAlign w:val="bottom"/>
          </w:tcPr>
          <w:p>
            <w:pPr>
              <w:ind w:left="100"/>
              <w:spacing w:after="0" w:line="216" w:lineRule="exact"/>
              <w:rPr>
                <w:sz w:val="20"/>
                <w:szCs w:val="20"/>
                <w:color w:val="auto"/>
              </w:rPr>
            </w:pPr>
            <w:r>
              <w:rPr>
                <w:rFonts w:ascii="Arial" w:cs="Arial" w:eastAsia="Arial" w:hAnsi="Arial"/>
                <w:sz w:val="20"/>
                <w:szCs w:val="20"/>
                <w:color w:val="auto"/>
              </w:rPr>
              <w:t>Title:   EVP, Technical Operations</w:t>
            </w:r>
          </w:p>
        </w:tc>
        <w:tc>
          <w:tcPr>
            <w:tcW w:w="6700" w:type="dxa"/>
            <w:vAlign w:val="bottom"/>
          </w:tcPr>
          <w:p>
            <w:pPr>
              <w:ind w:left="1180"/>
              <w:spacing w:after="0" w:line="216" w:lineRule="exact"/>
              <w:rPr>
                <w:sz w:val="20"/>
                <w:szCs w:val="20"/>
                <w:color w:val="auto"/>
              </w:rPr>
            </w:pPr>
            <w:r>
              <w:rPr>
                <w:rFonts w:ascii="Arial" w:cs="Arial" w:eastAsia="Arial" w:hAnsi="Arial"/>
                <w:sz w:val="20"/>
                <w:szCs w:val="20"/>
                <w:color w:val="auto"/>
              </w:rPr>
              <w:t>Title:  EVP, Technical Operations</w:t>
            </w:r>
          </w:p>
        </w:tc>
      </w:tr>
      <w:tr>
        <w:trPr>
          <w:trHeight w:val="261"/>
        </w:trPr>
        <w:tc>
          <w:tcPr>
            <w:tcW w:w="4540" w:type="dxa"/>
            <w:vAlign w:val="bottom"/>
          </w:tcPr>
          <w:p>
            <w:pPr>
              <w:ind w:left="100"/>
              <w:spacing w:after="0"/>
              <w:rPr>
                <w:sz w:val="20"/>
                <w:szCs w:val="20"/>
                <w:color w:val="auto"/>
              </w:rPr>
            </w:pPr>
            <w:r>
              <w:rPr>
                <w:rFonts w:ascii="Arial" w:cs="Arial" w:eastAsia="Arial" w:hAnsi="Arial"/>
                <w:sz w:val="20"/>
                <w:szCs w:val="20"/>
                <w:color w:val="auto"/>
              </w:rPr>
              <w:t>Date: 10-Jan-2024</w:t>
            </w:r>
          </w:p>
        </w:tc>
        <w:tc>
          <w:tcPr>
            <w:tcW w:w="6700" w:type="dxa"/>
            <w:vAlign w:val="bottom"/>
          </w:tcPr>
          <w:p>
            <w:pPr>
              <w:ind w:left="1180"/>
              <w:spacing w:after="0"/>
              <w:rPr>
                <w:sz w:val="20"/>
                <w:szCs w:val="20"/>
                <w:color w:val="auto"/>
              </w:rPr>
            </w:pPr>
            <w:r>
              <w:rPr>
                <w:rFonts w:ascii="Arial" w:cs="Arial" w:eastAsia="Arial" w:hAnsi="Arial"/>
                <w:sz w:val="20"/>
                <w:szCs w:val="20"/>
                <w:color w:val="auto"/>
              </w:rPr>
              <w:t>Date: 10-Jan-2024</w:t>
            </w:r>
          </w:p>
        </w:tc>
      </w:tr>
      <w:tr>
        <w:trPr>
          <w:trHeight w:val="1053"/>
        </w:trPr>
        <w:tc>
          <w:tcPr>
            <w:tcW w:w="4540" w:type="dxa"/>
            <w:vAlign w:val="bottom"/>
          </w:tcPr>
          <w:p>
            <w:pPr>
              <w:spacing w:after="0"/>
              <w:rPr>
                <w:sz w:val="24"/>
                <w:szCs w:val="24"/>
                <w:color w:val="auto"/>
              </w:rPr>
            </w:pPr>
          </w:p>
        </w:tc>
        <w:tc>
          <w:tcPr>
            <w:tcW w:w="6700" w:type="dxa"/>
            <w:vAlign w:val="bottom"/>
          </w:tcPr>
          <w:p>
            <w:pPr>
              <w:ind w:left="560"/>
              <w:spacing w:after="0"/>
              <w:rPr>
                <w:sz w:val="20"/>
                <w:szCs w:val="20"/>
                <w:color w:val="auto"/>
              </w:rPr>
            </w:pPr>
            <w:r>
              <w:rPr>
                <w:rFonts w:ascii="Arial" w:cs="Arial" w:eastAsia="Arial" w:hAnsi="Arial"/>
                <w:sz w:val="20"/>
                <w:szCs w:val="20"/>
                <w:color w:val="auto"/>
              </w:rPr>
              <w:t>Confidential</w:t>
            </w:r>
          </w:p>
        </w:tc>
      </w:tr>
      <w:tr>
        <w:trPr>
          <w:trHeight w:val="983"/>
        </w:trPr>
        <w:tc>
          <w:tcPr>
            <w:tcW w:w="45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AMENDMENT</w:t>
      </w:r>
    </w:p>
    <w:p>
      <w:pPr>
        <w:jc w:val="center"/>
        <w:spacing w:after="0" w:line="225" w:lineRule="auto"/>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COMMERCIAL SUPPLY AGREEMENT</w:t>
      </w:r>
    </w:p>
    <w:p>
      <w:pPr>
        <w:spacing w:after="0" w:line="182" w:lineRule="exact"/>
        <w:rPr>
          <w:sz w:val="20"/>
          <w:szCs w:val="20"/>
          <w:color w:val="auto"/>
        </w:rPr>
      </w:pPr>
    </w:p>
    <w:p>
      <w:pPr>
        <w:ind w:right="820"/>
        <w:spacing w:after="0" w:line="237" w:lineRule="auto"/>
        <w:rPr>
          <w:sz w:val="20"/>
          <w:szCs w:val="20"/>
          <w:color w:val="auto"/>
        </w:rPr>
      </w:pPr>
      <w:r>
        <w:rPr>
          <w:rFonts w:ascii="Arial" w:cs="Arial" w:eastAsia="Arial" w:hAnsi="Arial"/>
          <w:sz w:val="20"/>
          <w:szCs w:val="20"/>
          <w:color w:val="auto"/>
        </w:rPr>
        <w:t xml:space="preserve">This amendment is effective the last date signed by a party, between </w:t>
      </w:r>
      <w:r>
        <w:rPr>
          <w:rFonts w:ascii="Arial" w:cs="Arial" w:eastAsia="Arial" w:hAnsi="Arial"/>
          <w:sz w:val="20"/>
          <w:szCs w:val="20"/>
          <w:b w:val="1"/>
          <w:bCs w:val="1"/>
          <w:color w:val="auto"/>
        </w:rPr>
        <w:t>MannKind Corporation</w:t>
      </w:r>
      <w:r>
        <w:rPr>
          <w:rFonts w:ascii="Arial" w:cs="Arial" w:eastAsia="Arial" w:hAnsi="Arial"/>
          <w:sz w:val="20"/>
          <w:szCs w:val="20"/>
          <w:color w:val="auto"/>
        </w:rPr>
        <w:t>, a Delaware corporation (“</w:t>
      </w:r>
      <w:r>
        <w:rPr>
          <w:rFonts w:ascii="Arial" w:cs="Arial" w:eastAsia="Arial" w:hAnsi="Arial"/>
          <w:sz w:val="20"/>
          <w:szCs w:val="20"/>
          <w:b w:val="1"/>
          <w:bCs w:val="1"/>
          <w:color w:val="auto"/>
        </w:rPr>
        <w:t>MannKind</w:t>
      </w:r>
      <w:r>
        <w:rPr>
          <w:rFonts w:ascii="Arial" w:cs="Arial" w:eastAsia="Arial" w:hAnsi="Arial"/>
          <w:sz w:val="20"/>
          <w:szCs w:val="20"/>
          <w:color w:val="auto"/>
        </w:rPr>
        <w:t xml:space="preserve">”), having a principal place of business at One Casper Street, Danbury, Connecticut 06810, and </w:t>
      </w:r>
      <w:r>
        <w:rPr>
          <w:rFonts w:ascii="Arial" w:cs="Arial" w:eastAsia="Arial" w:hAnsi="Arial"/>
          <w:sz w:val="20"/>
          <w:szCs w:val="20"/>
          <w:b w:val="1"/>
          <w:bCs w:val="1"/>
          <w:color w:val="auto"/>
        </w:rPr>
        <w:t>United</w:t>
      </w:r>
      <w:r>
        <w:rPr>
          <w:rFonts w:ascii="Arial" w:cs="Arial" w:eastAsia="Arial" w:hAnsi="Arial"/>
          <w:sz w:val="20"/>
          <w:szCs w:val="20"/>
          <w:color w:val="auto"/>
        </w:rPr>
        <w:t xml:space="preserve"> </w:t>
      </w:r>
      <w:r>
        <w:rPr>
          <w:rFonts w:ascii="Arial" w:cs="Arial" w:eastAsia="Arial" w:hAnsi="Arial"/>
          <w:sz w:val="20"/>
          <w:szCs w:val="20"/>
          <w:b w:val="1"/>
          <w:bCs w:val="1"/>
          <w:color w:val="auto"/>
        </w:rPr>
        <w:t>Therapeutics Corporation</w:t>
      </w:r>
      <w:r>
        <w:rPr>
          <w:rFonts w:ascii="Arial" w:cs="Arial" w:eastAsia="Arial" w:hAnsi="Arial"/>
          <w:sz w:val="20"/>
          <w:szCs w:val="20"/>
          <w:color w:val="auto"/>
        </w:rPr>
        <w:t>, a Delaware public benefit corporation (“</w:t>
      </w:r>
      <w:r>
        <w:rPr>
          <w:rFonts w:ascii="Arial" w:cs="Arial" w:eastAsia="Arial" w:hAnsi="Arial"/>
          <w:sz w:val="20"/>
          <w:szCs w:val="20"/>
          <w:b w:val="1"/>
          <w:bCs w:val="1"/>
          <w:color w:val="auto"/>
        </w:rPr>
        <w:t>United Therapeutics</w:t>
      </w:r>
      <w:r>
        <w:rPr>
          <w:rFonts w:ascii="Arial" w:cs="Arial" w:eastAsia="Arial" w:hAnsi="Arial"/>
          <w:sz w:val="20"/>
          <w:szCs w:val="20"/>
          <w:color w:val="auto"/>
        </w:rPr>
        <w:t>”), having a principal place of</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at 1000 Spring Street, Silver Spring, Maryland 20910.</w:t>
      </w:r>
    </w:p>
    <w:p>
      <w:pPr>
        <w:spacing w:after="0" w:line="172"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to this amendment entered into a Commercial Supply Agreement effective as of August 12, 2021 (such</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as amended in a First Amendment effective October 16, 2021, a Second Amendment effective June 15, 2022, a Third Amendment effective August 31, 2022, a Fourth Amendment effective December 22, 2022 and a Fifth Amendment effective January 10, 2024, the “</w:t>
      </w:r>
      <w:r>
        <w:rPr>
          <w:rFonts w:ascii="Arial" w:cs="Arial" w:eastAsia="Arial" w:hAnsi="Arial"/>
          <w:sz w:val="19"/>
          <w:szCs w:val="19"/>
          <w:b w:val="1"/>
          <w:bCs w:val="1"/>
          <w:color w:val="auto"/>
        </w:rPr>
        <w:t>Agreement</w:t>
      </w:r>
      <w:r>
        <w:rPr>
          <w:rFonts w:ascii="Arial" w:cs="Arial" w:eastAsia="Arial" w:hAnsi="Arial"/>
          <w:sz w:val="19"/>
          <w:szCs w:val="19"/>
          <w:color w:val="auto"/>
        </w:rPr>
        <w:t>”), and the parties now wish to amend the Agreement as set forth below.</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terms and conditions specified herein and other good and valuable consideration,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and sufficiency of which is hereby acknowledged, the parties hereby agree as follows:</w:t>
      </w:r>
    </w:p>
    <w:p>
      <w:pPr>
        <w:spacing w:after="0" w:line="152" w:lineRule="exact"/>
        <w:rPr>
          <w:sz w:val="20"/>
          <w:szCs w:val="20"/>
          <w:color w:val="auto"/>
        </w:rPr>
      </w:pPr>
    </w:p>
    <w:p>
      <w:pPr>
        <w:ind w:left="760" w:hanging="378"/>
        <w:spacing w:after="0"/>
        <w:tabs>
          <w:tab w:leader="none" w:pos="760" w:val="left"/>
        </w:tabs>
        <w:numPr>
          <w:ilvl w:val="0"/>
          <w:numId w:val="42"/>
        </w:numPr>
        <w:rPr>
          <w:rFonts w:ascii="Calibri" w:cs="Calibri" w:eastAsia="Calibri" w:hAnsi="Calibri"/>
          <w:sz w:val="20"/>
          <w:szCs w:val="20"/>
          <w:b w:val="1"/>
          <w:bCs w:val="1"/>
          <w:color w:val="auto"/>
        </w:rPr>
      </w:pPr>
      <w:r>
        <w:rPr>
          <w:rFonts w:ascii="Arial" w:cs="Arial" w:eastAsia="Arial" w:hAnsi="Arial"/>
          <w:sz w:val="20"/>
          <w:szCs w:val="20"/>
          <w:b w:val="1"/>
          <w:bCs w:val="1"/>
          <w:color w:val="auto"/>
        </w:rPr>
        <w:t>AMENDMENTS</w:t>
      </w:r>
      <w:r>
        <w:rPr>
          <w:rFonts w:ascii="Arial" w:cs="Arial" w:eastAsia="Arial" w:hAnsi="Arial"/>
          <w:sz w:val="20"/>
          <w:szCs w:val="20"/>
          <w:color w:val="auto"/>
        </w:rPr>
        <w:t>.</w:t>
      </w:r>
    </w:p>
    <w:p>
      <w:pPr>
        <w:spacing w:after="0" w:line="230" w:lineRule="exact"/>
        <w:rPr>
          <w:rFonts w:ascii="Calibri" w:cs="Calibri" w:eastAsia="Calibri" w:hAnsi="Calibri"/>
          <w:sz w:val="20"/>
          <w:szCs w:val="20"/>
          <w:b w:val="1"/>
          <w:bCs w:val="1"/>
          <w:color w:val="auto"/>
        </w:rPr>
      </w:pPr>
    </w:p>
    <w:p>
      <w:pPr>
        <w:ind w:left="1500" w:right="20" w:hanging="369"/>
        <w:spacing w:after="0" w:line="233" w:lineRule="auto"/>
        <w:tabs>
          <w:tab w:leader="none" w:pos="1500" w:val="left"/>
        </w:tabs>
        <w:numPr>
          <w:ilvl w:val="1"/>
          <w:numId w:val="42"/>
        </w:numPr>
        <w:rPr>
          <w:rFonts w:ascii="Calibri" w:cs="Calibri" w:eastAsia="Calibri" w:hAnsi="Calibri"/>
          <w:sz w:val="20"/>
          <w:szCs w:val="20"/>
          <w:color w:val="auto"/>
        </w:rPr>
      </w:pPr>
      <w:r>
        <w:rPr>
          <w:rFonts w:ascii="Arial" w:cs="Arial" w:eastAsia="Arial" w:hAnsi="Arial"/>
          <w:sz w:val="20"/>
          <w:szCs w:val="20"/>
          <w:color w:val="auto"/>
        </w:rPr>
        <w:t>Effective January 1, 2025, Appendices A and B of the Agreement are deleted in their entirety and replaced with the versions of such appendices attached hereto, and all references to such appendices in the Agreement shall be construed as references to the updated version of each such updated appendix as of such date. Until such date, the existing version of Appendices A and B shall remain in effect.</w:t>
      </w:r>
    </w:p>
    <w:p>
      <w:pPr>
        <w:spacing w:after="0" w:line="173" w:lineRule="exact"/>
        <w:rPr>
          <w:rFonts w:ascii="Calibri" w:cs="Calibri" w:eastAsia="Calibri" w:hAnsi="Calibri"/>
          <w:sz w:val="20"/>
          <w:szCs w:val="20"/>
          <w:color w:val="auto"/>
        </w:rPr>
      </w:pPr>
    </w:p>
    <w:p>
      <w:pPr>
        <w:jc w:val="both"/>
        <w:ind w:left="1500" w:right="20" w:hanging="369"/>
        <w:spacing w:after="0" w:line="236" w:lineRule="auto"/>
        <w:tabs>
          <w:tab w:leader="none" w:pos="1500" w:val="left"/>
        </w:tabs>
        <w:numPr>
          <w:ilvl w:val="1"/>
          <w:numId w:val="42"/>
        </w:numPr>
        <w:rPr>
          <w:rFonts w:ascii="Calibri" w:cs="Calibri" w:eastAsia="Calibri" w:hAnsi="Calibri"/>
          <w:sz w:val="20"/>
          <w:szCs w:val="20"/>
          <w:color w:val="auto"/>
        </w:rPr>
      </w:pPr>
      <w:r>
        <w:rPr>
          <w:rFonts w:ascii="Arial" w:cs="Arial" w:eastAsia="Arial" w:hAnsi="Arial"/>
          <w:sz w:val="20"/>
          <w:szCs w:val="20"/>
          <w:color w:val="auto"/>
        </w:rPr>
        <w:t>Effective January 1, 2025, Appendix E of the Agreement (Staffing Payments) shall be deleted in its entirety and replaced by the version attached hereto to reflect that Staffing Payments will be included in Cost of Goods Sold (COGS) and not separately reimbursable as of such date.</w:t>
      </w:r>
    </w:p>
    <w:p>
      <w:pPr>
        <w:spacing w:after="0" w:line="169" w:lineRule="exact"/>
        <w:rPr>
          <w:rFonts w:ascii="Calibri" w:cs="Calibri" w:eastAsia="Calibri" w:hAnsi="Calibri"/>
          <w:sz w:val="20"/>
          <w:szCs w:val="20"/>
          <w:color w:val="auto"/>
        </w:rPr>
      </w:pPr>
    </w:p>
    <w:p>
      <w:pPr>
        <w:ind w:left="760" w:right="60" w:hanging="378"/>
        <w:spacing w:after="0" w:line="226" w:lineRule="auto"/>
        <w:tabs>
          <w:tab w:leader="none" w:pos="760" w:val="left"/>
        </w:tabs>
        <w:numPr>
          <w:ilvl w:val="0"/>
          <w:numId w:val="42"/>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All terms of the Agreement that are not specifically modified by this amendment remain in full force and</w:t>
      </w:r>
      <w:r>
        <w:rPr>
          <w:rFonts w:ascii="Arial" w:cs="Arial" w:eastAsia="Arial" w:hAnsi="Arial"/>
          <w:sz w:val="20"/>
          <w:szCs w:val="20"/>
          <w:b w:val="1"/>
          <w:bCs w:val="1"/>
          <w:color w:val="auto"/>
        </w:rPr>
        <w:t xml:space="preserve"> </w:t>
      </w:r>
      <w:r>
        <w:rPr>
          <w:rFonts w:ascii="Arial" w:cs="Arial" w:eastAsia="Arial" w:hAnsi="Arial"/>
          <w:sz w:val="20"/>
          <w:szCs w:val="20"/>
          <w:color w:val="auto"/>
        </w:rPr>
        <w:t>effect. The parties may execute this amendment in counterparts, each of which is deemed an original for all purposes, and which together will constitute the same instrument. The parties may execute this amendment by electronic means (electronic signature through generally recognized e-signature vendors), by scanned pdfs of wet-ink signed documents, or by return of originals.</w:t>
      </w:r>
    </w:p>
    <w:p>
      <w:pPr>
        <w:spacing w:after="0" w:line="3" w:lineRule="exact"/>
        <w:rPr>
          <w:rFonts w:ascii="Calibri" w:cs="Calibri" w:eastAsia="Calibri" w:hAnsi="Calibri"/>
          <w:sz w:val="20"/>
          <w:szCs w:val="20"/>
          <w:b w:val="1"/>
          <w:bCs w:val="1"/>
          <w:color w:val="auto"/>
        </w:rPr>
      </w:pPr>
    </w:p>
    <w:p>
      <w:pPr>
        <w:ind w:left="5140"/>
        <w:spacing w:after="0"/>
        <w:rPr>
          <w:rFonts w:ascii="Calibri" w:cs="Calibri" w:eastAsia="Calibri" w:hAnsi="Calibri"/>
          <w:sz w:val="20"/>
          <w:szCs w:val="20"/>
          <w:b w:val="1"/>
          <w:bCs w:val="1"/>
          <w:color w:val="auto"/>
        </w:rPr>
      </w:pPr>
      <w:r>
        <w:rPr>
          <w:rFonts w:ascii="Arial" w:cs="Arial" w:eastAsia="Arial" w:hAnsi="Arial"/>
          <w:sz w:val="20"/>
          <w:szCs w:val="20"/>
          <w:i w:val="1"/>
          <w:iCs w:val="1"/>
          <w:color w:val="auto"/>
        </w:rPr>
        <w:t>***</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20"/>
          <w:szCs w:val="20"/>
          <w:i w:val="1"/>
          <w:iCs w:val="1"/>
          <w:color w:val="auto"/>
        </w:rPr>
        <w:t>Signature page follows</w:t>
      </w:r>
    </w:p>
    <w:p>
      <w:pPr>
        <w:spacing w:after="0" w:line="20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Page 1 of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8" w:name="page79"/>
    <w:bookmarkEnd w:id="78"/>
    <w:p>
      <w:pPr>
        <w:ind w:right="220"/>
        <w:spacing w:after="0" w:line="257" w:lineRule="auto"/>
        <w:rPr>
          <w:sz w:val="20"/>
          <w:szCs w:val="20"/>
          <w:color w:val="auto"/>
        </w:rPr>
      </w:pPr>
      <w:r>
        <w:rPr>
          <w:rFonts w:ascii="Arial" w:cs="Arial" w:eastAsia="Arial" w:hAnsi="Arial"/>
          <w:sz w:val="20"/>
          <w:szCs w:val="20"/>
          <w:color w:val="auto"/>
        </w:rPr>
        <w:t>IN WITNESS WHEREOF, the parties have caused this amendment to be signed by their duly authorized representatives as of the date indicated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540" w:type="dxa"/>
            <w:vAlign w:val="bottom"/>
          </w:tcPr>
          <w:p>
            <w:pPr>
              <w:ind w:left="100"/>
              <w:spacing w:after="0"/>
              <w:rPr>
                <w:sz w:val="20"/>
                <w:szCs w:val="20"/>
                <w:color w:val="auto"/>
              </w:rPr>
            </w:pPr>
            <w:r>
              <w:rPr>
                <w:rFonts w:ascii="Arial" w:cs="Arial" w:eastAsia="Arial" w:hAnsi="Arial"/>
                <w:sz w:val="20"/>
                <w:szCs w:val="20"/>
                <w:b w:val="1"/>
                <w:bCs w:val="1"/>
                <w:color w:val="auto"/>
              </w:rPr>
              <w:t>UNITED THERAPEUTICS CORPORATION</w:t>
            </w:r>
          </w:p>
        </w:tc>
        <w:tc>
          <w:tcPr>
            <w:tcW w:w="6700" w:type="dxa"/>
            <w:vAlign w:val="bottom"/>
          </w:tcPr>
          <w:p>
            <w:pPr>
              <w:ind w:left="1180"/>
              <w:spacing w:after="0"/>
              <w:rPr>
                <w:sz w:val="20"/>
                <w:szCs w:val="20"/>
                <w:color w:val="auto"/>
              </w:rPr>
            </w:pPr>
            <w:r>
              <w:rPr>
                <w:rFonts w:ascii="Arial" w:cs="Arial" w:eastAsia="Arial" w:hAnsi="Arial"/>
                <w:sz w:val="20"/>
                <w:szCs w:val="20"/>
                <w:b w:val="1"/>
                <w:bCs w:val="1"/>
                <w:color w:val="auto"/>
              </w:rPr>
              <w:t>MANNKIND CORPORATION</w:t>
            </w:r>
          </w:p>
        </w:tc>
      </w:tr>
      <w:tr>
        <w:trPr>
          <w:trHeight w:val="809"/>
        </w:trPr>
        <w:tc>
          <w:tcPr>
            <w:tcW w:w="4540" w:type="dxa"/>
            <w:vAlign w:val="bottom"/>
          </w:tcPr>
          <w:p>
            <w:pPr>
              <w:ind w:left="100"/>
              <w:spacing w:after="0"/>
              <w:rPr>
                <w:sz w:val="20"/>
                <w:szCs w:val="20"/>
                <w:color w:val="auto"/>
              </w:rPr>
            </w:pPr>
            <w:r>
              <w:rPr>
                <w:rFonts w:ascii="Arial" w:cs="Arial" w:eastAsia="Arial" w:hAnsi="Arial"/>
                <w:sz w:val="20"/>
                <w:szCs w:val="20"/>
                <w:color w:val="auto"/>
              </w:rPr>
              <w:t>By: /s/ Patrick Poisson</w:t>
            </w:r>
          </w:p>
        </w:tc>
        <w:tc>
          <w:tcPr>
            <w:tcW w:w="6700" w:type="dxa"/>
            <w:vAlign w:val="bottom"/>
          </w:tcPr>
          <w:p>
            <w:pPr>
              <w:ind w:left="1180"/>
              <w:spacing w:after="0"/>
              <w:rPr>
                <w:sz w:val="20"/>
                <w:szCs w:val="20"/>
                <w:color w:val="auto"/>
              </w:rPr>
            </w:pPr>
            <w:r>
              <w:rPr>
                <w:rFonts w:ascii="Arial" w:cs="Arial" w:eastAsia="Arial" w:hAnsi="Arial"/>
                <w:sz w:val="20"/>
                <w:szCs w:val="20"/>
                <w:color w:val="auto"/>
              </w:rPr>
              <w:t>By: /s/ Sanjay Singh</w:t>
            </w:r>
          </w:p>
        </w:tc>
      </w:tr>
      <w:tr>
        <w:trPr>
          <w:trHeight w:val="216"/>
        </w:trPr>
        <w:tc>
          <w:tcPr>
            <w:tcW w:w="4540" w:type="dxa"/>
            <w:vAlign w:val="bottom"/>
          </w:tcPr>
          <w:p>
            <w:pPr>
              <w:ind w:left="100"/>
              <w:spacing w:after="0" w:line="216" w:lineRule="exact"/>
              <w:rPr>
                <w:sz w:val="20"/>
                <w:szCs w:val="20"/>
                <w:color w:val="auto"/>
              </w:rPr>
            </w:pPr>
            <w:r>
              <w:rPr>
                <w:rFonts w:ascii="Arial" w:cs="Arial" w:eastAsia="Arial" w:hAnsi="Arial"/>
                <w:sz w:val="20"/>
                <w:szCs w:val="20"/>
                <w:color w:val="auto"/>
              </w:rPr>
              <w:t>Name: Patrick Poisson</w:t>
            </w:r>
          </w:p>
        </w:tc>
        <w:tc>
          <w:tcPr>
            <w:tcW w:w="6700" w:type="dxa"/>
            <w:vAlign w:val="bottom"/>
          </w:tcPr>
          <w:p>
            <w:pPr>
              <w:ind w:left="1180"/>
              <w:spacing w:after="0" w:line="216" w:lineRule="exact"/>
              <w:rPr>
                <w:sz w:val="20"/>
                <w:szCs w:val="20"/>
                <w:color w:val="auto"/>
              </w:rPr>
            </w:pPr>
            <w:r>
              <w:rPr>
                <w:rFonts w:ascii="Arial" w:cs="Arial" w:eastAsia="Arial" w:hAnsi="Arial"/>
                <w:sz w:val="20"/>
                <w:szCs w:val="20"/>
                <w:color w:val="auto"/>
              </w:rPr>
              <w:t>Name: Sanjay Singh</w:t>
            </w:r>
          </w:p>
        </w:tc>
      </w:tr>
      <w:tr>
        <w:trPr>
          <w:trHeight w:val="216"/>
        </w:trPr>
        <w:tc>
          <w:tcPr>
            <w:tcW w:w="4540" w:type="dxa"/>
            <w:vAlign w:val="bottom"/>
          </w:tcPr>
          <w:p>
            <w:pPr>
              <w:ind w:left="100"/>
              <w:spacing w:after="0" w:line="216" w:lineRule="exact"/>
              <w:rPr>
                <w:sz w:val="20"/>
                <w:szCs w:val="20"/>
                <w:color w:val="auto"/>
              </w:rPr>
            </w:pPr>
            <w:r>
              <w:rPr>
                <w:rFonts w:ascii="Arial" w:cs="Arial" w:eastAsia="Arial" w:hAnsi="Arial"/>
                <w:sz w:val="20"/>
                <w:szCs w:val="20"/>
                <w:color w:val="auto"/>
              </w:rPr>
              <w:t>Title:   EVP, Technical Operations</w:t>
            </w:r>
          </w:p>
        </w:tc>
        <w:tc>
          <w:tcPr>
            <w:tcW w:w="6700" w:type="dxa"/>
            <w:vAlign w:val="bottom"/>
          </w:tcPr>
          <w:p>
            <w:pPr>
              <w:ind w:left="1180"/>
              <w:spacing w:after="0" w:line="216" w:lineRule="exact"/>
              <w:rPr>
                <w:sz w:val="20"/>
                <w:szCs w:val="20"/>
                <w:color w:val="auto"/>
              </w:rPr>
            </w:pPr>
            <w:r>
              <w:rPr>
                <w:rFonts w:ascii="Arial" w:cs="Arial" w:eastAsia="Arial" w:hAnsi="Arial"/>
                <w:sz w:val="20"/>
                <w:szCs w:val="20"/>
                <w:color w:val="auto"/>
              </w:rPr>
              <w:t>Title:  EVP, Technical Operations</w:t>
            </w:r>
          </w:p>
        </w:tc>
      </w:tr>
      <w:tr>
        <w:trPr>
          <w:trHeight w:val="261"/>
        </w:trPr>
        <w:tc>
          <w:tcPr>
            <w:tcW w:w="4540" w:type="dxa"/>
            <w:vAlign w:val="bottom"/>
          </w:tcPr>
          <w:p>
            <w:pPr>
              <w:ind w:left="100"/>
              <w:spacing w:after="0"/>
              <w:rPr>
                <w:sz w:val="20"/>
                <w:szCs w:val="20"/>
                <w:color w:val="auto"/>
              </w:rPr>
            </w:pPr>
            <w:r>
              <w:rPr>
                <w:rFonts w:ascii="Arial" w:cs="Arial" w:eastAsia="Arial" w:hAnsi="Arial"/>
                <w:sz w:val="20"/>
                <w:szCs w:val="20"/>
                <w:color w:val="auto"/>
              </w:rPr>
              <w:t>Date: December 2, 2024</w:t>
            </w:r>
          </w:p>
        </w:tc>
        <w:tc>
          <w:tcPr>
            <w:tcW w:w="6700" w:type="dxa"/>
            <w:vAlign w:val="bottom"/>
          </w:tcPr>
          <w:p>
            <w:pPr>
              <w:ind w:left="1180"/>
              <w:spacing w:after="0"/>
              <w:rPr>
                <w:sz w:val="20"/>
                <w:szCs w:val="20"/>
                <w:color w:val="auto"/>
              </w:rPr>
            </w:pPr>
            <w:r>
              <w:rPr>
                <w:rFonts w:ascii="Arial" w:cs="Arial" w:eastAsia="Arial" w:hAnsi="Arial"/>
                <w:sz w:val="20"/>
                <w:szCs w:val="20"/>
                <w:color w:val="auto"/>
              </w:rPr>
              <w:t>Date: December 2, 2024</w:t>
            </w:r>
          </w:p>
        </w:tc>
      </w:tr>
      <w:tr>
        <w:trPr>
          <w:trHeight w:val="603"/>
        </w:trPr>
        <w:tc>
          <w:tcPr>
            <w:tcW w:w="4540" w:type="dxa"/>
            <w:vAlign w:val="bottom"/>
          </w:tcPr>
          <w:p>
            <w:pPr>
              <w:spacing w:after="0"/>
              <w:rPr>
                <w:sz w:val="24"/>
                <w:szCs w:val="24"/>
                <w:color w:val="auto"/>
              </w:rPr>
            </w:pPr>
          </w:p>
        </w:tc>
        <w:tc>
          <w:tcPr>
            <w:tcW w:w="6700" w:type="dxa"/>
            <w:vAlign w:val="bottom"/>
          </w:tcPr>
          <w:p>
            <w:pPr>
              <w:ind w:left="560"/>
              <w:spacing w:after="0"/>
              <w:rPr>
                <w:sz w:val="20"/>
                <w:szCs w:val="20"/>
                <w:color w:val="auto"/>
              </w:rPr>
            </w:pPr>
            <w:r>
              <w:rPr>
                <w:rFonts w:ascii="Arial" w:cs="Arial" w:eastAsia="Arial" w:hAnsi="Arial"/>
                <w:sz w:val="20"/>
                <w:szCs w:val="20"/>
                <w:color w:val="auto"/>
              </w:rPr>
              <w:t>Page 2 of 2</w:t>
            </w:r>
          </w:p>
        </w:tc>
      </w:tr>
      <w:tr>
        <w:trPr>
          <w:trHeight w:val="261"/>
        </w:trPr>
        <w:tc>
          <w:tcPr>
            <w:tcW w:w="4540" w:type="dxa"/>
            <w:vAlign w:val="bottom"/>
          </w:tcPr>
          <w:p>
            <w:pPr>
              <w:spacing w:after="0"/>
              <w:rPr>
                <w:sz w:val="22"/>
                <w:szCs w:val="22"/>
                <w:color w:val="auto"/>
              </w:rPr>
            </w:pPr>
          </w:p>
        </w:tc>
        <w:tc>
          <w:tcPr>
            <w:tcW w:w="6700" w:type="dxa"/>
            <w:vAlign w:val="bottom"/>
          </w:tcPr>
          <w:p>
            <w:pPr>
              <w:ind w:left="560"/>
              <w:spacing w:after="0"/>
              <w:rPr>
                <w:sz w:val="20"/>
                <w:szCs w:val="20"/>
                <w:color w:val="auto"/>
              </w:rPr>
            </w:pPr>
            <w:r>
              <w:rPr>
                <w:rFonts w:ascii="Arial" w:cs="Arial" w:eastAsia="Arial" w:hAnsi="Arial"/>
                <w:sz w:val="20"/>
                <w:szCs w:val="20"/>
                <w:color w:val="auto"/>
              </w:rPr>
              <w:t>Confidential</w:t>
            </w:r>
          </w:p>
        </w:tc>
      </w:tr>
      <w:tr>
        <w:trPr>
          <w:trHeight w:val="982"/>
        </w:trPr>
        <w:tc>
          <w:tcPr>
            <w:tcW w:w="45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9" w:name="page80"/>
    <w:bookmarkEnd w:id="7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MannKind Corporation;</w:t>
      </w:r>
    </w:p>
    <w:p>
      <w:pPr>
        <w:spacing w:after="0" w:line="22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20" w:right="140" w:hanging="510"/>
        <w:spacing w:after="0" w:line="266"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20" w:right="200" w:hanging="510"/>
        <w:spacing w:after="0" w:line="266"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20" w:hanging="510"/>
        <w:spacing w:after="0" w:line="266"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20" w:right="360" w:hanging="510"/>
        <w:spacing w:after="0" w:line="266"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2"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520" w:hanging="510"/>
        <w:spacing w:after="0" w:line="282" w:lineRule="auto"/>
        <w:tabs>
          <w:tab w:leader="none" w:pos="1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31375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0" w:name="page81"/>
    <w:bookmarkEnd w:id="8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Prentiss, certify that:</w:t>
      </w:r>
    </w:p>
    <w:p>
      <w:pPr>
        <w:spacing w:after="0" w:line="225"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MannKind Corporation;</w:t>
      </w:r>
    </w:p>
    <w:p>
      <w:pPr>
        <w:spacing w:after="0" w:line="22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20" w:right="140" w:hanging="510"/>
        <w:spacing w:after="0" w:line="266" w:lineRule="auto"/>
        <w:tabs>
          <w:tab w:leader="none" w:pos="15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20" w:right="200" w:hanging="510"/>
        <w:spacing w:after="0" w:line="266" w:lineRule="auto"/>
        <w:tabs>
          <w:tab w:leader="none" w:pos="15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20" w:hanging="510"/>
        <w:spacing w:after="0" w:line="266" w:lineRule="auto"/>
        <w:tabs>
          <w:tab w:leader="none" w:pos="15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20" w:right="360" w:hanging="510"/>
        <w:spacing w:after="0" w:line="266" w:lineRule="auto"/>
        <w:tabs>
          <w:tab w:leader="none" w:pos="15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2" w:lineRule="auto"/>
        <w:tabs>
          <w:tab w:leader="none" w:pos="15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520" w:hanging="510"/>
        <w:spacing w:after="0" w:line="282" w:lineRule="auto"/>
        <w:tabs>
          <w:tab w:leader="none" w:pos="15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31375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1" w:name="page82"/>
    <w:bookmarkEnd w:id="8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March 31, 2025,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8th day of May,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220" w:hanging="212"/>
        <w:spacing w:after="0" w:line="231" w:lineRule="auto"/>
        <w:tabs>
          <w:tab w:leader="none" w:pos="2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March 31, 2025,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8th day of May,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220" w:hanging="212"/>
        <w:spacing w:after="0" w:line="231" w:lineRule="auto"/>
        <w:tabs>
          <w:tab w:leader="none" w:pos="2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4"/>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lvl w:ilvl="1">
      <w:lvlJc w:val="left"/>
      <w:lvlText w:val="%2"/>
      <w:numFmt w:val="decimal"/>
      <w:start w:val="104"/>
    </w:lvl>
  </w:abstractNum>
  <w:abstractNum w:abstractNumId="40">
    <w:nsid w:val="2CD89A3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1">
    <w:nsid w:val="57E4CCA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bullet"/>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61" Type="http://schemas.openxmlformats.org/officeDocument/2006/relationships/hyperlink" Target="https://www.sec.gov/Archives/edgar/data/899460/000119312516676980/d225552dex31.htm" TargetMode="External"/><Relationship Id="rId262" Type="http://schemas.openxmlformats.org/officeDocument/2006/relationships/hyperlink" Target="https://www.sec.gov/Archives/edgar/data/899460/000119312517066630/d313758dex31.htm" TargetMode="External"/><Relationship Id="rId263" Type="http://schemas.openxmlformats.org/officeDocument/2006/relationships/hyperlink" Target="https://www.sec.gov/Archives/edgar/data/899460/000119312517368329/d511527dex31.htm" TargetMode="External"/><Relationship Id="rId264" Type="http://schemas.openxmlformats.org/officeDocument/2006/relationships/hyperlink" Target="https://www.sec.gov/Archives/edgar/data/899460/000119312520153051/d936164dex31.htm" TargetMode="External"/><Relationship Id="rId265" Type="http://schemas.openxmlformats.org/officeDocument/2006/relationships/hyperlink" Target="https://www.sec.gov/Archives/edgar/data/899460/000119312523156575/d473553dex31.htm" TargetMode="External"/><Relationship Id="rId266" Type="http://schemas.openxmlformats.org/officeDocument/2006/relationships/hyperlink" Target="https://www.sec.gov/Archives/edgar/data/899460/000119312520153051/d936164dex32.htm" TargetMode="External"/><Relationship Id="rId267" Type="http://schemas.openxmlformats.org/officeDocument/2006/relationships/hyperlink" Target="https://www.sec.gov/Archives/edgar/data/899460/000119312517085519/d305327dex42.htm" TargetMode="External"/><Relationship Id="rId268" Type="http://schemas.openxmlformats.org/officeDocument/2006/relationships/hyperlink" Target="https://www.sec.gov/Archives/edgar/data/899460/000119312513279522/d562665dex993.htm" TargetMode="External"/><Relationship Id="rId269" Type="http://schemas.openxmlformats.org/officeDocument/2006/relationships/hyperlink" Target="https://www.sec.gov/Archives/edgar/data/899460/000119312519215305/d757696dex41.htm" TargetMode="External"/><Relationship Id="rId270" Type="http://schemas.openxmlformats.org/officeDocument/2006/relationships/hyperlink" Target="https://www.sec.gov/Archives/edgar/data/899460/000119312521070265/d45565dex41.htm" TargetMode="External"/><Relationship Id="rId271" Type="http://schemas.openxmlformats.org/officeDocument/2006/relationships/hyperlink" Target="https://www.sec.gov/Archives/edgar/data/899460/000119312521070265/d45565dex41.htm#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2025-05-08T07:21:59Z</dcterms:created>
  <dcterms:modified xsi:type="dcterms:W3CDTF">2025-05-08T07:21:59Z</dcterms:modified>
</cp:coreProperties>
</file>