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60"/>
        <w:spacing w:after="0"/>
        <w:tabs>
          <w:tab w:leader="none" w:pos="67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3833495</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6140" w:type="dxa"/>
            <w:vAlign w:val="bottom"/>
          </w:tcPr>
          <w:p>
            <w:pPr>
              <w:jc w:val="center"/>
              <w:ind w:right="34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40" w:type="dxa"/>
            <w:vAlign w:val="bottom"/>
          </w:tcPr>
          <w:p>
            <w:pPr>
              <w:jc w:val="center"/>
              <w:ind w:right="341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89"/>
              </w:rPr>
              <w:t>25134 Rye Canyon Loop Suite 300</w:t>
            </w:r>
          </w:p>
        </w:tc>
        <w:tc>
          <w:tcPr>
            <w:tcW w:w="1500" w:type="dxa"/>
            <w:vAlign w:val="bottom"/>
          </w:tcPr>
          <w:p>
            <w:pPr>
              <w:spacing w:after="0"/>
              <w:rPr>
                <w:sz w:val="24"/>
                <w:szCs w:val="24"/>
                <w:color w:val="auto"/>
              </w:rPr>
            </w:pPr>
          </w:p>
        </w:tc>
      </w:tr>
      <w:tr>
        <w:trPr>
          <w:trHeight w:val="225"/>
        </w:trPr>
        <w:tc>
          <w:tcPr>
            <w:tcW w:w="6140" w:type="dxa"/>
            <w:vAlign w:val="bottom"/>
          </w:tcPr>
          <w:p>
            <w:pPr>
              <w:jc w:val="center"/>
              <w:ind w:right="3439"/>
              <w:spacing w:after="0"/>
              <w:rPr>
                <w:sz w:val="20"/>
                <w:szCs w:val="20"/>
                <w:color w:val="auto"/>
              </w:rPr>
            </w:pPr>
            <w:r>
              <w:rPr>
                <w:rFonts w:ascii="Arial" w:cs="Arial" w:eastAsia="Arial" w:hAnsi="Arial"/>
                <w:sz w:val="18"/>
                <w:szCs w:val="18"/>
                <w:b w:val="1"/>
                <w:bCs w:val="1"/>
                <w:color w:val="auto"/>
                <w:w w:val="92"/>
              </w:rPr>
              <w:t>Valencia, California</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91355</w:t>
            </w:r>
          </w:p>
        </w:tc>
      </w:tr>
      <w:tr>
        <w:trPr>
          <w:trHeight w:val="186"/>
        </w:trPr>
        <w:tc>
          <w:tcPr>
            <w:tcW w:w="6140" w:type="dxa"/>
            <w:vAlign w:val="bottom"/>
          </w:tcPr>
          <w:p>
            <w:pPr>
              <w:jc w:val="center"/>
              <w:ind w:right="34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611"/>
        </w:trPr>
        <w:tc>
          <w:tcPr>
            <w:tcW w:w="6140" w:type="dxa"/>
            <w:vAlign w:val="bottom"/>
          </w:tcPr>
          <w:p>
            <w:pPr>
              <w:jc w:val="right"/>
              <w:ind w:right="1359"/>
              <w:spacing w:after="0"/>
              <w:rPr>
                <w:sz w:val="20"/>
                <w:szCs w:val="20"/>
                <w:color w:val="auto"/>
              </w:rPr>
            </w:pPr>
            <w:r>
              <w:rPr>
                <w:rFonts w:ascii="Arial" w:cs="Arial" w:eastAsia="Arial" w:hAnsi="Arial"/>
                <w:sz w:val="18"/>
                <w:szCs w:val="18"/>
                <w:b w:val="1"/>
                <w:bCs w:val="1"/>
                <w:color w:val="auto"/>
              </w:rPr>
              <w:t>(661) 775-5300</w:t>
            </w:r>
          </w:p>
        </w:tc>
        <w:tc>
          <w:tcPr>
            <w:tcW w:w="1500" w:type="dxa"/>
            <w:vAlign w:val="bottom"/>
          </w:tcPr>
          <w:p>
            <w:pPr>
              <w:spacing w:after="0"/>
              <w:rPr>
                <w:sz w:val="24"/>
                <w:szCs w:val="24"/>
                <w:color w:val="auto"/>
              </w:rPr>
            </w:pPr>
          </w:p>
        </w:tc>
      </w:tr>
      <w:tr>
        <w:trPr>
          <w:trHeight w:val="186"/>
        </w:trPr>
        <w:tc>
          <w:tcPr>
            <w:tcW w:w="6140" w:type="dxa"/>
            <w:vAlign w:val="bottom"/>
          </w:tcPr>
          <w:p>
            <w:pPr>
              <w:jc w:val="center"/>
              <w:ind w:left="20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0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50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62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5, 2017, there were 101,006,255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35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816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0"/>
            <w:vMerge w:val="continue"/>
          </w:tcPr>
          <w:p>
            <w:pPr>
              <w:spacing w:after="0"/>
              <w:rPr>
                <w:sz w:val="13"/>
                <w:szCs w:val="13"/>
                <w:color w:val="auto"/>
              </w:rPr>
            </w:pPr>
          </w:p>
        </w:tc>
        <w:tc>
          <w:tcPr>
            <w:tcW w:w="816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0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March 31, 2017 and December 31, 2016</w:t>
              </w:r>
            </w:hyperlink>
          </w:p>
        </w:tc>
        <w:tc>
          <w:tcPr>
            <w:tcW w:w="50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Three months ended March 31, 2017 and 2016</w:t>
              </w:r>
            </w:hyperlink>
          </w:p>
        </w:tc>
        <w:tc>
          <w:tcPr>
            <w:tcW w:w="392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Three months ended March 31, 2017 and 2016</w:t>
              </w:r>
            </w:hyperlink>
          </w:p>
        </w:tc>
        <w:tc>
          <w:tcPr>
            <w:tcW w:w="3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Three months ended March 31, 2017 and 2016</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8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4. Controls and Procedures</w:t>
              </w:r>
            </w:hyperlink>
          </w:p>
        </w:tc>
        <w:tc>
          <w:tcPr>
            <w:tcW w:w="870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PART II: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48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1A. Risk Factors</w:t>
              </w:r>
            </w:hyperlink>
          </w:p>
        </w:tc>
        <w:tc>
          <w:tcPr>
            <w:tcW w:w="94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2. Unregistered Sales of Equity Securities and Use of Proceeds</w:t>
              </w:r>
            </w:hyperlink>
          </w:p>
        </w:tc>
        <w:tc>
          <w:tcPr>
            <w:tcW w:w="61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Item 3.</w:t>
              </w:r>
            </w:hyperlink>
          </w:p>
        </w:tc>
        <w:tc>
          <w:tcPr>
            <w:tcW w:w="10520" w:type="dxa"/>
            <w:vAlign w:val="bottom"/>
            <w:gridSpan w:val="19"/>
          </w:tcPr>
          <w:p>
            <w:pPr>
              <w:ind w:left="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8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91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Item 6.</w:t>
              </w:r>
            </w:hyperlink>
          </w:p>
        </w:tc>
        <w:tc>
          <w:tcPr>
            <w:tcW w:w="10520" w:type="dxa"/>
            <w:vAlign w:val="bottom"/>
            <w:gridSpan w:val="19"/>
          </w:tcPr>
          <w:p>
            <w:pPr>
              <w:ind w:left="2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SIGNATURES</w:t>
        </w:r>
      </w:hyperlink>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c>
          <w:tcPr>
            <w:tcW w:w="3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ind w:left="358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47,978</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 from Sanofi</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3,698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held for sale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Deferred costs from commercial product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56,094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28,482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85,185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DEFICIT</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1,519</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10,657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Facility financing obligation</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71,795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Deferred payments from collaboration - current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Recognized loss on purchase commitments - current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93,049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49,521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Accrued interest - note payable to principal stockholder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9,995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27,642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Recognized loss on purchase commitments - long term</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95,062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Deferred payments from collaboration - long term</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Warrant liability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Milestone rights liability and other liabilities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7,202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283,910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March 31, 2017 and December 31, 2016</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- 140,000,000 shares authorized, 95,776,297 and 95,680,831 shares issued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and outstanding at March 31, 2017 and December 31, 2016, respectively</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2,554,230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(2,753,889)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(2,737,565)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deficit</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85,185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14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Net revenue - collaboration</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revenue - commercial product sales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Revenue - bulk insulin sales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Loss on foreign currency translation</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20,013</w:t>
            </w: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Interest expense on notes</w:t>
            </w:r>
          </w:p>
        </w:tc>
        <w:tc>
          <w:tcPr>
            <w:tcW w:w="2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(2,706)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note payable to principal stockholder</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Loss before benefit for income taxes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(16,324)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(16,324</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1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2"/>
        </w:trPr>
        <w:tc>
          <w:tcPr>
            <w:tcW w:w="9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(16,324)</w:t>
            </w:r>
          </w:p>
        </w:tc>
        <w:tc>
          <w:tcPr>
            <w:tcW w:w="2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w:t>
            </w: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gain</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(16,324</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(16,324)</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(24,873)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Depreciation, amortization and accretion</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Loss on foreign currency translation</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incurred through borrowings under Sanofi Loan Facility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Interest on note payable to principal stockholder</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 from Sanofi</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 from commercial product sales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(14,799)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Deferred payments from collaboration</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 - net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Recognized loss on purchase commitments</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(30,758)</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w:t>
            </w: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Net proceeds from sale of property and equipment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59,074</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27,653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FLOWS DISCLOSURES: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Interest paid in cash, net of amounts capitalized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2,550</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Cost incurred for construction in progress included in accounts payable and accrued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2016 filed with the SEC on March 16, 2017 (the “Annual Report”).</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2017 may not be indicative of the results that may be expected for the full year.</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condensed consolidated financial statements include revenue recognition, assessing long-lived assets and deferred product costs for impairment, accrued expenses, inventory recoverability, valuation of the facility financing obligation, loss on purchase commitments, warrant liability, milestone rights,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MannKind is a biopharmaceutical company focused on the discovery, development and commercialization of therapeutic products for diseases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diabetes. The Company’s only approved product, Afrezza (insulin human [rDNA origin]) inhalation powder, is a rapid-acting inhaled insulin that was approved by the U.S. Food and Drug Administration (the “FDA”) on June 27, 2014 to improve glycemic control in adult patients with diabetes.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August 11, 2014, the Company executed a license and collaboration agreement (the “Sanofi License Agreement”) with Sanofi-Aventis Deutschland GmbH, which subsequently assigned its rights and obligations under the agreement to Sanofi-Aventis U.S. LLC (“Sanofi”), pursuant to which Sanofi was responsible for global commercial, regulatory and development activities for Afrezza.</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January 4, 2016, the Company received written notification from Sanofi of its election to terminate in its entirety the Sanofi License Agreement. The effective date of termination was April 4, 2016, which was when the Company assumed responsibility for worldwide development and commercialization of Afrezza. Under the terms of the transition agreement, Sanofi continued to fulfill orders for Afrezza in the United States until the Company began distributing MannKind-branded Afrezza product to major wholesalers in late July 2016. The Company began recognizing commercial product sales revenue when MannKind-branded Afrezza was dispensed from pharmacies to patients in August 2016.</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(the “Sanofi Loan Facility”) between the Company and Aventisub LLC (“Aventisub”), a Sanofi affiliate, was terminated with Aventisub agreeing to fully forgive the outstanding loan balance of $72.0 million. Sanofi also purchased $10.2 million of insulin from the Company in December 2016 under an existing insulin put option and made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their initial transition of the commercial responsibilities from Sanofi, the Company utilized a contract sales organization to promote Afrezza while the Company focused its internal resources on establishing a channel strategy, entering into distribution agreements and developing co-pay assistance programs, a voucher program, data agreements and payor relationships. In early 2017, the Company recruited its own sales force and intends to continue the commercialization of Afrezza in the United States through its own commercial organization. The Company’s current strategy for future commercialization of Afrezza outside of the United States, subject to receipt of the necessary foreign regulatory approvals, is to seek and establish partnerships in foreign jurisdictions where there are appropriate commercial opportunities.</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and for the three months ended March 31, 2017, the Company has reported an accumulated deficit of $2.8 billion and has reported negative cash flow from operations for each year since inception, except for the current quarter, when the Company received the $30.6 million settlement payment from Sanofi and in 2014, when the Company received the $150.0 million upfront payment from Sanofi.</w:t>
      </w:r>
    </w:p>
    <w:p>
      <w:pPr>
        <w:spacing w:after="0" w:line="18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At March 31, 2017, the Company’s capital resources consisted of cash and cash equivalents of $48.0 million. The Company expects to continue to incur significant expenditures to support commercial manufacturing and sales and marketing of Afrezza and the development of their product candidates. The facility agreement (the “Facility Agreement”) with Deerfield Private Design Fund II, L.P. (“Deerfield Private Design Fund”) and Deerfield Private Design International II, L.P. (collectively, “Deerfield”) that resulted in the issuance of 9.75% Senior Convertible Notes due 2019 (“2019 notes”) and the First Amendment to Facility Agreement and Registration Rights Agreement (the “First Amendment”) that resulted in the issuance of an additional tranche of</w:t>
      </w:r>
    </w:p>
    <w:p>
      <w:pPr>
        <w:spacing w:after="0" w:line="2"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8.75% Senior Convertible Notes due 2019 (“Tranche B notes”) (see Note 6 — Borrowings) requires the Company to maintain at least $25.0 million in cash and cash equivalents or available borrowings under the loan arrangement, dated as of October 2, 2007, between the Company and The Mann Group LLC (as amended, restated, or otherwise modified as of the date hereof, “The Mann Group Loan Arrangement”), as of the last day of each fiscal quarter.</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 funding sources that are, or in certain circumstances may be, available to the Company include $30.1 million principal amount of available borrowings under The Mann Group Loan Arrangement. A portion of these available borrowings may be used to capitalize accrued interest into principal, upon mutual agreement of the parties, as it becomes due and payable under The Mann Group Loan Arrangement (see Note 5 — Related-Party Arrangements). The Company is seeking and will need to raise additional capital, whether through a sale of equity or debt securities, a strategic business collaboration with another company, the establishment of other funding facilities, licensing arrangements, asset sales or other means, in order to continue the development and commercialization of Afrezza and other product candidates and to support its other ongoing activities. The Company cannot provide assurances that such additional capital will be available on acceptable terms or at all. These factors raise substantial doubt about the Company’s ability to continue as a going concern. The financial statements do not include any adjustments that might result from the outcome of this uncertainty.</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September 14, 2016, the Company received notice from the Listing Qualifications Department of the NASDAQ Stock Market indicating that in the previous 30 consecutive business days, the bid price for the common stock closed below the minimum of $1.00 per share required for continued inclusion on the NASDAQ Global Market. The notification letter stated that the Company would be afforded 180 calendar days, or until March 13, 2017, to regain compliance with the minimum bid price requirement. On March 16, 2017, the Company received a letter from the Listing Qualifications Department of the NASDAQ Global Market indicating that the Company had regained compliance with the $1.00 minimum closing bid requirement following completion of the reverse stock split described below.</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1, 2017, following stockholder approval, the Company’s board of directors approved a reverse stock split ratio of 1-for-5. On March 1, 2017, the Company filed with the Secretary of State of the State of Delaware a Certificate of Amendment of the Company’s Amended and Restated Certificate of Incorporation to effect the 1-for-5 reverse stock split of the Company’s outstanding common stock and to reduce the authorized number of shares of the Company’s common stock from 700,000,000 to 140,000,000 shares. The Company’s common stock began trading on the NASDAQ Global Market on a split-adjusted basis when the market opened on March 3, 2017. As a result, all common stock share amounts included in these condensed consolidated financial statements have been retroactively reduced by a factor of five, and all common stock per share amounts have been increased by a factor of five, with the exception of the Company’s common stock par value.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18, 2017, the Company entered into an Exchange Agreement with Deerfield resulting in the cash repayment of $4.0 million under the Tranche B notes and the conversion of $1.0 million and $5.0 million of the Tranche B notes and the 2019 notes, respectively to common shares (see Note 13, Subsequent Events for disclosure of the Exchange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amounts from previous periods have been reclassified to conform to the 2017 presentation. Specifically, on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product manufacturing has been renamed to costs of goods sold. The Company also reclassified (gain) loss on foreign currency translation from the previously reported classification of product manufacturing to loss on foreign currency translation in the accompanying condensed consolidated statements of operations. In addition, on the statements of cash flows, the Company reclassified interest expense on note payable to principal stockholder from other liabilities to conform to the 2017 presentation.</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Correction of an Immaterial Error </w:t>
      </w:r>
      <w:r>
        <w:rPr>
          <w:rFonts w:ascii="Arial" w:cs="Arial" w:eastAsia="Arial" w:hAnsi="Arial"/>
          <w:sz w:val="16"/>
          <w:szCs w:val="16"/>
          <w:color w:val="auto"/>
        </w:rPr>
        <w:t>— Subsequent to the issuance of the Company’s financial statements for the year ended December 31, 2016 on Form 10-K, the Company determined that the common stock par value as of December 31, 2016 and 2015 should not have been adjusted for the impact of the reverse stock split on March 3, 2017 as described above. Management evaluated the materiality of the errors from a quantitative and qualitative perspective and concluded that this adjustment was not material to the Company’s financial position as of March 31, 2017 or December 31, 2016 and 2015 and that there was no impact to the results of operations for any periods presented. However, the Company has elected to correct the error in the current filing to conform to the current year presentation. Since the revisions were not material, no amendments to previously filed reports were required. The Company has revised the historical consolidated financial information presented herein to reflect the correction of this error for the prior period presented.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2016 as</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4"/>
                <w:szCs w:val="14"/>
                <w:color w:val="auto"/>
                <w:w w:val="91"/>
              </w:rPr>
              <w:t>(In thousands)</w:t>
            </w:r>
          </w:p>
        </w:tc>
        <w:tc>
          <w:tcPr>
            <w:tcW w:w="314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color w:val="auto"/>
                <w:w w:val="95"/>
              </w:rPr>
              <w:t>Previously</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2016 as</w:t>
            </w:r>
          </w:p>
        </w:tc>
        <w:tc>
          <w:tcPr>
            <w:tcW w:w="0" w:type="dxa"/>
            <w:vAlign w:val="bottom"/>
          </w:tcPr>
          <w:p>
            <w:pPr>
              <w:spacing w:after="0"/>
              <w:rPr>
                <w:sz w:val="1"/>
                <w:szCs w:val="1"/>
                <w:color w:val="auto"/>
              </w:rPr>
            </w:pPr>
          </w:p>
        </w:tc>
      </w:tr>
      <w:tr>
        <w:trPr>
          <w:trHeight w:val="167"/>
        </w:trPr>
        <w:tc>
          <w:tcPr>
            <w:tcW w:w="84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87"/>
              </w:rPr>
              <w:t>Presented</w:t>
            </w:r>
          </w:p>
        </w:tc>
        <w:tc>
          <w:tcPr>
            <w:tcW w:w="5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3"/>
              </w:rPr>
              <w:t>Adjustments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Adjusted</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2,549,212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3,827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2,553,039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recognized when the four basic criteria of revenue recognition are met: (1) persuasive evidence that an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exists; (2) delivery has occurred or services have been rendered; (3) the fee is fixed or determinable; and (4) collectability is reasonably assured. When the accounting requirements for revenue recognition are not met, the Company defers the recognition of revenue by recording deferred revenue on the condensed consolidated balance sheets until such time that all criteria are met. To date, the Company has had revenue from collaborations, commercial sales of Afrezza, and from sales of bulk insulin, which are described more fully below.</w:t>
      </w:r>
    </w:p>
    <w:p>
      <w:pPr>
        <w:spacing w:after="0" w:line="80"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i w:val="1"/>
          <w:iCs w:val="1"/>
          <w:color w:val="auto"/>
        </w:rPr>
        <w:t xml:space="preserve">Revenue Recognition – Net Revenue – Collaborations – </w:t>
      </w:r>
      <w:r>
        <w:rPr>
          <w:rFonts w:ascii="Arial" w:cs="Arial" w:eastAsia="Arial" w:hAnsi="Arial"/>
          <w:sz w:val="17"/>
          <w:szCs w:val="17"/>
          <w:color w:val="auto"/>
        </w:rPr>
        <w:t>The Company enters into collaborations under which the Company must perform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and receives periodic payments. The Company evaluates the collaborations under the multiple element revenue recognition accounting guidance. Revenue arrangements with multiple elements are divided into separate units of accounting if certain criteria are met, including whether the delivered elements have stand-alone value to the customer. When deliverables are separable, consideration received is allocated to the separate units of accounting based on the relative selling price of each deliverable and the appropriate revenue recognition principles are applied to each unit. The assessment of multiple element arrangements requires judgment in order to determine the appropriate units of accounting and the points in time that, or periods over which, revenue should be recognized. The terms of and the accounting for the Company’s collaborations are described more fully in Note 7 — Collaboration Arrangements.</w:t>
      </w:r>
    </w:p>
    <w:p>
      <w:pPr>
        <w:spacing w:after="0" w:line="7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Between July 1, 2016 and December 15, 2016, the Company sold Afrezza to</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Commercialization Solutions Direct (ICS) and title and risk of loss transferred to ICS upon shipment. After December 15, 2016, ICS became a third party logistics provider and stopped taking title and risk of loss upon shipment of Afrezza to ICS. The Company sells Afrezza in the United States to wholesale pharmaceutical distributors through ICS, and ultimately to retail pharmacies, which are collectively referred to as “customers”. The Company provides the right of return to its wholesale distributors and, through them, to its retail pharmacy customers for unopened product for a period beginning six months prior to and ending twelve months after its expiration date. Once the product has been prescribed and dispensed to the patient, any right of return ceases to exist.</w:t>
      </w:r>
    </w:p>
    <w:p>
      <w:pPr>
        <w:spacing w:after="0" w:line="8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 xml:space="preserve">Given the Company’s limited sales history for Afrezza, the Company cannot reliably estimate expected returns of the product at the time of shipment into the distribution channel. Accordingly, the Company defers recognition of revenue on Afrezza product shipments until the right of return no longer exists, which occurs at the earlier of the time Afrezza is dispensed from pharmacies to patients or expiration of the right of return. Deferred revenue is presented net of deferred product sales discounts which are further described in </w:t>
      </w:r>
      <w:r>
        <w:rPr>
          <w:rFonts w:ascii="Arial" w:cs="Arial" w:eastAsia="Arial" w:hAnsi="Arial"/>
          <w:sz w:val="18"/>
          <w:szCs w:val="18"/>
          <w:i w:val="1"/>
          <w:iCs w:val="1"/>
          <w:color w:val="auto"/>
        </w:rPr>
        <w:t>Gross-to-Net Adjustments</w:t>
      </w:r>
      <w:r>
        <w:rPr>
          <w:rFonts w:ascii="Arial" w:cs="Arial" w:eastAsia="Arial" w:hAnsi="Arial"/>
          <w:sz w:val="18"/>
          <w:szCs w:val="18"/>
          <w:color w:val="auto"/>
        </w:rPr>
        <w:t xml:space="preserve"> below. The Company recognizes revenue based on Afrezza patient prescriptions dispensed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For the three months ended March 31, 2017, net revenue from commercial product sales consisted of $1.2 million of net sales of Afrezza dispensed to patients. As of March 31, 2017 and December 31, 2016, the ending balances for deferred revenue were $1.8 million and $3.4 million, on its condensed consolidated balance sheets, of which $1.8 million and $1.6 million (net of estimated gross-to-net adjustments), respectively, represents product shipped to the Company’s third-party logistics provider and wholesale distributors, but not yet dispensed to patients. The difference, as of December 31, 2016, represented deferred revenue from bulk insulin sales, which is described more fully under the heading </w:t>
      </w:r>
      <w:r>
        <w:rPr>
          <w:rFonts w:ascii="Arial" w:cs="Arial" w:eastAsia="Arial" w:hAnsi="Arial"/>
          <w:sz w:val="17"/>
          <w:szCs w:val="17"/>
          <w:i w:val="1"/>
          <w:iCs w:val="1"/>
          <w:color w:val="auto"/>
        </w:rPr>
        <w:t>Revenue Recognition – Revenue – Bulk Insulin Sales</w:t>
      </w:r>
      <w:r>
        <w:rPr>
          <w:rFonts w:ascii="Arial" w:cs="Arial" w:eastAsia="Arial" w:hAnsi="Arial"/>
          <w:sz w:val="17"/>
          <w:szCs w:val="17"/>
          <w:color w:val="auto"/>
        </w:rPr>
        <w:t xml:space="preserve"> below. For the three months ended March 31, 2017, shipments to three wholesale distributors represented 93% of total shipments.</w:t>
      </w:r>
    </w:p>
    <w:p>
      <w:pPr>
        <w:spacing w:after="0" w:line="70"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i w:val="1"/>
          <w:iCs w:val="1"/>
          <w:color w:val="auto"/>
        </w:rPr>
        <w:t xml:space="preserve">Gross-to-net Adjustments – </w:t>
      </w:r>
      <w:r>
        <w:rPr>
          <w:rFonts w:ascii="Arial" w:cs="Arial" w:eastAsia="Arial" w:hAnsi="Arial"/>
          <w:sz w:val="17"/>
          <w:szCs w:val="17"/>
          <w:color w:val="auto"/>
        </w:rPr>
        <w:t>Estimated gross-to-net adjustments for Afrezza include wholesaler distribution fees, prompt pay discounts,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rebates and chargebacks and patient discount and co-pay assistance programs, and are based on estimated amounts owed or to be claimed on the related sales. These estimates take into consideration the terms of the Company’s agreements with its customers and the levels of inventory within the distribution and retail channels that may result in future rebates or discounts taken. In certain cases, such as patient support programs, the Company recognizes the cost of patient discounts as a reduction of revenue based on estimated utilization. If actual future results vary, the Company may need to adjust these estimates, which could have an effect on product revenue in the period of adjustment. The Company records product sales deductions in the condensed consolidated statements of operations at the time product revenue is recognized. Gross-to-net adjustments were approximately $0.4 million, which represents 27% of gross revenue from product sales for the three months ended March 31, 2017. There were no product sales and accordingly, no gross-to-net adjustments during the three months ended March 31, 2016. Gross-to-net items that are unpaid at the end of each period are presented in accrued expense and other current liabilities.</w:t>
      </w:r>
    </w:p>
    <w:p>
      <w:pPr>
        <w:spacing w:after="0" w:line="70" w:lineRule="exact"/>
        <w:rPr>
          <w:sz w:val="20"/>
          <w:szCs w:val="20"/>
          <w:color w:val="auto"/>
        </w:rPr>
      </w:pPr>
    </w:p>
    <w:p>
      <w:pPr>
        <w:ind w:left="920" w:right="280"/>
        <w:spacing w:after="0" w:line="264" w:lineRule="auto"/>
        <w:rPr>
          <w:sz w:val="20"/>
          <w:szCs w:val="20"/>
          <w:color w:val="auto"/>
        </w:rPr>
      </w:pPr>
      <w:r>
        <w:rPr>
          <w:rFonts w:ascii="Arial" w:cs="Arial" w:eastAsia="Arial" w:hAnsi="Arial"/>
          <w:sz w:val="18"/>
          <w:szCs w:val="18"/>
          <w:i w:val="1"/>
          <w:iCs w:val="1"/>
          <w:color w:val="auto"/>
        </w:rPr>
        <w:t xml:space="preserve">Wholesaler Distribution Fees – </w:t>
      </w:r>
      <w:r>
        <w:rPr>
          <w:rFonts w:ascii="Arial" w:cs="Arial" w:eastAsia="Arial" w:hAnsi="Arial"/>
          <w:sz w:val="18"/>
          <w:szCs w:val="18"/>
          <w:color w:val="auto"/>
        </w:rPr>
        <w:t>The Company pays distribution fees to certain wholesale distributors based on contractually determined rates.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accrues the distribution fees on shipment to the respective wholesale distributors and recognizes the distribution fees as a reduction of revenue in the same period the related revenue is recognized.</w:t>
      </w:r>
    </w:p>
    <w:p>
      <w:pPr>
        <w:spacing w:after="0" w:line="73"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i w:val="1"/>
          <w:iCs w:val="1"/>
          <w:color w:val="auto"/>
        </w:rPr>
        <w:t xml:space="preserve">Prompt Pay Discounts – </w:t>
      </w:r>
      <w:r>
        <w:rPr>
          <w:rFonts w:ascii="Arial" w:cs="Arial" w:eastAsia="Arial" w:hAnsi="Arial"/>
          <w:sz w:val="18"/>
          <w:szCs w:val="18"/>
          <w:color w:val="auto"/>
        </w:rPr>
        <w:t>The Company offers cash discounts to its customers, generally 2% of the sales price, as an incentive for prompt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The Company accounts for cash discounts by reducing accounts receivable and deferred revenue by the prompt pay discount amount (at the time of shipment to the wholesale distributor). The Company recognizes the discount as a reduction of revenue in the same period the related revenue is recognized.</w:t>
      </w:r>
    </w:p>
    <w:p>
      <w:pPr>
        <w:spacing w:after="0" w:line="79"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i w:val="1"/>
          <w:iCs w:val="1"/>
          <w:color w:val="auto"/>
        </w:rPr>
        <w:t xml:space="preserve">Rebates and Chargebacks – </w:t>
      </w:r>
      <w:r>
        <w:rPr>
          <w:rFonts w:ascii="Arial" w:cs="Arial" w:eastAsia="Arial" w:hAnsi="Arial"/>
          <w:sz w:val="17"/>
          <w:szCs w:val="17"/>
          <w:color w:val="auto"/>
        </w:rPr>
        <w:t>The Company participates in federal and state government-managed Medicare and Medicaid programs and,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is required to provide rebates under these programs. The Company continues to pursue participation in certain other qualifying federal and state government programs whereby discounts and rebates are provided to participating entities. Rebates provided through these other qualifying programs are included in the Medicaid and Medicare rebate accrual. Chargebacks are discounts that occur when contracted customers purchase directly from an intermediary wholesale purchaser. Contracted customers, which currently consist primarily of Federal government entities purchasing off the Federal Supply Schedule, generally purchase the product at its contracted price, plus a mark-up from the wholesaler. The wholesaler, in-turn, charges back to the Company the difference between the price initially paid by the wholesaler and the contracted price paid to the wholesaler by the customer.</w:t>
      </w:r>
    </w:p>
    <w:p>
      <w:pPr>
        <w:spacing w:after="0" w:line="71" w:lineRule="exact"/>
        <w:rPr>
          <w:sz w:val="20"/>
          <w:szCs w:val="20"/>
          <w:color w:val="auto"/>
        </w:rPr>
      </w:pPr>
    </w:p>
    <w:p>
      <w:pPr>
        <w:ind w:left="920" w:right="20"/>
        <w:spacing w:after="0" w:line="270" w:lineRule="auto"/>
        <w:rPr>
          <w:sz w:val="20"/>
          <w:szCs w:val="20"/>
          <w:color w:val="auto"/>
        </w:rPr>
      </w:pPr>
      <w:r>
        <w:rPr>
          <w:rFonts w:ascii="Arial" w:cs="Arial" w:eastAsia="Arial" w:hAnsi="Arial"/>
          <w:sz w:val="17"/>
          <w:szCs w:val="17"/>
          <w:color w:val="auto"/>
        </w:rPr>
        <w:t>The Company accounts for these rebates and chargebacks by establishing an accrual based on contractual discount rates, expected utilization under each contract and an estimate of the amount of inventory in the distribution channel that will become subject to such rebates and chargebacks based on historical payor data provided by a third-party vendor along with additional data including a forecasted participation rates. From that data, as well as input received from the commercial team, an estimated participation rate for each program is determined and applied at the rate for those sales. Any new information regarding changes in the programs’ regulations and guidelines or any changes in the Company’s government price reporting calculations that would impact the amount of the rebates will also be taken into account in determining or modifying the appropriate reserve. The time period between the date the product is sold into the channel and the date such rebates may be paid can be up to approximately six to nine months. As such, continuous monitoring of these estimates will be performed on a periodic basis, and if necessary, adjusted to reflect new facts and circumstances. Rebates and chargebacks are recognized as a reduction of gross revenue in the period the related revenue is recognized.</w:t>
      </w:r>
    </w:p>
    <w:p>
      <w:pPr>
        <w:spacing w:after="0" w:line="70"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i w:val="1"/>
          <w:iCs w:val="1"/>
          <w:color w:val="auto"/>
        </w:rPr>
        <w:t xml:space="preserve">Other Rebates and Discounts – </w:t>
      </w:r>
      <w:r>
        <w:rPr>
          <w:rFonts w:ascii="Arial" w:cs="Arial" w:eastAsia="Arial" w:hAnsi="Arial"/>
          <w:sz w:val="18"/>
          <w:szCs w:val="18"/>
          <w:color w:val="auto"/>
        </w:rPr>
        <w:t>The Company has entered into agreements with certain third-party payors and with pharmacy benefit managers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act as an intermediary with certain third-party payors in the fulfillment of prescriptions. Under these agreements, the Company has agreed to provide certain contracted discounts to ease access to reimbursement for Afrezza patients including, but not limited to, the removal of prior authorization or step edit requirements or modifying the reimbursement tier under the payor’s formulary. The Company accounts for these charges by establishing an accrual based on the contracted discount rates and, with input received from management, estimated participation rates.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i w:val="1"/>
          <w:iCs w:val="1"/>
          <w:color w:val="auto"/>
        </w:rPr>
        <w:t xml:space="preserve">Patient Discount and Co-Pay Assistance Programs – </w:t>
      </w:r>
      <w:r>
        <w:rPr>
          <w:rFonts w:ascii="Arial" w:cs="Arial" w:eastAsia="Arial" w:hAnsi="Arial"/>
          <w:sz w:val="18"/>
          <w:szCs w:val="18"/>
          <w:color w:val="auto"/>
        </w:rPr>
        <w:t>The Company offers discount card programs to patients for Afrezza in which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discounts on their prescriptions or a reduction in their co-pay amounts that are reimbursed by the Company. The Company estimates the total amount that will be redeemed based on levels of inventory in the distribution and retail channels and recognizes the discount as a reduction of gross revenue in the same period the related revenue is recognized.</w:t>
      </w:r>
    </w:p>
    <w:p>
      <w:pPr>
        <w:spacing w:after="0" w:line="79"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i w:val="1"/>
          <w:iCs w:val="1"/>
          <w:color w:val="auto"/>
        </w:rPr>
        <w:t xml:space="preserve">Deferred Costs from Commercial Product Sales </w:t>
      </w:r>
      <w:r>
        <w:rPr>
          <w:rFonts w:ascii="Arial" w:cs="Arial" w:eastAsia="Arial" w:hAnsi="Arial"/>
          <w:sz w:val="17"/>
          <w:szCs w:val="17"/>
          <w:color w:val="auto"/>
        </w:rPr>
        <w:t>— Deferred costs from commercial product sales represents the cost of product (including labor,</w:t>
      </w:r>
      <w:r>
        <w:rPr>
          <w:rFonts w:ascii="Arial" w:cs="Arial" w:eastAsia="Arial" w:hAnsi="Arial"/>
          <w:sz w:val="17"/>
          <w:szCs w:val="17"/>
          <w:i w:val="1"/>
          <w:iCs w:val="1"/>
          <w:color w:val="auto"/>
        </w:rPr>
        <w:t xml:space="preserve"> </w:t>
      </w:r>
      <w:r>
        <w:rPr>
          <w:rFonts w:ascii="Arial" w:cs="Arial" w:eastAsia="Arial" w:hAnsi="Arial"/>
          <w:sz w:val="17"/>
          <w:szCs w:val="17"/>
          <w:color w:val="auto"/>
        </w:rPr>
        <w:t>overhead and shipping costs to the third party logistics provider) shipped to wholesale distributors, but not dispensed by retail pharmacies to patients. If the Company estimates that inventory that has been shipped to wholesale distributors will be returned for credit because there is a risk of product expiry, deferred costs of commercial product sales is reduced and cost of goods sold is increased for the cost of such inventory.</w:t>
      </w:r>
    </w:p>
    <w:p>
      <w:pPr>
        <w:spacing w:after="0" w:line="63"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i w:val="1"/>
          <w:iCs w:val="1"/>
          <w:color w:val="auto"/>
        </w:rPr>
        <w:t xml:space="preserve">Revenue Recognition — Revenue — Bulk Insulin Sales </w:t>
      </w:r>
      <w:r>
        <w:rPr>
          <w:rFonts w:ascii="Arial" w:cs="Arial" w:eastAsia="Arial" w:hAnsi="Arial"/>
          <w:sz w:val="17"/>
          <w:szCs w:val="17"/>
          <w:color w:val="auto"/>
        </w:rPr>
        <w:t>— Revenue from bulk insulin sales are recognized after delivery and customer acceptance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bulk insulin. When the accounting requirements for revenue recognition of bulk insulin sales are not met, the Company defers recognition of revenue until such time that all criteria are met. The ending balance in deferred revenue related to bulk insulin sales was approximately $1.8 million as of December 31, 2016. There was no deferred revenue related to bulk insulin sales as of March 31, 2017.</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Cost of goods sold includes the costs related to Afrezza product dispensed by retail pharmacies to patients as the following costs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recorded as expenses in the period in which they are incurred rather than as a portion of the inventory cost: under-absorbed labor and overhead, the impact of annual revaluations of inventory and deferred cost of commercial sales to standard cost, and write-offs of inventory and deferred costs of commercial sales.</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Accounts Receivable and Allowances </w:t>
      </w:r>
      <w:r>
        <w:rPr>
          <w:rFonts w:ascii="Arial" w:cs="Arial" w:eastAsia="Arial" w:hAnsi="Arial"/>
          <w:sz w:val="18"/>
          <w:szCs w:val="18"/>
          <w:color w:val="auto"/>
        </w:rPr>
        <w:t>— Accounts receivable are recorded at the invoiced amount and are not interest bearing. The Company maintains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doubtful accounts for estimated losses resulting from the inability of its customers to make required payments. The Company makes ongoing assumptions relating to the collectability of its accounts receivable in its calculation of the allowance for doubtful accounts. If the Company estimates that inventory that has been shipped to wholesale distributors will be returned for credit because there is risk of product expiration, the Company reduces deferred revenue and increases the allowance for returns for such inventory. As of December 31, 2016, there was no allowance for returns. As of March 31, 2017, there was $0.3 million in allowance for returns. As of March 31, 2017 and December 31, 2016, there was no allowance for doubtful accounts. As of March 31, 2017 and December 31, 2016, the Company has three wholesale distributors representing approximately 92% and 95% of gross accounts receivable, respectively.</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 or</w:t>
      </w:r>
      <w:r>
        <w:rPr>
          <w:rFonts w:ascii="Arial" w:cs="Arial" w:eastAsia="Arial" w:hAnsi="Arial"/>
          <w:sz w:val="16"/>
          <w:szCs w:val="16"/>
          <w:i w:val="1"/>
          <w:iCs w:val="1"/>
          <w:color w:val="auto"/>
        </w:rPr>
        <w:t xml:space="preserve"> </w:t>
      </w:r>
      <w:r>
        <w:rPr>
          <w:rFonts w:ascii="Arial" w:cs="Arial" w:eastAsia="Arial" w:hAnsi="Arial"/>
          <w:sz w:val="16"/>
          <w:szCs w:val="16"/>
          <w:color w:val="auto"/>
        </w:rPr>
        <w:t>FIFO, method. The Company capitalizes inventory costs associated with the Company’s products based on management’s judgment that future economic benefits are expected to be realized; otherwise, such costs are expensed as cost of goods sold. The Company periodically analyzes its inventory levels to identify inventory that may expire or has a cost basis in excess of its estimated net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 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purchased. No new contracts were identified in 2017 or 2016 that required a new loss on purchase commitment accrual.</w:t>
      </w:r>
    </w:p>
    <w:p>
      <w:pPr>
        <w:spacing w:after="0" w:line="17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amounts reported in the accompanying condensed consolidated financial statements for cash,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accounts payable and accrued expenses and other current liabilities approximate their fair value due to their relatively short maturities. The fair value of the cash equivalents, note payable to principal stockholder, senior convertible notes, the facility financing obligation, the milestone rights liability and the warrant liability are disclosed in Note 8 — Fair Value of Financial Instruments.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Share-based payments to employees, including grants of stock options, restricted stock units, performance-based awards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compensatory elements of employee stock purchase plans, are recognized in the condensed consolidated statements of operations based upon the fair value of the awards at the grant date, subject to an estimated forfeiture rate. The Company uses the Black-Scholes option valuation model to estimate the grant date fair value of employee stock options and the compensatory elements 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 The Company has issued warrants to purchase shares of its common stock. The Company accounts for its warrants as either equity or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the characteristics and provisions of each instrument and evaluation of sufficient authorized shares available to satisfy the obligations. Warrants classified as derivative liabilities are recorded on the Company’s condensed consolidated balance sheets at their fair value on the date of issuance and are revalued at each subsequent balance sheet date, with fair value changes recognized in the condensed consolidated statements of operations. The Company estimates the fair value of its derivative liabilities using a third party valuation analysis that utilizes a Monte Carlo pricing valuation model and assumptions that are based on the individual characteristics of the warrants or instruments on the valuation date, as well as expected volatility, expected life, yield, and risk-free interest rate. Warrants classified as equity are recorded within additional paid-in capital at the issuance date and are not re-measured in subsequent periods, unless the underlying assumptions change to trigger liability accounting.</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Net Loss Per Share of Common Stock </w:t>
      </w:r>
      <w:r>
        <w:rPr>
          <w:rFonts w:ascii="Arial" w:cs="Arial" w:eastAsia="Arial" w:hAnsi="Arial"/>
          <w:sz w:val="18"/>
          <w:szCs w:val="18"/>
          <w:color w:val="auto"/>
        </w:rPr>
        <w:t>— Basic net loss per share excludes dilution for potentially dilutive securities and is computed by dividing net loss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number of common shares outstanding during the period. Diluted net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computation of basic and diluted net loss per share for the three months ended March 31, 2017 and 2016 excludes the common stock equivalents of the following potentially dilutive securities because their inclusion would be anti-dilutive:</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2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6480" w:type="dxa"/>
            <w:vAlign w:val="bottom"/>
          </w:tcPr>
          <w:p>
            <w:pPr>
              <w:spacing w:after="0"/>
              <w:rPr>
                <w:sz w:val="14"/>
                <w:szCs w:val="14"/>
                <w:color w:val="auto"/>
              </w:rPr>
            </w:pPr>
          </w:p>
        </w:tc>
        <w:tc>
          <w:tcPr>
            <w:tcW w:w="9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2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709,004</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789,201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Pr>
          <w:p>
            <w:pPr>
              <w:jc w:val="right"/>
              <w:spacing w:after="0"/>
              <w:rPr>
                <w:sz w:val="20"/>
                <w:szCs w:val="20"/>
                <w:color w:val="auto"/>
              </w:rPr>
            </w:pPr>
            <w:r>
              <w:rPr>
                <w:rFonts w:ascii="Arial" w:cs="Arial" w:eastAsia="Arial" w:hAnsi="Arial"/>
                <w:sz w:val="18"/>
                <w:szCs w:val="18"/>
                <w:color w:val="auto"/>
              </w:rPr>
              <w:t>814,561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814,561</w:t>
            </w:r>
          </w:p>
        </w:tc>
        <w:tc>
          <w:tcPr>
            <w:tcW w:w="6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9,740,597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31,861</w:t>
            </w:r>
          </w:p>
        </w:tc>
        <w:tc>
          <w:tcPr>
            <w:tcW w:w="6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5,941,408</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4,820,494</w:t>
            </w:r>
          </w:p>
        </w:tc>
        <w:tc>
          <w:tcPr>
            <w:tcW w:w="6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17,205,570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6,456,117</w:t>
            </w:r>
          </w:p>
        </w:tc>
        <w:tc>
          <w:tcPr>
            <w:tcW w:w="60" w:type="dxa"/>
            <w:vAlign w:val="bottom"/>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 </w:t>
      </w:r>
      <w:r>
        <w:rPr>
          <w:rFonts w:ascii="Arial" w:cs="Arial" w:eastAsia="Arial" w:hAnsi="Arial"/>
          <w:sz w:val="18"/>
          <w:szCs w:val="18"/>
          <w:color w:val="auto"/>
        </w:rPr>
        <w:t>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when promised goods or services to customers. The standard requires a company to recognize revenue to depict the transfer of goods or services to customers in an amount that reflects the consideration it expects to be entitled to receive in exchange for those goods or services.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March 2016, the FASB issued additional ASU’s which clarified certain aspects of the new guidance.</w:t>
      </w:r>
    </w:p>
    <w:p>
      <w:pPr>
        <w:spacing w:after="0" w:line="16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will adopt the new guidance for the year beginning January 1, 2018. The Company has the option to either apply the new guidance retrospectively for all prior reporting periods presented (full retrospective) or retrospectively with the cumulative effect of initially applying the guidance recognized at the date of initial application (modified retrospective). The Company currently anticipates it will apply the new guidance using the modified retrospective approach with the cumulative effect of initial application recognized as of January 1, 2018. The Company plans to continue analyzing the potential impacts of the application throughout 2017 and, depending on factors that may impact the results, could elect to apply the new guidance on a full retrospective basis.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Currently, for commercial sales of Afrezza, the Company has limited sales and returns history, and as such is unable to reliably estimate expected returns of the product at the time of shipment into the distribution channel. Accordingly, the Company defers recognition of revenue on Afrezza product shipments until the right of return no longer exists, which occurs at the earliest of the time Afrezza is dispensed form pharmacies to patients or expiration of the right of return. The Company recognizes revenue based on Afrezza patient prescriptions dispensed, a sell-through model,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Upon adoption of the new guidance, the Company expects that it will move from its current sell-through model to a sell-to model for revenue related to commercial sales of Afrezza and will record revenue at the time title and risk of loss passes to its distributors (generally at shipment or delivery to the distributors) along with an estimate of potential returns as variable consideration. The Company also anticipates that its ability to estimate potential returns will improve with an additional 9 months of sales history that it will have obtained by January 1, 2018.</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Additionally, the Company has historically entered into collaborative agreements with third-parties under which periodic payments have been received. Revenue recognition for certain payments received have been deferred until the price is fixed and determinable. Further, revenue for certain payments to be received in the future has been prohibited from recognition until received. The Company expects that some of these amounts will be considered variable consideration and may be able to be recognized earlier under the new guidance.</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begun its evaluation of the impact of adoption and plans to continue its evaluation throughout 2017. The financial impact upon the adoption will be dependent upon a number of factors including; the amount of revenue that has been deferred under the sell-through model for Afrezza, the amount of the revenue deferred under collaborative arrangements and the Company’s estimate of variable consideration at the date of adoption. At this time, the Company has not completed its evaluation of the inputs, assumptions and methodologies that will be used recognize revenue related to variable consideration under the new guidance.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 The update is intended to improve the recognition and measurement of financial instruments. The update is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2017, including interim periods within those fiscal years. The Company is evaluating the impact the adoption of ASU No. 2016-01 will have on its condensed consolidated financial statements.</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w:t>
      </w:r>
      <w:r>
        <w:rPr>
          <w:rFonts w:ascii="Arial" w:cs="Arial" w:eastAsia="Arial" w:hAnsi="Arial"/>
          <w:sz w:val="16"/>
          <w:szCs w:val="16"/>
          <w:color w:val="auto"/>
        </w:rPr>
        <w:t>2). The new standard requires that all lessees recognize the assets and liabilities that arise from operating leases on the balance sheet and disclose qualitative and quantitative information about its leasing arrangements.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condensed consolidated financial statements.</w:t>
      </w:r>
    </w:p>
    <w:p>
      <w:pPr>
        <w:spacing w:after="0" w:line="16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The new standard seeks to reduce diversity in practice related to the classification of certain transactions in the statement of cash flows. For public business entities, the amendments in this standard are effective for annual periods beginning after December 15, 2017, and interim periods within those annual periods. The Company is evaluating the impact the adoption will have on its condensed consolidated financial statements.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ASU requires that the reconciliation of the beginning-of-period and end-of-period amounts shown in the statement of cash flows include cash and restricted cash equivalents. ASU 2016-08 is effective for fiscal years beginning after December 15, 2018, including interim periods within those periods, using a retrospective transition method to each period presented. The Company has evaluated the effect that this guidance will have on its condensed consolidated financial statements and related disclosures and has determined it will not result in a material impact.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2120" w:type="dxa"/>
            <w:vAlign w:val="bottom"/>
            <w:gridSpan w:val="4"/>
          </w:tcPr>
          <w:p>
            <w:pPr>
              <w:ind w:left="90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Work-in-process</w:t>
            </w:r>
          </w:p>
        </w:tc>
        <w:tc>
          <w:tcPr>
            <w:tcW w:w="2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9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Finished goods</w:t>
            </w:r>
          </w:p>
        </w:tc>
        <w:tc>
          <w:tcPr>
            <w:tcW w:w="2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9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5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Work-in-process and finished goods as of March 31, 2017 and December 31, 2016 include conversion costs but not materials cost because the materials used in its production were previously written off.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Estimated Useful</w:t>
            </w:r>
          </w:p>
        </w:tc>
        <w:tc>
          <w:tcPr>
            <w:tcW w:w="1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2017</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Life (Years)</w:t>
            </w:r>
          </w:p>
        </w:tc>
        <w:tc>
          <w:tcPr>
            <w:tcW w:w="17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Buildings</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17,389</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34,957</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34,957</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62,992</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62,992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8,531</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(100,020)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(99,575)</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28,482</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months ended March 31, 2017 and 2016 was $0.4 million and $0.6 million, respectively.</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6, 2017, the Company and Rexford Industrial Realty, L.P. (“Rexford”) entered into an Agreement of Purchase and 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The sale and purchase of the aforementioned Property for $17.3 million pursuant to the terms of the Purchase Agreement, as amended, was completed on February 17, 2017. Net proceeds were $16.7 million after deducting broker’s commission and other fees of approximately $0.6 million paid by the Company. Net proceeds received approximated the carrying value of the asset held for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2017</w:t>
            </w:r>
          </w:p>
        </w:tc>
        <w:tc>
          <w:tcPr>
            <w:tcW w:w="1920" w:type="dxa"/>
            <w:vAlign w:val="bottom"/>
            <w:gridSpan w:val="4"/>
          </w:tcPr>
          <w:p>
            <w:pPr>
              <w:ind w:left="70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Current portion of milestone rights liability</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1,643</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2"/>
              </w:rPr>
              <w:t>Discounts and allowances for commercial product sales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996</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services</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Restructuring</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7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9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80" w:type="dxa"/>
            <w:vAlign w:val="bottom"/>
            <w:vMerge w:val="restart"/>
          </w:tcPr>
          <w:p>
            <w:pPr>
              <w:jc w:val="right"/>
              <w:ind w:right="1296"/>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Related-Party Arrangements</w:t>
      </w:r>
    </w:p>
    <w:p>
      <w:pPr>
        <w:spacing w:after="0" w:line="12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In October 2007, the Company entered into The Mann Group Loan Arrangement, which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of March 31, 2017, the total principal amount outstanding under The Mann Group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and would be classified as non-current.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2017 and December 31, 2016, the Company had accrued and unpaid interest related to the above note of $10.0 million and $9.3 million, respectively, and had $30.1 million of available borrowings. Interest expense on the Company’s note payable to the Company’s principal stockholder for the three months ended March 31, 2017 and 2016 were $0.7 million and $0.7 million, respectively.</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2015, the Company entered into a sublease agreement with the Alfred Mann Foundation for Scientific Research (the “Mann Foundation”), a California not-for-profit corporation. The lease is for approximately 12,500 square feet of office space in Valencia, California which expired in April 2017 and was renewed on a month-to-month basis at a rate of $21,000 per month. The office space contains the Company’s principal executive offices. Lease payments to the Mann Foundation for the three months ended March 31, 2017 and 2016 were $62,000 and $65,000, respectively.</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in addition to the indemnification provided for in its amended and restated certificate of incorporation and amended and restated bylaws (see Note 10 — Commitments and Contingencies).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Borrowings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March 31, 2017</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Facility Financing Obligation (2019 Notes)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Principal amount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debt discount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23"/>
        </w:trPr>
        <w:tc>
          <w:tcPr>
            <w:tcW w:w="5560" w:type="dxa"/>
            <w:vAlign w:val="bottom"/>
          </w:tcPr>
          <w:p>
            <w:pPr>
              <w:ind w:left="360"/>
              <w:spacing w:after="0"/>
              <w:rPr>
                <w:sz w:val="20"/>
                <w:szCs w:val="20"/>
                <w:color w:val="auto"/>
              </w:rPr>
            </w:pPr>
            <w:r>
              <w:rPr>
                <w:rFonts w:ascii="Arial" w:cs="Arial" w:eastAsia="Arial" w:hAnsi="Arial"/>
                <w:sz w:val="18"/>
                <w:szCs w:val="18"/>
                <w:color w:val="auto"/>
              </w:rPr>
              <w:t>Net carrying amount</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Convertible Notes (2018 Notes)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Principal amount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27,690</w:t>
            </w:r>
          </w:p>
        </w:tc>
        <w:tc>
          <w:tcPr>
            <w:tcW w:w="48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Unamortized premium</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Unaccreted debt issuance costs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(415)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carrying amount</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27,642</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Note payable to principal stockholder - net carrying amount</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Facility Financing Obligation (2019 Notes) </w:t>
      </w:r>
      <w:r>
        <w:rPr>
          <w:rFonts w:ascii="Arial" w:cs="Arial" w:eastAsia="Arial" w:hAnsi="Arial"/>
          <w:sz w:val="18"/>
          <w:szCs w:val="18"/>
          <w:color w:val="auto"/>
        </w:rPr>
        <w:t>– As of March 31, 2017, there was $55.0 million principal amount of 2019 notes and $20.0 million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Tranche B notes outstanding. The 2019 notes accrue interest at an annual rate of 9.75% and the Tranche B notes accrue interest at an annual rate of 8.75%. Interest is paid quarterly in arrears on the last day of each March, June, September and December. The Facility Financing Obligation principal repayment schedule is comprised of annual payments beginning on July 1, 2016 and ending December 9, 2019. As of March 31, 2017, future payments for the years ended December 31, 2017, 2018, and 2019 are $20.0 million, $20.0 million and $35.0 million, respectively. On April 18, 2017, the Company entered into an Exchange Agreement resulting in the cash repayment of $4.0 million principal under the Tranche B notes and the conversion of $1.0 million and $5.0 million of principal under the Tranche B notes and the 2019 notes, respectively, to common shares (see Note 13, Subsequent Events for disclosure of the Exchange Agreement).</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 As of March 31, 2017 and December 31, 2016, the remaining milestone rights liability balance was $8.9 million. The Company currently estimates that it will make the next milestone payment in the first quarter of 2018. Accordingly, $1.6 million in value related to the next milestone payment was recorded in accrued expenses and other current liabilities as of March 31, 2017, resulting in $7.3 million and $8.9 million being recorded in milestone rights liability and other liabilities, which is non-current, in the accompanying condensed consolidated balance sheets as of March 31, 2017 and December 31, 2016, respectively.</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Agreement during the three months ended March 31, 2017 and 2016 are as follows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 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 debt issuance cost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Accretion expense - debt discount</w:t>
            </w: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8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Facility Agreement includes customary representations, warranties and covenants, including a restriction on the incurrence of additional indebtedness, and a financial covenant which requires the Company’s cash and cash equivalents, which include available borrowings on the note payable to a principal stockholder, on the last day of each fiscal quarter to not be less than $25.0 million. As discussed in Note 1 – Description of Business and Summary of Significant Accounting Policies, the Company will need to raise additional capital to support its current operating plans. Due to the uncertainties related to maintaining sufficient resources to comply with the aforementioned covenant, the 2019 notes and Tranche B notes have been classified as current liabilities in the accompanying condensed consolidated balance sheets as of March 31, 2017 and December 31, 2016. In the event of non-compliance, Deerfield may declare all or any portion of the 2019 notes and/or Tranche B notes to be immediately due and payable.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Milestone Rights </w:t>
      </w:r>
      <w:r>
        <w:rPr>
          <w:rFonts w:ascii="Arial" w:cs="Arial" w:eastAsia="Arial" w:hAnsi="Arial"/>
          <w:sz w:val="18"/>
          <w:szCs w:val="18"/>
          <w:color w:val="auto"/>
        </w:rPr>
        <w:t>— The Milestone Agreement includes customary representations and warranties and covenants by the Company, including restrictions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Security Agreement </w:t>
      </w:r>
      <w:r>
        <w:rPr>
          <w:rFonts w:ascii="Arial" w:cs="Arial" w:eastAsia="Arial" w:hAnsi="Arial"/>
          <w:sz w:val="17"/>
          <w:szCs w:val="17"/>
          <w:color w:val="auto"/>
        </w:rPr>
        <w:t>— In connection with the Facility Agreement, the Company and its subsidiary, MannKind LLC, entered into a Guaranty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“Security Agreement”) with Deerfield and Horizon Santé FLML SÁRL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2019 notes and Tranche B notes, if applicable, in full. The Company’s obligations under the Facility Agreement and the Milestone Agreement are also secured by the Company’s facilities in Danbury, Connecticut, which has a carrying value of $28.5 million.</w:t>
      </w:r>
    </w:p>
    <w:p>
      <w:pPr>
        <w:spacing w:after="0" w:line="17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In 2014,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as of March 31, 2017 and December 31, 2016.</w:t>
      </w:r>
    </w:p>
    <w:p>
      <w:pPr>
        <w:spacing w:after="0" w:line="171"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i w:val="1"/>
          <w:iCs w:val="1"/>
          <w:color w:val="auto"/>
        </w:rPr>
        <w:t xml:space="preserve">Conversion Option — </w:t>
      </w:r>
      <w:r>
        <w:rPr>
          <w:rFonts w:ascii="Arial" w:cs="Arial" w:eastAsia="Arial" w:hAnsi="Arial"/>
          <w:sz w:val="17"/>
          <w:szCs w:val="17"/>
          <w:color w:val="auto"/>
        </w:rPr>
        <w:t>During 2014, Deerfield elected to convert a total of $93.5 million of principal, which consisted of $20.0 million, $33.5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$40.0 million of Tranche 1 notes, Tranche 2 notes, and Tranche 3 notes, respectively, into an aggregate 3,464,616 shares of common stock. Further, upon Deerfield converting $40.0 million of Tranche 3 notes and $20.0 million of Tranche 1 notes, Deerfield has reached the conversion limits (i.e., “Applicable Limits”) with respect to the Facility Agreement and therefore, no additional amount of the 2019 notes is convertible.</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Issuance of new 5.75% Convertible Senior Subordinated Exchange Notes Due 2018 in Exchange for 2015 Notes </w:t>
      </w:r>
      <w:r>
        <w:rPr>
          <w:rFonts w:ascii="Arial" w:cs="Arial" w:eastAsia="Arial" w:hAnsi="Arial"/>
          <w:sz w:val="17"/>
          <w:szCs w:val="17"/>
          <w:color w:val="auto"/>
        </w:rPr>
        <w:t>— The 2018 notes are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unsecured, senior obligations, except that the 2018 notes were subordinated to the Sanofi Loan facility prior to the extinguishment of the facility on November 9, 2016.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 Accrued interest related to these notes is recorded in accrued expenses and other current liabilities on the accompanying condensed consolidated balance sheets.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2018 notes are convertible, at the option of the holder, at any time on or prior to the close of business on the business day immediately preceding the stated maturity date, into shares of the Company’s common stock at an initial conversion rate of 29 shares per $1,000 principal amount of 2018 notes, which is equal to a conversion price of approximately $34.00 per share, the same conversion price as that of the 2015 notes on the date of exchange. The conversion rate is subject to adjustment under certain circumstances described in an indenture governing the 2018 notes dated August 10, 2015 with US Bank (as successor trustee to Wells Fargo, National Association), including in connection with a make-whole fundamental change. If certain fundamental changes occur, the Company will be obligated to pay a make-whole premium on any 2018 notes converted in connection with such fundamental change by increasing the conversion rate on such 2018 notes. 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 100% of the principal amount of the 2018 notes to be redeemed, plus accrued and unpaid interest. Under the terms of the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2018 notes provide that upon an acceleration of certain indebtedness, including the 2019 notes and the Tranche B notes issued to Deerfield pursuant to the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condensed consolidated balance sheets. These costs are being accreted to interest expense using the effective interest method over the term of the 2018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premium related to the 2018 notes was $59,000 and $57,000 during the three months ended March 31, 2017 and 2016,</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respectively. Accretion of debt issuance costs related to the 2018 notes was $66,000 and $62,000 during the three months ended March 31, 2017 and 2016,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Arrangements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On January 20, 2016, the Company entered into a Collaboration and License Agreement (the “CLA”)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Receptor Life Sciences, Inc. (“Receptor”) pursuant to which the Company performed initial formulation studies on compounds identified by Receptor and Receptor obtained the option to acquire an exclusive license to develop, manufacture and commercialize certain products that use MannKind’s technology to deliver the compounds via oral inhalation.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received $0.4 million in nonrefundable payments in 2016 prior to Receptor exercising the option. On December 30, 2016, following successful completion of the studies, Receptor exercised its option and paid the Company a $1.0 million nonrefundable option exercise and license fee. Under the CLA, the Company may receive the following additional payments:</w:t>
      </w:r>
    </w:p>
    <w:p>
      <w:pPr>
        <w:spacing w:after="0" w:line="8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Royalties upon Receptor’s and its sublicensees’ sale of the product;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Milestones upon total worldwide sales reaching certain agreed upon levels.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evaluated the accounting for the payments received in 2016 under the multiple element accounting guidance and determined that the</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$0.4 million in payments received prior to Receptor exercising its option are separable from the other elements of the agreement and represented payments to offset costs incurred. Therefore, those payments reduced the Company’s research and development expense in 2016. The $1.0 million license fee received in 2016 does not have standalone value from the follow-on transfer of technology. Therefore, the license fee was recorded in deferred payments from collaboration as of December 31, 2016 and will be recognized in net revenue — collaboration over four years. Recognized revenue related to this license agreement amounted to $0.1 million for the three months ended March 31, 2017. See Note 1 — Description of Business and Summary of Significant Accounting Policies for additional information on the Company’s accounting for multiple element arrangements.</w:t>
      </w:r>
    </w:p>
    <w:p>
      <w:pPr>
        <w:spacing w:after="0" w:line="17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On March 15, 2017, the Company entered into a Manufacturing and Supply Agreement with Receptor pursuant to which the Company will provide certain raw materials to Receptor. On March 16, 2017, the Company agreed to provide certain additional research and formulation consulting services to Receptor.</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Sanofi License Agreement and Sanofi Supply Agreement </w:t>
      </w:r>
      <w:r>
        <w:rPr>
          <w:rFonts w:ascii="Arial" w:cs="Arial" w:eastAsia="Arial" w:hAnsi="Arial"/>
          <w:sz w:val="18"/>
          <w:szCs w:val="18"/>
          <w:color w:val="auto"/>
        </w:rPr>
        <w:t>— On August 11, 2014, the Company executed a license and collaboration agreement (the “Sanofi</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Sanofi-Aventis Deutschland GmbH (which subsequently assigned its rights and obligations under the agreement to Sanofi-Aventis U.S. LLC (Sanofi)), pursuant to which Sanofi was responsible for global commercial, regulatory and development activities for Afrezza. The Company manufactured Afrezza at its manufacturing facility in Danbury, Connecticut to supply Sanofi’s demand for the product pursuant to a supply agreement dated August 11, 2014 (the “Sanofi Supply Agreement”).</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term of the Sanofi License Agreement, worldwide profits and losses were determined based on the difference between the net sales of Afrezza and the costs and expenses incurred by the Company and Sanofi that were specifically attributable or related to the development, regulatory filings, manufacturing, or commercialization of Afrezza. These profits and losses were shared 65% by Sanofi and 35% by the Company. On January 4, 2016, the Company received a 90-day notification from Sanofi of its election to terminate in its entirety the Sanofi License Agreement. The effective date of termination was April 4, 2016. On April 5, 2016, the Company assumed responsibility for the worldwide development and commercialization of Afrezza from Sanofi. Under the terms of the transition agreement, Sanofi continued to fulfill orders for Afrezza in the United States until the Company began distributing MannKind-branded Afrezza product to major wholesalers during the week of July 25, 2016.</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analyzed the agreements entered into with Sanofi at their inception and determined that prior to December 31, 2015, because the Company did not have the ability to estimate the amount of costs that would potentially be incurred under the loss share provision related to the Sanofi License Agreement and the Sanofi Supply Agreement, the Company recorded the $150.0 million up-front payment and the two milestone payments of $25.0 million each as deferred payments from collaboration. In addition, as of December 31, 2015, the Company had recorded $17.5 million in Afrezza product shipments to Sanofi as deferred sales from collaboration and recorded $13.5 million as deferred costs from collaboration. Deferred costs from collaboration represented the costs of product manufactured and shipped to Sanofi, as well as certain direct costs associated with a firm purchase commitment entered into in connection with the collaboration with Sanofi.</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three months ended September 30, 2016, Sanofi provided enough information to the Company to enable it to reasonably estimate the remaining costs under the Sanofi License Agreement and the Sanofi Supply Agreement. Accordingly, the fixed or determinable fee requirement for revenue recognition was met and there were no future obligations to Sanofi. Therefore, the Company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7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Sanofi Loan Facility </w:t>
      </w:r>
      <w:r>
        <w:rPr>
          <w:rFonts w:ascii="Arial" w:cs="Arial" w:eastAsia="Arial" w:hAnsi="Arial"/>
          <w:sz w:val="18"/>
          <w:szCs w:val="18"/>
          <w:color w:val="auto"/>
        </w:rPr>
        <w:t>— On September 23, 2014, the Company entered into the Sanofi Loan Facility, consisting of a senior secured revolving promissory note</w:t>
      </w:r>
      <w:r>
        <w:rPr>
          <w:rFonts w:ascii="Arial" w:cs="Arial" w:eastAsia="Arial" w:hAnsi="Arial"/>
          <w:sz w:val="18"/>
          <w:szCs w:val="18"/>
          <w:i w:val="1"/>
          <w:iCs w:val="1"/>
          <w:color w:val="auto"/>
        </w:rPr>
        <w:t xml:space="preserve"> </w:t>
      </w:r>
      <w:r>
        <w:rPr>
          <w:rFonts w:ascii="Arial" w:cs="Arial" w:eastAsia="Arial" w:hAnsi="Arial"/>
          <w:sz w:val="18"/>
          <w:szCs w:val="18"/>
          <w:color w:val="auto"/>
        </w:rPr>
        <w:t>and a guaranty and security agreement (the “Security Agreement”) with an affiliate of Sanofi, which provided the Company with a secured loan facility of up to $175.0 million to fund the Company’s share of net losses under the Sanofi License Agreement.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Advances under the Sanofi Loan Facility bore interest at a rate of 8.5% per annum and were payable in-kind and compounded quarterly and added to the outstanding principal balance under the Sanofi Loan Facility. The Company was required to make mandatory prepayments on the outstanding loans under the Sanofi Loan Facility from its share of any profits (as defined in the Sanofi License Agreement) under the Sanofi License Agreement within 30 days of receipt of its share of any such profits.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for the quarters ended December 31, 2015 and March 31, 2016. The total amount owed to Sanofi at September 30, 2016 was $71.2 million, which included $5.8 million of paid-in-kind interest.</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between the Company and Aventisub LLC, a Sanofi affiliate, was terminated, with Aventisub agreeing to forgive the full outstanding loan balance of $72.0 million.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6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settlement was accounted for in the year ended December 31, 2016, except for the $30.6 million cash payment received under the insulin put option agreement which reduced the receivable from Sanofi between December 31, 2016 and March 31,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consist of highly liquid investments with original or remaining maturities of 90 days or less at the time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readily convertible into cash. As of March 31, 2017 and December 31, 2016, the Company held cash equivalents of $47.4 million and $20.5 million, respectively, comprised of money market funds. The fair value of these money market funds was determined by using quoted prices for identical investments in an active market (Level 1 in the fair value hierarchy).</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Note Payable to Principal Stockholder </w:t>
      </w:r>
      <w:r>
        <w:rPr>
          <w:rFonts w:ascii="Arial" w:cs="Arial" w:eastAsia="Arial" w:hAnsi="Arial"/>
          <w:sz w:val="17"/>
          <w:szCs w:val="17"/>
          <w:color w:val="auto"/>
        </w:rPr>
        <w:t>— The fair value of the note payable to principal stockholder cannot be reasonably estimated as the Company would</w:t>
      </w:r>
      <w:r>
        <w:rPr>
          <w:rFonts w:ascii="Arial" w:cs="Arial" w:eastAsia="Arial" w:hAnsi="Arial"/>
          <w:sz w:val="17"/>
          <w:szCs w:val="17"/>
          <w:i w:val="1"/>
          <w:iCs w:val="1"/>
          <w:color w:val="auto"/>
        </w:rPr>
        <w:t xml:space="preserve"> </w:t>
      </w:r>
      <w:r>
        <w:rPr>
          <w:rFonts w:ascii="Arial" w:cs="Arial" w:eastAsia="Arial" w:hAnsi="Arial"/>
          <w:sz w:val="17"/>
          <w:szCs w:val="17"/>
          <w:color w:val="auto"/>
        </w:rPr>
        <w:t>not be able to obtain a similar credit arrangement in the current economic environment. Therefore the fair value is based upon carrying value.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As of March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12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Carrying Value</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Senior convertible notes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financing obligation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74.8</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Milestone rights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(at recurring fair value)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117.6</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7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7120" w:type="dxa"/>
            <w:vAlign w:val="bottom"/>
          </w:tcPr>
          <w:p>
            <w:pPr>
              <w:spacing w:after="0"/>
              <w:rPr>
                <w:sz w:val="12"/>
                <w:szCs w:val="12"/>
                <w:color w:val="auto"/>
              </w:rPr>
            </w:pPr>
          </w:p>
        </w:tc>
        <w:tc>
          <w:tcPr>
            <w:tcW w:w="13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Carrying Value</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Senior convertible notes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financing obligation</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74.5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Milestone rights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 (at recurring fair value)</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123.2</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March 31, 2017 and December 31, 2016, the fair value of the warrant liability was $0.8 million and $7.4 million, respectively. The fair value of the warrants liability as of March 31, 2017 was estimated using a Monte Carlo valuation pricing model with the following underlying assumptions: (a) a risk-free interest rate of 1.24%; (b) an assumed dividend yield of zero percent; (c) an expected term of 1.1 years; and (d) an expected volatility of 100%. The following table provides a roll forward of the fair value of the warrant liability which is the only Level 3 financial instrument that is carried at fair value (in millions):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January 1, 2017</w:t>
            </w:r>
          </w:p>
        </w:tc>
        <w:tc>
          <w:tcPr>
            <w:tcW w:w="2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fair value</w:t>
            </w:r>
          </w:p>
        </w:tc>
        <w:tc>
          <w:tcPr>
            <w:tcW w:w="2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tcPr>
          <w:p>
            <w:pPr>
              <w:spacing w:after="0"/>
              <w:rPr>
                <w:sz w:val="19"/>
                <w:szCs w:val="19"/>
                <w:color w:val="auto"/>
              </w:rPr>
            </w:pPr>
          </w:p>
        </w:tc>
        <w:tc>
          <w:tcPr>
            <w:tcW w:w="4480" w:type="dxa"/>
            <w:vAlign w:val="bottom"/>
          </w:tcPr>
          <w:p>
            <w:pPr>
              <w:ind w:left="340"/>
              <w:spacing w:after="0"/>
              <w:rPr>
                <w:sz w:val="20"/>
                <w:szCs w:val="20"/>
                <w:color w:val="auto"/>
              </w:rPr>
            </w:pPr>
            <w:r>
              <w:rPr>
                <w:rFonts w:ascii="Arial" w:cs="Arial" w:eastAsia="Arial" w:hAnsi="Arial"/>
                <w:sz w:val="18"/>
                <w:szCs w:val="18"/>
                <w:color w:val="auto"/>
              </w:rPr>
              <w:t>Payments</w:t>
            </w: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March 31, 2017</w:t>
            </w:r>
          </w:p>
        </w:tc>
        <w:tc>
          <w:tcPr>
            <w:tcW w:w="27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Senior Convertible Notes </w:t>
      </w:r>
      <w:r>
        <w:rPr>
          <w:rFonts w:ascii="Arial" w:cs="Arial" w:eastAsia="Arial" w:hAnsi="Arial"/>
          <w:sz w:val="16"/>
          <w:szCs w:val="16"/>
          <w:color w:val="auto"/>
        </w:rPr>
        <w:t>— The estimated fair value of the 2018 notes was calculated based on model-derived valuations whose inputs were observable,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(115%) and recent price quotes and trading information regarding Company issued debt instruments and shares of common stock into which the notes are convertible (Level 3 in the fair value hierarchy).</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Facility Agreement </w:t>
      </w:r>
      <w:r>
        <w:rPr>
          <w:rFonts w:ascii="Arial" w:cs="Arial" w:eastAsia="Arial" w:hAnsi="Arial"/>
          <w:sz w:val="18"/>
          <w:szCs w:val="18"/>
          <w:color w:val="auto"/>
        </w:rPr>
        <w:t>— As discussed in Note 6 — Borrowings, the Company issued 2019 notes and subsequently issued Tranche B notes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Obligation”) in connection with the Facility Agreement.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March 31, 2017, the market discount rate was recalculated at 12% for the principal for the facility financing obligation. Under the terms of the Facility Agreement, the Company is restricted from distributing any of its assets or declaring and distributing a dividend to its stockholders.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In addition to the Facility Financing Obligation, the Company also issued certain rights to receive payments of up to $90.0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upon 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(14.5%) was selected based on an estimation of required rate of returns for similar investment opportunities using available market data. As of March 31, 2017, the carrying value of the milestone rights liability was $8.9 million and the fair value was estimated at $18.9 million. The fair value measurement of the liability is sensitive to the discount rate and the timing and probability of making milestone payments. If the achievement of each of the milestones which require payments were to be six months earlier or later than in the current forecast, the fair value of the liability would increase by 8% or decrease by 7%, respectively. If the probabilities of meeting the milestones were to decrease by 5% or 10%, the fair value of the liability would decrease by 17% and 30%, respectively. Over the long term, these inputs are interrelated because if the Company’s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17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Warrant Liability — </w:t>
      </w:r>
      <w:r>
        <w:rPr>
          <w:rFonts w:ascii="Arial" w:cs="Arial" w:eastAsia="Arial" w:hAnsi="Arial"/>
          <w:sz w:val="17"/>
          <w:szCs w:val="17"/>
          <w:color w:val="auto"/>
        </w:rPr>
        <w:t>Warrant liabilities are measured at fair value using a Monte Carlo pricing valuation model. The assumptions used in the valuation model</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common stock warrant liabilities were: (a) a risk-free interest rate based on the rates for U.S. Treasury zero-coupon bonds with maturities similar to those of the remaining contractual term of the warrants; (b) an assumed dividend yield of zero percent based on the Company’s expectation that it will pay no dividends in the foreseeable future; (c) an expected term based on the remaining contractual term of the warrants; and (d) an expected volatility based upon the Company’s historical volatility over the remaining contractual term of the warrants and (e) probability of a dilutive financing that may trigger a price protection clause. The significant unobservable input used in measuring the fair value of the common stock warrant liabilities is the expected volatility. Significant increases in volatility would result in a higher fair value measurement (Level 3 in the fair value hierarchy).</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at March 31, 2017 and December 31,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new standard involves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For public business entities, the amendments in this standard are effective for annual periods beginning after December 15, 2016, and interim periods within those annual periods. The Company implemented the standard on January 1, 2017 and the standard did not have a material impact on the Company’s financial statements as:</w:t>
      </w:r>
    </w:p>
    <w:p>
      <w:pPr>
        <w:spacing w:after="0" w:line="78" w:lineRule="exact"/>
        <w:rPr>
          <w:sz w:val="20"/>
          <w:szCs w:val="20"/>
          <w:color w:val="auto"/>
        </w:rPr>
      </w:pPr>
    </w:p>
    <w:p>
      <w:pPr>
        <w:ind w:left="900" w:right="80" w:hanging="325"/>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as of December 31, 2016, had not recognized $11.6 million of excess tax benefits related to windfalls. As a result of adoption, it will now recognize these benefits as deferred tax assets. However, after assessment for realizability, the Company has also recorded a full valuation allowance against the deferred tax assets. This resulted in a zero cumulative effect adjustment to accumulated deficit as a result of the adoption. For the quarter ended March 31, 2017, all shortfalls related to non-qualified options and restricted stock units have been recorded as an income tax expense for the period, offset by a full valuation allowance.</w:t>
      </w:r>
    </w:p>
    <w:p>
      <w:pPr>
        <w:spacing w:after="0" w:line="93"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full valuation allowance for the Company’s deferred tax assets, the excess income tax benefits have never been recorded in additional paid-in-capital. The Company does not contemplate any impact going forward as any amounts to be recorded in the condensed consolidated statements of operations would be fully offset by the valuation allowance nor result in a related classification in cash flows for operating activities.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will continue to recognize forfeitures through estimates consistent with our past practices as opposed to when they occur.</w:t>
      </w:r>
    </w:p>
    <w:p>
      <w:pPr>
        <w:spacing w:after="0" w:line="142"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already classifies cash paid to taxing authorities arising from the withholding of shares from employees in cash flows from financing activities.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months ended March 31, 2017 and 2016 was $1.3 million for both periods.</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During the three months ended March 31, 2017, the Company issued 77,680 restricted units to certain employees which vest over a four-year period. The grant date fair value of the restricted stock units was $0.2 million with a weighted average grant date fair value per share of $2.70.</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three months ended March 31, 2017, the Company granted certain employees stock options to purchase an aggregate of 583,180 shares of common stock at a weighted average exercise price of $2.70 per share of which 463,000 of these awards vest in four equal tranches upon the achievement of certain product sales targets. The remaining 120,180 options vest over a four year period. The grant date fair value of these awards is $1.1 million with a weighted average grant date fair value of $1.86 per share, as determined using a Black-Scholes option pricing model.</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March 31, 2017, there was $4.1 million, $3.3 million and $3.8 million of unrecognized compensation expense related to restricted stock units, options with performance conditions and options that vest over the vesting period, respectively, which are expected to be recognized over the weighted average vesting period of 2.8 years. The Company evaluates stock awards with performance conditions as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 period basis and as of March 31, 2017, the Company reviewed the probability of achieving the performance conditions for each of the four vesting tranches of the performance-based stock options that were granted during the three months ended March 31, 2017 and in prior years and determined that it was probable that the Company would achieve the first vesting tranche in December 2017. Therefore, the Company recorded compensation expense related to performance-based stock options of $0.1 million during the three months ended March 31, 2017. The Company further determined that no compensation costs would be recognized for the second, third and fourth vesting tranches as the probability of achieving those performance conditions has not been determined.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Guarantees and Indemnifications </w:t>
      </w:r>
      <w:r>
        <w:rPr>
          <w:rFonts w:ascii="Arial" w:cs="Arial" w:eastAsia="Arial" w:hAnsi="Arial"/>
          <w:sz w:val="18"/>
          <w:szCs w:val="18"/>
          <w:color w:val="auto"/>
        </w:rPr>
        <w:t>— In the ordinary course of its business, the Company makes certain indemnities, commitments and guarantees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March 31, 2017,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will be asked to determine whether Israeli or U.S. law is applicable before the case can be certified as a class action. The deadline for plaintiff’s motion regarding the applicable law is due on May 14, 2017. The Company will vigorously defend against the claims advanced.</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Facility Agreement, on July 1, 2013, the Company also entered into a Milestone Rights Purchase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6 – Borrowings).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On July 31, 2014, the Company entered into a supply agreement (the “Insulin Supply Agreement”) with Amphastar France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S.A.S., a French corporation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2017 through 2023 total an aggregate purchase price of €93.0 million at March 31, 2017.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the above insulin quantities are not purchased was lowered from $5.3 million for the period October 1, 2016 through 2018 to $3.4 million over the same period. The Company has not yet purchased any insulin under the amended agreement in 2017. The annual purchase requirements under the contract are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2017</w:t>
            </w:r>
          </w:p>
        </w:tc>
        <w:tc>
          <w:tcPr>
            <w:tcW w:w="4220" w:type="dxa"/>
            <w:vAlign w:val="bottom"/>
            <w:shd w:val="clear" w:color="auto" w:fill="CCEEFF"/>
          </w:tcPr>
          <w:p>
            <w:pPr>
              <w:ind w:left="3180"/>
              <w:spacing w:after="0"/>
              <w:rPr>
                <w:sz w:val="20"/>
                <w:szCs w:val="20"/>
                <w:color w:val="auto"/>
              </w:rPr>
            </w:pPr>
            <w:r>
              <w:rPr>
                <w:rFonts w:ascii="Arial" w:cs="Arial" w:eastAsia="Arial" w:hAnsi="Arial"/>
                <w:sz w:val="18"/>
                <w:szCs w:val="18"/>
                <w:color w:val="auto"/>
              </w:rPr>
              <w:t>€ 2.7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2018</w:t>
            </w:r>
          </w:p>
        </w:tc>
        <w:tc>
          <w:tcPr>
            <w:tcW w:w="4220" w:type="dxa"/>
            <w:vAlign w:val="bottom"/>
          </w:tcPr>
          <w:p>
            <w:pPr>
              <w:ind w:left="3180"/>
              <w:spacing w:after="0"/>
              <w:rPr>
                <w:sz w:val="20"/>
                <w:szCs w:val="20"/>
                <w:color w:val="auto"/>
              </w:rPr>
            </w:pPr>
            <w:r>
              <w:rPr>
                <w:rFonts w:ascii="Arial" w:cs="Arial" w:eastAsia="Arial" w:hAnsi="Arial"/>
                <w:sz w:val="18"/>
                <w:szCs w:val="18"/>
                <w:color w:val="auto"/>
              </w:rPr>
              <w:t>€ 8.9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2019</w:t>
            </w:r>
          </w:p>
        </w:tc>
        <w:tc>
          <w:tcPr>
            <w:tcW w:w="4220" w:type="dxa"/>
            <w:vAlign w:val="bottom"/>
            <w:shd w:val="clear" w:color="auto" w:fill="CCEEFF"/>
          </w:tcPr>
          <w:p>
            <w:pPr>
              <w:ind w:left="3180"/>
              <w:spacing w:after="0"/>
              <w:rPr>
                <w:sz w:val="20"/>
                <w:szCs w:val="20"/>
                <w:color w:val="auto"/>
              </w:rPr>
            </w:pPr>
            <w:r>
              <w:rPr>
                <w:rFonts w:ascii="Arial" w:cs="Arial" w:eastAsia="Arial" w:hAnsi="Arial"/>
                <w:sz w:val="18"/>
                <w:szCs w:val="18"/>
                <w:color w:val="auto"/>
                <w:w w:val="96"/>
              </w:rPr>
              <w:t>€ 11.6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2020</w:t>
            </w:r>
          </w:p>
        </w:tc>
        <w:tc>
          <w:tcPr>
            <w:tcW w:w="4220" w:type="dxa"/>
            <w:vAlign w:val="bottom"/>
          </w:tcPr>
          <w:p>
            <w:pPr>
              <w:ind w:left="3180"/>
              <w:spacing w:after="0"/>
              <w:rPr>
                <w:sz w:val="20"/>
                <w:szCs w:val="20"/>
                <w:color w:val="auto"/>
              </w:rPr>
            </w:pPr>
            <w:r>
              <w:rPr>
                <w:rFonts w:ascii="Arial" w:cs="Arial" w:eastAsia="Arial" w:hAnsi="Arial"/>
                <w:sz w:val="18"/>
                <w:szCs w:val="18"/>
                <w:color w:val="auto"/>
                <w:w w:val="96"/>
              </w:rPr>
              <w:t>€ 15.5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2021</w:t>
            </w:r>
          </w:p>
        </w:tc>
        <w:tc>
          <w:tcPr>
            <w:tcW w:w="4220" w:type="dxa"/>
            <w:vAlign w:val="bottom"/>
            <w:shd w:val="clear" w:color="auto" w:fill="CCEEFF"/>
          </w:tcPr>
          <w:p>
            <w:pPr>
              <w:ind w:left="3180"/>
              <w:spacing w:after="0"/>
              <w:rPr>
                <w:sz w:val="20"/>
                <w:szCs w:val="20"/>
                <w:color w:val="auto"/>
              </w:rPr>
            </w:pPr>
            <w:r>
              <w:rPr>
                <w:rFonts w:ascii="Arial" w:cs="Arial" w:eastAsia="Arial" w:hAnsi="Arial"/>
                <w:sz w:val="18"/>
                <w:szCs w:val="18"/>
                <w:color w:val="auto"/>
                <w:w w:val="96"/>
              </w:rPr>
              <w:t>€ 15.5 million</w:t>
            </w:r>
          </w:p>
        </w:tc>
      </w:tr>
      <w:tr>
        <w:trPr>
          <w:trHeight w:val="216"/>
        </w:trPr>
        <w:tc>
          <w:tcPr>
            <w:tcW w:w="3540" w:type="dxa"/>
            <w:vAlign w:val="bottom"/>
          </w:tcPr>
          <w:p>
            <w:pPr>
              <w:jc w:val="right"/>
              <w:ind w:right="3090"/>
              <w:spacing w:after="0"/>
              <w:rPr>
                <w:sz w:val="20"/>
                <w:szCs w:val="20"/>
                <w:color w:val="auto"/>
              </w:rPr>
            </w:pPr>
            <w:r>
              <w:rPr>
                <w:rFonts w:ascii="Arial" w:cs="Arial" w:eastAsia="Arial" w:hAnsi="Arial"/>
                <w:sz w:val="18"/>
                <w:szCs w:val="18"/>
                <w:color w:val="auto"/>
                <w:w w:val="84"/>
              </w:rPr>
              <w:t>2022</w:t>
            </w:r>
          </w:p>
        </w:tc>
        <w:tc>
          <w:tcPr>
            <w:tcW w:w="4220" w:type="dxa"/>
            <w:vAlign w:val="bottom"/>
          </w:tcPr>
          <w:p>
            <w:pPr>
              <w:ind w:left="3180"/>
              <w:spacing w:after="0"/>
              <w:rPr>
                <w:sz w:val="20"/>
                <w:szCs w:val="20"/>
                <w:color w:val="auto"/>
              </w:rPr>
            </w:pPr>
            <w:r>
              <w:rPr>
                <w:rFonts w:ascii="Arial" w:cs="Arial" w:eastAsia="Arial" w:hAnsi="Arial"/>
                <w:sz w:val="18"/>
                <w:szCs w:val="18"/>
                <w:color w:val="auto"/>
                <w:w w:val="96"/>
              </w:rPr>
              <w:t>€ 19.4 million</w:t>
            </w:r>
          </w:p>
        </w:tc>
      </w:tr>
      <w:tr>
        <w:trPr>
          <w:trHeight w:val="216"/>
        </w:trPr>
        <w:tc>
          <w:tcPr>
            <w:tcW w:w="354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84"/>
              </w:rPr>
              <w:t>2023</w:t>
            </w:r>
          </w:p>
        </w:tc>
        <w:tc>
          <w:tcPr>
            <w:tcW w:w="4220" w:type="dxa"/>
            <w:vAlign w:val="bottom"/>
            <w:shd w:val="clear" w:color="auto" w:fill="CCEEFF"/>
          </w:tcPr>
          <w:p>
            <w:pPr>
              <w:ind w:left="3180"/>
              <w:spacing w:after="0"/>
              <w:rPr>
                <w:sz w:val="20"/>
                <w:szCs w:val="20"/>
                <w:color w:val="auto"/>
              </w:rPr>
            </w:pPr>
            <w:r>
              <w:rPr>
                <w:rFonts w:ascii="Arial" w:cs="Arial" w:eastAsia="Arial" w:hAnsi="Arial"/>
                <w:sz w:val="18"/>
                <w:szCs w:val="18"/>
                <w:color w:val="auto"/>
                <w:w w:val="96"/>
              </w:rPr>
              <w:t>€ 19.4 million</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Unless earlier terminated, the term of the Insulin Supply Agreement with Amphastar expires on December 31, 2023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2017, the Company has other firm commitments with suppliers for an aggregate of $0.8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has assessed their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2012 remain subject to examination by the major tax jurisdictions in which the Company is subject to tax.</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in the current quarter. The adoption had no net impact on its income tax expense for the quarter and net deferred tax assets as of the date of adoption (See Note 9 – Stock-Based Compensation Expense).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Charges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March 31, 2017 and December 31, 2016, the Company had a remaining restructuring accrual balance of $0.8 million and $1.4 million, respectively which is recorded in accrued expenses and other current liabilities in the condensed consolidated balance sheets. The Company expects to substantially pay out the remainder of this obligation by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beginning and ending liability balances for the restructuring charges is as follows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Accrual -</w:t>
            </w:r>
          </w:p>
        </w:tc>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2017</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Costs paid or settled</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(185)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 March 31, 2017</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Amendment to Facility Arrangement </w:t>
      </w:r>
      <w:r>
        <w:rPr>
          <w:rFonts w:ascii="Arial" w:cs="Arial" w:eastAsia="Arial" w:hAnsi="Arial"/>
          <w:sz w:val="16"/>
          <w:szCs w:val="16"/>
          <w:color w:val="auto"/>
        </w:rPr>
        <w:t>— On April 18, 2017, the Company entered into an Exchange Agreement with Deerfield pursuant to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agreed to, among other things, (i) repay $4.0 million principal amount under the Tranche B notes, (ii) exchange $1.0 million principal amount under the Tranche B notes for 869,565 shares of the Company’s common stock (the “Tranche B Exchange Shares”) and (iii) exchange $5 million principal amount under the 2019 notes for 4,347,826 shares of the Company’s common stock (together with the “Tranche B Exchange Shares”, the “Exchange Shares”). The exchange price for the Exchange Shares is $1.15 per share. The principal amount being repaid and exchanged under the Tranche B notes and the principal amount being exchanged under the 2019 notes represents the principal amount that would have otherwise become due and payable in May 2017 and July</w:t>
      </w:r>
    </w:p>
    <w:p>
      <w:pPr>
        <w:spacing w:after="0" w:line="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2017 under the Tranche B Notes and 2019 notes, respectively. The financial statements do not include the impacts of the Exchange Agreement as it occurred subsequent to March 31, 2017 and will be accounted for in April 2017.</w:t>
      </w:r>
    </w:p>
    <w:p>
      <w:pPr>
        <w:spacing w:after="0" w:line="18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Office Lease </w:t>
      </w:r>
      <w:r>
        <w:rPr>
          <w:rFonts w:ascii="Arial" w:cs="Arial" w:eastAsia="Arial" w:hAnsi="Arial"/>
          <w:sz w:val="16"/>
          <w:szCs w:val="16"/>
          <w:color w:val="auto"/>
        </w:rPr>
        <w:t>— On May 5, 2017, the Company executed an office lease with Russell Ranch Road II LLC to lease office space for the Company’s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headquarters in Valencia, California. The office lease commences on the earlier of (i) the date the Company commences business from the leased space or</w:t>
      </w:r>
    </w:p>
    <w:p>
      <w:pPr>
        <w:ind w:right="20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later of the date of substantial completion of the build out by the landlord or August 1, 2017. The lease requires monthly payments of $40,951, increased by 3% annually, plus the estimated cost of maintaining the property by the landlord. The lease expires sixty-five months from the commencement date and contains a five year renewal option.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2016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 According to the Centers for Disease Control and Prevention, 29.1 million people in the United States had diabetes in 2012. Globally, the International Diabetes Federation has estimated that approximately 415.0 million people had diabetes in 2015 and approximately 642.0 million people will have diabetes by 2040.</w:t>
      </w:r>
    </w:p>
    <w:p>
      <w:pPr>
        <w:spacing w:after="0" w:line="15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Afrezza is a rapid-acting inhaled insulin used to control high blood sugar in adults with type 1 and type 2 diabetes. The product consists of a dry powder formulation of human insulin delivered from a small portable inhaler. Administered at the beginning of a meal, Afrezza dissolves rapidly upon inhalation to the lung and delivers insulin quickly to the bloodstream. Peak insulin levels are achieved within 12-15 minutes of administration.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August 11, 2014, we executed a license and collaboration agreement (the “Sanofi License Agreement”) with Sanofi-Aventis Deutschland GmbH (which subsequently assigned its rights and obligations under the agreement to Sanofi), pursuant to which Sanofi was responsible for global commercial, regulatory and development activities for Afrezza.</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4, 2016, we received written notification from Sanofi of its election to terminate in its entirety the Sanofi License Agreement. The effective date of termination was April 4, 2016, which was when we assumed responsibility for worldwide development and commercialization of Afrezza. Under the terms of the transition agreement, Sanofi continued to fulfill orders for Afrezza in the United States until we began distributing MannKind-branded Afrezza product to major wholesalers in late July 2016. We began recognizing commercial product sales revenue when MannKind-branded Afrezza was dispensed from pharmacies to patients in August 2016.</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intend to continue the commercialization of Afrezza in the United States through our own commercial organization. Our current strategy for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also believe our Technosphere formulations of active pharmaceutical ingredients have the potential to demonstrate clinical advantages over existing therapeutic options in a variety of therapeutic areas. In addition to our collaboration with Receptor (See Note 7, Collaboration Agreements of the Notes to the Condensed Consolidated Financial Statements in this report), we are actively exploring other opportunities to out-license our proprietary Technosphere formulation and device technologies. We have also initiated development of certain products related to our Technosphere formulations that we will continue to develop if we are able to obtain the required funding.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2017, we had an accumulated deficit of $2.8 billion and a stockholders’ deficit of $198.7 million. We had a net loss of approximately $16.3 million for the three months ended March 31, 2017. We have historically funded our operations primarily through the sale of equity securities and convertible debt securities, borrowings under the Facility Agreement with Deerfield, borrowings under The Mann Group Loan Arrangement and the Sanofi License Agreement which was terminated in 2016. As discussed below in “Liquidity and Capital Resources,” if we are unable to obtain additional funding, there will be substantial doubt about our ability to continue as a going concern.</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critical accounting policies can be found in Item 7. Management’s Discussion and Analysis of Financial Condition and Results of Operations in our Form 10-K for the year ended December 31, 2016 and there have been no material changes.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revenue categories for the three months ended March 31, 2017 and 2016 (dollars in thousands):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color w:val="auto"/>
                <w:w w:val="97"/>
              </w:rPr>
              <w:t>Three Months Ended March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color w:val="auto"/>
                <w:w w:val="89"/>
              </w:rPr>
              <w:t>2017</w:t>
            </w:r>
          </w:p>
        </w:tc>
        <w:tc>
          <w:tcPr>
            <w:tcW w:w="18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52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w w:val="89"/>
              </w:rPr>
              <w:t>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Net revenue - collaboration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 - commercial product sales: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ind w:left="720"/>
              <w:spacing w:after="0"/>
              <w:rPr>
                <w:sz w:val="20"/>
                <w:szCs w:val="20"/>
                <w:color w:val="auto"/>
              </w:rPr>
            </w:pPr>
            <w:r>
              <w:rPr>
                <w:rFonts w:ascii="Arial" w:cs="Arial" w:eastAsia="Arial" w:hAnsi="Arial"/>
                <w:sz w:val="18"/>
                <w:szCs w:val="18"/>
                <w:color w:val="auto"/>
              </w:rPr>
              <w:t>Gross revenue from product sales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1,642</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1,642</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Gross-to-Net Adjustments: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6900" w:type="dxa"/>
            <w:vAlign w:val="bottom"/>
          </w:tcPr>
          <w:p>
            <w:pPr>
              <w:ind w:left="1080"/>
              <w:spacing w:after="0" w:line="201" w:lineRule="exact"/>
              <w:rPr>
                <w:sz w:val="20"/>
                <w:szCs w:val="20"/>
                <w:color w:val="auto"/>
              </w:rPr>
            </w:pPr>
            <w:r>
              <w:rPr>
                <w:rFonts w:ascii="Arial" w:cs="Arial" w:eastAsia="Arial" w:hAnsi="Arial"/>
                <w:sz w:val="18"/>
                <w:szCs w:val="18"/>
                <w:color w:val="auto"/>
                <w:w w:val="99"/>
              </w:rPr>
              <w:t>Wholesaler distribution fees, prompt pay discounts and other rebates and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900" w:type="dxa"/>
            <w:vAlign w:val="bottom"/>
          </w:tcPr>
          <w:p>
            <w:pPr>
              <w:ind w:left="1260"/>
              <w:spacing w:after="0"/>
              <w:rPr>
                <w:sz w:val="20"/>
                <w:szCs w:val="20"/>
                <w:color w:val="auto"/>
              </w:rPr>
            </w:pPr>
            <w:r>
              <w:rPr>
                <w:rFonts w:ascii="Arial" w:cs="Arial" w:eastAsia="Arial" w:hAnsi="Arial"/>
                <w:sz w:val="18"/>
                <w:szCs w:val="18"/>
                <w:color w:val="auto"/>
              </w:rPr>
              <w:t>discounts</w:t>
            </w:r>
          </w:p>
        </w:tc>
        <w:tc>
          <w:tcPr>
            <w:tcW w:w="1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(198)</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Patient discount and co-pay assistance programs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1080"/>
              <w:spacing w:after="0"/>
              <w:rPr>
                <w:sz w:val="20"/>
                <w:szCs w:val="20"/>
                <w:color w:val="auto"/>
              </w:rPr>
            </w:pPr>
            <w:r>
              <w:rPr>
                <w:rFonts w:ascii="Arial" w:cs="Arial" w:eastAsia="Arial" w:hAnsi="Arial"/>
                <w:sz w:val="18"/>
                <w:szCs w:val="18"/>
                <w:color w:val="auto"/>
              </w:rPr>
              <w:t>Rebates and chargebacks</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 - commercial product sales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1,196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1,196</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Revenue - bulk insulin sales</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1,750</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1,750</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3,009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3,009</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three months ended March 31, 2017, we recognized net revenue from a collaboration of $0.1 million, representing a portion of the licensing fee received in the fourth quarter of 2016. During the three months ended March 31, 2016, we did not recognize any revenues from a collaboration.</w:t>
      </w:r>
    </w:p>
    <w:p>
      <w:pPr>
        <w:spacing w:after="0" w:line="124"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During the three months ended March 31, 2017, we recognized net revenue from commercial product sales of $1.2 million, representing net sales of Afrezza dispensed to patients. Estimated gross-to-net adjustments of $0.4 million were approximately 27% of gross revenue from product sales for the three months ended March 31, 2017. During the three months ended March 31, 2016, we did not recognize any revenues from commercial product sales.</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three months ended March 31, 2017, we recognized $1.8 million of revenue related to a sale of bulk insulin to a third party. During the three months ended March 31, 2016 we did not recognize any revenues from bulk insulin sales.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comparison of the expense categories for the three months ended March 31, 2017 and 2016 (dollars in thousands):</w:t>
      </w: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color w:val="auto"/>
              </w:rPr>
              <w:t>2016</w:t>
            </w:r>
          </w:p>
        </w:tc>
        <w:tc>
          <w:tcPr>
            <w:tcW w:w="42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w w:val="88"/>
              </w:rPr>
              <w:t>$ Change</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Cost of goods sold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5,168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$(2,620)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7,738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7,730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7,343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Loss on foreign currency translation</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2,364</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(819)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7"/>
        </w:trPr>
        <w:tc>
          <w:tcPr>
            <w:tcW w:w="6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22,611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20,013</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$ 2,598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6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Costs of goods sold includes the costs related to Afrezza product dispensed by pharmacies to patients as well as the following costs which are recorded as expenses in the period in which they are incurred rather than as a portion of the inventory cost: under-absorbed labor and overhead, the impact of annual revaluations of inventory and deferred costs of commercial sales to standard cost, and write-offs of inventory and deferred costs of commercial sales. The decrease in cost of goods sold of $2.6 million for the three months ended March 31, 2017 compared to the same period in the prior year is due primarily to a $0.7 million decrease in under-absorbed labor and overhead due to the reduction in work force in the fourth quarter of 2016, revaluation of inventory and deferred cost of commercial sales of $0.3 million and a reduction of $1.9 million for capitalized costs related to the manufacturing of Afrezza that has not yet been sold in 2017, whereas there was no manufacturing of Afrezza in the first quarter of 2016 and therefore such costs were expensed instead of capitalized. These decreases are offset by $0.3 million of cost of goods sold attributed to commercial product sales which consist of manufacturing costs for Afrezza dispensed to patients.</w:t>
      </w:r>
    </w:p>
    <w:p>
      <w:pPr>
        <w:spacing w:after="0" w:line="1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laboratory supplies and materials, facility costs, costs for outsourced services and depreciation of equipment. The decrease in research and development expense of $2.0 million for the three months ended March 31, 2017 compared to the same period in the prior year is primarily due to decreases in compensation expense of $2.0 million resulting from reductions in staff, in stock compensation of $0.2 million, and in outsourced services of $0.4 million. Partially offsetting the decreases was an increase due to clinical trials of $0.5 million.</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selling and marketing expenses are driven by salaries, benefits and stock-based compensation for sales and marketing personnel. The increase in selling and marketing expenses of $7.7 million for the three months ended March 31, 2017 compared to the same period in the prior year is due primarily to increases of $4.1 million for compensation expense associated with the sales force that we brought in-house in the first quarter of 2017, $1.1 million for cost of external services and commercial support, $0.8 million for promotional expenses, $0.8 million for travel and related sales force expenses, $0.6 million for product samples related expense and $0.3 million of other expenses. Our selling and marketing expenses in the first quarter of 2016 were de minimis because Sanofi was marketing Afrezza.</w:t>
      </w:r>
    </w:p>
    <w:p>
      <w:pPr>
        <w:spacing w:after="0" w:line="19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general and administrative expenses are driven by salaries, benefits and stock-based compensation for administrative, finance, human resources, legal and information systems support personnel. The increase in general and administrative expenses of $0.3 million for the three months ended March 31, 2017 compared to the same period in the prior year was due primarily to spending on regulatory and other compliance activities associated with Afrezza.</w:t>
      </w:r>
    </w:p>
    <w:p>
      <w:pPr>
        <w:spacing w:after="0" w:line="14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Loss on foreign currency translation of $1.5 million for the three months ended March 31, 2017 compared to $2.4 million for the same period in the prior year is due to the translation impact of the U.S. dollar to euro exchange rate associated with the recognized loss on purchase commitments related to Amphastar.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provides a comparison of the other income (expense) categories for the three months ended March 31, 2017 and 2016 (dollars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color w:val="auto"/>
                <w:w w:val="99"/>
              </w:rPr>
              <w:t>Three Months Ended March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40" w:type="dxa"/>
            <w:vAlign w:val="bottom"/>
          </w:tcPr>
          <w:p>
            <w:pPr>
              <w:jc w:val="right"/>
              <w:ind w:right="53"/>
              <w:spacing w:after="0" w:line="142" w:lineRule="exact"/>
              <w:rPr>
                <w:sz w:val="20"/>
                <w:szCs w:val="20"/>
                <w:color w:val="auto"/>
              </w:rPr>
            </w:pPr>
            <w:r>
              <w:rPr>
                <w:rFonts w:ascii="Arial" w:cs="Arial" w:eastAsia="Arial" w:hAnsi="Arial"/>
                <w:sz w:val="14"/>
                <w:szCs w:val="14"/>
                <w:color w:val="auto"/>
              </w:rPr>
              <w:t>2017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Arial" w:cs="Arial" w:eastAsia="Arial" w:hAnsi="Arial"/>
                <w:sz w:val="14"/>
                <w:szCs w:val="14"/>
                <w:color w:val="auto"/>
              </w:rPr>
              <w:t>2016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color w:val="auto"/>
                <w:w w:val="85"/>
              </w:rPr>
              <w:t>$ Change</w:t>
            </w:r>
          </w:p>
        </w:tc>
        <w:tc>
          <w:tcPr>
            <w:tcW w:w="600" w:type="dxa"/>
            <w:vAlign w:val="bottom"/>
          </w:tcPr>
          <w:p>
            <w:pPr>
              <w:spacing w:after="0" w:line="142"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Borders>
              <w:right w:val="single" w:sz="8" w:color="CCEEFF"/>
            </w:tcBorders>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$ 6,629</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$ 6,629</w:t>
            </w:r>
          </w:p>
        </w:tc>
        <w:tc>
          <w:tcPr>
            <w:tcW w:w="4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(4,221)</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1,515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(721)</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360"/>
              <w:spacing w:after="0"/>
              <w:rPr>
                <w:sz w:val="20"/>
                <w:szCs w:val="20"/>
                <w:color w:val="auto"/>
              </w:rPr>
            </w:pPr>
            <w:r>
              <w:rPr>
                <w:rFonts w:ascii="Arial" w:cs="Arial" w:eastAsia="Arial" w:hAnsi="Arial"/>
                <w:sz w:val="18"/>
                <w:szCs w:val="18"/>
                <w:color w:val="auto"/>
              </w:rPr>
              <w:t>Total other income (expense)</w:t>
            </w: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$ 3,278</w:t>
            </w:r>
          </w:p>
        </w:tc>
        <w:tc>
          <w:tcPr>
            <w:tcW w:w="2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(4,860</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$ 8,138</w:t>
            </w:r>
          </w:p>
        </w:tc>
        <w:tc>
          <w:tcPr>
            <w:tcW w:w="48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three months ended March 31, 2017, we recorded a $6.6 million change in the fair value of the warrant liability due to the change in our stock price. There we no such instruments during the three months ended March 31, 2016.</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of $1.5 million in the interest expense on notes for the three months ended March 31, 2017 compared to the same period in the prior year was primarily related to the Sanofi debt that was forgiven in the fourth quarter of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Mann Group Loan Arrangement, borrowings under the Facility Agreement with Deerfield, receipt of upfront, milestone payments under the Sanofi License Agreement, and borrowings under the Sanofi Loan Facility which terminated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had $152.1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$27.6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$55.0 million principal amount of 2019 notes bearing interest at 9.75% per annum, $15.0 million of which is due and payable in July 2017, $15.0 million of which is due and payable in July 2018 and each $25.0 million of which is due and payable in July and December 2019;</w:t>
      </w:r>
    </w:p>
    <w:p>
      <w:pPr>
        <w:spacing w:after="0" w:line="51"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and $5.0 million of which is due and payable in December 2019; and</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Subsequent to March 31, 2017, on April 18, 2017, the Company entered into an Exchange Agreement which resulted in the cash prepayment by us of $4.0 million principal under the Tranche B notes and the conversion of $1.0 million and $5.0 million of principal under the Tranche B notes and 2019 notes, respectively, to common shares, thereby reducing the amount due by a corresponding $10.0 million in May and July 2017 to $0.0 and $10.0 million under the Tranche B notes and 2019 notes, respectively.</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31, 2017, the amount available for future borrowings under The Mann Group Loan Arrangement was $30.1 million. A portion of these available borrowings may be used to capitalize accrued interest into principal, upon mutual agreement of the parties, as it becomes due and payable. As of March 31, 2017, the accrued and unpaid interest under The Mann Group Loan Arrangement was $10.0 million.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Outstanding debt is more fully described in Note 5 – Related Party Arrangements, Note 6- Borrowings, Note 8 – Fair Value of Financial Instruments and Note 10 – Commitments and Contingencies.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2018 notes, 2019 notes, Tranche B notes or The Mann Group Loan Arrangement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Mann Group Loan Arrangement accrue interest at a rate of</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Tranche B notes or if we fail to repay or repurchase the 2018 notes, 2019 notes, Tranche B notes, or borrowings under The Mann Group Loan Arrangement,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See Note 10 — Commitments and Contingencies and Note 6 — Borrowings for further information related to the Facility Agreement.</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July 31, 2014, we entered into the Insulin Supply Agreement, pursuant to which we agreed to purchase certain annual minimum quantities of insulin. See Note 10 — Commitments and Contingencies for further information related to the Insulin Supply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Sanofi License Agreement, we received an initial upfront payment of $150.0 million and milestone payments totaling $50.0 million in the first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 of 2015 upon satisfaction of certain manufacturing milestones specified in the Sanofi License Agreement. As a result of the termination of the Sanofi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 Agreement, we will not receive any additional milestone payments from Sanofi under the agreement. In addition, on November 9, 2016,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Settlement Agreement, we and Aventisub LLC, an affiliate of Sanofi, agreed to terminate the Sanofi Loan Facility and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“Security Agreement”). In connection with such termination, Aventisub LLC agreed to forgive the full outstanding loan balance on the Sanofi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Facility of $72.0 million owed by us and agreed to release its security interests encumbering our assets. Sanofi also agreed to make a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$30.6 million to us, which was received in early January 2017 as acceleration and in replacement of all other payments that Sanofi would otherwise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make in the future pursuant to the insulin put option, without being required to deliver any insulin for such payment. See Note 7 — Collaboration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Arrangements for further information related to the Sanofi agreements.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Cash provided by operating activities, which consists of net loss adjusted for the various non-cash items, changes in working capital and changes in other balance sheet accounts, totaled $8.5 million for the three months ended March 31, 2017. Operating activities used $30.8 million of cash for the three months ended March 31, 2016.</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three months ended March 31, 2017, cash provided by operating activities was primarily as a result of $27.0 million in increases in operating assets and liabilities, offset by a $16.3 million net loss, adjusted further by non-cash charges of $2.2 million. The increase in operating assets and liabilities was primarily as a result of the receipt of $30.6 million from Sanofi pursuant to the insulin put option in January 2017 and increases in accrued expenses and other current liabilities of $1.1 million and decreases in prepaid expenses and other current assets of $0.9 million offset by decreases in in accounts payable of $1.7 million, deferred revenue of $1.6 million, and purchase commitment liabilities of $0.5 million and increases in inventory of $1.4 million, deferred costs from commercial product sales of $0.2 million and accounts receivable of $0.1 million. The non-cash charges included $6.6 million from changes in the fair value of the warrant liability offset by $1.5 million loss on foreign currency exchange, $1.3 million of stock-based compensation, $0.9 million of depreciation, amortization and accretion and $0.7 million interest accrued through notes payable to principal stockholder.</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months ended March 31, 2016, we used $30.8 million of cash for our operating activities as a result of our net loss of $24.9 million, offset by non-cash charges of $7.2 million and a net decrease in operating assets and liabilities of $13.1 million. The change in net assets and liabilities was predominately due to the net decrease in accounts payable and accrued expenses and other current liabilities of $14.3 million and offset by a decrease in prepaid expenses and other current assets of $1.2 million. The non-cash charges included a $2.4 million loss on foreign currency exchange, $1.3 million for stock-based compensation expense, $1.2 million in interest accrued through borrowings under Sanofi Loan Facility, $1.0 million of depreciation, amortization and accretion expense, $0.7 million of interest on note payable to principal stockholder and $0.7 million in other expenses.</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Cash provided from investing activities was $16.7 million for the three months ended March 31, 2017 compared to cash used in investing activities of $1.1 million for the three months ended March 31, 2016. The difference was related to net proceeds received during the three months ended March 31, 2017 for the sale of certain parcels of real estate owned by the Company in Valencia, California and certain related improvements, personal property, equipment, supplies and fixtures for $16.7 million.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used in financing activities was $0.1 million for the three months ended March 31, 2017 compared to $0.5 million provided by financing activities for the three months ended March 31, 2016. The difference was primarily related to proceeds from the exercise of stock options of $0.5 million during the three months ended March 31, 2016 and the payment of $0.1 million for employment taxes related to vested restricted stock units during the three months ended March 31, 2017.</w:t>
      </w:r>
    </w:p>
    <w:p>
      <w:pPr>
        <w:spacing w:after="0" w:line="18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As of March 31, 2017, we had $48.0 million in cash and cash equivalents. We expect to expend our capital resources for the manufacturing, sales and marketing of Afrezza and to develop our product candidates. We also intend to use our capital resources for general corporate purposes.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we enter into strategic business collaborations with respect to our product candidates or Afrezza for commercialization outside of the United States, we may, as part of the transaction,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when needed or on acceptable terms,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6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business collaborations,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we did not have any off-balance sheet arrangements.</w:t>
      </w:r>
    </w:p>
    <w:p>
      <w:pPr>
        <w:spacing w:after="0" w:line="370" w:lineRule="exact"/>
        <w:rPr>
          <w:sz w:val="20"/>
          <w:szCs w:val="20"/>
          <w:color w:val="auto"/>
        </w:rPr>
      </w:pPr>
    </w:p>
    <w:p>
      <w:pPr>
        <w:ind w:right="38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257" w:lineRule="auto"/>
        <w:rPr>
          <w:sz w:val="20"/>
          <w:szCs w:val="20"/>
          <w:color w:val="auto"/>
        </w:rPr>
      </w:pPr>
      <w:r>
        <w:rPr>
          <w:rFonts w:ascii="Arial" w:cs="Arial" w:eastAsia="Arial" w:hAnsi="Arial"/>
          <w:sz w:val="18"/>
          <w:szCs w:val="18"/>
          <w:color w:val="auto"/>
        </w:rPr>
        <w:t>Due to the fixed interest rates of our debt, we currently do not have exposure to changes in our interest expense as a result of changes in interest rates. The interest rate on amounts borrowed under The Mann Group Loan Arrangement for the three months ended March 31, 2017 was a fixed rate equal to 5.84%. As of March 31, 2017, the total principal amount outstanding under The Mann Group Loan Arrangement was $49.5 million. We also have debt related to the 2018 notes at a fixed interest rate of 5.75%, debt related to the 2019 notes at a fixed interest rate of 9.75% and debt related to the Tranche B notes at a fixed interest rate of 8.75%.</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a change in interest rates equal to 10% of the interest rates on March 31, 2017 were to have occurred, this change would not have had a material effect on the value of our short-term investment portfolio.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fluctuations may adversely affect our expenses, results of operations, financial position and cash flows. If a change in the U.S. dollar to euro exchange rate equal to 10% of the U.S. dollar to euro exchange rate were to have occurred on March 31, 2017, this change would have resulted in a foreign currency impact to our pre-tax losses of approximately $9.9 million.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March 31, 2017, we have concluded, as of such date, that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alleged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will be asked to determine whether Israeli or U.S. law is applicable before the case can be certified as a class action. The deadline for plaintiff’s motion regarding the applicable law is due on May 14, 2017. We will vigorously defend against the claims advanced.</w:t>
      </w:r>
    </w:p>
    <w:p>
      <w:pPr>
        <w:spacing w:after="0" w:line="178" w:lineRule="exact"/>
        <w:rPr>
          <w:sz w:val="20"/>
          <w:szCs w:val="20"/>
          <w:color w:val="auto"/>
        </w:rPr>
      </w:pPr>
    </w:p>
    <w:p>
      <w:pPr>
        <w:jc w:val="both"/>
        <w:ind w:right="660"/>
        <w:spacing w:after="0" w:line="312"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to fund our operations, and our inability to do so could raise substantial doubt about our ability to continue as a going concern.*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ability to continue as a going concern. We will need to raise additional capital, whether through the sale of equity or debt securities, additional strategic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collaborations, the establishment of other funding facilities, licensing arrangements, asset sales or other means, in order to support our ongoing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including the commercialization of Afrezza and the development of our product candidates, and to avoid defaulting under the covenant in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agreement with Deerfield Private Design Fund II, L.P. (“Deerfield Private Design Fund”) and Deerfield Private Design International II, 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“Deerfield”) dated July 1, 2013 (as amended, the “Facility Agreement”), which requires us to maintain at least $25.0 million in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or available borrowings under the loan arrangement, dated as of October 2, 2007, between us and The Mann Group LLC (as amended, restated,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modified as of the date hereof, “The Mann Group Loan Arrangement”), as of the last day of each fiscal quarter. It may be difficult for us to raise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funds on favorable terms, or at all. As of March 31, 2017, we had cash and cash equivalents of $48.0 million and a stockholders’ deficit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$198.5 million, which raises concerns about our solvency and ability to continue as a going concern. The extent of our additional funding requirements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depend on a number of factors, including:</w:t>
      </w:r>
    </w:p>
    <w:p>
      <w:pPr>
        <w:spacing w:after="0" w:line="1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Afrezza is commercially successful;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to which we are able to generate revenue from our Technosphere drug delivery platform;</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building our commercialization capabilities;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finding regional collaboration partners for the development and commercialization of Afrezza in foreign jurisdictions;</w:t>
      </w:r>
    </w:p>
    <w:p>
      <w:pPr>
        <w:spacing w:after="0" w:line="130" w:lineRule="exact"/>
        <w:rPr>
          <w:rFonts w:ascii="Arial" w:cs="Arial" w:eastAsia="Arial" w:hAnsi="Arial"/>
          <w:sz w:val="18"/>
          <w:szCs w:val="18"/>
          <w:color w:val="auto"/>
        </w:rPr>
      </w:pPr>
    </w:p>
    <w:p>
      <w:pPr>
        <w:ind w:left="900" w:right="80" w:hanging="325"/>
        <w:spacing w:after="0" w:line="28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demand by any or all of the holders of the 5.75% Convertible Senior Subordinated Exchange Notes due 2018 (the “2018 notes”), the 9.75% Senior Convertible Notes due 2019 issued to Deerfield (the “2019 notes”), and the 8.75% Senior Convertible Notes due 2019 issued to Deerfield (the “Tranche B notes”) to require us to repay or repurchase such debt securities if and when required;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the 2018 notes or any other convertible debt securities we may issue are converted into or exchanged for shares of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Deerfield Private Design Fund and Horizon Santé FLML SÁRL (collectively, the “Milestone Purchasers”) and pursuant to the Milestone Rights Purchase Agreement dated July 1, 2013 (the “Milestone Agreement”);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89"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 which included some of the sales representatives that previously were employed by the contract sales organization. We intend to continue the commercialization of Afrezza in the United States through our internal commercial organization. We will need to maintain and continue to build our commercialization capabilities in order to successfully commercialize Afrezza in the United States, and we may not have sufficient resources to do so. The market for skilled 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we fail to successfully commercialize Afrezza in the United States, our business, financial condition and results of operations will be materially and adversely affected.</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our inability to do so could raise substantial doubt about our ability to continue as a going concern.”</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 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of these programs or to obtain funding to enable us to continue these programs.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26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an upfront payment and milestone payments from Sanofi. As of March 31, 2017, we had an accumulated deficit of</w:t>
      </w:r>
    </w:p>
    <w:p>
      <w:pPr>
        <w:ind w:right="260"/>
        <w:spacing w:after="0" w:line="269" w:lineRule="auto"/>
        <w:rPr>
          <w:sz w:val="20"/>
          <w:szCs w:val="20"/>
          <w:color w:val="auto"/>
        </w:rPr>
      </w:pPr>
      <w:r>
        <w:rPr>
          <w:rFonts w:ascii="Arial" w:cs="Arial" w:eastAsia="Arial" w:hAnsi="Arial"/>
          <w:sz w:val="17"/>
          <w:szCs w:val="17"/>
          <w:color w:val="auto"/>
        </w:rPr>
        <w:t>$2.8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continue the commercialization of Afrezza. In connection with our quarterly assessment of impairment indicators and inventory valuation for the quarter ended December 31, 2015, we identified an impairment of our long-lived assets and inventory, which resulted in charges of $140.4 million and $36.1 million, respectively, in such quarter. In addition, under the amended Insulin Supply Agreement with Amphastar, we agreed to purchase certain annual minimum quantities of insulin for calendar years 2017 through 2023 for an aggregate total remaining purchase price of €93.0 million at March 31, 2017. We may not have the necessary capital resources on hand in order to service this contractual commitment.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March31, 2017, we had stockholders’ deficit of $198.5 million.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debt pursuant to the 2018 notes, 2019 notes, Tranche B notes and The Mann Group Loan Arrangement, and we may be unable to make required payments of interest and principal as they become due.*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had $152.1 million principal amount of outstanding debt, consisting of:</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$27.6 million principal amount of 2018 notes bearing interest at 5.75% per annum and maturing on August 15, 2018;</w:t>
      </w:r>
    </w:p>
    <w:p>
      <w:pPr>
        <w:spacing w:after="0" w:line="130" w:lineRule="exact"/>
        <w:rPr>
          <w:rFonts w:ascii="Arial" w:cs="Arial" w:eastAsia="Arial" w:hAnsi="Arial"/>
          <w:sz w:val="18"/>
          <w:szCs w:val="18"/>
          <w:color w:val="auto"/>
        </w:rPr>
      </w:pPr>
    </w:p>
    <w:p>
      <w:pPr>
        <w:ind w:left="900" w:right="480" w:hanging="325"/>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$55.0 million principal amount of 2019 notes bearing interest at 9.75% per annum, $15.0 million of which is due and payable in July 2017, $15.0 million of which is due and payable in July 2018 and $25.0 million of which is due and payable in July and December 2019;</w:t>
      </w:r>
    </w:p>
    <w:p>
      <w:pPr>
        <w:spacing w:after="0" w:line="29"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million principal amount of Tranche B notes bearing interest at 8.75% per annum, $5.0 million of which is due and payable in each of May 2017, 2018 and 2019, and $5.0 million of which is due and payable in December 2019;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$49.5 million principal amount of indebtedness under The Mann Group Loan Arrangement bearing interest at 5.84% and maturing and due on January 5, 2020.</w:t>
      </w:r>
    </w:p>
    <w:p>
      <w:pPr>
        <w:spacing w:after="0" w:line="170"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We may borrow an additional $30.1 million under The Mann Group Loan Arrangement. The available borrowings may be used to capitalize accrued interest into principal upon mutual agreement of the parties, as accrued interest becomes due and payable under The Mann Group Loan Arrangement. As of March 31, 2017 the accrued and unpaid interest under The Mann Group Loan Arrangement was $10.0 million.</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or Tranche B notes, or if we fail to repay or repurchase the 2018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If we fail to timely pay accrued interest under The Mann Group Loan Arrangement when required, we will be in default under The Mann Group Loan Arrangement. During any such time as an event of default is continuing under The Mann Group Loan Arrangement, The Mann Group will not be obligated to make additional borrowings available to us. If an event of default is continuing under The Mann Group Loan Arrangement as of the last day of a fiscal quarter, we may be in breach of the financial covenant under the Facility Agreement that requires us to maintain cash and cash equivalents (including available borrowings under The Mann Group Loan Arrangement) of at least $25.0 million if our other cash and cash equivalents on hand do not equal or exceed $25.0 million.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the Tranche B notes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may accelerate all of our repayment obligations, and, with respect to the 2019 notes and Tranche B notes,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number of established pharmaceutical companies have or are developing technologies for the treatment of unmet medical needs.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January 2017, Novo Nordisk announced that Fiasp</w:t>
      </w:r>
      <w:r>
        <w:rPr>
          <w:rFonts w:ascii="Arial" w:cs="Arial" w:eastAsia="Arial" w:hAnsi="Arial"/>
          <w:sz w:val="14"/>
          <w:szCs w:val="14"/>
          <w:color w:val="auto"/>
        </w:rPr>
        <w:t>®</w:t>
      </w:r>
      <w:r>
        <w:rPr>
          <w:rFonts w:ascii="Arial" w:cs="Arial" w:eastAsia="Arial" w:hAnsi="Arial"/>
          <w:sz w:val="17"/>
          <w:szCs w:val="17"/>
          <w:color w:val="auto"/>
        </w:rPr>
        <w:t>, a faster formulation of insulin aspart, was approved in Europe and Canada. It is currently undergoing regulatory review in the United States. Our future success will depend not only on our ability to develop our product candidates but to improve them and keep pace with emerging industry developments. We cannot assure you that we will be able to do so.</w:t>
      </w:r>
    </w:p>
    <w:p>
      <w:pPr>
        <w:spacing w:after="0" w:line="173"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w:t>
      </w:r>
    </w:p>
    <w:p>
      <w:pPr>
        <w:ind w:right="40"/>
        <w:spacing w:after="0" w:line="253" w:lineRule="auto"/>
        <w:rPr>
          <w:sz w:val="20"/>
          <w:szCs w:val="20"/>
          <w:color w:val="auto"/>
        </w:rPr>
      </w:pPr>
      <w:r>
        <w:rPr>
          <w:rFonts w:ascii="Arial" w:cs="Arial" w:eastAsia="Arial" w:hAnsi="Arial"/>
          <w:sz w:val="18"/>
          <w:szCs w:val="18"/>
          <w:color w:val="auto"/>
        </w:rPr>
        <w:t>—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1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5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170"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4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8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8"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certain drug-device combination products;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80" w:hanging="325"/>
        <w:spacing w:after="0" w:line="30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 there have been judicial and Congressional challenges to other aspects of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May 2017, following the passage of the budget resolution for fiscal year 2017, the U.S. House of Representatives passed legislation known as the American Health Care Act, which, if enacted, would amend or repeal significant portions of the PPACA. We believe the U.S. Senate is unlikely to adopt the American Health Care Act as passed by the U.S. House of Representatives. However, the U.S. Senate could adopt the American Health Care Act as passed by the U.S House of Representatives or other legislation to amend or replace elements of the PPACA. It is uncertain whether the American Health Care Act will become law. We continue to evaluate the potential effect of the possible repeal and replacement of the PPACA may have on our business.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8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0" w:lineRule="exact"/>
        <w:rPr>
          <w:sz w:val="20"/>
          <w:szCs w:val="20"/>
          <w:color w:val="auto"/>
        </w:rPr>
      </w:pPr>
    </w:p>
    <w:p>
      <w:pPr>
        <w:ind w:left="900" w:right="8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3" w:lineRule="exact"/>
        <w:rPr>
          <w:rFonts w:ascii="Arial" w:cs="Arial" w:eastAsia="Arial" w:hAnsi="Arial"/>
          <w:sz w:val="17"/>
          <w:szCs w:val="17"/>
          <w:color w:val="auto"/>
        </w:rPr>
      </w:pPr>
    </w:p>
    <w:p>
      <w:pPr>
        <w:ind w:left="900" w:right="14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83"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2"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18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of $10,000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24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17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The complaints alleged that MannKind and certain of our officers and directors violated Israeli and U.S. securities laws by making materially false and misleading statements regarding the prospects for Afrezza, thereby artificially inflating the price of MannKind’s common stock. The plaintiffs are seeking monetary damages. In November 2016, the court in Israel dismissed one of the actions without prejudice. In the remaining action, the district court will be asked to determine whether Israeli or U.S. law is applicable before the case can be certified as a class action.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26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 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1"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269"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66"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2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19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fines, warning letters or holds on clinical trials;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refusal by the FDA to approve pending applications or supplements to approved applications filed by us or suspension or revocation of approvals;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seizure or detention, or refusal to permit the import or export of our product candidates;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are subject to FDA inspection.</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181"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0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3"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enacted on September 16, 2011, the United States moved to a first inventor to file system. The Leahy-Smith Act also includes a number of significant changes that affect the way patent applications will be prosecuted and may also affect patent litigation. The full effects of these changes are currently unclear.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These and recent decisions of lower courts and guidelines issued by the USPTO call into question the patentability of biological inventions that had previously been considered patentable. While none of this has had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17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warrant exercises, and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Between January 1, 2014 and March 31, 2017, our closing stock price as reported on The NASDAQ Global Market has ranged from $1.48 to $54.80, adjusted for the reverse stock split that occurred during this period; in unadjusted terms, the range over this period was $0.30 to $10.96.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16" w:lineRule="exact"/>
        <w:rPr>
          <w:sz w:val="20"/>
          <w:szCs w:val="20"/>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 commercialize our Technosphere drug delivery platform;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 and</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On September 14, 2016, we received notice from the Listing Qualifications Department of the NASDAQ Stock Market indicating that, for the previous 30 consecutive business days, the bid price for our common stock closed below the minimum $1.00 per share required for continued inclusion on The NASDAQ Global Market. The notification letter stated that we would be afforded 180 calendar days, or until March 13, 2017, to regain compliance with the minimum bid price requirement. In order to regain compliance, on March 1, 2017, our board of directors and stockholders approved the Charter Amendment to effect the Reverse Stock Split. On March 3, 2017, our common stock began trading on The NASDAQ Global Market on a split-adjusted basis at a ratio of 1 share for 5. On March 16, 2017, we received a letter from the Nasdaq Stock Market indicating that we had regained compliance with the $1.00 minimum closing bid price requirement. Despite effecting the Reverse Stock Split, there can be no assurance that the market price per share of our common stock will remain in excess of the $1.00 minimum closing bid price requirement in the future. The continuing effect of the Reverse Stock Split on the market price of our common stock cannot be predicted with any certainty, and the history of similar stock split combinations for companies in like circumstances is varied.</w:t>
      </w:r>
    </w:p>
    <w:p>
      <w:pPr>
        <w:spacing w:after="0" w:line="1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17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of May 5, 2017, we had 101,006,255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2019 notes, Tranche B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have a limited number of unreserved shares available for future issuance, which may impair our ability to conduct future financing and other transactions.*</w:t>
      </w:r>
    </w:p>
    <w:p>
      <w:pPr>
        <w:spacing w:after="0" w:line="17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amended and restated certificate of incorporation, as amended on March 1, 2017 to effect the Reverse Stock Split, currently authorizes us to issue up to 140,000,000 shares of common stock and 10,000,000 shares of preferred stock. As of May 5, 2017, we had a total of 101,006,255 shares of common stock that were authorized but unissued, and we have currently reserved a significant number of these shares for future issuance pursuant to outstanding equity awards, outstanding warrants,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7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 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4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gridSpan w:val="3"/>
          </w:tcPr>
          <w:p>
            <w:pPr>
              <w:ind w:left="18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None.</w:t>
            </w:r>
          </w:p>
        </w:tc>
        <w:tc>
          <w:tcPr>
            <w:tcW w:w="4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1"/>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5"/>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3"/>
          </w:tcPr>
          <w:p>
            <w:pPr>
              <w:ind w:left="46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MannKind’s Quarterly Report on Form 10-Q</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(File No. 000-50865), filed with the SEC on August 9,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4"/>
              </w:rPr>
              <w:t>Certificate of Amendment of Amended and Restated Certificate of lncorporation of MannKind Corporation (incorporated by reference to</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Exhibit 3.1 to MannKind’s Current Report on Form 8-K (File No. 000-50865), filed with the SEC on March 2,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2"/>
              </w:rPr>
              <w:t>Amended and Restated Bylaws (incorporated by reference to MannKind’s Current Report on Form 8-K (File No. 000-50865), filed with the</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SEC on November 19, 2007).</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Reference is made to Exhibits 3.1, 3.2 and 3.3.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6"/>
              </w:rPr>
              <w:t>Form of common stock certificate (incorporated by reference to Exhibit 4.2 to MannKind’s Annual Report on Form 10-K (File No. 000-</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50865), filed with the SEC on March 16,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1"/>
              </w:rPr>
              <w:t>Form of 9.75% Senior Secured Convertible Promissory Note due 2019 (incorporated by reference to MannKind’s current report on Form 8-K</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Form of Amended and Restated 9.75% Senior Secured Convertible Promissory Note due 2019 (incorporated by reference to MannKind’s</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(File No. 000-50865),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2"/>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(File No. 000-50856),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5"/>
              </w:rPr>
              <w:t>Milestone Rights Purchase Agreement, dated as of July 1, 2013, by and among MannKind, Deerfield Private Design Fund II, L.P. and</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5"/>
              </w:rPr>
              <w:t>Horizon Santé FLML SÁRL (incorporated by reference to MannKind’s Current Report on Form 8-K (File No. 000-50865), filed with the</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4"/>
              </w:rPr>
              <w:t>Guaranty and Security Agreement, dated as of July 1, 2013, by and among MannKind, MannKind LLC, Deerfield Private Design Fund II,</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6"/>
              </w:rPr>
              <w:t>L.P., Deerfield Private Design International II, L.P. and Horizon Santé FLML SÁRL (incorporated by reference to MannKind’s Current</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Report on Form 8-K (File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4"/>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Private Design International II, L.P. (incorporated by reference to MannKind’s Current Report on Form 8-K (File No. 000-50865), filed with</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4"/>
                <w:szCs w:val="24"/>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5"/>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Deerfield Private Design Fund II, L.P. and Deerfield Private Design International II, L.P. (incorporated by reference to MannKind’s Annual</w:t>
            </w: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Report on Form 10-K (File No. 000-50865), filed with the SEC on March 3, 2014).</w:t>
            </w:r>
          </w:p>
        </w:tc>
      </w:tr>
      <w:tr>
        <w:trPr>
          <w:trHeight w:val="365"/>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0" w:type="dxa"/>
            <w:vAlign w:val="bottom"/>
            <w:gridSpan w:val="2"/>
          </w:tcPr>
          <w:p>
            <w:pPr>
              <w:ind w:left="4760"/>
              <w:spacing w:after="0"/>
              <w:rPr>
                <w:sz w:val="20"/>
                <w:szCs w:val="20"/>
                <w:color w:val="auto"/>
              </w:rPr>
            </w:pPr>
            <w:r>
              <w:rPr>
                <w:rFonts w:ascii="Arial" w:cs="Arial" w:eastAsia="Arial" w:hAnsi="Arial"/>
                <w:sz w:val="18"/>
                <w:szCs w:val="18"/>
                <w:color w:val="auto"/>
              </w:rPr>
              <w:t>55</w:t>
            </w:r>
          </w:p>
        </w:tc>
        <w:tc>
          <w:tcPr>
            <w:tcW w:w="4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Second Amendment to Facility Agreement and Registration Rights Agreement, dated as of August 11, 2014, by and among MannKind,</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8"/>
              </w:rPr>
              <w:t>Deerfield Private Design Fund II, L.P. and Deerfield Private Design International II, L.P. (incorporated by reference to Exhibit 4.14 to</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MannKind’s Quarterly Report on Form 10-Q (File No. 000-50865), filed with the SEC on November 10,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Indenture, by and between MannKind and U.S. Bank (as successor trustee to Wells Fargo, N.A., dated August 10, 2015 (incorporated by</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reference to Exhibit 4.18 to MannKind’s Quarterly Report on Form 10-Q (File No. 000-50865), filed with the SEC on August 10,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Form of 5.75% Convertible Senior Subordinated Exchange Note due 2018 (included in Exhibit 4.18 as Exhibit A thereto) (incorporated by</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reference to Exhibit 4.19 to MannKind’s Quarterly Report on Form 10-Q (File No. 000-50865), filed with the SEC on August 10, 2015).</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Form of Warrant to Purchase Common Stock issued November 16, 2015 (incorporated by reference to Exhibit 4.17 to MannKind’s Annual</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Report on Form 10-K (File No. 000-50865), filed with the SEC on March 15,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Form of Series A Common Stock Purchase Warrant (incorporated by reference to Exhibit 4.1 to MannKind’s Current Report on Form 8-K (File</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No. 000-50865), filed with the SEC on May 10,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Form of Series B Common Stock Purchase Warrant (incorporated by reference to Exhibit 4.2 to MannKind’s Current Report on Form 8-K (File</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No. 000-50865), filed with the SEC on May 10,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Form of Securities Purchase Agreement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50865), filed with the SEC on May 10, 2016).</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Agreement of Purchase and Sale and Joint Escrow Instructions, dated January 6, 2017, by and between MannKind and Rexford Industrial</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Realty, L.P. (incorporated by reference to Exhibit 99.1 to MannKind’s Current Report on Form 8-K (File No. 000-50865), filed with the SEC</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on January 12,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First, Second and Third Amendments to Agreement of Purchase and Sale and Joint Escrow Instructions, dated February 7, 2017, February 10,</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2017 and February 15, 2017, respectively, by and between MannKind and Rexford Industrial Realty, L.P. (incorporated by reference to Exhibit</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10.35 to MannKind’s Annual Report on Form 10-K (File No. 000-50865), filed with the SEC on March 16,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Form of Change of Control Agreement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50865), filed with the SEC on April 7, 2017).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Exchange Agreement, dated April 18, 2017, by and among MannKind Corporation, MannKind LLC, Deerfield Private Design Fund II, L.P.</w:t>
            </w: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and Deerfield Private Design International II, L.P. (incorporated by reference to Exhibit 99.1 to MannKind’s Current Report on Form 8-K (File</w:t>
            </w: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No. 000-50865), filed with the SEC on April 19, 2017).</w:t>
            </w:r>
          </w:p>
        </w:tc>
      </w:tr>
    </w:tbl>
    <w:p>
      <w:pPr>
        <w:spacing w:after="0" w:line="94" w:lineRule="exact"/>
        <w:rPr>
          <w:sz w:val="20"/>
          <w:szCs w:val="20"/>
          <w:color w:val="auto"/>
        </w:rPr>
      </w:pPr>
    </w:p>
    <w:p>
      <w:pPr>
        <w:ind w:left="1080" w:right="100" w:hanging="107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of the Chief Executive Officer and Chief Financial Officer pursuant to Rules 13a-14(a) and 15d-14(a) of the Securities Exchange Act of 1934, as amended.</w:t>
      </w:r>
    </w:p>
    <w:p>
      <w:pPr>
        <w:spacing w:after="0" w:line="62" w:lineRule="exact"/>
        <w:rPr>
          <w:rFonts w:ascii="Arial" w:cs="Arial" w:eastAsia="Arial" w:hAnsi="Arial"/>
          <w:sz w:val="18"/>
          <w:szCs w:val="18"/>
          <w:color w:val="auto"/>
        </w:rPr>
      </w:pPr>
    </w:p>
    <w:p>
      <w:pPr>
        <w:ind w:left="1080" w:hanging="1072"/>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ind w:right="5860" w:firstLine="8"/>
        <w:spacing w:after="0" w:line="472" w:lineRule="auto"/>
        <w:tabs>
          <w:tab w:leader="none" w:pos="1067"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 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May 10, 2017</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on behalf of the registrant and as the registrant’s Principal Financial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20"/>
          </w:cols>
          <w:pgMar w:left="24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2017 of MannKind Corporation;</w:t>
      </w:r>
    </w:p>
    <w:p>
      <w:pPr>
        <w:spacing w:after="0" w:line="117" w:lineRule="exact"/>
        <w:rPr>
          <w:rFonts w:ascii="Arial" w:cs="Arial" w:eastAsia="Arial" w:hAnsi="Arial"/>
          <w:sz w:val="18"/>
          <w:szCs w:val="18"/>
          <w:color w:val="auto"/>
        </w:rPr>
      </w:pPr>
    </w:p>
    <w:p>
      <w:pPr>
        <w:ind w:right="40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38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460" w:right="40" w:firstLine="443"/>
        <w:spacing w:after="0" w:line="264" w:lineRule="auto"/>
        <w:tabs>
          <w:tab w:leader="none" w:pos="11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00" w:firstLine="443"/>
        <w:spacing w:after="0" w:line="264" w:lineRule="auto"/>
        <w:tabs>
          <w:tab w:leader="none" w:pos="11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4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firstLine="443"/>
        <w:spacing w:after="0" w:line="264" w:lineRule="auto"/>
        <w:tabs>
          <w:tab w:leader="none" w:pos="11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43"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420" w:firstLine="443"/>
        <w:spacing w:after="0" w:line="277" w:lineRule="auto"/>
        <w:tabs>
          <w:tab w:leader="none" w:pos="115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380"/>
          </w:cols>
          <w:pgMar w:left="240" w:top="121"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2017,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Matthew J. Pfeffer, Chief Executive Officer and Chief Financial Officer of MannKind Corporation (the “Company”), hereby certifies that, to the best of his knowledge:</w:t>
      </w:r>
    </w:p>
    <w:p>
      <w:pPr>
        <w:spacing w:after="0" w:line="80"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set his hand hereto as of the 10th day of May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80" w:right="60" w:hanging="572"/>
        <w:spacing w:after="0" w:line="312" w:lineRule="auto"/>
        <w:tabs>
          <w:tab w:leader="none" w:pos="580" w:val="left"/>
        </w:tabs>
        <w:numPr>
          <w:ilvl w:val="0"/>
          <w:numId w:val="25"/>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emdash "/>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31"/>
    </w:lvl>
  </w:abstractNum>
  <w:abstractNum w:abstractNumId="21">
    <w:nsid w:val="6763845E"/>
    <w:multiLevelType w:val="hybridMultilevel"/>
    <w:lvl w:ilvl="0">
      <w:lvlJc w:val="left"/>
      <w:lvlText w:val="%1"/>
      <w:numFmt w:val="decimal"/>
      <w:start w:val="10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2019-12-29T05:25:11Z</dcterms:created>
  <dcterms:modified xsi:type="dcterms:W3CDTF">2019-12-29T05:25:11Z</dcterms:modified>
</cp:coreProperties>
</file>