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2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346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53"/>
        </w:trPr>
        <w:tc>
          <w:tcPr>
            <w:tcW w:w="4420" w:type="dxa"/>
            <w:vAlign w:val="bottom"/>
            <w:gridSpan w:val="4"/>
          </w:tcPr>
          <w:p>
            <w:pPr>
              <w:ind w:left="860"/>
              <w:spacing w:after="0"/>
              <w:rPr>
                <w:sz w:val="20"/>
                <w:szCs w:val="20"/>
                <w:color w:val="auto"/>
              </w:rPr>
            </w:pPr>
            <w:r>
              <w:rPr>
                <w:rFonts w:ascii="Arial" w:cs="Arial" w:eastAsia="Arial" w:hAnsi="Arial"/>
                <w:sz w:val="18"/>
                <w:szCs w:val="18"/>
                <w:b w:val="1"/>
                <w:bCs w:val="1"/>
                <w:color w:val="auto"/>
              </w:rPr>
              <w:t>Commission file number: 000-50865</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40" w:type="dxa"/>
            <w:vAlign w:val="bottom"/>
          </w:tcPr>
          <w:p>
            <w:pPr>
              <w:jc w:val="right"/>
              <w:ind w:right="60"/>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0"/>
              </w:rPr>
              <w:t>28903 North Avenue Paine</w:t>
            </w:r>
          </w:p>
        </w:tc>
        <w:tc>
          <w:tcPr>
            <w:tcW w:w="5140" w:type="dxa"/>
            <w:vAlign w:val="bottom"/>
          </w:tcPr>
          <w:p>
            <w:pPr>
              <w:spacing w:after="0"/>
              <w:rPr>
                <w:sz w:val="24"/>
                <w:szCs w:val="24"/>
                <w:color w:val="auto"/>
              </w:rPr>
            </w:pPr>
          </w:p>
        </w:tc>
      </w:tr>
      <w:tr>
        <w:trPr>
          <w:trHeight w:val="225"/>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2"/>
              </w:rPr>
              <w:t>Valencia, California</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91355</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380" w:type="dxa"/>
            <w:vAlign w:val="bottom"/>
          </w:tcPr>
          <w:p>
            <w:pPr>
              <w:spacing w:after="0"/>
              <w:rPr>
                <w:sz w:val="24"/>
                <w:szCs w:val="24"/>
                <w:color w:val="auto"/>
              </w:rPr>
            </w:pPr>
          </w:p>
        </w:tc>
        <w:tc>
          <w:tcPr>
            <w:tcW w:w="5140" w:type="dxa"/>
            <w:vAlign w:val="bottom"/>
          </w:tcPr>
          <w:p>
            <w:pPr>
              <w:jc w:val="right"/>
              <w:ind w:right="2860"/>
              <w:spacing w:after="0"/>
              <w:rPr>
                <w:sz w:val="20"/>
                <w:szCs w:val="20"/>
                <w:color w:val="auto"/>
              </w:rPr>
            </w:pPr>
            <w:r>
              <w:rPr>
                <w:rFonts w:ascii="Arial" w:cs="Arial" w:eastAsia="Arial" w:hAnsi="Arial"/>
                <w:sz w:val="18"/>
                <w:szCs w:val="18"/>
                <w:b w:val="1"/>
                <w:bCs w:val="1"/>
                <w:color w:val="auto"/>
              </w:rPr>
              <w:t>(661) 775-5300</w:t>
            </w:r>
          </w:p>
        </w:tc>
      </w:tr>
      <w:tr>
        <w:trPr>
          <w:trHeight w:val="186"/>
        </w:trPr>
        <w:tc>
          <w:tcPr>
            <w:tcW w:w="2380" w:type="dxa"/>
            <w:vAlign w:val="bottom"/>
          </w:tcPr>
          <w:p>
            <w:pPr>
              <w:spacing w:after="0"/>
              <w:rPr>
                <w:sz w:val="16"/>
                <w:szCs w:val="16"/>
                <w:color w:val="auto"/>
              </w:rPr>
            </w:pPr>
          </w:p>
        </w:tc>
        <w:tc>
          <w:tcPr>
            <w:tcW w:w="5140" w:type="dxa"/>
            <w:vAlign w:val="bottom"/>
          </w:tcPr>
          <w:p>
            <w:pPr>
              <w:jc w:val="center"/>
              <w:ind w:right="1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380"/>
          </w:cols>
          <w:pgMar w:left="240" w:top="230" w:right="279" w:bottom="1440" w:gutter="0" w:footer="0" w:header="0"/>
        </w:sectPr>
      </w:pPr>
    </w:p>
    <w:bookmarkStart w:id="1" w:name="page2"/>
    <w:bookmarkEnd w:id="1"/>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125"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0"/>
          <w:szCs w:val="20"/>
          <w:color w:val="auto"/>
        </w:rPr>
      </w:pPr>
    </w:p>
    <w:p>
      <w:pPr>
        <w:sectPr>
          <w:pgSz w:w="11900" w:h="16838" w:orient="portrait"/>
          <w:cols w:equalWidth="0" w:num="4">
            <w:col w:w="7420" w:space="180"/>
            <w:col w:w="260" w:space="80"/>
            <w:col w:w="160" w:space="180"/>
            <w:col w:w="314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As of May 4, 2015, there were 409,576,765 shares of the registrant’s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MANNKIND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gridSpan w:val="10"/>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8120" w:type="dxa"/>
            <w:vAlign w:val="bottom"/>
            <w:gridSpan w:val="10"/>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2900" w:type="dxa"/>
            <w:vAlign w:val="bottom"/>
            <w:tcBorders>
              <w:bottom w:val="single" w:sz="8" w:color="0000EE"/>
            </w:tcBorders>
            <w:gridSpan w:val="10"/>
            <w:vMerge w:val="continue"/>
          </w:tcPr>
          <w:p>
            <w:pPr>
              <w:spacing w:after="0"/>
              <w:rPr>
                <w:sz w:val="13"/>
                <w:szCs w:val="13"/>
                <w:color w:val="auto"/>
              </w:rPr>
            </w:pPr>
          </w:p>
        </w:tc>
        <w:tc>
          <w:tcPr>
            <w:tcW w:w="8120" w:type="dxa"/>
            <w:vAlign w:val="bottom"/>
            <w:gridSpan w:val="10"/>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March 31, 2015 and December 31, 2014</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Three months ended March 31, 2015 and 2014</w:t>
              </w:r>
            </w:hyperlink>
          </w:p>
        </w:tc>
        <w:tc>
          <w:tcPr>
            <w:tcW w:w="388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Three months ended March 31, 2015 and 2014</w:t>
              </w:r>
            </w:hyperlink>
          </w:p>
        </w:tc>
        <w:tc>
          <w:tcPr>
            <w:tcW w:w="31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Three months ended March 31, 2015 and 2014</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1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38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400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4. Controls and Procedures</w:t>
              </w:r>
            </w:hyperlink>
          </w:p>
        </w:tc>
        <w:tc>
          <w:tcPr>
            <w:tcW w:w="866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PART II: OTHER INFORMATION</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17"/>
                <w:szCs w:val="17"/>
                <w:color w:val="auto"/>
              </w:rPr>
            </w:pPr>
          </w:p>
        </w:tc>
        <w:tc>
          <w:tcPr>
            <w:tcW w:w="844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Item 1A. Risk Factors</w:t>
              </w:r>
            </w:hyperlink>
          </w:p>
        </w:tc>
        <w:tc>
          <w:tcPr>
            <w:tcW w:w="942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Item 2. Unregistered Sales of Equity Securities and Use of Proceeds</w:t>
              </w:r>
            </w:hyperlink>
          </w:p>
        </w:tc>
        <w:tc>
          <w:tcPr>
            <w:tcW w:w="610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3. Defaults Upon Senior Securities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3"/>
          </w:tcPr>
          <w:p>
            <w:pPr>
              <w:spacing w:after="0"/>
              <w:rPr>
                <w:sz w:val="17"/>
                <w:szCs w:val="17"/>
                <w:color w:val="auto"/>
              </w:rPr>
            </w:pPr>
          </w:p>
        </w:tc>
        <w:tc>
          <w:tcPr>
            <w:tcW w:w="814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Item 5. Other Information</w:t>
              </w:r>
            </w:hyperlink>
          </w:p>
        </w:tc>
        <w:tc>
          <w:tcPr>
            <w:tcW w:w="914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6. 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2"/>
          </w:tcPr>
          <w:p>
            <w:pPr>
              <w:spacing w:after="0" w:line="196" w:lineRule="exact"/>
              <w:rPr>
                <w:rFonts w:ascii="Arial" w:cs="Arial" w:eastAsia="Arial" w:hAnsi="Arial"/>
                <w:sz w:val="18"/>
                <w:szCs w:val="18"/>
                <w:color w:val="0000EE"/>
                <w:w w:val="97"/>
              </w:rPr>
            </w:pPr>
            <w:hyperlink w:anchor="page44">
              <w:r>
                <w:rPr>
                  <w:rFonts w:ascii="Arial" w:cs="Arial" w:eastAsia="Arial" w:hAnsi="Arial"/>
                  <w:sz w:val="18"/>
                  <w:szCs w:val="18"/>
                  <w:color w:val="0000EE"/>
                  <w:w w:val="97"/>
                </w:rPr>
                <w:t>SIGNATURES</w:t>
              </w:r>
            </w:hyperlink>
          </w:p>
        </w:tc>
        <w:tc>
          <w:tcPr>
            <w:tcW w:w="9860" w:type="dxa"/>
            <w:vAlign w:val="bottom"/>
            <w:gridSpan w:val="1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4840" w:type="dxa"/>
            <w:vAlign w:val="bottom"/>
            <w:gridSpan w:val="14"/>
          </w:tcPr>
          <w:p>
            <w:pPr>
              <w:jc w:val="right"/>
              <w:ind w:right="180"/>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March 31, 2015</w:t>
            </w:r>
          </w:p>
        </w:tc>
        <w:tc>
          <w:tcPr>
            <w:tcW w:w="34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2014</w:t>
            </w:r>
          </w:p>
        </w:tc>
        <w:tc>
          <w:tcPr>
            <w:tcW w:w="0" w:type="dxa"/>
            <w:vAlign w:val="bottom"/>
          </w:tcPr>
          <w:p>
            <w:pPr>
              <w:spacing w:after="0"/>
              <w:rPr>
                <w:sz w:val="1"/>
                <w:szCs w:val="1"/>
                <w:color w:val="auto"/>
              </w:rPr>
            </w:pPr>
          </w:p>
        </w:tc>
      </w:tr>
      <w:tr>
        <w:trPr>
          <w:trHeight w:val="196"/>
        </w:trPr>
        <w:tc>
          <w:tcPr>
            <w:tcW w:w="8480" w:type="dxa"/>
            <w:vAlign w:val="bottom"/>
            <w:tcBorders>
              <w:top w:val="single" w:sz="8" w:color="CCEEFF"/>
            </w:tcBorders>
            <w:shd w:val="clear" w:color="auto" w:fill="CCEEFF"/>
          </w:tcPr>
          <w:p>
            <w:pPr>
              <w:ind w:left="360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120,844</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120,841</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Receivables from collaboration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4,282</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50,436</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16,789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9,670</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158,290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201,153</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193,454</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192,127</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Deferred products costs from collaboration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6,251</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360,022</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394,439</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1520"/>
              <w:spacing w:after="0"/>
              <w:rPr>
                <w:sz w:val="20"/>
                <w:szCs w:val="20"/>
                <w:color w:val="auto"/>
              </w:rPr>
            </w:pPr>
            <w:r>
              <w:rPr>
                <w:rFonts w:ascii="Arial" w:cs="Arial" w:eastAsia="Arial" w:hAnsi="Arial"/>
                <w:sz w:val="18"/>
                <w:szCs w:val="18"/>
                <w:b w:val="1"/>
                <w:bCs w:val="1"/>
                <w:color w:val="auto"/>
              </w:rPr>
              <w:t>LIABILITIES AND STOCKHOLDERS’ EQUITY (DEFICIT)</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3,302</w:t>
            </w:r>
          </w:p>
        </w:tc>
        <w:tc>
          <w:tcPr>
            <w:tcW w:w="360" w:type="dxa"/>
            <w:vAlign w:val="bottom"/>
          </w:tcPr>
          <w:p>
            <w:pPr>
              <w:spacing w:after="0"/>
              <w:rPr>
                <w:sz w:val="18"/>
                <w:szCs w:val="18"/>
                <w:color w:val="auto"/>
              </w:rPr>
            </w:pPr>
          </w:p>
        </w:tc>
        <w:tc>
          <w:tcPr>
            <w:tcW w:w="5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7,394</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12,381</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26,206</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Facility financing obligation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73,368</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72,995</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Senior convertible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99,593</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99,355</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Deferred product sales from collaboration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7,050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payments from collaboration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185,059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197,403</w:t>
            </w:r>
          </w:p>
        </w:tc>
        <w:tc>
          <w:tcPr>
            <w:tcW w:w="0" w:type="dxa"/>
            <w:vAlign w:val="bottom"/>
          </w:tcPr>
          <w:p>
            <w:pPr>
              <w:spacing w:after="0"/>
              <w:rPr>
                <w:sz w:val="1"/>
                <w:szCs w:val="1"/>
                <w:color w:val="auto"/>
              </w:rPr>
            </w:pPr>
          </w:p>
        </w:tc>
      </w:tr>
      <w:tr>
        <w:trPr>
          <w:trHeight w:val="223"/>
        </w:trPr>
        <w:tc>
          <w:tcPr>
            <w:tcW w:w="84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380,753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principal stockholder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49,521</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49,521</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457,053</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468,209</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Undesignated preferred stock, $0.01 par value — 10,000,000 shares authorized; no shares issued or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180"/>
              <w:spacing w:after="0"/>
              <w:rPr>
                <w:sz w:val="20"/>
                <w:szCs w:val="20"/>
                <w:color w:val="auto"/>
              </w:rPr>
            </w:pPr>
            <w:r>
              <w:rPr>
                <w:rFonts w:ascii="Arial" w:cs="Arial" w:eastAsia="Arial" w:hAnsi="Arial"/>
                <w:sz w:val="18"/>
                <w:szCs w:val="18"/>
                <w:color w:val="auto"/>
              </w:rPr>
              <w:t>outstanding at March 31, 2015 and December 31, 2014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 550,000,000 shares authorized at March 31, 2015 and December 31,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2014; 409,116,346 and 406,059,089 shares issued and outstanding at March 31, 2015 and December 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2014, respectively</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4,090</w:t>
            </w: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2,424,347</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2,416,967</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w w:val="93"/>
              </w:rPr>
              <w:t>(2,525,447)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(2,494,784)</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(97,031)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(73,770)</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360,022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Three months ended</w:t>
      </w:r>
    </w:p>
    <w:p>
      <w:pPr>
        <w:jc w:val="center"/>
        <w:ind w:left="95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10,479</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manufacturing</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6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21,738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(21,738)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(41,411)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Other income (expense)</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Interest expense on notes</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(9,622)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Loss before benefit for income taxes</w:t>
            </w:r>
          </w:p>
        </w:tc>
        <w:tc>
          <w:tcPr>
            <w:tcW w:w="2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(30,658)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(52,056)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(30,658</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(52,056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2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2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398,916</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368,784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Three months ended</w:t>
      </w:r>
    </w:p>
    <w:p>
      <w:pPr>
        <w:jc w:val="center"/>
        <w:ind w:left="9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$(30,658)</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83"/>
              </w:rPr>
              <w:t>$(52,056)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translation (loss) gain</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Unrealized gain (loss) on investments: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Unrealized holding gain (loss) during the period</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Less: reclassification adjustment for gains (losses) included in net loss</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(loss) gain on investments</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Other comprehensive loss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(30,665)</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(52,056)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w:t>
      </w:r>
    </w:p>
    <w:p>
      <w:pPr>
        <w:jc w:val="center"/>
        <w:ind w:left="95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94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loss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(30,658)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$(52,056)</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Depreciation and accretion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2,988</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9,394</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10,937</w:t>
            </w:r>
          </w:p>
        </w:tc>
      </w:tr>
      <w:tr>
        <w:trPr>
          <w:trHeight w:val="216"/>
        </w:trPr>
        <w:tc>
          <w:tcPr>
            <w:tcW w:w="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Other, net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assets and liabilities: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060"/>
              <w:spacing w:after="0"/>
              <w:rPr>
                <w:sz w:val="20"/>
                <w:szCs w:val="20"/>
                <w:color w:val="auto"/>
              </w:rPr>
            </w:pPr>
            <w:r>
              <w:rPr>
                <w:rFonts w:ascii="Arial" w:cs="Arial" w:eastAsia="Arial" w:hAnsi="Arial"/>
                <w:sz w:val="18"/>
                <w:szCs w:val="18"/>
                <w:color w:val="auto"/>
              </w:rPr>
              <w:t>Inventory</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(7,119)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Receivables from Collaboration</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46,154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40" w:type="dxa"/>
            <w:vAlign w:val="bottom"/>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3,831</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1,845</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product costs from collaboration</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(6,251)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4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(872)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(1,038)</w:t>
            </w:r>
          </w:p>
        </w:tc>
      </w:tr>
      <w:tr>
        <w:trPr>
          <w:trHeight w:val="216"/>
        </w:trPr>
        <w:tc>
          <w:tcPr>
            <w:tcW w:w="20" w:type="dxa"/>
            <w:vAlign w:val="bottom"/>
          </w:tcPr>
          <w:p>
            <w:pPr>
              <w:spacing w:after="0"/>
              <w:rPr>
                <w:sz w:val="18"/>
                <w:szCs w:val="18"/>
                <w:color w:val="auto"/>
              </w:rPr>
            </w:pPr>
          </w:p>
        </w:tc>
        <w:tc>
          <w:tcPr>
            <w:tcW w:w="7940" w:type="dxa"/>
            <w:vAlign w:val="bottom"/>
          </w:tcPr>
          <w:p>
            <w:pPr>
              <w:ind w:left="1060"/>
              <w:spacing w:after="0"/>
              <w:rPr>
                <w:sz w:val="20"/>
                <w:szCs w:val="20"/>
                <w:color w:val="auto"/>
              </w:rPr>
            </w:pPr>
            <w:r>
              <w:rPr>
                <w:rFonts w:ascii="Arial" w:cs="Arial" w:eastAsia="Arial" w:hAnsi="Arial"/>
                <w:sz w:val="18"/>
                <w:szCs w:val="18"/>
                <w:color w:val="auto"/>
              </w:rPr>
              <w:t>Accrued expenses and other current liabilities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(10,660)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(6,704)</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product sales from collaboration</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40" w:type="dxa"/>
            <w:vAlign w:val="bottom"/>
          </w:tcPr>
          <w:p>
            <w:pPr>
              <w:ind w:left="1060"/>
              <w:spacing w:after="0"/>
              <w:rPr>
                <w:sz w:val="20"/>
                <w:szCs w:val="20"/>
                <w:color w:val="auto"/>
              </w:rPr>
            </w:pPr>
            <w:r>
              <w:rPr>
                <w:rFonts w:ascii="Arial" w:cs="Arial" w:eastAsia="Arial" w:hAnsi="Arial"/>
                <w:sz w:val="18"/>
                <w:szCs w:val="18"/>
                <w:color w:val="auto"/>
              </w:rPr>
              <w:t>Other liabilities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743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714</w:t>
            </w: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(used in) operating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(36,990)</w:t>
            </w: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(1,409)</w:t>
            </w:r>
          </w:p>
        </w:tc>
      </w:tr>
      <w:tr>
        <w:trPr>
          <w:trHeight w:val="230"/>
        </w:trPr>
        <w:tc>
          <w:tcPr>
            <w:tcW w:w="20" w:type="dxa"/>
            <w:vAlign w:val="bottom"/>
          </w:tcPr>
          <w:p>
            <w:pPr>
              <w:spacing w:after="0"/>
              <w:rPr>
                <w:sz w:val="20"/>
                <w:szCs w:val="20"/>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(4,203)</w:t>
            </w:r>
          </w:p>
        </w:tc>
        <w:tc>
          <w:tcPr>
            <w:tcW w:w="3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Issuance of common stock and warrants, net of issuance costs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6,168</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3,401</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Milestone payment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(762)</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3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00" w:type="dxa"/>
            <w:vAlign w:val="bottom"/>
            <w:shd w:val="clear" w:color="auto" w:fill="CCEEFF"/>
          </w:tcPr>
          <w:p>
            <w:pPr>
              <w:spacing w:after="0"/>
              <w:rPr>
                <w:sz w:val="18"/>
                <w:szCs w:val="18"/>
                <w:color w:val="auto"/>
              </w:rPr>
            </w:pP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3"/>
              </w:rPr>
              <w:t>$(35,031)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120,841</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70,790</w:t>
            </w: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120,844</w:t>
            </w: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$ 35,759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FLOWS DISCLOSURES: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Interest paid in cash, net of amounts capitalized</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4,749</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4,678</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for notes receivable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86,000</w:t>
            </w: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Non-cash construction in progress and property and equipment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1,094</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1,700</w:t>
            </w: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Tranche B Commitment Asset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MANNKIND CORPORATION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2014 filed with the SEC on March 2, 2015 (the “Annual Report”).</w:t>
      </w:r>
    </w:p>
    <w:p>
      <w:pPr>
        <w:spacing w:after="0" w:line="16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months ended March 31, 2015 may not be indicative of the results that may be expected for the full year.</w:t>
      </w:r>
    </w:p>
    <w:p>
      <w:pPr>
        <w:spacing w:after="0" w:line="18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financial statements and accompanying notes. Actual results could differ from those estimates or assumptions. The more significant estimates reflected in these accompanying financial statements involve assessing long-lived assets and deferred product costs for impairment, accrued expenses, valuation of stock-based compensation and the determination of the provision for income taxes and corresponding deferred tax assets and liabilities and any valuation allowance recorded against net deferred tax assets.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w:t>
      </w:r>
    </w:p>
    <w:p>
      <w:pPr>
        <w:spacing w:after="0" w:line="167"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Business — </w:t>
      </w:r>
      <w:r>
        <w:rPr>
          <w:rFonts w:ascii="Arial" w:cs="Arial" w:eastAsia="Arial" w:hAnsi="Arial"/>
          <w:sz w:val="16"/>
          <w:szCs w:val="16"/>
          <w:color w:val="auto"/>
        </w:rPr>
        <w:t>MannKind is a biopharmaceutical company focused on the discovery and development of therapeutic products for diseases such as diabetes.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only approved product, AFREZZA (insulin human [rDNA origin]) inhalation powder, is a rapid-acting inhaled insulin that was approved by the U.S. Food and Drug Administration (the “FDA”) on June 27, 2014 to improve glycemic control in adult patients with diabetes. In August 2014, we entered into a license and collaboration agreement (the “Sanofi License Agreement”) with Sanofi-Aventis Deutschland GmbH (which subsequently assigned its rights and obligations under the agreement to Sanofi-Aventis U.S. LLC (“Sanofi”)), pursuant to which Sanofi conducts all sales and marketing activities related to AFREZZA (see Note 7 – Collaboration arrangement). AFREZZA became available by prescription in United States retail pharmacies in February 2015.</w:t>
      </w:r>
    </w:p>
    <w:p>
      <w:pPr>
        <w:spacing w:after="0" w:line="16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 The Company’s primary activities since incorporation have been establishing its facilities, recruiting personnel, conducting research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development, business development, business and financial planning, and raising capital. It is costly to develop therapeutic products and conduct associated clinical studies. As of March 31, 2015, the Company had an accumulated deficit of $2.5 billion and a stockholders’ deficit of $97.0 million. Historically the Company has reported negative cash flow from operations other than for the nine months ended September 30, 2014 and for the three months ended March 31, 2015, as a result of receipt of the upfront payment and milestone payments under the Sanofi License Agreement.</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At March 31, 2015, the Company’s capital resources consisted of cash and cash equivalents of $120.8 million. The Company expects to continue to incur significant expenditures to support commercial manufacturing of AFREZZA and the development of other product candidates. In addition, the Company had $232.5 million principal amount of outstanding debt as of March 31, 2015, including $100.0 million principal amount of outstanding 5.75% Senior Convertible Notes due 2015 (the “2015 notes”), which have a maturity date of August 15, 2015. See Note 5 – Related-party arrangements, Note 6 – Senior convertible notes, Note 7 – Collaboration arrangement—Sanofi Loan Facility, and Note 14 – Facility Agreement. In addition, the Company’s facility agreement (the “Facility Agreement”) with Deerfield Private Design Fund II, L.P. and Deerfield Private Design International II, L.P. (collectively, “Deerfield”) (see Note 14 – Facility Agreement) contains a financial covenant that requires the Company’s cash and cash equivalents, which include available borrowings under the Company’s loan arrangement (the “Loan Arrangement”) with The Mann Group LLC (“The Mann Group”), on the last day of each fiscal quarter to not be less than $25.0 million. Should the holders of the notes not elect to convert such notes into the Company’s common stock prior to their due date, the Company intends to refinance the 2015 notes or raise additional funds to settle the 2015 notes. The Company cannot be certain that it will achieve its projected cashflows or be able to refinance the 2015 notes, which raises substantial doubt about the Company’s ability to continue as a going concern. The financial statements do not include any adjustments that might result from the outcome of these uncertainties.</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11, 2014, the Company executed a license and collaboration agreement (the “Sanofi License Agreement”) and a supply agreement (the “Sanofi Supply Agreement”) with Sanofi-Aventis Deutschland GmbH (which subsequently assigned its rights and obligations under the agreement to Sanofi-Aventis U.S. LLC (“Sanofi”)), pursuant to which Sanofi is responsible for global commercial, regulatory and development activities for AFREZZA. The Sanofi License Agreement became effective on September 23, 2014. The Company manufactures AFREZZA at its manufacturing facility in Danbury, Connecticut to supply Sanofi’s demand for the product. In addition, the Company and Sanofi are planning to collaborate to expand manufacturing capacity to meet global demand as necessary.</w:t>
      </w:r>
    </w:p>
    <w:p>
      <w:pPr>
        <w:sectPr>
          <w:pgSz w:w="11900" w:h="16838" w:orient="portrait"/>
          <w:cols w:equalWidth="0" w:num="1">
            <w:col w:w="11400"/>
          </w:cols>
          <w:pgMar w:left="240" w:top="459" w:right="259" w:bottom="1440" w:gutter="0" w:footer="0" w:header="0"/>
        </w:sectPr>
      </w:pP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459" w:right="2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Under the Sanofi License Agreement, Sanofi paid us an up-front cash payment of $150.0 million in the third quarter of 2014, and $50.0 million in milestone payments in the first quarter of 2015. The foregoing milestone payments were earned as of December 31, 2014. We are also eligible to receive up to $725.0 million in additional milestone payments under the Sanofi License Agreement if certain development, regulatory and sales milestones are achieved Worldwide profits and losses, which are determined based on the difference between the net sales of AFREZZA and the costs and expenses incurred by us and Sanofi that are specifically attributable or related to the development, regulatory filings, manufacturing, or commercialization of AFREZZA, will be shared 65% by Sanofi and 35% by us. In connection with the Sanofi License Agreement, an affiliate of Sanofi provided us with a secured loan facility (the “Sanofi Loan Facility”) of up to $175.0 million to fund our share of net losses under the Sanofi License Agreement.</w:t>
      </w:r>
    </w:p>
    <w:p>
      <w:pPr>
        <w:spacing w:after="0" w:line="16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Additional funding sources that are, or in certain circumstances may be available to the Company, include approximately $30.1 million principal amount of available borrowings under its Loan Arrangement (see Note 5 – Related-party arrangements), potential proceeds from the exercise of warrants issued in its February 2012 public offering of approximately $14.9 million, and the Company’s at-the-market issuance sales agreements which allow the Company to sell up to $50.0 million in common stock provided no sales may be made except pursuant to an effective registration statement. The registration statement under which the shares that may be sold pursuant to the at-the-market issuance sales agreements are registered will expire in August 2015. The Company cannot provide assurances that its plans will not change or that changed circumstances will not result in the depletion of its capital resources more rapidly than it currently anticipates. The Company may need to raise additional capital, whether through a sale of equity or debt securities, a strategic business collaboration with a pharmaceutical company, the establishment of other funding facilities, licensing arrangements, asset sales or other means, in order to continue the development and commercialization of AFREZZA and other product candidates and to support its other ongoing activities. However, the Company cannot provide assurances that such additional capital will be available on acceptable terms or at all.</w:t>
      </w:r>
    </w:p>
    <w:p>
      <w:pPr>
        <w:spacing w:after="0" w:line="17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 xml:space="preserve">Fair Value of Financial Instruments — </w:t>
      </w:r>
      <w:r>
        <w:rPr>
          <w:rFonts w:ascii="Arial" w:cs="Arial" w:eastAsia="Arial" w:hAnsi="Arial"/>
          <w:sz w:val="17"/>
          <w:szCs w:val="17"/>
          <w:color w:val="auto"/>
        </w:rPr>
        <w:t>The carrying amounts reported in the accompanying financial statements for cash and cash equivalents, accounts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accrued liabilities approximate their fair value due to their relatively short maturities. The fair value of the cash equivalents, note payable to related party, senior convertible notes, and the Facility Agreement are discussed in Note 9 – Fair Value of Financial Instruments.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Deferred product costs from collaboration — </w:t>
      </w:r>
      <w:r>
        <w:rPr>
          <w:rFonts w:ascii="Arial" w:cs="Arial" w:eastAsia="Arial" w:hAnsi="Arial"/>
          <w:sz w:val="18"/>
          <w:szCs w:val="18"/>
          <w:color w:val="auto"/>
        </w:rPr>
        <w:t>Deferred product costs represent the costs of product manufactured and shipped to Sanofi, not to exceed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deferred product sales related to the collaboration, for which recognition of revenue has been deferred. Given that the costs of inventory delivered to a customer, but for which revenue may not yet be recognized, meet both the definition and characteristics of an “Asset” and the Company believes that it is probable that the amount of future revenue will exceed the amount of deferred costs (i.e., the asset would be realizable through the recognition of probable future income), the Company has elected to account for the deferred costs related to the product sold to Sanofi as an asset and carry forward to future periods until the related revenue is recognized.</w:t>
      </w:r>
    </w:p>
    <w:p>
      <w:pPr>
        <w:spacing w:after="0" w:line="1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 xml:space="preserve">Recently Issued Accounting Standards — </w:t>
      </w:r>
      <w:r>
        <w:rPr>
          <w:rFonts w:ascii="Arial" w:cs="Arial" w:eastAsia="Arial" w:hAnsi="Arial"/>
          <w:sz w:val="18"/>
          <w:szCs w:val="18"/>
          <w:color w:val="auto"/>
        </w:rPr>
        <w:t>From time to time, new accounting pronouncements are issued by the Financial Accounting Standards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(FASB) or other standard setting bodies that are adopted by the Company as of the specified effective date.</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May 2014, a new standard was issued related to revenue recognition, which requires an entity to recognize the amount of revenue to which it expects to be entitled for the transfer of promised goods or services to customers. The guidance requires a company to recognize revenue to depict the transfer of goods or services to customers in an amount that reflects the consideration it expects to be entitled to receive in exchange for those goods or services. The standard is effective beginning the first quarter of the Company’s 2018 fiscal year (with early adoption not permitted) and may be adopted either by restating all years presented in the Company’s financial statements or by recording the impact of adoption as an adjustment to retained earnings at the beginning of fiscal 2018 The Company is assessing the potential impact of the new standard on its consolidated statements of financial position and results of operations and comprehensive income (loss) and has not yet selected a transition method.</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August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(or within one year after the date on which the financial statements are available to be issued, when applicable). Further, an entity must provide certain disclosures if there is “substantial doubt about the entity’s ability to continue as a going concern.” The ASU is effective for annual periods ending after December 15, 2016, and interim periods thereafter; early adoption is permitted. The Company is evaluating the impact the adoption of ASU 2014-15 will have on its consolidated financial statements.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April 2015, the FASB issued ASU 2015 03, “Simplifying the Presentation of Debt Issuance Costs.” The guidance requires debt issuance costs to be presented in the balance sheet as a direct deduction from the carrying value of the associated debt, consistent with the presentation of a debt discount. The guidance is effective for annual reporting periods beginning after December 15, 2015 and interim periods thereafter. Early adoption is permitted. The Company does not believe the adoption of the new standard will have a material impact on its consolidated financial statements and disclosures.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158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460" w:type="dxa"/>
            <w:vAlign w:val="bottom"/>
          </w:tcPr>
          <w:p>
            <w:pPr>
              <w:spacing w:after="0"/>
              <w:rPr>
                <w:sz w:val="14"/>
                <w:szCs w:val="14"/>
                <w:color w:val="auto"/>
              </w:rPr>
            </w:pPr>
          </w:p>
        </w:tc>
        <w:tc>
          <w:tcPr>
            <w:tcW w:w="6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$ 10,075</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Work-in-process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5,550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4,719</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Total inventories</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$ 16,789</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9,670</w:t>
            </w:r>
          </w:p>
        </w:tc>
        <w:tc>
          <w:tcPr>
            <w:tcW w:w="10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Useful</w:t>
            </w:r>
          </w:p>
        </w:tc>
        <w:tc>
          <w:tcPr>
            <w:tcW w:w="280" w:type="dxa"/>
            <w:vAlign w:val="bottom"/>
          </w:tcPr>
          <w:p>
            <w:pPr>
              <w:spacing w:after="0"/>
              <w:rPr>
                <w:sz w:val="12"/>
                <w:szCs w:val="12"/>
                <w:color w:val="auto"/>
              </w:rPr>
            </w:pPr>
          </w:p>
        </w:tc>
        <w:tc>
          <w:tcPr>
            <w:tcW w:w="104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Life</w:t>
            </w:r>
          </w:p>
        </w:tc>
        <w:tc>
          <w:tcPr>
            <w:tcW w:w="2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Buildings</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39-40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54,948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54,948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114,131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114,131</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82,120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80,919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10,499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10,465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41,997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314,000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310,348</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(120,546)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(118,221)</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193,454</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192,127</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Leasehold improvements are amortized over four years which is the shorter of the term of the lease or the service lives of the improvements.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and amortization expense related to property and equipment for the three months ended March 31, 2015 and 2014 was $2.3 million and $2.5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360" w:type="dxa"/>
            <w:vAlign w:val="bottom"/>
            <w:gridSpan w:val="3"/>
          </w:tcPr>
          <w:p>
            <w:pPr>
              <w:ind w:left="2720"/>
              <w:spacing w:after="0"/>
              <w:rPr>
                <w:sz w:val="20"/>
                <w:szCs w:val="20"/>
                <w:color w:val="auto"/>
              </w:rPr>
            </w:pPr>
            <w:r>
              <w:rPr>
                <w:rFonts w:ascii="Arial" w:cs="Arial" w:eastAsia="Arial" w:hAnsi="Arial"/>
                <w:sz w:val="14"/>
                <w:szCs w:val="14"/>
                <w:b w:val="1"/>
                <w:bCs w:val="1"/>
                <w:color w:val="auto"/>
                <w:w w:val="95"/>
              </w:rPr>
              <w:t>March 31,</w:t>
            </w:r>
          </w:p>
        </w:tc>
        <w:tc>
          <w:tcPr>
            <w:tcW w:w="152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27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Accrued interest</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1,022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w:t>
            </w:r>
          </w:p>
        </w:tc>
        <w:tc>
          <w:tcPr>
            <w:tcW w:w="2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84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12,381</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720" w:type="dxa"/>
            <w:vAlign w:val="bottom"/>
            <w:vMerge w:val="restart"/>
          </w:tcPr>
          <w:p>
            <w:pPr>
              <w:jc w:val="right"/>
              <w:ind w:right="2056"/>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9" w:right="5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Related-party arrangements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October 2007, the Company entered into a $350.0 million loan arrangement with its principal stockholder. The Loan Arrangement has been amended from time to time. On October 31, 2013, the promissory note underlying the Loan Arrangement was amended to, among other things, extend the maturity date of the loan to January 5, 2020, extend the date through which the Company can borrow under the Loan Arrangement to December 31, 2019, increase the aggregate borrowing amount under the Loan Arrangement from $350.0 million to $370.0 million and provide that repayments or cancellations of principal under the Loan Arrangement will not be available for reborrowing.</w:t>
      </w:r>
    </w:p>
    <w:p>
      <w:pPr>
        <w:spacing w:after="0" w:line="18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As of March 31, 2015, the total principal amount outstanding under the Loan Arrangement was $49.5 million, and the amount available for future borrowings was $30.1 million. Interest, at a fixed rate of 5.84%, is due and payable quarterly in arrears on the first day of each calendar quarter for the preceding quarter, or at such other time as the Company and The Mann Group mutually agree. All or any portion of accrued and unpaid interest that becomes due and payable may be paid-in-kind and capitalized as additional borrowings at any time and would be classified as non-current upon mutual agreement of both parties. As of March 31, 2015, the Company had accrued $4.2 million of interest in other liabilities related to the Loan Arrangement. The Mann Group can require the Company to prepay up to $200.0 million in advances that have been outstanding for at least 12 months (less approximately $105.0 million aggregate principal amount that has been cancelled in connection with two common stock purchase agreements). If The Mann Group exercises this right, the Company will have 90 days after The Mann Group provides written notice (or the number of days to maturity of the note if less than 90 days) to prepay such advances. However, pursuant to a letter agreement entered into in August 2010, The Mann Group has agreed to not require the Company to prepay amounts outstanding under the amended and restated promissory note if the prepayment would require the Company to use its working capital resources. The Mann Group entered into a subordination agreement with Deerfield pursuant to which The Mann Group agreed with Deerfield not to demand or accept any payment under the Loan Arrangement until the Company’s payment obligations to Deerfield under the Facility Agreement have been satisfied in full. Subject to the foregoing, in the event of a default under the Loan Arrangement,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Loan Arrangement are unsecured. The Loan Arrangement contains no financial covenants.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2015, there were no additional borrowings under or amendments to the Loan Arrangement.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Senior convertible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Senior convertible notes consist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5"/>
              </w:rPr>
              <w:t>March 31,</w:t>
            </w:r>
          </w:p>
        </w:tc>
        <w:tc>
          <w:tcPr>
            <w:tcW w:w="12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196"/>
        </w:trPr>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 notes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Principal amount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100,000</w:t>
            </w:r>
          </w:p>
        </w:tc>
        <w:tc>
          <w:tcPr>
            <w:tcW w:w="320" w:type="dxa"/>
            <w:vAlign w:val="bottom"/>
          </w:tcPr>
          <w:p>
            <w:pPr>
              <w:spacing w:after="0"/>
              <w:rPr>
                <w:sz w:val="18"/>
                <w:szCs w:val="18"/>
                <w:color w:val="auto"/>
              </w:rPr>
            </w:pP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100,000</w:t>
            </w:r>
          </w:p>
        </w:tc>
        <w:tc>
          <w:tcPr>
            <w:tcW w:w="1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Net carrying amount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99,593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99,355</w:t>
            </w:r>
          </w:p>
        </w:tc>
        <w:tc>
          <w:tcPr>
            <w:tcW w:w="12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August 18, 2010, the Company completed a Rule 144A offering of $100.0 million aggregate principal amount of 2015 notes. The 2015 notes are governed by the terms of an indenture dated as of August 24, 2010 (the “2015 Note Indenture”). The 2015 notes bear interest at the rate of 5.75% per year on the principal amount, payable in cash semi-annually in arrears on February 15 and August 15 of each year, beginning February 15, 2011. In connection with the 2015 notes, the Company had accrued interest of $1.0 million and $2.4 million as of March 31, 2015 and December 31, 2014, respectively. The 2015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2015 notes is August 15, 2015 and payment is due in full on that date for unconverted securities. Holders of the 2015 notes may convert, at any time prior to the close of business on the business day immediately preceding the stated maturity date, any outstanding principal into shares of the Company’s common stock at an initial conversion rate of 147.0859 shares per $1,000 principal amount, which is equal to a conversion price of approximately $6.80 per share, subject to adjustment. Except in certain circumstances, if the Company undergoes a fundamental change: (1) the Company will pay a make-whole premium on the 2015 notes converted in connection with a fundamental change by increasing the conversion rate on such 2015 notes, which amount, if any, will be based on the Company’s common stock price and the effective date of the fundamental change, and (2) each holder of 2015 notes will have the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option to require the Company to repurchase all or any portion of such holder’s 2015 notes at a repurchase price of 100% of the principal amount of the 2015 notes to be repurchased plus accrued and unpaid interest, if any. The Company may elect to redeem some or all of the 2015 notes if the closing stock price has equaled 150% of the conversion price for at least 20 of the 30 consecutive trading days ending on the trading day before the Company’s redemption notice.</w:t>
      </w:r>
    </w:p>
    <w:p>
      <w:pPr>
        <w:ind w:right="100"/>
        <w:spacing w:after="0" w:line="267" w:lineRule="auto"/>
        <w:rPr>
          <w:sz w:val="20"/>
          <w:szCs w:val="20"/>
          <w:color w:val="auto"/>
        </w:rPr>
      </w:pPr>
      <w:r>
        <w:rPr>
          <w:rFonts w:ascii="Arial" w:cs="Arial" w:eastAsia="Arial" w:hAnsi="Arial"/>
          <w:sz w:val="17"/>
          <w:szCs w:val="17"/>
          <w:color w:val="auto"/>
        </w:rPr>
        <w:t>The redemption price will equal 100% of the principal amount of the 2015 notes to be redeemed, plus accrued and unpaid interest, if any, up to, but excluding, the redemption date, plus a make-whole payment equal to the sum of the present values of the remaining scheduled interest payments through and including August 15, 2015 (other than interest accrued up to, but excluding, the redemption date). The Company will be obligated to make the make-whole payment on all of the 2015 notes called for redemption and converted during the period from the date the Company mailed the notice of redemption to and including the redemption date. The Company may elect to make the make-whole payment in cash or shares of its common stock, subject to certain limitations. Under the terms of the 2015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Applying the Company’s sequencing policy, the Company performed an analysis at the time of the offering of the 2015 notes and each reporting date since and has concluded that the number of available authorized shares at the time of the offering and each subsequent reporting date was sufficient to deliver the number of shares that could be required to be delivered during the contract period under existing commitments.</w:t>
      </w:r>
    </w:p>
    <w:p>
      <w:pPr>
        <w:spacing w:after="0" w:line="187"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Company incurred approximately $4.2 million in issuance costs which are recorded as an offset to the 2015 notes in the accompanying condensed consolidated balance sheets. These costs are being accreted to interest expense using the effective interest method over the term of the 2015 notes.</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2015 notes provide that upon an acceleration of certain indebtedness, including the 9.75% Senior Convertible Notes due 2019 (the “2019 notes”) and the 8.75% Senior Convertible Notes due 2019 (the “Tranche B notes”) issued to Deerfield pursuant to the Facility Agreement (see Note 14 – Facility Agreement), the holders may elect to accelerate the Company’s repayment obligations under the notes if such acceleration is not cured, waived, rescinded or annulled. There can be no assurance that the holders would not choose to exercise these rights in the event such events were to occur.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Accretion of debt issuance expense in connection with the 2015 notes during the three months ended March 31, 2015 and 2014 was $238,000 and $223,000,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Collaboration arrangement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License Agreement and Sanofi Supply Agreement</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August 11, 2014, the Company and Sanofi entered into the Sanofi License Agreement, which became effective on September 23, 2014. Under the terms of the Sanofi License Agreement, the Company granted to Sanofi exclusive, worldwide licenses to certain of the Company’s patents, trademarks and know-how for the development and commercialization of AFREZZA. Under the terms of the Sanofi License Agreement, Sanofi has the exclusive right and responsibility to develop AFREZZA worldwide, subject to certain development activities that will be performed by the Company. Sanofi will also be obligated to use commercially reasonable efforts to file for, obtain and maintain marketing approvals for AFREZZA in certain major markets and countries. In addition, Sanofi will have exclusive, worldwide rights to commercialize AFREZZA and will be obligated to use commercially reasonable efforts to market, promote and commercialize AFREZZA in all countries in the world where regulatory approval for AFREZZA has been received. Under the Sanofi License Agreement, Sanofi paid the Company an up-front cash payment of $150.0 million in the third quarter of 2014 and a subsequent payment of $50.0 million in the first quarter of 2015 for the achievement of two manufacturing milestones as of December 31, 2014. If certain development, regulatory and sales milestones are achieved, the Company will also be eligible to receive up to $725.0 million in additional milestone payments, of which $25.0 million relates to a development milestone event, $50.0 million relates to the filing and completion of regulatory approvals and $650.0 million relates to the achievement of certain product sales milestones. In addition, worldwide profits and losses, which are determined based on the difference between the net sales of AFREZZA and the costs and expenses incurred by the Company and Sanofi that are specifically attributable or related to the development, improvement, regulatory filings, manufacturing, and commercialization of AFREZZA will be shared 65% by Sanofi and 35% by the Company. In accordance with the terms of the Sanofi License Agreement, profit and loss sharing commenced in the fourth quarter of 2014.</w:t>
      </w:r>
    </w:p>
    <w:p>
      <w:pPr>
        <w:spacing w:after="0" w:line="18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Pursuant to the terms of the Sanofi Supply Agreement, the Company will be the exclusive manufacturer and supplier of AFREZZA until the specified conditions are met, upon which a portion of the manufacturing activities may be assumed by Sanofi.</w:t>
      </w:r>
    </w:p>
    <w:p>
      <w:pPr>
        <w:spacing w:after="0" w:line="1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The Company analyzed the agreements entered into with Sanofi under the provisions of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to determine whether the consideration, or a portion thereof, could be recognized as revenue. ASC 605 provides that revenue is recognized when there is persuasive evidence that an arrangement exists, delivery has occurred or services have been rendered, the price is fixed or determinable and collection is reasonably assured. In addition, revenue arrangements with multiple elements are divided into separate units of accounting if certain criteria are met, including whether the delivered element has stand-alone value to the customer. When deliverables are separable, consideration received is allocated to the separate units of accounting based on the relative selling price of each deliverable and the appropriate revenue recognition principles are applied to each unit.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assessment of multiple element arrangements requires judgment in order to determine the appropriate units of accounting and the points in time that, or periods over which, revenue should be recognized. Under the terms of the Sanofi License Agreement, Sanofi Supply Agreement and the Sanofi Loan Facility the Company determined that the arrangement contained significant deliverables including (i) licenses to develop and commercialize AFREZZA and to use the Company’s trademarks, (ii) development activities, and (iii) manufacture and supply services for AFREZZA. Due to the proprietary nature of the manufacturing services being provided by the Company, the Company determined that all of the significant deliverables should be combined into a single unit of accounting. The Company believes that the manufacturing services are proprietary due to the fact that since the late 1990’s, the Company has developed proprietary knowledge and patented equipment and tools that are used in the manufacturing process of AFREZZA. Due to the complexities of particle formulation and the specialized knowledge and equipment needed to handle the AFREZZA powder, neither Sanofi nor any third-party contract manufacturing organization currently possesses the capability of manufacturing AFREZZA.</w:t>
      </w:r>
    </w:p>
    <w:p>
      <w:pPr>
        <w:spacing w:after="0" w:line="18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order for revenue to be recognized, the seller’s price to the buyer must be fixed and determinable. Given that as of March 31, 2015, the Company did not have the ability to estimate the amount of costs that would potentially be incurred under the loss share provision related to the Sanofi License Agreement and the Sanofi Supply Agreement, the Company believes this requirement for revenue recognition has not been met.</w:t>
      </w:r>
    </w:p>
    <w:p>
      <w:pPr>
        <w:spacing w:after="0" w:line="1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such, the Company did not recognize any revenue pursuant to the Sanofi License Agreement or the Sanofi Supply Agreement for the three months ended March 31, 2015. The Company has recorded the $150.0 million up-front payment and $50.0 million from milestone payments as deferred payments from collaboration. In addition, as of March 31, 2015 the Company has recorded $7.1 million in AFREZZA product shipments to Sanofi recorded as deferred product sales from collaboration and recorded $6.3 million as deferred product costs from collaboration. Deferred product costs represent the costs of product manufactured and shipped to Sanofi, not to exceed the amount of deferred product sales, for which recognition of revenue has been deferred. During the quarter ended March 31, 2015, the Company’s portion of the loss sharing was $12.4 million, which resulted in the reclassification from current deferred payments from collaboration to other long-term liabilities.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Loan Facility</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September 23, 2014, the Company entered into the Sanofi Loan Facility, consisting of a senior secured revolving promissory note (the “Note”) and a guaranty and security agreement (the “Security Agreement”) with an affiliate of Sanofi which provides the Company with a secured loan facility of up to $175.0 million to fund the Company’s share of net losses under the Sanofi License Agreement. In the event of certain future defaults under the Sanofi Loan facility agreement for which the Company is not able to obtain waivers, the lender under the Sanofi Loan Facility may accelerate all of the Company’s repayment obligations, and take control of the Company’s pledged assets, potentially requiring the Company to renegotiate the terms of its indebtedness on terms less favorable to the Company, or to immediately cease operations.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Advances under the Sanofi Loan Facility bear interest at a rate of 8.5% per annum and are payable in-kind and compounded quarterly and added to the outstanding principal balance under the Sanofi Loan Facility. The Company is required to make mandatory prepayments on the outstanding loans under the Sanofi Loan Facility from its share of any Profits (as defined in the Sanofi License Agreement) under the Sanofi License Agreement within 30 days of receipt of its share of any such Profits. No advances may be made under the Sanofi Loan Agreement if Deerfield has commenced enforcement proceedings in connection with an event of default under the Facility Agreement.</w:t>
      </w:r>
    </w:p>
    <w:p>
      <w:pPr>
        <w:spacing w:after="0" w:line="18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outstanding principal of all loans under the Sanofi Loan Facility, if not prepaid, will become due and payable on September 23, 2024 unless accelerated pursuant to the terms of the Sanofi Loan Facility. Additionally, if the Company sells its Valencia facility, the Company is required to prepay the loans under the Sanofi Loan Facility in an amount equal to 100% of the net cash proceeds of the sale within five business days of receipt.</w:t>
      </w:r>
    </w:p>
    <w:p>
      <w:pPr>
        <w:spacing w:after="0" w:line="16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order to fund the Company’s portion of the loss sharing during the three months ended March 31, 2015, subsequent to March 31, 2015, the Company borrowed $12.4 million under the Sanofi Loan Facility to finance the portion of the Company’s loss. As of May 11, 2015, the total amount owed to Sanofi under the Sanofi Loan Facility was $15.5 million, which includes $0.1 million in paid-in-kind interest.</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obligations of the Company under the Sanofi Loan Facility are guaranteed by the Company’s wholly-owned subsidiary, MannKind LLC, and are secured by a first priority security interest in certain insulin inventory located in the United States and any contractual rights and obligations pursuant to which the Company purchases or has purchased such insulin, and a second priority security interest in the Company’s assets that secure the Company’s obligations under the Facility Agreement, as amended. In addition, the Company granted to Sanofi, as additional security for the obligations under the Sanofi Loan Facility, a first priority mortgage on the Company’s facility in Valencia, California.</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Sanofi Loan Facility includes customary representations, warranties and covenants by the Company, including restrictions on its ability to incur additional indebtedness, grant certain liens and make certain changes to its organizational documents. Events of default under the Sanofi Loan Facility include: the Company’s failure to timely make payments due under the Sanofi Loan Facility; inaccuracies in the Company’s representations and warranties to the noteholder; the Company’s failure to comply with any of its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covenants under any of the Sanofi Loan Facility or certain other related security agreements and documents entered into in connection with the Sanofi Loan Facility, subject to a cure period with respect to most covenants; the Company’s insolvency or the occurrence of certain bankruptcy-related events; termination by Sanofi of the Sanofi License Agreement as a result of the Company’s breach of the Sanofi License Agreement; and the failure of any material provision under any of the Sanofi Loan Facility or certain other related security agreements and documents entered into in connection with the Sanofi Loan Facility to remain in full force and effect. If one or more events of default occurs and is continuing, Sanofi may terminate its obligation to make advances under the Sanofi Loan Facility, and, if certain specified events of default (including the Company’s failure to timely make payments due under the Sanofi Loan Facility; the Company’s failure to comply with the negative covenants under the Sanofi Loan Facility limiting the Company’s ability to incur additional indebtedness or grant certain liens; the Company’s insolvency or the occurrence of certain bankruptcy-related events; termination by Sanofi of the Sanofi License Agreement as a result of the Company’s breach of the non-compete provisions of the Sanofi License Agreement; or the failure of any material provision under any of the Sanofi Loan Facility or certain other related security agreements and documents entered into in connection with the Sanofi Loan Facility to remain in full force and effect) occur and are continuing, the noteholder may accelerate all of the Company’s repayment obligations under the Sanofi Loan Facility and otherwise exercise any of its remedies as a secured creditor. There can be no assurance that the noteholder would not choose to exercise these rights in the event such events were to occur.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applies various valuation approaches in determining the fair value of its financial assets and 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prices for identical instruments in active markets.</w:t>
      </w:r>
    </w:p>
    <w:p>
      <w:pPr>
        <w:spacing w:after="0" w:line="117"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Significant inputs to the valuation model are unobservable.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Cash equivalents consist of highly liquid investments with original or remaining maturities of 90 days or less at the time of purchase, that are readily convertible into cash. As of March 31, 2015 and December 31, 2014, the Company held $120.8 million and $120.8 million, respectively, of cash and cash equivalents, consisting primarily of money market funds of $120.5 million and $118.5 million, respectively, and the remaining in non-interest bearing checking accounts. The fair value of these money market funds was determined by using quoted prices for identical investments in an active market (Level 1 in the fair value hierarchy).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Arrangement</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fair value of the note payable to our principal stockholder cannot be reasonably estimated as the Company would not be able to obtain a similar credit arrangement in the current economic environment.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convertible notes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carrying values and estimated fair values of the 2015 notes and the facility financing obligation (i.e., the 2019 notes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Tranche B notes) (in millions):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ind w:left="300"/>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Pr>
          <w:p>
            <w:pPr>
              <w:spacing w:after="0"/>
              <w:rPr>
                <w:sz w:val="14"/>
                <w:szCs w:val="14"/>
                <w:color w:val="auto"/>
              </w:rPr>
            </w:pPr>
          </w:p>
        </w:tc>
        <w:tc>
          <w:tcPr>
            <w:tcW w:w="17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 2014</w:t>
            </w:r>
          </w:p>
        </w:tc>
      </w:tr>
      <w:tr>
        <w:trPr>
          <w:trHeight w:val="119"/>
        </w:trPr>
        <w:tc>
          <w:tcPr>
            <w:tcW w:w="42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8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Estimated</w:t>
            </w:r>
          </w:p>
        </w:tc>
        <w:tc>
          <w:tcPr>
            <w:tcW w:w="540" w:type="dxa"/>
            <w:vAlign w:val="bottom"/>
          </w:tcPr>
          <w:p>
            <w:pPr>
              <w:spacing w:after="0"/>
              <w:rPr>
                <w:sz w:val="10"/>
                <w:szCs w:val="10"/>
                <w:color w:val="auto"/>
              </w:rPr>
            </w:pPr>
          </w:p>
        </w:tc>
        <w:tc>
          <w:tcPr>
            <w:tcW w:w="8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Estimated</w:t>
            </w:r>
          </w:p>
        </w:tc>
        <w:tc>
          <w:tcPr>
            <w:tcW w:w="100" w:type="dxa"/>
            <w:vAlign w:val="bottom"/>
          </w:tcPr>
          <w:p>
            <w:pPr>
              <w:spacing w:after="0"/>
              <w:rPr>
                <w:sz w:val="10"/>
                <w:szCs w:val="10"/>
                <w:color w:val="auto"/>
              </w:rPr>
            </w:pPr>
          </w:p>
        </w:tc>
      </w:tr>
      <w:tr>
        <w:trPr>
          <w:trHeight w:val="171"/>
        </w:trPr>
        <w:tc>
          <w:tcPr>
            <w:tcW w:w="4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fair 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 notes</w:t>
            </w:r>
          </w:p>
        </w:tc>
        <w:tc>
          <w:tcPr>
            <w:tcW w:w="2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Facility financing obligation</w:t>
            </w:r>
          </w:p>
        </w:tc>
        <w:tc>
          <w:tcPr>
            <w:tcW w:w="2260" w:type="dxa"/>
            <w:vAlign w:val="bottom"/>
            <w:gridSpan w:val="2"/>
          </w:tcPr>
          <w:p>
            <w:pPr>
              <w:ind w:left="21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73.4</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73.0</w:t>
            </w:r>
          </w:p>
        </w:tc>
        <w:tc>
          <w:tcPr>
            <w:tcW w:w="44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75.1</w:t>
            </w:r>
          </w:p>
        </w:tc>
      </w:tr>
    </w:tbl>
    <w:p>
      <w:pPr>
        <w:spacing w:after="0" w:line="18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estimated fair value of the 2015 notes was calculated based on model-derived valuations whose inputs were observable, such as the Company’s stock price, and non-observable, such as the Company’s longer-term historical volatility (Level 3 in the fair value hierarchy). As there is no current observable market for the 2015 notes, the Company determined the estimated fair value using a convertible bond valuation model within a lattice framework. The convertible bond valuation model combined expected cash outflows with market-based assumptions regarding risk-adjusted yields, stock price volatility and recent price quotes and trading information regarding Company issued debt instruments and shares of common stock into which the notes are convertible.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Agreement</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discussed in Note 14 — Facility Agreement, in connection with the Facility Agreement, the Company issued 2019 notes and certain rights to receive payments of up to $90.0 million upon the occurrence of specified strategic and sales milestones (the “Milestone Rights”). As there is no current observable market for the 2019 notes or Tranche B notes, the Company determined the estimated fair value using a bond valuation model based on a discounted cash flow methodology. The bond valuation model combined expected cash flows associated with principal repayment and interest based on the contractual terms of the debt agreement discounted to present value using a selected market discount rate. At March 31, 2015 the market discount rate was recalculated at 12.0% for the 2019 notes and 11.0% for the Tranche B notes (Level 3 in the fair value hierarchy).</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estimated fair value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 The expected timing and probability of achieving the milestones, starting in 2014, was developed with consideration given to both internal data, such as progress made to date and assessment of criteria required for achievement, and external data, such as market research studies. The discount rate (15%) was selected based on an estimation of required rate of returns for similar investment opportunities using available market data. As of March 31, 2015, the fair value of the Milestone Rights is estimated at $47.6 million.</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were no material re-measurements to fair value during the three months ended March 31, 2015 of financial assets and liabilities that are not measured at fair value on a recurring basis. There were no transfers of assets or liabilities between the fair value measurement levels during the three months ended March 31,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Loan Facility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discussed in Note 7 — the Sanofi Loan Facility, consists of a senior secured revolving promissory note and a guaranty and security agreement with an affiliate of Sanofi which provides the Company with a secured loan facility of up to $175.0 million to fund the Company’s share of net losses under the Sanofi License Agreement. As of March 31, 2015, the Company borrowed $3.0 million under the Sanofi Loan Facility and the estimated fair value was determined to approximate the carrying value based on the consideration of the key elements of time value of money, namely the amount of time to settlement and the estimated discount rate appropriate for the liability. This analysis was performed using a discounted cash flow model in which time outstanding and discount rate were the primary variables.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and preferred stock</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Included in the common stock outstanding as of March 31, 2015 and December 31, 2014 are 9,000,000 shares of common stock loaned to Bank of America, N.A. under a share lending agreement in connection with the offering of $100.0 million aggregate principal amount of 2015 notes (see Note 6 — Senior convertible notes). Bank of America is obligated to return the borrowed shares (or, in certain circumstances, the cash value thereof) to the Company on or about the 45th business day following the date as of which the entire principal amount of the 2015 notes ceases to be outstanding, subject to extension or acceleration in certain circumstances or early termination at Bank of America’s option. The Company did not receive any proceeds from the sale of the borrowed shares by Bank of America, but the Company did receive a nominal lending fee of $0.01 per share from Bank of America for the use of borrowed shares.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Accounting for stock-based compensation</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Total stock-based compensation expense recognized in the accompanying condensed consolidated statements of operations for the three months ended March 31, 2015 and 2014 was $2.0 million and $5.2 million, respectively. The Company issued stock awards to employees during the three months ended March 31, 2015 with a four-year vesting schedule. The grant date fair value of the 36,300 restricted stock units and 73,600 stock options issued was $262,086 and $382,720, respectively, with a grant date fair value per share of $7.22 and $5.20, respectively.</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As of March 31, 2015, there was $9.0 million and $10.0 million of unrecognized compensation cost related to options and restricted stock units, respectively, which are expected to be recognized over the remaining weighted average vesting period of 2.6 years.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 As of March 31, 2015, there were no unrecognized expenses related to performance options and restricted stock units, for milestones not considered probable of achievement.</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common share</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Basic net loss per share excludes dilution for potentially dilutive securities and is computed by dividing net loss by the weighted average number of common shares outstanding during the period excluding the shares loaned to Bank of America under a share lending arrangement (see Note 9 — Common and preferred stock). As of March 31, 2015, 9,000,000 shares of the Company’s common stock, which were loaned to Bank of America pursuant to the terms of a share lending agreement as described in Note 9, were issued and are outstanding, and the holder of the borrowed shares has all the rights of a holder of the Company’s common stock. However, because the share borrower must return all borrowed shares to the Company (or, in certain circumstances, the cash value thereof), the borrowed shares are not considered outstanding for the purpose of computing and reporting basic or diluted earnings (loss) per share.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condensed consolidated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45,171,595 shares and 67,791,150 shares as of March 31, 2015 and 2014, respectively, and exclude the 9,000,000 shares loaned under the share lending arrangement.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Guarantees and Indemnifications — </w:t>
      </w:r>
      <w:r>
        <w:rPr>
          <w:rFonts w:ascii="Arial" w:cs="Arial" w:eastAsia="Arial" w:hAnsi="Arial"/>
          <w:sz w:val="16"/>
          <w:szCs w:val="16"/>
          <w:color w:val="auto"/>
        </w:rPr>
        <w:t>In the ordinary course of its business, the Company makes certain indemnities, commitments and guarantees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w:t>
      </w:r>
    </w:p>
    <w:p>
      <w:pPr>
        <w:spacing w:after="0" w:line="16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 xml:space="preserve">Litigation — </w:t>
      </w:r>
      <w:r>
        <w:rPr>
          <w:rFonts w:ascii="Arial" w:cs="Arial" w:eastAsia="Arial" w:hAnsi="Arial"/>
          <w:sz w:val="17"/>
          <w:szCs w:val="17"/>
          <w:color w:val="auto"/>
        </w:rPr>
        <w:t>The Company is subject to legal proceedings and claims which arise in the ordinary course of its business. As of the date hereof,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believes that the final disposition of such matters will not have a material adverse effect on the financial position, results of operations or cash flows of the Company. The Company maintains liability insurance coverage to protect the Company’s assets from losses arising out of or involving activities associated with ongoing and normal business operations. In accordance with ASC 450 </w:t>
      </w:r>
      <w:r>
        <w:rPr>
          <w:rFonts w:ascii="Arial" w:cs="Arial" w:eastAsia="Arial" w:hAnsi="Arial"/>
          <w:sz w:val="17"/>
          <w:szCs w:val="17"/>
          <w:i w:val="1"/>
          <w:iCs w:val="1"/>
          <w:color w:val="auto"/>
        </w:rPr>
        <w:t>Contingencies</w:t>
      </w:r>
      <w:r>
        <w:rPr>
          <w:rFonts w:ascii="Arial" w:cs="Arial" w:eastAsia="Arial" w:hAnsi="Arial"/>
          <w:sz w:val="17"/>
          <w:szCs w:val="17"/>
          <w:color w:val="auto"/>
        </w:rPr>
        <w:t>, the Company would record a provision for a liability when it is both probable that a liability has been incurred and the amount of the loss can be reasonably estimated.</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Contingencies — </w:t>
      </w:r>
      <w:r>
        <w:rPr>
          <w:rFonts w:ascii="Arial" w:cs="Arial" w:eastAsia="Arial" w:hAnsi="Arial"/>
          <w:sz w:val="18"/>
          <w:szCs w:val="18"/>
          <w:color w:val="auto"/>
        </w:rPr>
        <w:t>In connection with the Facility Agreement, on July 1, 2013 the Company also entered into a Milestone Rights Purchase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“Milestone Agreement”) with Deerfield Private Design Fund and Horizon Santé FLML SÁRL (collectively, the “Milestone Purchasers”), pursuant to which the Company sold the Milestone Purchasers the Milestone Rights to receive payments up to $90.0 million upon the occurrence of specified strategic and sales milestones, including the first commercial sale of an AFREZZA product in the United States and the achievement of specified net sales figures (see Note 14 – Facility Agreement).</w:t>
      </w:r>
    </w:p>
    <w:p>
      <w:pPr>
        <w:spacing w:after="0" w:line="188"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b w:val="1"/>
          <w:bCs w:val="1"/>
          <w:i w:val="1"/>
          <w:iCs w:val="1"/>
          <w:color w:val="auto"/>
        </w:rPr>
        <w:t xml:space="preserve">Commitments — </w:t>
      </w:r>
      <w:r>
        <w:rPr>
          <w:rFonts w:ascii="Arial" w:cs="Arial" w:eastAsia="Arial" w:hAnsi="Arial"/>
          <w:sz w:val="18"/>
          <w:szCs w:val="18"/>
          <w:color w:val="auto"/>
        </w:rPr>
        <w:t>On July 31, 2014, the Company entered into the Insulin Supply Agreement, (the “Insulin Supply Agreement”), with Amphastar France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Pharmaceuticals S.A.S. (“Amphastar”), pursuant to which the Company agreed to purchase certain annual minimum quantities of insulin for an aggregate total purchase price of approximately €120.1 million for calendar years 2015 through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 xml:space="preserve">As required by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 xml:space="preserve">ASC 740-10-25 </w:t>
      </w:r>
      <w:r>
        <w:rPr>
          <w:rFonts w:ascii="Arial" w:cs="Arial" w:eastAsia="Arial" w:hAnsi="Arial"/>
          <w:sz w:val="18"/>
          <w:szCs w:val="18"/>
          <w:i w:val="1"/>
          <w:iCs w:val="1"/>
          <w:color w:val="auto"/>
        </w:rPr>
        <w:t>Income Taxes Recognition</w:t>
      </w:r>
      <w:r>
        <w:rPr>
          <w:rFonts w:ascii="Arial" w:cs="Arial" w:eastAsia="Arial" w:hAnsi="Arial"/>
          <w:sz w:val="18"/>
          <w:szCs w:val="18"/>
          <w:color w:val="auto"/>
        </w:rPr>
        <w:t xml:space="preserve"> clarifies the accounting and disclosure for uncertainty in tax positions, as defined. This guidance seeks to reduce the diversity in practice associated with certain aspects of the recognition and measurement related to accounting for income taxes. The Company believes that its income tax filing positions and deductions will be sustained on audit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does not anticipate any adjustments that will result in a material change to its financial position. Therefore, no reserves for uncertain income tax positions have been recorded pursuant to this guidance. Tax years since 1993 remain subject to examination by the major tax jurisdictions in which the Company is subject to tax.</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Facility Agreement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2015, there were $60.0 million principal amount of 2019 notes and $20.0 million principal amount of Tranche B notes outstanding. The 2019 notes accrue interest at annual rate of 9.75% and the Tranche B notes accrue interest at an annual rate of 8.75%. The Facility Agreement principal repayment schedule is comprised of annual payments beginning on July 1, 2016 and ending December 9, 2019. The repayment dates correspond to the dates on which the 2019 notes or Tranche B notes, as applicable, were issued.</w:t>
      </w:r>
    </w:p>
    <w:p>
      <w:pPr>
        <w:spacing w:after="0" w:line="18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 conjunction with the Facility Agreement, the Company entered into a Milestone Rights Agreement with Deerfield which requires the Company to make contingent payments to Deerfield, totaling up to $90.0 million, upon the Company achieving specified commercialization milestones.</w:t>
      </w:r>
    </w:p>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Milestone Rights were initially recorded as a short-term liability equal to $3.2 million included in accrued expenses and other current liabilities in the accompanying condensed consolidated balance sheet and a long-term liability equal to $13.1 million included in other liabilities. During the three months ended March 31, 2015, the second milestone triggering event was achieved following the Company’s product launch on February 3, 2015, which resulted in a $5.8 million incremental charge to interest expense due to the increase in carrying value of the liability to the required $10.0 million payment made in February of 2015. As of March 31, 2015, the Company determined that it was probable that the first commercial sales related milestone would be achieved within the next twelve months. As such, the company reclassified the corresponding $1.6 million long term liability to short term. As of March 31, 2015, the short-term portion of the liability had a balance of $1.6 million and the long-term portion of the liability had a balance of $7.3 million.</w:t>
      </w:r>
    </w:p>
    <w:p>
      <w:pPr>
        <w:spacing w:after="0" w:line="16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Accretion of debt issuance cost and debt discount in connection with the Facility financing agreement during the three months ended March 31, 2015 and 2014 are as follows (in thousands):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420" w:type="dxa"/>
            <w:vAlign w:val="bottom"/>
            <w:gridSpan w:val="3"/>
          </w:tcPr>
          <w:p>
            <w:pPr>
              <w:ind w:left="1140"/>
              <w:spacing w:after="0"/>
              <w:rPr>
                <w:sz w:val="20"/>
                <w:szCs w:val="20"/>
                <w:color w:val="auto"/>
              </w:rPr>
            </w:pPr>
            <w:r>
              <w:rPr>
                <w:rFonts w:ascii="Arial" w:cs="Arial" w:eastAsia="Arial" w:hAnsi="Arial"/>
                <w:sz w:val="14"/>
                <w:szCs w:val="14"/>
                <w:b w:val="1"/>
                <w:bCs w:val="1"/>
                <w:color w:val="auto"/>
                <w:w w:val="91"/>
              </w:rPr>
              <w:t>Three months ended</w:t>
            </w:r>
          </w:p>
        </w:tc>
        <w:tc>
          <w:tcPr>
            <w:tcW w:w="2400" w:type="dxa"/>
            <w:vAlign w:val="bottom"/>
            <w:gridSpan w:val="4"/>
          </w:tcPr>
          <w:p>
            <w:pPr>
              <w:jc w:val="center"/>
              <w:ind w:left="839"/>
              <w:spacing w:after="0"/>
              <w:rPr>
                <w:sz w:val="20"/>
                <w:szCs w:val="20"/>
                <w:color w:val="auto"/>
              </w:rPr>
            </w:pPr>
            <w:r>
              <w:rPr>
                <w:rFonts w:ascii="Arial" w:cs="Arial" w:eastAsia="Arial" w:hAnsi="Arial"/>
                <w:sz w:val="14"/>
                <w:szCs w:val="14"/>
                <w:b w:val="1"/>
                <w:bCs w:val="1"/>
                <w:color w:val="auto"/>
                <w:w w:val="92"/>
              </w:rPr>
              <w:t>Three months ended</w:t>
            </w:r>
          </w:p>
        </w:tc>
      </w:tr>
      <w:tr>
        <w:trPr>
          <w:trHeight w:val="171"/>
        </w:trPr>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March 31, 2015</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2014</w:t>
            </w: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Accretion expense- debt issuance cost</w:t>
            </w: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Accretion expense- debt discount</w:t>
            </w: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6,367</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Facility Agreement contains a financial covenant that requires the Company’s cash and cash equivalents, which include available borrowings under the Loan Arrangement, on the last day of each fiscal quarter to not be less than $25.0 million. If the Company fails to satisfy this financial covenant, or another event of default occurs under the Facility Agreement, Deerfield may declare all or any portion of the 2019 notes and/or Tranche B notes to be immediately due and payable.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2014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We are a biopharmaceutical company focused on the discovery and development of therapeutic products for diseases such as diabetes. Our only approved product, AFREZZA, is a rapid-acting inhaled insulin that was approved by the FDA on June 27, 2014 to improve glycemic control in adult patients with diabetes. Pursuant to the Sanofi License Agreement, all sales and marketing activities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related to AFREZZA are conducted by Sanofi. AFREZZA became available by prescription in United States retail pharmacies in February 2015. In April 2015, the FDA approved a 12 unit cartridge strength of AFREZZA (insulin human) in halation powder to improve glycemic control in adult patients with diabetes. We have initiated manufacturing the 12 unit cartridge strength of AFREZZA and expect it to be launched by Sanofi in the second half of 2015.</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March 31, 2015, we had an accumulated deficit of $2.5 billion and a stockholders’ deficit of $97.0 million. To date, we have funded our operations through the sale of equity securities and convertible debt securities, borrowings under the Facility Agreement, borrowings under the Loan Arrangement, and receipt of upfront and milestone payments under the Sanofi License Agreement and borrowings under the Sanofi Loan Facility to fund our portion of the loss share. As discussed below in “Liquidity and Capital Resources,” if we are unable to obtain additional funding in the future, there could be substantial doubt about our ability to continue as a going concern.</w:t>
      </w:r>
    </w:p>
    <w:p>
      <w:pPr>
        <w:spacing w:after="0" w:line="188"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Our business is subject to significant risks, including but not limited to our ability to support the commercialization of AFREZZA through our marketing partner, Sanofi, by manufacturing sufficient quantities of AFREZZA to meet Sanofi’s demands in a timely and cost-efficient manner, Sanofi’s ability to successfully market and sell AFREZZA, Sanofi’s ability to obtain regulatory approval for AFREZZA outside of the United States, and the risks inherent in our ongoing clinical trials and the regulatory approval process. Additional significant risks also include the results of our research and development efforts, competition from other products and technologies and uncertainties associated with obtaining and enforcing patent rights.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Historically our research and development expenses have consisted mainly of costs associated with research and development of our product candidates, including associated clinical trials, and manufacturing process development. This includes the salaries, benefits and stock-based compensation of research and development personnel, raw materials, such as insulin purchases, laboratory supplies and materials, facility costs, costs for consultants and related contract research, licensing fees, and depreciation of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178"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process development and related activities. This staff is located in our facilities in Valencia, California and Danbury, Connecticut. We expense research and development costs as we incur them.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Our general and administrative expenses are driven by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MANUFACTURING EXPENSES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product manufacturing expenses are the costs in connection with producing commercial and clinical supplies of AFREZZA. As of March 31, 2015, we recorded $6.3 million as deferred product costs associated with the deferred product sales from collaboration.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preparation of our condensed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is presented in Item 7 of the Annual Report. The Company has added deferred costs to its critical accounting policies during the three months ended March 31,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product costs from collaboration</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manufacture commercial supplies of AFREZZA product for Sanofi. Cost of product manufacturing includes costs in connection with producing commercial product for Sanofi. Deferred costs represent the costs of product manufactured and shipped to Sanofi, not to exceed the amount of deferred product sales related to the collaboration, for which recognition of revenue has been deferred. Given that the costs of inventory delivered to a customer, but for which revenue may not yet be recognized, meet both the definition and characteristics of an “asset” and management believes that it is probable that the amount of future revenue will exceed the amount of deferred costs (i.e., the asset would be realizable through the recognition of probable future income), we have elected to account for the deferred costs related to the product sold to Sanofi as an asset and carry forward to future periods until the related revenue is recognized.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ectPr>
          <w:pgSz w:w="11900" w:h="16838" w:orient="portrait"/>
          <w:cols w:equalWidth="0" w:num="1">
            <w:col w:w="11420"/>
          </w:cols>
          <w:pgMar w:left="240" w:top="459" w:right="2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May 2014, a new standard was issued related to revenue recognition, which requires an entity to recognize the amount of revenue to which it expects to be entitled for the transfer of promised goods or services to customers. The guidance requires a company to recognize revenue to depict the transfer of goods or services to customers in an amount that reflects the consideration it expects to be entitled to receive in exchange for those goods or services. The standard is effective beginning the first quarter of the Company’s 2018 fiscal year (with early adoption not permitted) and may be adopted either by restating all years presented in the Company’s financial statements or by recording the impact of adoption as an adjustment to retained earnings at the beginning of fiscal 2018 The Company is assessing the potential impact of the new standard on its consolidated statements of financial position and results of operations and comprehensive income (loss) and has not yet selected a transition method.</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August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(or within one year after the date on which the financial statements are available to be issued, when applicable). Further, an entity must provide certain disclosures if there is “substantial doubt about the entity’s ability to continue as a going concern.” The ASU is effective for annual periods ending after December 15, 2016, and interim periods thereafter; early adoption is permitted. The Company is evaluating the impact the adoption of ASU 2014-15 will have on its consolidated financial statements.</w:t>
      </w:r>
    </w:p>
    <w:p>
      <w:pPr>
        <w:spacing w:after="0" w:line="165"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In April 2015, the FASB issued ASU 2015 03, “Simplifying the Presentation of Debt Issuance Costs.” The guidance requires debt issuance costs to be presented in the balance sheet as a direct deduction from the carrying value of the associated debt, consistent with the presentation of a debt discount. The guidance is effective for annual reporting periods beginning after December 15, 2015 and interim periods thereafter. Early adoption is permitted. The Company does not believe the adoption of the new standard will have a material impact on its consolidated financial statements and disclosures.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2015 and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did not recognize any revenue for the three months ended March 31, 2015 or 2014. However, we had $7.1 million in AFREZZA product sales to Sanofi, which were recorded as deferred product sales from collaboration as the criteria for revenue recognition had not been met.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three months ended March 31, 2015 and 2014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7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520" w:type="dxa"/>
            <w:vAlign w:val="bottom"/>
          </w:tcPr>
          <w:p>
            <w:pPr>
              <w:spacing w:after="0"/>
              <w:rPr>
                <w:sz w:val="14"/>
                <w:szCs w:val="14"/>
                <w:color w:val="auto"/>
              </w:rPr>
            </w:pPr>
          </w:p>
        </w:tc>
        <w:tc>
          <w:tcPr>
            <w:tcW w:w="17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18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40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$3,826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(5,353)</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Manufacturing process development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3,405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10,748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(7,343)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9,377</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26,182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(16,805</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decrease in research and development expenses of $16.8 million for the three months ended March 31, 2015 compared to the three months ended March 31, 2014 was primarily due to a decrease of $7.3 million in manufacturing process development expenses as we shifted to commercial production of AFREZZA. Additionally, clinical expenses decreased $5.4 million upon the completion of the affinity trials and stock-based compensation expense decreased $4.0 million due to the achievement of performance-based grants in 2014.</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anticipate that our overall research and development expenses will decrease in 2015 compared to 2014 as we focus on commercial manufacturing efforts related to the Sanofi License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three months ended March 31, 2015 and 2014 (dollars in thousands):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Salaries and employee related expenses</w:t>
            </w: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4,068</w:t>
            </w:r>
          </w:p>
        </w:tc>
        <w:tc>
          <w:tcPr>
            <w:tcW w:w="2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Professional fees and other general expenses</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5,073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750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6,088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(4,916)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10,479</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15,229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(4,750</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decrease in general and administrative expenses of $4.8 million for the three months ended March 31, 2015 compared to the three months ended March 31, 2014 was primarily due to a $4.9 million decrease in stock-based compensation expense as a result of the achievement of performance-based grants in 2014. The $0.6 million decrease in salaries and employee related expenses for the three months ended March 31, 2015 was offset by a $0.8 million increase in consulting and legal fees related to strategic planning.</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expect general and administrative expenses for the full year to decrease in 2015 as compared to 2014 due to reduced professional fees and stock-based compensation expense.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Manufacturing</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Product manufacturing was $1.8 million for the three months ended March 31, 2015 due to product manufacturing costs associated with Afrezza product sales, which are not capitalizable.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Other income was $1.4 million for the three months ended March 31, 2015 as compared to other expense of $5.9 million for the three months ended March 31, 2014. In 2015, other income reflects the relief of an accrual for potential expenses associated with the sale of intellectual property related to oncology in 2014, which was subsequently resolved without payment. Other expense of $5.9 million for the three months ended March 31, 2014 was primarily a $6.4 million non-cash charge recognized upon the conversion of 2019 notes into equity.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Interest expense increased by $5.6 million for the three months ended March 31, 2015 compared to the three months ended March 31, 2014. The increase was primarily due to an incremental interest expense of $5.8 million resulting from the achievement and re-measurement of the second milestone under the Milestone Agreement in the first quarter of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To date, we have funded our operations through the sale of equity securities and convertible debt securities, borrowings under the Loan Arrangement with The Mann Group, borrowings under the Facility Agreement with Deerfield, and receipt of upfront and milestone payments under the Sanofi License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2015, we had $232.5 million principal amount of outstanding debt, consisting of:</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$100.0 million principal amount of 2015 notes bearing interest at 5.75% per annum and maturing on August 15, 2015;</w:t>
      </w:r>
    </w:p>
    <w:p>
      <w:pPr>
        <w:spacing w:after="0" w:line="130" w:lineRule="exact"/>
        <w:rPr>
          <w:rFonts w:ascii="Arial" w:cs="Arial" w:eastAsia="Arial" w:hAnsi="Arial"/>
          <w:sz w:val="18"/>
          <w:szCs w:val="18"/>
          <w:color w:val="auto"/>
        </w:rPr>
      </w:pPr>
    </w:p>
    <w:p>
      <w:pPr>
        <w:jc w:val="both"/>
        <w:ind w:left="900" w:right="100" w:hanging="325"/>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$60.0 million principal amount of 2019 notes bearing interest at 9.75% per annum, $5.0 million of which is due and payable in July 2016, $15.0 million of which is due and payable in July 2017, $15.0 million of which is due and payable in July 2018 and $25.0 million of which is due and payable in July and December 2019;</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 million principal amount of Tranche B notes bearing interest at 8.75% per annum, $5.0 million of which is due and payable in each of May 2017, 2018 and 2019, the balance of which is due and payable in December 2019;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$49.5 million principal amount of indebtedness under the Loan Arrangement bearing interest at 5.84% and maturing and due on January 5, 2020.</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$3.0 million principal amount borrowed under the Sanofi Loan Facility to fund our share of net losses under the Sanofi License Agreement.</w:t>
      </w:r>
    </w:p>
    <w:p>
      <w:pPr>
        <w:spacing w:after="0" w:line="23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 of March 31, 2015, the amount available for future borrowings under the Loan Arrangement was $30.1 million. We anticipate using a portion of these available borrowings to capitalize accrued interest into principal, upon mutual agreement of the parties, as it becomes due and payable under the Loan Arrangement.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In addition, we may borrow up to an aggregate $175.0 million pursuant to the Sanofi Loan Facility to fund our share of net losses under the Sanofi License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Agreement. As of March 31, 2015 we borrowed $3.0 million under the Sanofi Loan Facility. Subsequent to March 31, 2015, we borrowed an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$12.4 million under the Sanofi Loan Facility to finance our share of the net losses for the first quarter of 2015, which was reclassified from current deferred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payments from collaboration to other long term liabilities, for a total of $15.4 million classified as other long term liabilities. We will be required to make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mandatory prepayments on any outstanding loans under the Sanofi Loan Facility from our share of any profits under the Sanofi License Agreement.</w:t>
      </w:r>
    </w:p>
    <w:p>
      <w:pPr>
        <w:spacing w:after="0" w:line="22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In connection with the execution of the Facility Agreement, on July 1, 2013 we issued Milestone Rights to the Milestone Purchasers. The Milestone Rights provide the Milestone Purchasers certain rights to receive payments of up to $90.0 million upon the occurrence of specified strategic and sales milestones, including the first commercial sale of an AFREZZA product and the achievement of specified net sales figures.</w:t>
      </w:r>
    </w:p>
    <w:p>
      <w:pPr>
        <w:spacing w:after="0" w:line="166"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the first quarter of 2015, the second milestone triggering event was achieved following our product launch on February 3, 2015. In connection with the milestone triggering event, we paid a $10.0 million payment to Deerfield pursuant to the terms of the Milestone Agreement in the first quarter of 2015.</w:t>
      </w:r>
    </w:p>
    <w:p>
      <w:pPr>
        <w:spacing w:after="0" w:line="1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March 2014, we entered into an At-The-Market Issuance Sales Agreement with MLV &amp; Co. LLC (“MLV”) and an At-The-Market Issuance Sales Agreement with Meyers Associates, L.P. (doing business as Brinson Patrick, a division of Meyers Associates, L.P.) (“Brinson Patrick”). We refer to the foregoing agreements as the “ATM Agreements.” Under each ATM Agreement, we may issue or sell shares of our common stock having an aggregate offering price of up to $50.0 million from time to time through MLV or Brinson Patrick, as our sales agents, provided in no event may we sell more than $50.0 million of common stock under both agreements in the aggregate, and provided no sales may be made except pursuant to an effective registration statement. The registration statement under which the shares that may be sold pursuant to the ATM Agreements are registered will expire in August 2015. We expect that all or substantially all sales of our common stock made under the ATM Agreements, if any, will be made in “at the market” offerings as defined in Rule 415 of the Securities Act of 1933, as amended. We have not yet sold or issued any shares of our common stock under the ATM Agreements. There can be no assurance that we will be able to access capital through the ATM Agreements on a timely basis, or at all.</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11, 2014, we and Sanofi executed the Sanofi License Agreement, which subsequently became effective on September 23, 2014. Pursuant to the Sanofi License Agreement, we received a $150.0 million upfront payment and subsequent milestone payments of $50.0 million upon satisfaction of certain manufacturing milestones specified in the Sanofi License Agreement. We are eligible to earn up to $725.0 million in further development, regulatory and sales milestones, and are also eligible to receive a share of profits on sales of AFREZZA. Worldwide profits and losses will be shared 65% by Sanofi and 35% by us. Pursuant to a separate supply agreement, we will manufacture AFREZZA at our manufacturing facility in Danbury, Connecticut to supply Sanofi’s demand for AFREZZA.</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Pursuant to the Insulin Supply Agreement with Amphastar, we have agreed to purchase annual minimum quantities of insulin under the Insulin Supply Agreement of an aggregate total of approximately €120.1 million in calendar years 2015 through 2019.</w:t>
      </w:r>
    </w:p>
    <w:p>
      <w:pPr>
        <w:spacing w:after="0" w:line="17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During the three months ended March 31, 2015, our operations provided $3.0 million of cash and we had a net loss of $30.7 million, which included $5.0 million of non-cash charges consisting of depreciation and accretion, and stock-based compensation. By comparison, during the three months ended March 31, 2014, we used $37.0 million of cash for our operations and had a net loss of $52.1 million, which included $20.3 million of non-cash charges consisting of depreciation and accretion and stock-based compensation. The operating cash flow increased by $40.0 million primarily due to the receipt of a $50.0 million milestone payment from Sanofi, earned as of December 31, 2014, offset by $5.8 million interest expense associated with the achievement and payment of the second milestone to Deerfield for product launch on February 3, 2015 and decreases in accrued expenses primarily due to the $4.9 million inventory payment to Amphastar and a $2.9 million interest payment related to the 2015 notes. During the three months ended March 31, 2014, operating cash flow decreased by $5.7 million primarily due to decreases in accrued expenses associated with the clinical trials and accrued interest associated with our loan arrangement with The Mann Group. The change was also due to incremental expenses associated with employee compensation. We generally expect our operating cash flow to be negative at least until we achieve profitability with AFREZZA.</w:t>
      </w:r>
    </w:p>
    <w:p>
      <w:pPr>
        <w:spacing w:after="0" w:line="16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used $4.2 million of cash for investing activities during the three months ended March 31, 2015, compared to $1.4 million of cash used for the three months ended March 31, 2014. The increase was due to purchases of additional machinery and equipment for the commercialization of AFREZZA in 2015 compared to 2014.</w:t>
      </w:r>
    </w:p>
    <w:p>
      <w:pPr>
        <w:spacing w:after="0" w:line="18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Our financing activities provided $1.2 million of cash for the three months ended March 31, 2015, compared to $3.4 million for the three months ended March 31, 2014. For the three months ended March 31, 2015, cash provided by financing activities was $6.2 million in warrant exercises and exercises of stock options offset by a $4.2 million outflow associated with the achievement and payment of the second milestone to Deerfield for product launch on February 3, 2015. For the three months ended March 31, 2014, cash provided by financing activities was from $1.9 million in warrant exercises and $1.5 million from the exercise of stock options.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As of March 31, 2015, we had $120.8 million in cash and cash equivalents. We expect to continue to incur significant expenditures to support commercial manufacturing of AFREZZA and the development of other product candidates. In addition, the 2015 notes in the aggregate principal amount of $100.0 million have a maturity date of August 15, 2015, and payment on the outstanding amount is due in full, if not converted into common shares, on that date. Based upon our current operating plan, assuming we will be able to convert or refinance the 2015 notes, we believe that our existing cash and cash equivalents will enable us to fund our operating expenses and capital requirements for at least the next 12 months. We may need to raise additional capital, whether through the sale of equity or debt securities, additional strategic business collaborations, the establishment of other funding facilities, licensing arrangements, asset sales or other means. However, we cannot provide assurances that such additional capital, if needed, will be available through these or other means.</w:t>
      </w:r>
    </w:p>
    <w:p>
      <w:pPr>
        <w:spacing w:after="0" w:line="19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intend to use our capital resources to support the commercialization of AFREZZA. We are expending a portion of our capital resources to scale up our manufacturing and development activity capabilities in our Danbury facilities and to develop our other product candidates. We also intend to use our capital resources for general corporate purposes.</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we enter into strategic business collaborations with respect to our other product candidates, we would expect, as part of the transaction, to receive additional capital. In addition, we expect to pursue the sale of equity and/or debt securities, including potentially sales of our common stock through the ATM Agreements,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69"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if needed, through equity or debt financing or entering business collaborations, we may be required to reduce expenses through the delay, reduction or curtailment of our projects, or further reduction of costs for facilities and administration, and there could be substantial doubt about our ability to continue as a going concern.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2015, we did not have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Due to the fixed interest rates of our debt, we currently do not have an exposure to changes in our interest expense as a result of changes in interest rates. The interest rate on amounts borrowed under our Loan Arrangement with The Mann Group for the three months ended March 31, 2015 was a fixed rate equal to 5.84%. As of March 31, 2015, the total principal amount outstanding under the Loan Arrangement was $49.5 million. We also have debt related to the 2015 notes at a fixed interest rate of 5.75%, debt related to the 2019 notes at a fixed interest rate of 9.75%, and debt related to the Tranche B notes at a fixed interest rate of 8.75%.</w:t>
      </w:r>
    </w:p>
    <w:p>
      <w:pPr>
        <w:spacing w:after="0" w:line="18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current policy requires us to maintain a highly liquid short-term investment portfolio consisting mainly of U.S. money market funds and investment-grade corporate, government and municipal debt. None of these investments are entered into for trading purposes. Our cash is deposited in and invested through highly rated financial institutions in North America.</w:t>
      </w:r>
    </w:p>
    <w:p>
      <w:pPr>
        <w:spacing w:after="0" w:line="18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If a change in interest rates equal to 10% of the interest rates on March 31, 2015 were to have occurred, this change would not have had a material effect on the value of our short-term investment portfolio or on our interest expense obligations with respect to outstanding borrowed amounts.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will incur significant expenditures for insulin supply obligation under our supply agreement with Amphastar. Such obligations are denominated in the euros. At the end of each reporting period, these liabilities are converted to U.S. dollars at the then-applicable foreign exchange rate. As a result, our business is affected by fluctuations in exchange rates between the U.S. dollar and foreign currencies. We have not entered into foreign currency hedging transactions to mitigate our exposure to foreign currency exchange risks, but may enter into foreign currency hedging transactions in the future. Exchange rate fluctuations may adversely affect our expenses, results of operations, financial position and cash flows. During the three months ended March 31, 2015, we were required to purchase the minimum quarterly supply purchases of insulin contemplated under our supply agreement with Amphastar, and if a change in the U.S. dollar to euro exchange rate equal to 10% of the U.S. dollar to euro exchange rate on March 31, 2015 were to have occurred on March 31, 2015, this change would not have had a material effect on our results of operations or financial condition.</w:t>
      </w:r>
    </w:p>
    <w:p>
      <w:pPr>
        <w:sectPr>
          <w:pgSz w:w="11900" w:h="16838" w:orient="portrait"/>
          <w:cols w:equalWidth="0" w:num="1">
            <w:col w:w="11420"/>
          </w:cols>
          <w:pgMar w:left="240" w:top="459" w:right="2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March 31, 2015.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2015, our Chief Executive Officer and Chief Financial Officer concluded that, as of such date, our disclosure controls and procedures were effective at a reasonable assurance level.</w:t>
      </w:r>
    </w:p>
    <w:p>
      <w:pPr>
        <w:spacing w:after="0" w:line="18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Management determined that, as of March 31, 2015, there were no changes in our internal control over financial reporting except for the implementation of controls to address product sales cycle, that occurred during the fiscal quarter then ended that have materially affected, or are reasonably likely to materially affect, our internal control over financial reporting.</w:t>
      </w:r>
    </w:p>
    <w:p>
      <w:pPr>
        <w:spacing w:after="0" w:line="181"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On February 3, 2015, Sanofi achieved the first commercial sale of AFREZZA. We have designed and implemented new processes and internal controls to address product sales cycle to ensure that information required to be disclosed by us is recorded, processed, summarized and reported. The addition of this new control processes is considered a material change in our system of internal controls over financial reporting.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our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heavily on the successful commercialization of our only approved product, AFREZZA.</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expended significant time, money and effort in the development of our only approved product, AFREZZA. We anticipate that in the near term, our ability to generate revenues will depend on the successful commercialization of AFREZZA. On August 11, 2014, we executed the Sanofi License Agreement, which became effective on September 23, 2014. Pursuant to the Sanofi License Agreement, Sanofi is responsible for global commercial, regulatory and development activities for AFREZZA and we are responsible for manufacturing AFREZZA at our facility in Danbury, Connecticut to supply Sanofi’s demand for the product. On February 3, 2015, we and Sanofi announced that AFREZZA had become available by prescription in United States retail pharmacies. We and Sanofi must receive the necessary approvals from foreign regulatory agencies before AFREZZA can be marketed outside of the United States.</w:t>
      </w:r>
    </w:p>
    <w:p>
      <w:pPr>
        <w:spacing w:after="0" w:line="16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Even with such regulatory approval, we and Sanofi, ultimately may be unable to gain market acceptance of AFREZZA for a variety of reasons, including the treatment and dosage regimen, potential adverse effects, the availability of alternative treatments and lack of coverage or adequate reimbursement. If we fail to commercialize AFREZZA successfully, our business, financial condition and results of operations will be materially and adversely affected.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sought to develop our other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other product candidates, or if we are significantly delayed in doing so, our business, financial condition and results of operations will be harmed and the market price of our common stock and other securities could decline.</w:t>
      </w:r>
    </w:p>
    <w:p>
      <w:pPr>
        <w:spacing w:after="0" w:line="2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are dependent on our collaboration with Sanofi to further develop and to commercialize AFREZZA worldwide. This collaboration places the development and commercialization largely outside our control, and poor performance under or failure to maintain the collaboration agreement between us and Sanofi could have a material and adverse impact on our business, financial condition and results of operations and the market price of our common stock and other securities could decline.</w:t>
      </w:r>
    </w:p>
    <w:p>
      <w:pPr>
        <w:spacing w:after="0" w:line="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entered into the Sanofi License Agreement to provide for the future development and commercialization of AFREZZA. We cannot be certain that our collaboration with Sanofi will continue for as long as there is a potential market for AFREZZA. Both we and Sanofi have certain rights to terminate the collaboration agreement, in certain circumstances, including a right by Sanofi to terminate the agreement upon specified prior written notice. If the agreement is terminated prior to the end of the commercial life of AFREZZA, we may not be able to find another collaborator for the development and commercialization of AFREZZA, and even if we elected to pursue further development and commercialization of AFREZZA on our own, we might not be able to do so successfully and would experience substantially increased capital requirements that we might not be able to fund. Our dependence on Sanofi and the Sanofi License Agreement subjects us to a number of risks, including:</w:t>
      </w:r>
    </w:p>
    <w:p>
      <w:pPr>
        <w:spacing w:after="0" w:line="83" w:lineRule="exact"/>
        <w:rPr>
          <w:sz w:val="20"/>
          <w:szCs w:val="20"/>
          <w:color w:val="auto"/>
        </w:rPr>
      </w:pPr>
    </w:p>
    <w:p>
      <w:pPr>
        <w:ind w:left="900" w:right="680" w:hanging="325"/>
        <w:spacing w:after="0" w:line="34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Sanofi may not perform as expected and we may not be able to control the amount and timing of resources that Sanofi may devote to the development or commercialization of AFREZZA; moreover, Sanofi may elect to prioritize its other insulin products over AFREZZA;</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and Sanofi could disagree as to commercialization and development plans and Sanofi may delay clinical trials or stop a clinical trial;</w:t>
      </w:r>
    </w:p>
    <w:p>
      <w:pPr>
        <w:spacing w:after="0" w:line="142" w:lineRule="exact"/>
        <w:rPr>
          <w:rFonts w:ascii="Arial" w:cs="Arial" w:eastAsia="Arial" w:hAnsi="Arial"/>
          <w:sz w:val="17"/>
          <w:szCs w:val="17"/>
          <w:color w:val="auto"/>
        </w:rPr>
      </w:pPr>
    </w:p>
    <w:p>
      <w:pPr>
        <w:ind w:left="900" w:right="18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may be disputes between us and Sanofi, including disagreements regarding the Sanofi License Agreement, that may result in (a) the delay of (or prevent entirely) the achievement of regulatory and commercial objectives that would result in milestone payments, (b) the delay or termination of the development or commercialization of AFREZZA, and/or (c) costly litigation or arbitration that diverts our management’s attention and resources;</w:t>
      </w:r>
    </w:p>
    <w:p>
      <w:pPr>
        <w:spacing w:after="0" w:line="92"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Sanofi may not comply with applicable regulatory guidelines with respect to the development or commercialization of AFREZZA, which could adversely impact the development of or sales of AFREZZA and could result in administrative or judicially imposed sanctions, including warning letters, civil and criminal penalties, injunctions, product seizures or detention, product recalls, total or partial suspension of production and refusal to approve any new drug applications;</w:t>
      </w:r>
    </w:p>
    <w:p>
      <w:pPr>
        <w:spacing w:after="0" w:line="92"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Sanofi may not provide us with timely and accurate information regarding sales activities and supply forecasts, which could adversely impact our ability to comply with our manufacturing and supply obligations under our supply agreement with Sanofi and our and Sanofi’s ability to commercialize AFREZZA;</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Sanofi may experience financial difficulties;</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combinations or significant changes in Sanofi’s business strategy may also adversely affect Sanofi’s ability to perform its obligations under the Sanofi License Agreement;</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Sanofi may not properly maintain or defend our intellectual property rights or may use our proprietary information in such a way as to invite litigation that could jeopardize or invalidate our proprietary information or expose us to potential litigation; and</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notwithstanding the non-competition requirements in the Sanofi License Agreement, Sanofi could independently move forward with a competing product candidate developed either independently or in collaboration with others, including our competitors.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Any failure of Sanofi to adequately perform its obligations under the Sanofi License Agreement or the termination of such agreement could have a material and adverse impact on our business, financial condition and results of operations and the market price of our common stock and other securities could decline.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never been profitable or generated positive cash flow from cumulative operations to date. Historically, we have reported negative cash flow from operations other than for the nine months ended September 30, 2014 and for the three months ended March 31, 2015 as a result of our receipt of the upfront payment and milestone payments. As of March 31, 2015, we had an accumulated deficit of $2.5 billion.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support the commercialization of AFREZZA, including costs and expenses to manufacture AFREZZA on a commercial scale. In addition, we have agreed to purchase annual minimum quantities of insulin under the Insulin Supply Agreement with Amphastar in the aggregate of approximately €120.1 million in calendar years 2015 through 2019. We may not have the necessary capital resources on hand in order to service this contractual commitment, and we may become obligated to make additional payments under the Insulin Supply Agreement in the event of its termination under certain scenarios. Our cumulative net loss may therefore increase significantly.</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date, we have received cash payments from Sanofi but have deferred revenue recognition of such payments. We will continue to defer revenue recognition of future milestone payments and payments from product sales as and to the extent appropriate under applicable revenue recognition rules. Accordingly, even if we continue to earn and receive milestone payments, revenue recognition may continue to be deferred and our cumulative net loss may therefore be higher than it would be if we recognized the full amount of the milestone payments upon receipt.</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As of March 31, 2015, we had stockholders’ deficit of $97.0 million. Our ability to achieve and sustain positive cash flow from operations and profitability depends heavily upon successfully commercializing AFREZZA in collaboration with Sanofi, and we cannot be sure when we will generate positive cash flow from operations or become profitable, if at 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future we may need to raise additional capital to fund our operations.*</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the future, we may need to raise additional capital, whether through the sale of equity or debt securities, additional strategic business collaborations, the establishment of other funding facilities, licensing arrangements, asset sales or other means, in order to support our ongoing activities related to the commercialization of AFREZZA and the development of other product candidates. It may be difficult for us to raise additional funds when and to the extent required or on favorable terms, or at all. As of March 31, 2015, we had stockholders’ deficit of $97.0 million, which may raise concerns about our solvency and affect our ability to raise additional capital. The extent of our additional funding requirements will depend on a number of factors, including:</w:t>
      </w:r>
    </w:p>
    <w:p>
      <w:pPr>
        <w:spacing w:after="0" w:line="64" w:lineRule="exact"/>
        <w:rPr>
          <w:sz w:val="20"/>
          <w:szCs w:val="20"/>
          <w:color w:val="auto"/>
        </w:rPr>
      </w:pPr>
    </w:p>
    <w:p>
      <w:pPr>
        <w:ind w:left="900" w:right="6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demand by any or all of the holders of the 2015 notes, 2019 notes, and Tranche B notes to require us to repay or repurchase such debt securities if and when required;</w:t>
      </w:r>
    </w:p>
    <w:p>
      <w:pPr>
        <w:spacing w:after="0" w:line="75"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repay or refinance existing indebtedness, including indebtedness under the 2015 notes which mature in August 2015; and the extent to which the 2015 notes or any other convertible debt securities we may issue are converted into shares of our common stock;</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obligation to make milestone payments pursuant to the Milestone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obligation to bear our share of net losses under the Sanofi License Agreement;</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degree of success in commercializing AFREZZA;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actions taken by the FDA and other regulatory authorities affecting AFREZZA and our product candidates and competitive products;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and/or decommissioning existing facilities, if we undertake any such activities.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raised capital in the past through the sale of equity and debt securities and we may in the future pursue the sale of additional equity and/or debt securities, including sales of our common stock through our at-the-market sales agreements, or the establishment of other funding facilities including asset-based borrowings. There can be no assurances, however, that we will be able to raise additional capital on acceptable terms, or at all. 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may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may seek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8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the event that sufficient additional funds are not obtained through strategic collaboration opportunities, sales of securities, funding facilities, licensing arrangements and/or asset sales on a timely basis, we may be required to reduce expenses through the delay, reduction or curtailment of our projects, or further reduction of costs for facilities and administration.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17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cannot provide assurances that changed or unexpected circumstances, including, among other things, delays in manufacturing AFREZZA on a commercial scale, will not result in the depletion of our capital resources more rapidly than we currently anticipate, in which case we may be required to raise additional capital. There can be no assurances that we will be able to raise additional capital, if needed, on favorable terms, or at all. If we need but cannot raise adequate additional capital in the future we will be required to reduce expenses through the delay, reduction or curtailment of our projects, or further reduction of costs for facilities and administration, and there could be substantial doubt about our ability to continue as a going concern.</w:t>
      </w:r>
    </w:p>
    <w:p>
      <w:pPr>
        <w:spacing w:after="0" w:line="26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We have a substantial amount of debt pursuant to the 2015 notes, 2019 notes, Tranche B notes, and our loan arrangement with The Mann Group LLC, may incur additional indebtedness under such loan arrangement as well as the Sanofi Loan Facility and may be unable to make required payments of interest and principal as they become due.*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2015, we had $232.5 million principal amount of outstanding debt, consisting of:</w:t>
      </w:r>
    </w:p>
    <w:p>
      <w:pPr>
        <w:spacing w:after="0" w:line="13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$100.0 million principal amount of 2015 notes bearing interest at 5.75% per annum and maturing on August 15, 2015;</w:t>
      </w:r>
    </w:p>
    <w:p>
      <w:pPr>
        <w:spacing w:after="0" w:line="130" w:lineRule="exact"/>
        <w:rPr>
          <w:rFonts w:ascii="Arial" w:cs="Arial" w:eastAsia="Arial" w:hAnsi="Arial"/>
          <w:sz w:val="18"/>
          <w:szCs w:val="18"/>
          <w:color w:val="auto"/>
        </w:rPr>
      </w:pPr>
    </w:p>
    <w:p>
      <w:pPr>
        <w:jc w:val="both"/>
        <w:ind w:left="900" w:right="14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$60.0 million principal amount of 2019 notes bearing interest at 9.75% per annum, $5.0 million of which is due and payable in July 2016, $15.0 million of which is due and payable in July 2017, $15.0 million of which is due and payable in July 2018 and $25.0 million of which is due and payable in July and December 2019;</w:t>
      </w:r>
    </w:p>
    <w:p>
      <w:pPr>
        <w:spacing w:after="0" w:line="86"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$20.0 million principal amount of Tranche B notes bearing interest at 8.75% per annum, $5.0 million of which is due and payable in each of May 2017, 2018 and 2019, the balance of which is due and payable in December 2019; and</w:t>
      </w:r>
    </w:p>
    <w:p>
      <w:pPr>
        <w:spacing w:after="0" w:line="75"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$49.5 million principal amount of indebtedness under the loan arrangement, dated as of October 2, 2007, between us and The Mann Group LLC (as amended, restated or otherwise modified as of the date hereof, the “Loan Arrangement”) bearing interest at 5.84% and maturing and due on January 5, 2020.</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$3.0 million principal amount borrowed under the Sanofi Loan Facility to fund our share of net losses under the Sanofi License Agreement.</w:t>
      </w:r>
    </w:p>
    <w:p>
      <w:pPr>
        <w:spacing w:after="0" w:line="23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addition, we may borrow up to an aggregate $175.0 million pursuant to the Sanofi Loan Facility to fund our share of net losses under the Sanofi License Agreement ($3.0 million of which has been borrowed and is outstanding as of March 31, 2015), and an additional $30.1 million under the Loan Arrangement. Subsequent to March 31, 2015, we borrowed an additional $12.4 million under the Sanofi Loan Facility to finance the portion of our losses for the three months ended March 31, 2015. As of March 31, 2015, our total share of the net losses are $15.4 million, classified as other long term liabilities, and such as been borrowed under the Sanofi Loan Facility as of May 4, 2015. There can be no assurance that we will have sufficient resources to make any required repayments of principal under the 2015 notes, 2019 notes or Tranche B notes when required. Further, if we undergo a fundamental change, as that term is defined in the indentures governing the terms of the 2015 notes, or certain Major Transactions as defined in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The 2015 notes bear interest at the rate of 5.75% per year on the outstanding principal amount, payable in cash semiannually in arrears on February 15 and August 15 of each year, and the 2019 notes bear interest at the rate of 9.75% per year on the outstanding principal amount, payable in cash quarterly in arrears on the last business day of March, June, September and December of each year. The Tranche B notes bear interest at the rate of 8.75% on the outstanding principal amount, payable in cash quarterly in arrears on the last business day of March, June, September and December of each year. Loans under the Sanofi Loan</w:t>
      </w:r>
    </w:p>
    <w:p>
      <w:pPr>
        <w:sectPr>
          <w:pgSz w:w="11900" w:h="16838" w:orient="portrait"/>
          <w:cols w:equalWidth="0" w:num="1">
            <w:col w:w="11420"/>
          </w:cols>
          <w:pgMar w:left="240" w:top="459" w:right="239"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Facility bear interest at a rate of 8.5% per annum, paid-in-kind on a quarterly basis (2.06% per quarter compounded). Loans under the Loan Arrangement accrue interest at a rate of 5.84% per annum, due and payable quarterly in arrears on the first day of each calendar quarter for the preceding quarter, or at such other time as we and The Mann Group LLC mutually agree. While we have been able to timely make our required interest payments to date, we cannot guarantee that we will be able to do so in the future. If we fail to pay interest on the 2015 notes, 2019 notes, Tranche B notes, or on the loans under the Sanofi Loan Facility, or if we fail to repay or repurchase the 2015 notes, 2019 notes, Tranche B notes, or the loans under the Sanofi Loan Facility when required, we will be in default under the indenture or other applicable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27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agreements governing our indebtedness contain covenants that we may not be able to meet and place restrictions on our operating and financial flexibility.</w:t>
      </w:r>
    </w:p>
    <w:p>
      <w:pPr>
        <w:spacing w:after="0" w:line="6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obligations under the Facility Agreement, including any indebtedness under the 2019 notes and the Tranche B notes, and the Milestone Agreement are secured by substantially all of our assets, including our intellectual property, accounts receivables, equipment, general intangibles, inventory (excluding the insulin inventory) and investment property, and all of the proceeds and products of the foregoing. Our obligations under the Facility Agreement and the Milestone Agreement are also secured by a certain mortgage on our facility in Danbury, Connecticut. Our obligations under the Sanofi Loan Facility are secured by a first priority mortgage on our facility in Valencia, California, a first priority security interest in certain insulin inventory located in the United States and any contractual rights and obligations pursuant to which we purchase or have purchased such insulin, and a second priority security interest in our assets that secure our obligations under the Facility Agreement.</w:t>
      </w:r>
    </w:p>
    <w:p>
      <w:pPr>
        <w:spacing w:after="0" w:line="17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 include: our failure to timely make payments due under the 2019 notes or the Tranche B notes;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including amounts available to us under the Loan Arrangement, falling below $25.0 million as of the last day of any fiscal quarter. If one or more events of default under the Facility Agreement occurs and continues beyond any applicable cure period, the holders of the 2019 notes and Tranche B notes may declare all or any portion of the 2019 notes and Tranche B notes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Similarly, the Sanofi Loan Facility includes customary representations, warranties and covenants by us, including restrictions on our ability to incur additional indebtedness, grant certain liens and make certain changes to our organizational documents. Events of default under the Sanofi Loan Facility include: our failure to make timely payments due under the Sanofi Loan Facility; inaccuracies in our representations and warranties to the lender; our failure to comply with any of our covenants under any of the Sanofi Loan Facility or certain other related security agreements and documents entered into in connection with the Sanofi Loan Facility, subject to a cure period with respect to most covenants; our insolvency or the occurrence of certain bankruptcy-related events; termination by Sanofi of the Sanofi License Agreement as a result of our breach of the Sanofi License Agreement; and the failure of any material provision under any of the Sanofi Loan Facility or certain other related security agreements and documents entered into in connection with the Sanofi Loan Facility to remain in full force and effect. If one or more events of default occurs and is continuing, the lender may terminate its obligation to make advances under the Sanofi Loan Facility, and, if certain specified events of default (including our failure to timely make payments due under the Sanofi Loan Facility; our failure to comply with the negative covenants under the Sanofi Loan Facility limiting our ability to incur additional indebtedness or grant certain liens; our insolvency or the occurrence of certain bankruptcy-related events; termination by Sanofi of the Sanofi License Agreement as a result of our breach of the non-compete provisions of the Sanofi License Agreement; or the failure of any material provision under any of the Sanofi Loan Facility or certain other related security agreements and documents entered into in connection with the Sanofi Loan Facility to remain in full force and effect) occur and are continuing, the lender may accelerate all of our repayment obligations under the Sanofi Loan Facility and otherwise exercise any of its remedies as a secured creditor.</w:t>
      </w:r>
    </w:p>
    <w:p>
      <w:pPr>
        <w:spacing w:after="0" w:line="17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There can be no assurance that we will be able to comply with the covenants under any of the foregoing agreements, and we cannot predict whether the holders of the 2019 notes or Tranche B notes or the lender under the Sanofi Loan Facility would demand repayment of the outstanding balance of the 2019 notes, the Tranche B notes or the loans under the Sanofi Loan Facility as applicable 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and the holders of our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other securities.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2015 notes. In the event of certain future defaults under the foregoing agreements for which we are not able to obtain waivers, the holders of the 2015 notes, 2019 notes and Tranche B notes and the lender under the Sanofi Loan Facility may accelerate all of our repayment obligations, and, with respect to the 2019 notes and Tranche B notes and the loans under the Sanofi Loan Facility, take control of our pledged assets, potentially requiring us to renegotiate the terms of our indebtedness on terms less favorable to us, or to immediately cease operations.</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we enter into additional debt arrangements, the terms of such additional arrangements could further restrict our operating and financial flexibility. In the event we must cease operations and liquidate our assets, the rights of any holders of our outstanding secured debt would be senior to the rights of the holders of our unsecured debt and our common stock to receive any proceeds from the liquidation.</w:t>
      </w:r>
    </w:p>
    <w:p>
      <w:pPr>
        <w:spacing w:after="0" w:line="289"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If we do not achieve our projected development goals in the timeframes we announce and expect, our business, financial condition and results of operations will be harmed and the market price of our common stock and other securities could decline.</w:t>
      </w:r>
    </w:p>
    <w:p>
      <w:pPr>
        <w:spacing w:after="0" w:line="3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94"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actions by regulators.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announce and expect (or within the timeframes expected by analysts or investors), our business, financial condition and results of operations will be harmed and the market price of our common stock and other securities may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number of established pharmaceutical companies have or are developing technologies for the treatment of unmet medical needs.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Forecasts about the effects of the use of drugs, including AFREZZA, over terms longer than the clinical studies or in much larger populations may not be consistent with the earlier clinical results. For example, with the approval of AFREZZA, the FDA has required a five-year, randomized, controlled trial in 8,000 – 10,000 patients with type 2 diabetes, the primary objective of which is to compare the incidence of pulmonary malignancy observed with AFREZZA to that observed in a standard of care control group. If long-term use of a drug results in adverse health effects or reduced efficacy or both, the FDA or other regulatory agencies may terminate our or our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ectPr>
          <w:pgSz w:w="11900" w:h="16838" w:orient="portrait"/>
          <w:cols w:equalWidth="0" w:num="1">
            <w:col w:w="11400"/>
          </w:cols>
          <w:pgMar w:left="240" w:top="459" w:right="259" w:bottom="1440" w:gutter="0" w:footer="0" w:header="0"/>
        </w:sectPr>
      </w:pP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459" w:right="2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87" w:lineRule="exact"/>
        <w:rPr>
          <w:sz w:val="20"/>
          <w:szCs w:val="20"/>
          <w:color w:val="auto"/>
        </w:rPr>
      </w:pPr>
    </w:p>
    <w:p>
      <w:pPr>
        <w:jc w:val="both"/>
        <w:ind w:left="900" w:right="20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86"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If our suppliers fail to deliver materials and services needed for the production of AFREZZA in a timely and sufficient manner, if they fail to comply with applicable regulations, or if we fail to identify and qualify alternative suppliers, our business, financial condition and results of operations would be harmed and the market price of our common stock and other securities could decline.</w:t>
      </w:r>
    </w:p>
    <w:p>
      <w:pPr>
        <w:spacing w:after="0" w:line="7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For the commercial manufacture of AFREZZA, we need access to sufficient, reliable and affordable supplies of insulin, our AFREZZA inhaler, the related cartridges and other materials. Currently, the only approved source of insulin for AFREZZA is manufactured by Amphastar. We must rely on our suppliers, including Amphastar, to comply with relevant regulatory and other legal requirements, including the production of insulin in accordance with the FDA’s current Good Manufacturing Practices (“cGMPs”) for drug products, and the production of the AFREZZA inhaler and related cartridges in accordance with Quality System Regulations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AFREZZA may be delayed. Likewise, if Amphastar ceases to manufacture or is otherwise unable to deliver insulin for AFREZZA, we will need to locate an alternative source of supply and the production of AFREZZA may be delayed. Pursuant to our supply agreement with Sanofi, we are required to identify alternative suppliers for all critical raw materials for the manufacture of AFREZZA within two years after the date of the agreement. However, there can be no assurance that we will be able to identify and qualify such suppliers within the time period required under the agreement. If any of our suppliers is unwilling or unable to meet its supply obligations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8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as an effective manufacturing organization or fail to engage third-party manufacturers with this capability, we may be unable to support commercialization of this product.*</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use our Danbury, Connecticut facility to formulate AFREZZA inhalation powder, fill plastic cartridges with the powder, package the cartridges in blister packs, and place the blister packs into foil pouches. We utilize a contract packager to assemble the final kits of foil-pouched blisters containing cartridges along with inhalers and the package insert.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of these factors could cause us to delay or suspend production, could entail higher costs and may result in our being unable to effectively support commercialization of AFREZZA. Furthermore, if we or a third-party manufacturer fail to deliver the required commercial quantities of the product or any raw material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 and could result in the termination of the Sanofi License Agreement by Sanofi at its election if specified circumstances exist and certain conditions are met.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6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AFREZZA and other products that we may develop in the future may not gain market acceptance among physicians, patients, third-party payors and the healthcare community. Failure to achieve market acceptance would limit our ability to generate revenue and would adversely affect our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AFREZZA and other products that we may develop in the future will depend on many factors, including the:</w:t>
      </w:r>
    </w:p>
    <w:p>
      <w:pPr>
        <w:spacing w:after="0" w:line="142"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30" w:lineRule="exact"/>
        <w:rPr>
          <w:rFonts w:ascii="Arial" w:cs="Arial" w:eastAsia="Arial" w:hAnsi="Arial"/>
          <w:sz w:val="18"/>
          <w:szCs w:val="18"/>
          <w:color w:val="auto"/>
        </w:rPr>
      </w:pPr>
    </w:p>
    <w:p>
      <w:pPr>
        <w:ind w:left="900" w:right="440" w:hanging="325"/>
        <w:spacing w:after="0" w:line="308"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effectiveness of efforts by us or our marketing partner(s) to educate physicians about the benefits and advantages of AFREZZA or our other products and to provide adequate support for them, and the perceived advantages and disadvantages of competitive products;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30"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coverage and pricing and reimbursement relative to other treatment therapeutics and methods;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get approved may not gain market acceptance, which would materially harm our business, financial condition and results of operations.</w:t>
      </w:r>
    </w:p>
    <w:p>
      <w:pPr>
        <w:spacing w:after="0" w:line="2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6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future revenues and ability to generate positive cash flow from operations may be affected by the continuing efforts of governments and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drug pricing and reimbursement reform proposals or legislation.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our marketing partner for AFREZZA, and companies that are prospective collaborators for our product candidates, our ability to commercialize AFREZZA and our product candidates under development may be adversely affected.</w:t>
      </w:r>
    </w:p>
    <w:p>
      <w:pPr>
        <w:spacing w:after="0" w:line="1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the United States and elsewhere, sales of prescription pharmaceuticals still depend in large part on the availability of coverage and adequate reimbursement to the consumer from third-party payors, such as governmental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may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ectPr>
          <w:pgSz w:w="11900" w:h="16838" w:orient="portrait"/>
          <w:cols w:equalWidth="0" w:num="1">
            <w:col w:w="11420"/>
          </w:cols>
          <w:pgMar w:left="240" w:top="459" w:right="2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we or our marketing partner are unable to obtain coverage of, and adequate payment levels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our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In March 2010, the Patient Protection and Affordable Care Act, as amended by the Health Care and Education Reconciliation Act (collectively, “PPACA”), became law in the United States. PPACA substantially changes the way healthcare is financed by both governmental and private insurers and significantly affects the healthcare industry. Among the provisions of PPACA of importance to us are the following:</w:t>
      </w:r>
    </w:p>
    <w:p>
      <w:pPr>
        <w:spacing w:after="0" w:line="94" w:lineRule="exact"/>
        <w:rPr>
          <w:sz w:val="20"/>
          <w:szCs w:val="20"/>
          <w:color w:val="auto"/>
        </w:rPr>
      </w:pPr>
    </w:p>
    <w:p>
      <w:pPr>
        <w:ind w:left="900" w:right="4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2.3% medical device excise tax on certain transactions, including many U.S. sales of medical devices, which currently includes and we expect will continue to include U.S. sales of certain drug-device combination products;</w:t>
      </w:r>
    </w:p>
    <w:p>
      <w:pPr>
        <w:spacing w:after="0" w:line="75"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80" w:hanging="325"/>
        <w:spacing w:after="0" w:line="34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right="60" w:hanging="325"/>
        <w:spacing w:after="0" w:line="30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new requirements to report annually to the Centers for Medicare &amp; Medicaid Services (“CMS”)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w:t>
      </w:r>
    </w:p>
    <w:p>
      <w:pPr>
        <w:spacing w:after="0" w:line="59"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new requirement to annually report drug samples that certain manufacturers and authorized distributors provide to physicians; and</w:t>
      </w:r>
    </w:p>
    <w:p>
      <w:pPr>
        <w:spacing w:after="0" w:line="142" w:lineRule="exact"/>
        <w:rPr>
          <w:rFonts w:ascii="Arial" w:cs="Arial" w:eastAsia="Arial" w:hAnsi="Arial"/>
          <w:sz w:val="17"/>
          <w:szCs w:val="17"/>
          <w:color w:val="auto"/>
        </w:rPr>
      </w:pPr>
    </w:p>
    <w:p>
      <w:pPr>
        <w:ind w:left="900" w:right="2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and will stay in effect through 2024 unless additional Congressional action is taken.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healthcare funding, which could have a material adverse effect on our customers and accordingly, our financial operations.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296"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If we or our marketing partner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1"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77" w:lineRule="exact"/>
        <w:rPr>
          <w:sz w:val="20"/>
          <w:szCs w:val="20"/>
          <w:color w:val="auto"/>
        </w:rPr>
      </w:pPr>
    </w:p>
    <w:p>
      <w:pPr>
        <w:ind w:left="900" w:hanging="325"/>
        <w:spacing w:after="0" w:line="279"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federal Anti-Kickback Statute, which constrains our business activities, including our marketing practices, educational programs, pricing policies, and relationships with healthcare providers or other entities by prohibiting, among other things,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76" w:lineRule="exact"/>
        <w:rPr>
          <w:rFonts w:ascii="Arial" w:cs="Arial" w:eastAsia="Arial" w:hAnsi="Arial"/>
          <w:sz w:val="17"/>
          <w:szCs w:val="17"/>
          <w:color w:val="auto"/>
        </w:rPr>
      </w:pPr>
    </w:p>
    <w:p>
      <w:pPr>
        <w:jc w:val="both"/>
        <w:ind w:left="900" w:right="40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86" w:lineRule="exact"/>
        <w:rPr>
          <w:rFonts w:ascii="Arial" w:cs="Arial" w:eastAsia="Arial" w:hAnsi="Arial"/>
          <w:sz w:val="18"/>
          <w:szCs w:val="18"/>
          <w:color w:val="auto"/>
        </w:rPr>
      </w:pPr>
    </w:p>
    <w:p>
      <w:pPr>
        <w:ind w:left="900" w:right="300" w:hanging="325"/>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which created new federal criminal statutes that prohibit, among other things, executing a scheme to defraud any healthcare benefit program or making false statements relating to healthcare matters;</w:t>
      </w:r>
    </w:p>
    <w:p>
      <w:pPr>
        <w:spacing w:after="0" w:line="29" w:lineRule="exact"/>
        <w:rPr>
          <w:rFonts w:ascii="Arial" w:cs="Arial" w:eastAsia="Arial" w:hAnsi="Arial"/>
          <w:sz w:val="16"/>
          <w:szCs w:val="16"/>
          <w:color w:val="auto"/>
        </w:rPr>
      </w:pPr>
    </w:p>
    <w:p>
      <w:pPr>
        <w:ind w:left="900" w:right="80" w:hanging="325"/>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(“HITECH”) and its implementing regulations, which imposes certain requirements relating to the privacy, security and transmission of individually identifiable health information;</w:t>
      </w:r>
    </w:p>
    <w:p>
      <w:pPr>
        <w:spacing w:after="0" w:line="29"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PPACA, which requires certain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92" w:lineRule="exact"/>
        <w:rPr>
          <w:rFonts w:ascii="Arial" w:cs="Arial" w:eastAsia="Arial" w:hAnsi="Arial"/>
          <w:sz w:val="18"/>
          <w:szCs w:val="18"/>
          <w:color w:val="auto"/>
        </w:rPr>
      </w:pPr>
    </w:p>
    <w:p>
      <w:pPr>
        <w:ind w:left="900" w:right="120" w:hanging="325"/>
        <w:spacing w:after="0" w:line="272"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and state laws that require drug manufacturers to report information related to payments and other transfer of value to physicians and other healthcare providers and entities.</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Because of the breadth of these laws and the narrowness of available statutory and regulatory exceptions, it is possible that some of our business activities could be subject to challenge under one or more of such laws. To the extent that AFREZZA or any of our product candidates that receives marketing approval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and criminal penalties, damages, fines, individual imprisonment, disgorgement, exclusion of products from reimbursement under U.S. federal or state healthcare programs,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In addition, we carry local clinical trial insurance policies per study in each country in which we conduct clinical studies that require us to carry</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459" w:right="2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coverage based on local statutory requirements. However, our insurance coverage may not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financial condition and results of operations would be harmed and the market price of our common stock and other securities may decline.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 force, particularly in the areas of manufacturing.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30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6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8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ectPr>
          <w:pgSz w:w="11900" w:h="16838" w:orient="portrait"/>
          <w:cols w:equalWidth="0" w:num="1">
            <w:col w:w="11420"/>
          </w:cols>
          <w:pgMar w:left="240" w:top="459" w:right="239" w:bottom="1440" w:gutter="0" w:footer="0" w:header="0"/>
        </w:sectPr>
      </w:pP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In addition, we are headquartered in Valencia, California. This facility contains our principal executive offices and is used to provide support for the development of our Technosphere technology programs.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and adversely affect, which may include stopping, our readiness for commercial production.</w:t>
      </w: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$4.0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During the construction of our expanded manufacturing facility, we excavated contaminated soil under the footprint of our building expansion location. The responsible party reimbursed us for our increased excavation and disposal costs of contaminated soil in the amount of $1.6 million. It has conducted at its expense all work and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5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7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8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3"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Even if we comply with regulatory requirements, we may not be able to obtain the labeling claims necessary or desirable for product promotion. We may also be required to undertake post-marketing studies. For example, the FDA is requiring the following post-marketing studies for AFREZZA:</w:t>
      </w:r>
    </w:p>
    <w:p>
      <w:pPr>
        <w:spacing w:after="0" w:line="29"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clinical trial to evaluate pharmacokinetics, safety and efficacy in pediatric patients;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clinical trial to evaluate the potential risk of pulmonary malignancy with AFREZZA (as well as cardiovascular risk and the long-term effect of AFREZZA on pulmonary function);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two pharmacokinetic-pharmacodynamic studies, one to characterize dose-response and one to characterize within-subject variability.</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financial condition and results of operations.</w:t>
      </w:r>
    </w:p>
    <w:p>
      <w:pPr>
        <w:sectPr>
          <w:pgSz w:w="11900" w:h="16838" w:orient="portrait"/>
          <w:cols w:equalWidth="0" w:num="1">
            <w:col w:w="11380"/>
          </w:cols>
          <w:pgMar w:left="240" w:top="459" w:right="279" w:bottom="1440" w:gutter="0" w:footer="0" w:header="0"/>
        </w:sectPr>
      </w:pP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80"/>
          </w:cols>
          <w:pgMar w:left="240" w:top="459" w:right="27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suppliers are subject to FDA inspection.</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depend on suppliers for insulin and other materials that comprise AFREZZA, including our AFREZZA inhaler and cartridges. Each supplier must comply with relevant regulatory requirements and is subject to inspection by the FDA. There can be no assurance, in the conduct of an inspection of any of our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73"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If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commercialization of AFREZZA.</w:t>
      </w:r>
    </w:p>
    <w:p>
      <w:pPr>
        <w:spacing w:after="0" w:line="289"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At present, there are a number of clinical studies being conducted by other pharmaceutical companies involving insulin delivery systems. 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competitive with, our other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Moreover, the term of a patent is limited and, as a result, the patents protecting our products expire at various dates. For example, some patents providing protection for AFREZZA inhalation powder have terms extending into 2020, 2030 and 2031. In addition, patents providing protection for our inhaler and cartridges have terms extending into 2023, 2031 and 2032, and we have method of treatment claims that extend into 2026 and 2029. As and when these different patents expire, AFREZZA could become subject to increased competition. As a consequence, we may not be able to recover our development costs.</w:t>
      </w:r>
    </w:p>
    <w:p>
      <w:pPr>
        <w:spacing w:after="0" w:line="15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September 16, 2011, the Leahy-Smith America Invents Act (the “Leahy-Smith Act”) was signed into law. The Leahy-Smith Act includes a number of significant changes to United States patent law. These include provisions that affect the way patent applications will be prosecuted, subjected to post-grant challenge, and may also affect patent litigation. The United States Patent and Trademark Office (“USPTO”) is continuing to develop regulations and procedures to govern administration of the Leahy-Smith Act, and while all of the substantive changes to patent law associated with the Leahy-Smith Act have become effective, many changes have only recently become effective. Moreover there will be a transitional period of many years during which some applications may be eligible for prosecution under the previous rules. There are many ambiguities in this new law and how the courts will interpret it cannot be predicted with confidence. Accordingly, it is not clear what, if any, impact the Leahy-Smith Act will have on the operation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Moreover, patent law continues to evolve. Several further changes to patent law are before Congress. The United States Supreme Court has exhibited an increased interest in patent law and several of its recent decisions have tended to narrow the scope of patentable subject matter related to medical products and methods. In March 2014 the USPTO, in response to Supreme Court decisions, issued new examination guidelines which call into question the patentability of biological inventions that had previously been considered patentable. While none of this has an immediately apparent impact on our core technology and patents, the full and ultimate effect of these developments is not yet known. 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7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Interference proceedings brought by the USPTO, may be necessary to determine the priority of inventions with respect to our patent applications or those of our collaborators or licensors. Additionally, the Leahy-Smith Act has greatly expanded the options for post-grant review of patents that can be brought by third parties. Litigation, post-grant review,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post-grant review, or interference proceeding in which we are involved. Even if we do prevail, these proceedings can be very expensive and distract our management.</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9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ectPr>
          <w:pgSz w:w="11900" w:h="16838" w:orient="portrait"/>
          <w:cols w:equalWidth="0" w:num="1">
            <w:col w:w="11420"/>
          </w:cols>
          <w:pgMar w:left="240" w:top="459"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7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Although we own a number of domestic and foreign patents and patent applications relating to AFREZZA, we have identified certain third-party patents having claims that may trigger an allegation of infringement upon the commercial manufacture and sale of AFREZZA. If a court were to determine that AFREZZA was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not selected trade names for some of our product candidates;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ability to make scheduled payments on or to refinance our debt obligations will depend on our financial and operating performance, which is subject to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then due.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the future, we may sell additional shares of our common stock to raise capital. In addition, a substantial number of shares of our common stock is reserved for: issuance upon the exercise of stock options and, in the future, may be reserved for the vesting of restricted stock unit awards; the purchase of shares of common stock under our employee stock purchase program; and the issuance upon conversion of any shares under the 2015 notes.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52" w:lineRule="exact"/>
        <w:rPr>
          <w:sz w:val="20"/>
          <w:szCs w:val="20"/>
          <w:color w:val="auto"/>
        </w:rPr>
      </w:pPr>
    </w:p>
    <w:p>
      <w:pPr>
        <w:ind w:left="900" w:right="7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of the commercial launch of AFREZZA and other events or circumstances that we or others estimate will impact the future commercialization of AFREZZA;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or Sanofi’s future estimates of AFREZZA sales, prescriptions or other operating metrics;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and results of our preclinical and clinical studies of our product candidates and the post-approval studies of AFREZZA required by the FDA;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our collaboration with Sanofi or our relationships with third party manufacturers;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market conditions and fluctuations for emerging growth and pharmaceutical market sectors;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status of any legal proceedings or regulatory matters against or involving us or any of our executive officers and directors;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existence of, and the issuance of shares of our common stock pursuant to, the share lending agreement and the short sales of our common stock effected in connection with the sale of our 2015 notes;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conversion of any of our 2015 notes into shares of our common stock; and</w:t>
      </w:r>
    </w:p>
    <w:p>
      <w:pPr>
        <w:spacing w:after="0" w:line="13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3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6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w:t>
      </w:r>
    </w:p>
    <w:p>
      <w:pPr>
        <w:sectPr>
          <w:pgSz w:w="11900" w:h="16838" w:orient="portrait"/>
          <w:cols w:equalWidth="0" w:num="1">
            <w:col w:w="11380"/>
          </w:cols>
          <w:pgMar w:left="240" w:top="459" w:right="279" w:bottom="1440" w:gutter="0" w:footer="0" w:header="0"/>
        </w:sectPr>
      </w:pP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380"/>
          </w:cols>
          <w:pgMar w:left="240" w:top="459" w:right="27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8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Our Executive Chairman and principal stockholder may be able to heavily influence our direction and policies as a result of his ownership of our common stock,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3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At March 31, 2015, Alfred E. Mann our Executive Chairman and principal stockholder beneficially owned approximately 37.4% of our outstanding shares of capital stock. By virtue of his holdings, Mr. Mann may be able to heavily influence elections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(“AEMMRO”), and AEM Foundation for Biomedical Engineering (“AEMFBE”), not-for-profit medical research foundations that serve as funding organizations for Mr. Mann’s various charities, including the Alfred Mann Foundation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nine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3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the conversion of our 2015 notes into common stock or the exercise of our warrants for common stock could negatively affect the market price of our common stock and other securities.*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May 4, 2015, we had 409,576,765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conversion of some or all of our 2015 notes, or upon the exercise of some or all of the warrants we issued in February 2012, could adversely affect the market price of our common stock and other securities. In addition, the existence of these notes and warrants may encourage short selling of our common stock by market participants, which could adversely affect the market price of our common stock and other securities.</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279"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Pursuant to the Facility Agreement, we are subject to contractual restrictions on the payment of dividends. There is no guarantee that our common stock will appreciate or maintain its current price. You could lose the entire value of any investment in our common stock.</w:t>
      </w:r>
    </w:p>
    <w:p>
      <w:pPr>
        <w:spacing w:after="0" w:line="2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have a limited number of unreserved shares available for future issuance, which may impair our ability to conduct future financing and other transactions.*</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amended and restated certificate of incorporation currently authorizes us to issue up to 550,000,000 shares of common stock and 10,000,000 shares of preferred stock. As of March 31, 2015, we had a total of 74,573,283 shares of common stock that were authorized but unissued, and we have currently reserved a significant number of these shares for future issuance pursuant to outstanding equity awards, our equity plans and our 2015 notes. As a result, our ability to issue shares of common stock other than pursuant to existing arrangements will be limited until such time, if ever, that we are able to amend our amended and restated certificate of incorporation to further increase our authorized shares of common stock or shares currently reserved for issuance otherwise become available (for example, due to the termination of the underlying agreement to issue the shares).</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If we are unable to enter into new arrangements to issue shares of our common stock or securities convertible or exercisable into shares of our common stock, our ability to complete equity-based financings or other transactions that involve the potential issuance of our common stock or securities convertible or exercisable into our common stock, will be limited. In lieu of issuing common stock or securities convertible into our common stock in any future equity financing transactions, we may need to issue some or all of our authorized but unissued shares of preferred stock, which would likely have superior rights, preferences and privileges to those of our common stock, or we may need to issue debt that is not convertible into shares of our common stock, which may require us to grant security interests in our assets and property and/or impose covenants upon us that restrict our business. If we are unable to issue additional shares of common stock or securities convertible or exercisable into our common stock, our ability to enter into strategic transactions such as acquisitions of companies or technologies, may also be limited. If we propose to amend our amended and restated certificate of incorporation to increase our authorized shares of common stock, such a proposal would require the approval by the holders of a majority of our outstanding shares of common stock, and we cannot assure you that such a proposal would be adopted. If we are unable to complete financing, strategic or other transactions due to our inability to issue additional shares of common stock or securities convertible or exercisable into our common stock, our financial condition and business prospects may be materially harmed.</w:t>
      </w:r>
    </w:p>
    <w:p>
      <w:pPr>
        <w:spacing w:after="0" w:line="284" w:lineRule="exact"/>
        <w:rPr>
          <w:sz w:val="20"/>
          <w:szCs w:val="20"/>
          <w:color w:val="auto"/>
        </w:rPr>
      </w:pPr>
    </w:p>
    <w:p>
      <w:pPr>
        <w:ind w:right="4300"/>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1034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6"/>
                <w:szCs w:val="16"/>
                <w:color w:val="auto"/>
              </w:rPr>
            </w:pPr>
          </w:p>
        </w:tc>
        <w:tc>
          <w:tcPr>
            <w:tcW w:w="10340" w:type="dxa"/>
            <w:vAlign w:val="bottom"/>
          </w:tcPr>
          <w:p>
            <w:pPr>
              <w:ind w:left="440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340" w:type="dxa"/>
            <w:vAlign w:val="bottom"/>
            <w:tcBorders>
              <w:bottom w:val="single" w:sz="8" w:color="auto"/>
            </w:tcBorders>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Amended and Restated Certificate of Incorporation (incorporated by reference to MannKind’s Registration Statement on Form S-1 (File No.</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333-115020), originally filed with the SEC on April 30, 2004, as amended).</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Certificate of Amendment of Amended and Restated Certificate of Incorporation (incorporated by reference to MannKind’s Quarterly Report</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on Form 10-Q (File No. 000-50865), originally filed with the SEC on August 9, 2007).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Certificate of Amendment of Amended and Restated Certificate of Incorporation (incorporated by reference to MannKind’s Quarterly report on</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10-Q (File No. 000-50865), originally filed with the SEC on August 2, 2010).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Certificate of Amendment of Amended and Restated Certificate of Incorporation (incorporated by reference to MannKind’s Current Report on</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8-K (File No. 000-50865), originally 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Amended and Restated Bylaws (incorporated by reference to MannKind’s Current Report on Form 8-K (File No. 000-50865), originally filed</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with the SEC on November 19, 2007).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Form of common stock certificate (incorporated by reference to MannKind’s Annual Report on Form 10-K (File No. 000-50865), originally</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filed with the SEC on March 18,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Registration Rights Agreement, dated October 15, 1998 by and among CTL Immuno Therapies Corp., Medical Research Group, LLC, McLean</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Watson Advisory Inc. and Alfred E. Mann, as amended (incorporated by reference to MannKind’s Registration Statement on Form S-1 (File</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No. 333-115020), originally filed with the SEC on April 30, 2004, as amended).</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Indenture, by and between MannKind and Wells Fargo Bank, N.A., dated August 24, 2010 (incorporated by reference to MannKind’s Current</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Report on Form 8-K (File No. 000-50865), originally filed with the SEC on August 24, 2010).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of 5.75% Senior Convertible Note due 2015 (incorporated by reference to MannKind’s Current Report on Form</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8-K (File No. 000-50865), originally filed with the SEC on August 24, 2010).</w:t>
            </w:r>
          </w:p>
        </w:tc>
      </w:tr>
      <w:tr>
        <w:trPr>
          <w:trHeight w:val="323"/>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Warrant to Purchase Common Stock issued February 8, 2012 (incorporated by reference to MannKind’s Current Report on Form 8-K</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 No. 000-50865), originally filed with the SEC on February 6, 2012).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Form of 9.75% Senior Secured Convertible Promissory Note due 2019 (incorporated by reference to MannKind’s current report on Form 8-K</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 No. 000-50865), originally 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Form of Amended and Restated 9.75% Senior Secured Convertible Promissory Note due 2019 (incorporated by reference to MannKind’s</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Annual Report on Form 10-K (File No. 000-50865), originally filed with the SEC on March 3,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Form of Tranche B Senior Secured Note due 2019 (incorporated by reference to Exhibit 4.8 to MannKind’s Quarterly Report on Form 10-Q</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 No. 000-50856), filed with the SEC on May 12,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Milestone Rights Purchase Agreement, dated as of July 1, 2013, by and among MannKind, Deerfield Private Design Fund II, L.P. and Horizon</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6"/>
              </w:rPr>
              <w:t>Santé FLML SÁRL (incorporated by reference to MannKind’s Current Report on Form 8-K (File No. 000-50865), originally filed with the</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4.10</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Guaranty and Security Agreement, dated as of July 1, 2013, by and among MannKind, MannKind LLC, Deerfield Private Design Fund II, L.P.,</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Deerfield Private Design International II, L.P. and Horizon Santé FLML SÁRL (incorporated by reference to MannKind’s Current Report on</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8-K (File No. 000-50865), originally 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Registration Rights Agreement, dated as of July 1, 2013, by and among MannKind, Deerfield Private Design Fund II, L.P. and Deerfield</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Private Design International II, L.P. (incorporated by reference to MannKind’s Current Report on Form 8-K (File No. 000-50865), originally</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Facility Agreement, dated as of July 1, 2013, by and among MannKind Corporation, Deerfield Private Design Fund II, L.P. and Deerfield</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Private Design International II, L.P. (incorporated by reference to MannKind’s Current Report on Form 8-K (File No. 000-50865), originally</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filed with the SEC on July 1, 2013).</w:t>
            </w:r>
          </w:p>
        </w:tc>
      </w:tr>
      <w:tr>
        <w:trPr>
          <w:trHeight w:val="365"/>
        </w:trPr>
        <w:tc>
          <w:tcPr>
            <w:tcW w:w="520" w:type="dxa"/>
            <w:vAlign w:val="bottom"/>
          </w:tcPr>
          <w:p>
            <w:pPr>
              <w:spacing w:after="0"/>
              <w:rPr>
                <w:sz w:val="24"/>
                <w:szCs w:val="24"/>
                <w:color w:val="auto"/>
              </w:rPr>
            </w:pPr>
          </w:p>
        </w:tc>
        <w:tc>
          <w:tcPr>
            <w:tcW w:w="10900" w:type="dxa"/>
            <w:vAlign w:val="bottom"/>
            <w:gridSpan w:val="2"/>
          </w:tcPr>
          <w:p>
            <w:pPr>
              <w:jc w:val="right"/>
              <w:ind w:right="553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440" w:type="dxa"/>
            <w:vAlign w:val="bottom"/>
          </w:tcPr>
          <w:p>
            <w:pPr>
              <w:spacing w:after="0"/>
              <w:rPr>
                <w:sz w:val="14"/>
                <w:szCs w:val="14"/>
                <w:color w:val="auto"/>
              </w:rPr>
            </w:pPr>
          </w:p>
        </w:tc>
        <w:tc>
          <w:tcPr>
            <w:tcW w:w="1046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40" w:type="dxa"/>
            <w:vAlign w:val="bottom"/>
          </w:tcPr>
          <w:p>
            <w:pPr>
              <w:spacing w:after="0"/>
              <w:rPr>
                <w:sz w:val="16"/>
                <w:szCs w:val="16"/>
                <w:color w:val="auto"/>
              </w:rPr>
            </w:pPr>
          </w:p>
        </w:tc>
        <w:tc>
          <w:tcPr>
            <w:tcW w:w="10460" w:type="dxa"/>
            <w:vAlign w:val="bottom"/>
          </w:tcPr>
          <w:p>
            <w:pPr>
              <w:ind w:left="446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60" w:type="dxa"/>
            <w:vAlign w:val="bottom"/>
            <w:tcBorders>
              <w:bottom w:val="single" w:sz="8" w:color="auto"/>
            </w:tcBorders>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4.13</w:t>
            </w: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w w:val="91"/>
              </w:rPr>
              <w:t>First Amendment to Facility Agreement and Registration Rights Agreement, dated as of February 28, 2014, by and among MannKind, Deerfield</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w w:val="95"/>
              </w:rPr>
              <w:t>Private Design Fund II, L.P. and Deerfield Private Design International II, L.P. (incorporated by reference to MannKind’s Annual Report on</w:t>
            </w:r>
          </w:p>
        </w:tc>
      </w:tr>
      <w:tr>
        <w:trPr>
          <w:trHeight w:val="230"/>
        </w:trPr>
        <w:tc>
          <w:tcPr>
            <w:tcW w:w="520" w:type="dxa"/>
            <w:vAlign w:val="bottom"/>
          </w:tcPr>
          <w:p>
            <w:pPr>
              <w:spacing w:after="0"/>
              <w:rPr>
                <w:sz w:val="20"/>
                <w:szCs w:val="20"/>
                <w:color w:val="auto"/>
              </w:rPr>
            </w:pP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rPr>
              <w:t>Form 10-K (File No. 000-50865), originally filed with the SEC on March 3,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4.14</w:t>
            </w: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w w:val="91"/>
              </w:rPr>
              <w:t>Form of Tranche B Senior Secured Note due 2019 (incorporated by reference to Exhibit 4.8 to MannKind’s Quarterly Report on Form 10-Q (File</w:t>
            </w:r>
          </w:p>
        </w:tc>
      </w:tr>
      <w:tr>
        <w:trPr>
          <w:trHeight w:val="230"/>
        </w:trPr>
        <w:tc>
          <w:tcPr>
            <w:tcW w:w="520" w:type="dxa"/>
            <w:vAlign w:val="bottom"/>
          </w:tcPr>
          <w:p>
            <w:pPr>
              <w:spacing w:after="0"/>
              <w:rPr>
                <w:sz w:val="20"/>
                <w:szCs w:val="20"/>
                <w:color w:val="auto"/>
              </w:rPr>
            </w:pP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rPr>
              <w:t>No. 000-50865), filed with the SEC on May 12,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4.15</w:t>
            </w: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w w:val="95"/>
              </w:rPr>
              <w:t>Senior Secured Revolving Promissory Note, dated as of September 23, 2014, by and between MannKind Corporation and Aventisub LLC</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w w:val="93"/>
              </w:rPr>
              <w:t>(incorporated by reference to Exhibit 99.1 to MannKind’s Current Report on Form 8-K (File No. 000-50865), filed with the SEC on September</w:t>
            </w:r>
          </w:p>
        </w:tc>
      </w:tr>
      <w:tr>
        <w:trPr>
          <w:trHeight w:val="230"/>
        </w:trPr>
        <w:tc>
          <w:tcPr>
            <w:tcW w:w="520" w:type="dxa"/>
            <w:vAlign w:val="bottom"/>
          </w:tcPr>
          <w:p>
            <w:pPr>
              <w:spacing w:after="0"/>
              <w:rPr>
                <w:sz w:val="20"/>
                <w:szCs w:val="20"/>
                <w:color w:val="auto"/>
              </w:rPr>
            </w:pP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rPr>
              <w:t>29,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4.16</w:t>
            </w: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w w:val="95"/>
              </w:rPr>
              <w:t>Senior Secured Revolving Promissory Note, dated as of September 23, 2014, by and between MannKind Corporation and Aventisub LLC</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w w:val="93"/>
              </w:rPr>
              <w:t>(incorporated by reference to Exhibit 99.1 to MannKind’s Current Report on Form 8-K (File No. 000-50865), filed with the SEC on September</w:t>
            </w:r>
          </w:p>
        </w:tc>
      </w:tr>
      <w:tr>
        <w:trPr>
          <w:trHeight w:val="230"/>
        </w:trPr>
        <w:tc>
          <w:tcPr>
            <w:tcW w:w="520" w:type="dxa"/>
            <w:vAlign w:val="bottom"/>
          </w:tcPr>
          <w:p>
            <w:pPr>
              <w:spacing w:after="0"/>
              <w:rPr>
                <w:sz w:val="20"/>
                <w:szCs w:val="20"/>
                <w:color w:val="auto"/>
              </w:rPr>
            </w:pP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rPr>
              <w:t>29,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4.17</w:t>
            </w: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w w:val="92"/>
              </w:rPr>
              <w:t>Guaranty and Security Agreement, dated as of September 23, 2014, by and among MannKind Corporation, MannKind LLC and Aventisub LLC</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w w:val="93"/>
              </w:rPr>
              <w:t>(incorporated by reference to Exhibit 99.2 to MannKind’s Current Report on Form 8-K (File No. 000-50865), filed with the SEC on September</w:t>
            </w:r>
          </w:p>
        </w:tc>
      </w:tr>
      <w:tr>
        <w:trPr>
          <w:trHeight w:val="230"/>
        </w:trPr>
        <w:tc>
          <w:tcPr>
            <w:tcW w:w="520" w:type="dxa"/>
            <w:vAlign w:val="bottom"/>
          </w:tcPr>
          <w:p>
            <w:pPr>
              <w:spacing w:after="0"/>
              <w:rPr>
                <w:sz w:val="20"/>
                <w:szCs w:val="20"/>
                <w:color w:val="auto"/>
              </w:rPr>
            </w:pP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rPr>
              <w:t>29, 2014).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rPr>
              <w:t>Transition and Separation Agreement, dated March 20, 2015, by and between MannKind Corporation and Diane Palumbo</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w w:val="94"/>
              </w:rPr>
              <w:t>Certification of the Chief Executive Officer pursuant to Rules 13a-14(a) and 15d-14(a) of the Securities Exchange Act of 1934, as amended.</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w w:val="94"/>
              </w:rPr>
              <w:t>Certification of the Chief Financial Officer pursuant to Rules 13a-14(a) and 15d-14(a) of the Securities Exchange Act of 1934, as amended.</w:t>
            </w:r>
          </w:p>
        </w:tc>
      </w:tr>
    </w:tbl>
    <w:p>
      <w:pPr>
        <w:spacing w:after="0" w:line="94" w:lineRule="exact"/>
        <w:rPr>
          <w:sz w:val="20"/>
          <w:szCs w:val="20"/>
          <w:color w:val="auto"/>
        </w:rPr>
      </w:pPr>
    </w:p>
    <w:p>
      <w:pPr>
        <w:ind w:left="960" w:right="140" w:hanging="952"/>
        <w:spacing w:after="0" w:line="308" w:lineRule="auto"/>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Certifications of the Chief Executive Officer and Chief Financial Officer pursuant to Rules 13a-14(b) and 15d-14(b) of the Securities Exchange Act of 1934, as amended and Section 1350 of Chapter 63 of Title 18 of the United States Code (18 U.S.C. §1350).</w:t>
      </w:r>
    </w:p>
    <w:p>
      <w:pPr>
        <w:spacing w:after="0" w:line="38" w:lineRule="exact"/>
        <w:rPr>
          <w:sz w:val="20"/>
          <w:szCs w:val="20"/>
          <w:color w:val="auto"/>
        </w:rPr>
      </w:pPr>
    </w:p>
    <w:p>
      <w:pPr>
        <w:ind w:right="6000" w:firstLine="8"/>
        <w:spacing w:after="0" w:line="446" w:lineRule="auto"/>
        <w:tabs>
          <w:tab w:leader="none" w:pos="9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 Indicates management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220"/>
          </w:cols>
          <w:pgMar w:left="240" w:top="459" w:right="4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Dated: May 11, 2015</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MANNKIND CORPORATION</w:t>
      </w:r>
    </w:p>
    <w:p>
      <w:pPr>
        <w:spacing w:after="0" w:line="200" w:lineRule="exact"/>
        <w:rPr>
          <w:sz w:val="20"/>
          <w:szCs w:val="20"/>
          <w:color w:val="auto"/>
        </w:rPr>
      </w:pPr>
    </w:p>
    <w:p>
      <w:pPr>
        <w:sectPr>
          <w:pgSz w:w="11900" w:h="16838" w:orient="portrait"/>
          <w:cols w:equalWidth="0" w:num="2">
            <w:col w:w="5120" w:space="720"/>
            <w:col w:w="5380"/>
          </w:cols>
          <w:pgMar w:left="240" w:top="459" w:right="439" w:bottom="1440" w:gutter="0" w:footer="0" w:header="0"/>
          <w:type w:val="continuous"/>
        </w:sectPr>
      </w:pPr>
    </w:p>
    <w:p>
      <w:pPr>
        <w:spacing w:after="0" w:line="3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 M</w:t>
      </w:r>
      <w:r>
        <w:rPr>
          <w:rFonts w:ascii="Arial" w:cs="Arial" w:eastAsia="Arial" w:hAnsi="Arial"/>
          <w:sz w:val="13"/>
          <w:szCs w:val="13"/>
          <w:color w:val="auto"/>
        </w:rPr>
        <w:t>ATTHEW</w:t>
      </w:r>
      <w:r>
        <w:rPr>
          <w:rFonts w:ascii="Arial" w:cs="Arial" w:eastAsia="Arial" w:hAnsi="Arial"/>
          <w:sz w:val="16"/>
          <w:szCs w:val="16"/>
          <w:color w:val="auto"/>
        </w:rPr>
        <w:t xml:space="preserve"> J. P</w:t>
      </w:r>
      <w:r>
        <w:rPr>
          <w:rFonts w:ascii="Arial" w:cs="Arial" w:eastAsia="Arial" w:hAnsi="Arial"/>
          <w:sz w:val="13"/>
          <w:szCs w:val="13"/>
          <w:color w:val="auto"/>
        </w:rPr>
        <w:t>FEFFER</w:t>
      </w:r>
    </w:p>
    <w:p>
      <w:pPr>
        <w:spacing w:after="0" w:line="46" w:lineRule="exact"/>
        <w:rPr>
          <w:sz w:val="20"/>
          <w:szCs w:val="20"/>
          <w:color w:val="auto"/>
        </w:rPr>
      </w:pPr>
    </w:p>
    <w:p>
      <w:pPr>
        <w:sectPr>
          <w:pgSz w:w="11900" w:h="16838" w:orient="portrait"/>
          <w:cols w:equalWidth="0" w:num="2">
            <w:col w:w="7220" w:space="720"/>
            <w:col w:w="3280"/>
          </w:cols>
          <w:pgMar w:left="240" w:top="459" w:right="439" w:bottom="1440" w:gutter="0" w:footer="0" w:header="0"/>
          <w:type w:val="continuous"/>
        </w:sectPr>
      </w:pPr>
    </w:p>
    <w:p>
      <w:pPr>
        <w:jc w:val="center"/>
        <w:ind w:left="6280"/>
        <w:spacing w:after="0"/>
        <w:rPr>
          <w:sz w:val="20"/>
          <w:szCs w:val="20"/>
          <w:color w:val="auto"/>
        </w:rPr>
      </w:pPr>
      <w:r>
        <w:rPr>
          <w:rFonts w:ascii="Arial" w:cs="Arial" w:eastAsia="Arial" w:hAnsi="Arial"/>
          <w:sz w:val="18"/>
          <w:szCs w:val="18"/>
          <w:b w:val="1"/>
          <w:bCs w:val="1"/>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5"/>
          <w:szCs w:val="15"/>
          <w:b w:val="1"/>
          <w:bCs w:val="1"/>
          <w:i w:val="1"/>
          <w:iCs w:val="1"/>
          <w:color w:val="auto"/>
        </w:rPr>
        <w:t>Corporate Vice President and Chief Financial Officer</w:t>
      </w:r>
    </w:p>
    <w:p>
      <w:pPr>
        <w:spacing w:after="0" w:line="44"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i w:val="1"/>
          <w:iCs w:val="1"/>
          <w:color w:val="auto"/>
        </w:rPr>
        <w:t>(Principal Financial and Accounting Officer)</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20"/>
          </w:cols>
          <w:pgMar w:left="240" w:top="459" w:right="439" w:bottom="1440" w:gutter="0" w:footer="0" w:header="0"/>
          <w:type w:val="continuous"/>
        </w:sectPr>
      </w:pPr>
    </w:p>
    <w:bookmarkStart w:id="44" w:name="page45"/>
    <w:bookmarkEnd w:id="44"/>
    <w:p>
      <w:pPr>
        <w:ind w:left="1048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20,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Diane Palumbo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Vice President, Human Resources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MannKind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28903 North Avenue Paine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Valencia, CA 91355</w:t>
      </w:r>
    </w:p>
    <w:p>
      <w:pPr>
        <w:spacing w:after="0" w:line="2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Transition and Separation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Diane:</w:t>
      </w:r>
    </w:p>
    <w:p>
      <w:pPr>
        <w:spacing w:after="0" w:line="113"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This letter sets forth the terms of the transition and separation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that MannKind Corporation (the “</w:t>
      </w:r>
      <w:r>
        <w:rPr>
          <w:rFonts w:ascii="Arial" w:cs="Arial" w:eastAsia="Arial" w:hAnsi="Arial"/>
          <w:sz w:val="18"/>
          <w:szCs w:val="18"/>
          <w:b w:val="1"/>
          <w:bCs w:val="1"/>
          <w:color w:val="auto"/>
        </w:rPr>
        <w:t>Company</w:t>
      </w:r>
      <w:r>
        <w:rPr>
          <w:rFonts w:ascii="Arial" w:cs="Arial" w:eastAsia="Arial" w:hAnsi="Arial"/>
          <w:sz w:val="18"/>
          <w:szCs w:val="18"/>
          <w:color w:val="auto"/>
        </w:rPr>
        <w:t>”) is offering to you.</w:t>
      </w:r>
    </w:p>
    <w:p>
      <w:pPr>
        <w:spacing w:after="0" w:line="162" w:lineRule="exact"/>
        <w:rPr>
          <w:sz w:val="20"/>
          <w:szCs w:val="20"/>
          <w:color w:val="auto"/>
        </w:rPr>
      </w:pPr>
    </w:p>
    <w:p>
      <w:pPr>
        <w:ind w:firstLine="464"/>
        <w:spacing w:after="0" w:line="282" w:lineRule="auto"/>
        <w:tabs>
          <w:tab w:leader="none" w:pos="636"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EPARATION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ATE</w:t>
      </w:r>
      <w:r>
        <w:rPr>
          <w:rFonts w:ascii="Arial" w:cs="Arial" w:eastAsia="Arial" w:hAnsi="Arial"/>
          <w:sz w:val="18"/>
          <w:szCs w:val="18"/>
          <w:b w:val="1"/>
          <w:bCs w:val="1"/>
          <w:color w:val="auto"/>
        </w:rPr>
        <w:t xml:space="preserve">. </w:t>
      </w:r>
      <w:r>
        <w:rPr>
          <w:rFonts w:ascii="Arial" w:cs="Arial" w:eastAsia="Arial" w:hAnsi="Arial"/>
          <w:sz w:val="18"/>
          <w:szCs w:val="18"/>
          <w:color w:val="auto"/>
        </w:rPr>
        <w:t>As we have discussed, your employment termination date will be February 1, 2017, or such earlier date as your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may be terminated by either you or the Company pursuant to Section 3 below (the “</w:t>
      </w:r>
      <w:r>
        <w:rPr>
          <w:rFonts w:ascii="Arial" w:cs="Arial" w:eastAsia="Arial" w:hAnsi="Arial"/>
          <w:sz w:val="18"/>
          <w:szCs w:val="18"/>
          <w:b w:val="1"/>
          <w:bCs w:val="1"/>
          <w:color w:val="auto"/>
        </w:rPr>
        <w:t>Separation Date</w:t>
      </w:r>
      <w:r>
        <w:rPr>
          <w:rFonts w:ascii="Arial" w:cs="Arial" w:eastAsia="Arial" w:hAnsi="Arial"/>
          <w:sz w:val="18"/>
          <w:szCs w:val="18"/>
          <w:color w:val="auto"/>
        </w:rPr>
        <w:t>”).</w:t>
      </w:r>
    </w:p>
    <w:p>
      <w:pPr>
        <w:spacing w:after="0" w:line="161" w:lineRule="exact"/>
        <w:rPr>
          <w:rFonts w:ascii="Arial" w:cs="Arial" w:eastAsia="Arial" w:hAnsi="Arial"/>
          <w:sz w:val="18"/>
          <w:szCs w:val="18"/>
          <w:b w:val="1"/>
          <w:bCs w:val="1"/>
          <w:color w:val="auto"/>
        </w:rPr>
      </w:pPr>
    </w:p>
    <w:p>
      <w:pPr>
        <w:jc w:val="both"/>
        <w:ind w:firstLine="464"/>
        <w:spacing w:after="0" w:line="258" w:lineRule="auto"/>
        <w:tabs>
          <w:tab w:leader="none" w:pos="65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RANSITION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ATE</w:t>
      </w:r>
      <w:r>
        <w:rPr>
          <w:rFonts w:ascii="Arial" w:cs="Arial" w:eastAsia="Arial" w:hAnsi="Arial"/>
          <w:sz w:val="18"/>
          <w:szCs w:val="18"/>
          <w:color w:val="auto"/>
        </w:rPr>
        <w:t>. During the period between now and August 3, 2015 (the “</w:t>
      </w:r>
      <w:r>
        <w:rPr>
          <w:rFonts w:ascii="Arial" w:cs="Arial" w:eastAsia="Arial" w:hAnsi="Arial"/>
          <w:sz w:val="18"/>
          <w:szCs w:val="18"/>
          <w:b w:val="1"/>
          <w:bCs w:val="1"/>
          <w:color w:val="auto"/>
        </w:rPr>
        <w:t>Transition Date</w:t>
      </w:r>
      <w:r>
        <w:rPr>
          <w:rFonts w:ascii="Arial" w:cs="Arial" w:eastAsia="Arial" w:hAnsi="Arial"/>
          <w:sz w:val="18"/>
          <w:szCs w:val="18"/>
          <w:color w:val="auto"/>
        </w:rPr>
        <w:t>”), you will continue to perform services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Corporate Vice President, Human Resources, reporting to the Company’s Chief Executive Officer (“</w:t>
      </w:r>
      <w:r>
        <w:rPr>
          <w:rFonts w:ascii="Arial" w:cs="Arial" w:eastAsia="Arial" w:hAnsi="Arial"/>
          <w:sz w:val="18"/>
          <w:szCs w:val="18"/>
          <w:b w:val="1"/>
          <w:bCs w:val="1"/>
          <w:color w:val="auto"/>
        </w:rPr>
        <w:t>CEO</w:t>
      </w:r>
      <w:r>
        <w:rPr>
          <w:rFonts w:ascii="Arial" w:cs="Arial" w:eastAsia="Arial" w:hAnsi="Arial"/>
          <w:sz w:val="18"/>
          <w:szCs w:val="18"/>
          <w:color w:val="auto"/>
        </w:rPr>
        <w:t>”) and as requested by the CEO. Your duties during this period will include, but not be limited to, continuing to develop and execute your current major projects, as well as assisting in the briefing and orientation of the Company’s new Senior Vice President, Human Resources (“</w:t>
      </w:r>
      <w:r>
        <w:rPr>
          <w:rFonts w:ascii="Arial" w:cs="Arial" w:eastAsia="Arial" w:hAnsi="Arial"/>
          <w:sz w:val="18"/>
          <w:szCs w:val="18"/>
          <w:b w:val="1"/>
          <w:bCs w:val="1"/>
          <w:color w:val="auto"/>
        </w:rPr>
        <w:t>SVPHR</w:t>
      </w:r>
      <w:r>
        <w:rPr>
          <w:rFonts w:ascii="Arial" w:cs="Arial" w:eastAsia="Arial" w:hAnsi="Arial"/>
          <w:sz w:val="18"/>
          <w:szCs w:val="18"/>
          <w:color w:val="auto"/>
        </w:rPr>
        <w:t>”), and transition of certain responsibilities to the SVPHR, as requested by the CEO.</w:t>
      </w:r>
    </w:p>
    <w:p>
      <w:pPr>
        <w:spacing w:after="0" w:line="183" w:lineRule="exact"/>
        <w:rPr>
          <w:rFonts w:ascii="Arial" w:cs="Arial" w:eastAsia="Arial" w:hAnsi="Arial"/>
          <w:sz w:val="18"/>
          <w:szCs w:val="18"/>
          <w:b w:val="1"/>
          <w:bCs w:val="1"/>
          <w:color w:val="auto"/>
        </w:rPr>
      </w:pPr>
    </w:p>
    <w:p>
      <w:pPr>
        <w:ind w:left="640" w:hanging="176"/>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RANSITION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ERIOD</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firstLine="913"/>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Transition Period Duties. </w:t>
      </w:r>
      <w:r>
        <w:rPr>
          <w:rFonts w:ascii="Arial" w:cs="Arial" w:eastAsia="Arial" w:hAnsi="Arial"/>
          <w:sz w:val="18"/>
          <w:szCs w:val="18"/>
          <w:color w:val="auto"/>
        </w:rPr>
        <w:t>During the period between the Transition Date and the Separation Date (the “</w:t>
      </w:r>
      <w:r>
        <w:rPr>
          <w:rFonts w:ascii="Arial" w:cs="Arial" w:eastAsia="Arial" w:hAnsi="Arial"/>
          <w:sz w:val="18"/>
          <w:szCs w:val="18"/>
          <w:b w:val="1"/>
          <w:bCs w:val="1"/>
          <w:color w:val="auto"/>
        </w:rPr>
        <w:t>Transition Period</w:t>
      </w:r>
      <w:r>
        <w:rPr>
          <w:rFonts w:ascii="Arial" w:cs="Arial" w:eastAsia="Arial" w:hAnsi="Arial"/>
          <w:sz w:val="18"/>
          <w:szCs w:val="18"/>
          <w:color w:val="auto"/>
        </w:rPr>
        <w:t>”), you will remain</w:t>
      </w:r>
      <w:r>
        <w:rPr>
          <w:rFonts w:ascii="Arial" w:cs="Arial" w:eastAsia="Arial" w:hAnsi="Arial"/>
          <w:sz w:val="18"/>
          <w:szCs w:val="18"/>
          <w:b w:val="1"/>
          <w:bCs w:val="1"/>
          <w:color w:val="auto"/>
        </w:rPr>
        <w:t xml:space="preserve"> </w:t>
      </w:r>
      <w:r>
        <w:rPr>
          <w:rFonts w:ascii="Arial" w:cs="Arial" w:eastAsia="Arial" w:hAnsi="Arial"/>
          <w:sz w:val="18"/>
          <w:szCs w:val="18"/>
          <w:color w:val="auto"/>
        </w:rPr>
        <w:t>an employee of the Company with the title of Senior Human Resources Advisor, Special Projects, and reporting to the CEO. You agree that, during the Transition Period, you will comply with all Company policies and procedures and with all of your contractual obligations to the Company (including, without limitation, your obligations under your Employee Proprietary Information and Inventions Agreement. Your Transition Period duties will include, but are not limited to, providing guidance on human resources matters, transition and briefing assistance for the SVPHR, and assisting with the administration of the Company’s 401(k) audit, Mann Companies Health and Welfare Plans, Retiree Group Medical Plan, and such other projects and activities as may be requested by the CEO. The Company will continue to support your involvement with Southern California Biomedical Council (SoCalBio). During the Transition Period, you will not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5" w:name="page46"/>
    <w:bookmarkEnd w:id="45"/>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expected to work from the Company’s office locations on a full-time basis, although you will be expected to be available as needed. While you will ordinarily be working from home during this period, you will receive from the Company such administrative support for your performance of your Company duties as needed.</w:t>
      </w:r>
    </w:p>
    <w:p>
      <w:pPr>
        <w:spacing w:after="0" w:line="177" w:lineRule="exact"/>
        <w:rPr>
          <w:sz w:val="20"/>
          <w:szCs w:val="20"/>
          <w:color w:val="auto"/>
        </w:rPr>
      </w:pPr>
    </w:p>
    <w:p>
      <w:pPr>
        <w:jc w:val="both"/>
        <w:ind w:firstLine="913"/>
        <w:spacing w:after="0" w:line="270" w:lineRule="auto"/>
        <w:rPr>
          <w:sz w:val="20"/>
          <w:szCs w:val="20"/>
          <w:color w:val="auto"/>
        </w:rPr>
      </w:pPr>
      <w:r>
        <w:rPr>
          <w:rFonts w:ascii="Arial" w:cs="Arial" w:eastAsia="Arial" w:hAnsi="Arial"/>
          <w:sz w:val="17"/>
          <w:szCs w:val="17"/>
          <w:b w:val="1"/>
          <w:bCs w:val="1"/>
          <w:color w:val="auto"/>
        </w:rPr>
        <w:t xml:space="preserve">b. Standard Compensation/Benefits. </w:t>
      </w:r>
      <w:r>
        <w:rPr>
          <w:rFonts w:ascii="Arial" w:cs="Arial" w:eastAsia="Arial" w:hAnsi="Arial"/>
          <w:sz w:val="17"/>
          <w:szCs w:val="17"/>
          <w:color w:val="auto"/>
        </w:rPr>
        <w:t>During the Transition Period, you will continue to receive your current base salary, subject to standard</w:t>
      </w:r>
      <w:r>
        <w:rPr>
          <w:rFonts w:ascii="Arial" w:cs="Arial" w:eastAsia="Arial" w:hAnsi="Arial"/>
          <w:sz w:val="17"/>
          <w:szCs w:val="17"/>
          <w:b w:val="1"/>
          <w:bCs w:val="1"/>
          <w:color w:val="auto"/>
        </w:rPr>
        <w:t xml:space="preserve"> </w:t>
      </w:r>
      <w:r>
        <w:rPr>
          <w:rFonts w:ascii="Arial" w:cs="Arial" w:eastAsia="Arial" w:hAnsi="Arial"/>
          <w:sz w:val="17"/>
          <w:szCs w:val="17"/>
          <w:color w:val="auto"/>
        </w:rPr>
        <w:t>withholdings and deductions; you will continue to accrue paid time off (“</w:t>
      </w:r>
      <w:r>
        <w:rPr>
          <w:rFonts w:ascii="Arial" w:cs="Arial" w:eastAsia="Arial" w:hAnsi="Arial"/>
          <w:sz w:val="17"/>
          <w:szCs w:val="17"/>
          <w:b w:val="1"/>
          <w:bCs w:val="1"/>
          <w:color w:val="auto"/>
        </w:rPr>
        <w:t>PTO</w:t>
      </w:r>
      <w:r>
        <w:rPr>
          <w:rFonts w:ascii="Arial" w:cs="Arial" w:eastAsia="Arial" w:hAnsi="Arial"/>
          <w:sz w:val="17"/>
          <w:szCs w:val="17"/>
          <w:color w:val="auto"/>
        </w:rPr>
        <w:t>”) according to Company policy; and you will be eligible for the Company’s standard benefits, including but not limited to the Company’s Exec-U-Care plan, subject to the terms of such plans and programs and applicable law. On the Separation Date, or as soon as feasible thereafter, you will receive a final paycheck for all wages earned through the Separation Date (subject to standard withholdings and deductions), and all accrued and unused PTO. Your coverage under the Company’s group health plan will continue through the Transition Period, and your premiums will be paid by the Company to the extent provided by the Company’s current health insurance policies. If at any time during the Transition Period, you become eligible to continue your group health benefits at your own expense under the federal COBRA law, or applicable state insurance laws, the Company will pay your monthly COBRA premiums through the Separation Date. Thereafter, to the extent provided by the federal COBRA law, or applicable state insurance laws, and by the Company’s current health insurance policies, you will be eligible to continue your group health insurance benefits at your own expense. Later, you may be able to convert to an individual policy through the provider of the Company’s health insurance, if you wish.</w:t>
      </w:r>
    </w:p>
    <w:p>
      <w:pPr>
        <w:spacing w:after="0" w:line="174"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8"/>
          <w:szCs w:val="18"/>
          <w:b w:val="1"/>
          <w:bCs w:val="1"/>
          <w:color w:val="auto"/>
        </w:rPr>
        <w:t>c. Annual Bonus</w:t>
      </w:r>
      <w:r>
        <w:rPr>
          <w:rFonts w:ascii="Arial" w:cs="Arial" w:eastAsia="Arial" w:hAnsi="Arial"/>
          <w:sz w:val="18"/>
          <w:szCs w:val="18"/>
          <w:color w:val="auto"/>
        </w:rPr>
        <w:t>. During the Transition Period, you will be eligible to receive an annual bonus for work performed in 2015 and,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 2016 (scheduled to be paid in March following the conclusion of the applicable performance year), under the standard bonus plan applicable to Senior Executives.</w:t>
      </w:r>
    </w:p>
    <w:p>
      <w:pPr>
        <w:spacing w:after="0" w:line="176"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b w:val="1"/>
          <w:bCs w:val="1"/>
          <w:color w:val="auto"/>
        </w:rPr>
        <w:t>d. Stock Options and Restricted Stock Units</w:t>
      </w:r>
      <w:r>
        <w:rPr>
          <w:rFonts w:ascii="Arial" w:cs="Arial" w:eastAsia="Arial" w:hAnsi="Arial"/>
          <w:sz w:val="16"/>
          <w:szCs w:val="16"/>
          <w:color w:val="auto"/>
        </w:rPr>
        <w:t>. You were granted restricted stock units (the “</w:t>
      </w:r>
      <w:r>
        <w:rPr>
          <w:rFonts w:ascii="Arial" w:cs="Arial" w:eastAsia="Arial" w:hAnsi="Arial"/>
          <w:sz w:val="16"/>
          <w:szCs w:val="16"/>
          <w:b w:val="1"/>
          <w:bCs w:val="1"/>
          <w:color w:val="auto"/>
        </w:rPr>
        <w:t>RSUs</w:t>
      </w:r>
      <w:r>
        <w:rPr>
          <w:rFonts w:ascii="Arial" w:cs="Arial" w:eastAsia="Arial" w:hAnsi="Arial"/>
          <w:sz w:val="16"/>
          <w:szCs w:val="16"/>
          <w:color w:val="auto"/>
        </w:rPr>
        <w:t>”) in, and options (the “</w:t>
      </w:r>
      <w:r>
        <w:rPr>
          <w:rFonts w:ascii="Arial" w:cs="Arial" w:eastAsia="Arial" w:hAnsi="Arial"/>
          <w:sz w:val="16"/>
          <w:szCs w:val="16"/>
          <w:b w:val="1"/>
          <w:bCs w:val="1"/>
          <w:color w:val="auto"/>
        </w:rPr>
        <w:t>Options</w:t>
      </w:r>
      <w:r>
        <w:rPr>
          <w:rFonts w:ascii="Arial" w:cs="Arial" w:eastAsia="Arial" w:hAnsi="Arial"/>
          <w:sz w:val="16"/>
          <w:szCs w:val="16"/>
          <w:color w:val="auto"/>
        </w:rPr>
        <w:t>”)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shares of the Company’s common stock, pursuant to the Company’s applicable equity incentive plan documents (collectively, the “</w:t>
      </w:r>
      <w:r>
        <w:rPr>
          <w:rFonts w:ascii="Arial" w:cs="Arial" w:eastAsia="Arial" w:hAnsi="Arial"/>
          <w:sz w:val="16"/>
          <w:szCs w:val="16"/>
          <w:b w:val="1"/>
          <w:bCs w:val="1"/>
          <w:color w:val="auto"/>
        </w:rPr>
        <w:t>Plan</w:t>
      </w:r>
      <w:r>
        <w:rPr>
          <w:rFonts w:ascii="Arial" w:cs="Arial" w:eastAsia="Arial" w:hAnsi="Arial"/>
          <w:sz w:val="16"/>
          <w:szCs w:val="16"/>
          <w:color w:val="auto"/>
        </w:rPr>
        <w:t>”) and your Option and RSU grant documents. During the Transition Period, your Options and RSUs will continue to vest pursuant to the Plan, will continue to be governed by the Plan and applicable grant documents, and will cease vesting as of the Separation Date. Thereafter, your vested Option shares will be exercisable pursuant to the terms of the Plan and applicable grant documents. You will not receive any additional equity awards during the Transition Period.</w:t>
      </w:r>
    </w:p>
    <w:p>
      <w:pPr>
        <w:spacing w:after="0" w:line="154"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b w:val="1"/>
          <w:bCs w:val="1"/>
          <w:color w:val="auto"/>
        </w:rPr>
        <w:t xml:space="preserve">e. Termination for Cause. </w:t>
      </w:r>
      <w:r>
        <w:rPr>
          <w:rFonts w:ascii="Arial" w:cs="Arial" w:eastAsia="Arial" w:hAnsi="Arial"/>
          <w:sz w:val="18"/>
          <w:szCs w:val="18"/>
          <w:color w:val="auto"/>
        </w:rPr>
        <w:t>During the Transition Period, you are entitled to resign your employment at any time for any reason. Additionally,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during the Transition Period, the Company is entitled to terminate your employment with or without Cause (as defined below). If the Company terminates your employment </w:t>
      </w:r>
      <w:r>
        <w:rPr>
          <w:rFonts w:ascii="Arial" w:cs="Arial" w:eastAsia="Arial" w:hAnsi="Arial"/>
          <w:sz w:val="18"/>
          <w:szCs w:val="18"/>
          <w:i w:val="1"/>
          <w:iCs w:val="1"/>
          <w:color w:val="auto"/>
        </w:rPr>
        <w:t>with Cause</w:t>
      </w:r>
      <w:r>
        <w:rPr>
          <w:rFonts w:ascii="Arial" w:cs="Arial" w:eastAsia="Arial" w:hAnsi="Arial"/>
          <w:sz w:val="18"/>
          <w:szCs w:val="18"/>
          <w:color w:val="auto"/>
        </w:rPr>
        <w:t xml:space="preserve"> during the Transition Period, your employment ends due to your death or disability, or you resign for any reason, your employment will end immediately and you will not receive any further compensation or benefits from the Company (including the severance payments set forth in Section 4 below), except for any unpaid salary and PTO accrued through your Separation Date and any vested benefit under a written ERISA-qualified benefit program.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6" w:name="page47"/>
    <w:bookmarkEnd w:id="46"/>
    <w:p>
      <w:pPr>
        <w:jc w:val="both"/>
        <w:ind w:firstLine="913"/>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 “Cause” Definition. </w:t>
      </w:r>
      <w:r>
        <w:rPr>
          <w:rFonts w:ascii="Arial" w:cs="Arial" w:eastAsia="Arial" w:hAnsi="Arial"/>
          <w:sz w:val="18"/>
          <w:szCs w:val="18"/>
          <w:color w:val="auto"/>
        </w:rPr>
        <w:t>For purposes of this Agreement,</w:t>
      </w:r>
      <w:r>
        <w:rPr>
          <w:rFonts w:ascii="Arial" w:cs="Arial" w:eastAsia="Arial" w:hAnsi="Arial"/>
          <w:sz w:val="18"/>
          <w:szCs w:val="18"/>
          <w:b w:val="1"/>
          <w:bCs w:val="1"/>
          <w:color w:val="auto"/>
        </w:rPr>
        <w:t xml:space="preserve"> “Cause” </w:t>
      </w:r>
      <w:r>
        <w:rPr>
          <w:rFonts w:ascii="Arial" w:cs="Arial" w:eastAsia="Arial" w:hAnsi="Arial"/>
          <w:sz w:val="18"/>
          <w:szCs w:val="18"/>
          <w:color w:val="auto"/>
        </w:rPr>
        <w:t>for termination of your employment will mean any of the following: (i) your</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of any act of fraud, embezzlement, dishonesty or any other willful misconduct that has caused or is reasonably likely to cause injury to the Company; (ii) your unauthorized use or disclosure of any proprietary information or trade secrets of the Company or any other party in breach of a contractual commitment; (iii) your willful breach of any of your obligations under any written agreement with the Company or any Company policy; or (iv) your engaging in employment or performing any work activities competitive with the Company .</w:t>
      </w:r>
    </w:p>
    <w:p>
      <w:pPr>
        <w:spacing w:after="0" w:line="184" w:lineRule="exact"/>
        <w:rPr>
          <w:sz w:val="20"/>
          <w:szCs w:val="20"/>
          <w:color w:val="auto"/>
        </w:rPr>
      </w:pPr>
    </w:p>
    <w:p>
      <w:pPr>
        <w:jc w:val="both"/>
        <w:ind w:firstLine="464"/>
        <w:spacing w:after="0" w:line="292" w:lineRule="auto"/>
        <w:tabs>
          <w:tab w:leader="none" w:pos="65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S</w:t>
      </w:r>
      <w:r>
        <w:rPr>
          <w:rFonts w:ascii="Arial" w:cs="Arial" w:eastAsia="Arial" w:hAnsi="Arial"/>
          <w:sz w:val="13"/>
          <w:szCs w:val="13"/>
          <w:b w:val="1"/>
          <w:bCs w:val="1"/>
          <w:color w:val="auto"/>
        </w:rPr>
        <w:t>EPARATION</w:t>
      </w:r>
      <w:r>
        <w:rPr>
          <w:rFonts w:ascii="Arial" w:cs="Arial" w:eastAsia="Arial" w:hAnsi="Arial"/>
          <w:sz w:val="16"/>
          <w:szCs w:val="16"/>
          <w:b w:val="1"/>
          <w:bCs w:val="1"/>
          <w:color w:val="auto"/>
        </w:rPr>
        <w:t xml:space="preserve"> D</w:t>
      </w:r>
      <w:r>
        <w:rPr>
          <w:rFonts w:ascii="Arial" w:cs="Arial" w:eastAsia="Arial" w:hAnsi="Arial"/>
          <w:sz w:val="13"/>
          <w:szCs w:val="13"/>
          <w:b w:val="1"/>
          <w:bCs w:val="1"/>
          <w:color w:val="auto"/>
        </w:rPr>
        <w:t>ATE</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ELEASE AND</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EVERANCE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AYMENT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set forth in Section 3 (Transition Period), if you</w:t>
      </w:r>
      <w:r>
        <w:rPr>
          <w:rFonts w:ascii="Arial" w:cs="Arial" w:eastAsia="Arial" w:hAnsi="Arial"/>
          <w:sz w:val="16"/>
          <w:szCs w:val="16"/>
          <w:b w:val="1"/>
          <w:bCs w:val="1"/>
          <w:color w:val="auto"/>
        </w:rPr>
        <w:t xml:space="preserve"> </w:t>
      </w:r>
      <w:r>
        <w:rPr>
          <w:rFonts w:ascii="Arial" w:cs="Arial" w:eastAsia="Arial" w:hAnsi="Arial"/>
          <w:sz w:val="16"/>
          <w:szCs w:val="16"/>
          <w:color w:val="auto"/>
        </w:rPr>
        <w:t>remain a Company employee through February 1, 2017, you remain in compliance with this Agreement and all Company policies, and you sign the Separation Date Release on the Separation Date or within twenty-one (21) days thereafter and allow it to become effective, then the Company will pay you as severance, an amount equal to the annual bonus for which you would have been eligible under the standard bonus plan applicable to Senior Executives had you remained a Company Employee through the date on which the annual bonus for work performed in 2016 is paid (the “</w:t>
      </w:r>
      <w:r>
        <w:rPr>
          <w:rFonts w:ascii="Arial" w:cs="Arial" w:eastAsia="Arial" w:hAnsi="Arial"/>
          <w:sz w:val="16"/>
          <w:szCs w:val="16"/>
          <w:b w:val="1"/>
          <w:bCs w:val="1"/>
          <w:color w:val="auto"/>
        </w:rPr>
        <w:t>Severance</w:t>
      </w:r>
      <w:r>
        <w:rPr>
          <w:rFonts w:ascii="Arial" w:cs="Arial" w:eastAsia="Arial" w:hAnsi="Arial"/>
          <w:sz w:val="16"/>
          <w:szCs w:val="16"/>
          <w:color w:val="auto"/>
        </w:rPr>
        <w:t>”). The Severance will be subject to standard employment and income tax deductions and withholdings and will be paid to you in a lump sum on or before the date on which the annual bonuses for work performed in 2016 are paid, or on or within seven (7) days after the Release Effective Date, if it occurs later.</w:t>
      </w:r>
    </w:p>
    <w:p>
      <w:pPr>
        <w:spacing w:after="0" w:line="161" w:lineRule="exact"/>
        <w:rPr>
          <w:rFonts w:ascii="Arial" w:cs="Arial" w:eastAsia="Arial" w:hAnsi="Arial"/>
          <w:sz w:val="16"/>
          <w:szCs w:val="16"/>
          <w:b w:val="1"/>
          <w:bCs w:val="1"/>
          <w:color w:val="auto"/>
        </w:rPr>
      </w:pPr>
    </w:p>
    <w:p>
      <w:pPr>
        <w:ind w:right="20" w:firstLine="464"/>
        <w:spacing w:after="0" w:line="282" w:lineRule="auto"/>
        <w:tabs>
          <w:tab w:leader="none" w:pos="63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OMPENSATION OR</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ENEFITS</w:t>
      </w:r>
      <w:r>
        <w:rPr>
          <w:rFonts w:ascii="Arial" w:cs="Arial" w:eastAsia="Arial" w:hAnsi="Arial"/>
          <w:sz w:val="18"/>
          <w:szCs w:val="18"/>
          <w:b w:val="1"/>
          <w:bCs w:val="1"/>
          <w:color w:val="auto"/>
        </w:rPr>
        <w:t xml:space="preserve">. </w:t>
      </w:r>
      <w:r>
        <w:rPr>
          <w:rFonts w:ascii="Arial" w:cs="Arial" w:eastAsia="Arial" w:hAnsi="Arial"/>
          <w:sz w:val="18"/>
          <w:szCs w:val="18"/>
          <w:color w:val="auto"/>
        </w:rPr>
        <w:t>You acknowledge that, except as expressly provided in this Agreement, you will not receive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severance, or benefits after the Separation Date.</w:t>
      </w:r>
    </w:p>
    <w:p>
      <w:pPr>
        <w:spacing w:after="0" w:line="161" w:lineRule="exact"/>
        <w:rPr>
          <w:rFonts w:ascii="Arial" w:cs="Arial" w:eastAsia="Arial" w:hAnsi="Arial"/>
          <w:sz w:val="18"/>
          <w:szCs w:val="18"/>
          <w:b w:val="1"/>
          <w:bCs w:val="1"/>
          <w:color w:val="auto"/>
        </w:rPr>
      </w:pPr>
    </w:p>
    <w:p>
      <w:pPr>
        <w:jc w:val="both"/>
        <w:ind w:firstLine="464"/>
        <w:spacing w:after="0" w:line="258" w:lineRule="auto"/>
        <w:tabs>
          <w:tab w:leader="none" w:pos="65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XPENSE</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EIMBURSEMENTS</w:t>
      </w:r>
      <w:r>
        <w:rPr>
          <w:rFonts w:ascii="Arial" w:cs="Arial" w:eastAsia="Arial" w:hAnsi="Arial"/>
          <w:sz w:val="18"/>
          <w:szCs w:val="18"/>
          <w:b w:val="1"/>
          <w:bCs w:val="1"/>
          <w:color w:val="auto"/>
        </w:rPr>
        <w:t xml:space="preserve">. </w:t>
      </w:r>
      <w:r>
        <w:rPr>
          <w:rFonts w:ascii="Arial" w:cs="Arial" w:eastAsia="Arial" w:hAnsi="Arial"/>
          <w:sz w:val="18"/>
          <w:szCs w:val="18"/>
          <w:color w:val="auto"/>
        </w:rPr>
        <w:t>You agree that, within thirty (30) days after the Separation Date, you will submit your final documented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statement reflecting all business expenses you incurred through the Separation Date, if any, for which you seek reimbursement. The Company will reimburse such expenses pursuant to its regular business practice. If you are required to travel before or during the Transition Period or the Consulting Period to discharge your duties or perform Consulting Services, then you shall be subject to the same travel expense guidelines as apply to Executive Leadership Team members.</w:t>
      </w:r>
    </w:p>
    <w:p>
      <w:pPr>
        <w:spacing w:after="0" w:line="183" w:lineRule="exact"/>
        <w:rPr>
          <w:rFonts w:ascii="Arial" w:cs="Arial" w:eastAsia="Arial" w:hAnsi="Arial"/>
          <w:sz w:val="18"/>
          <w:szCs w:val="18"/>
          <w:b w:val="1"/>
          <w:bCs w:val="1"/>
          <w:color w:val="auto"/>
        </w:rPr>
      </w:pPr>
    </w:p>
    <w:p>
      <w:pPr>
        <w:jc w:val="both"/>
        <w:ind w:firstLine="464"/>
        <w:spacing w:after="0" w:line="254" w:lineRule="auto"/>
        <w:tabs>
          <w:tab w:leader="none" w:pos="677"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ETURN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ROPERTY</w:t>
      </w:r>
      <w:r>
        <w:rPr>
          <w:rFonts w:ascii="Arial" w:cs="Arial" w:eastAsia="Arial" w:hAnsi="Arial"/>
          <w:sz w:val="18"/>
          <w:szCs w:val="18"/>
          <w:color w:val="auto"/>
        </w:rPr>
        <w:t>. By the Separation Date, you shall return to the Company all Company documents (and all copies or</w:t>
      </w:r>
      <w:r>
        <w:rPr>
          <w:rFonts w:ascii="Arial" w:cs="Arial" w:eastAsia="Arial" w:hAnsi="Arial"/>
          <w:sz w:val="18"/>
          <w:szCs w:val="18"/>
          <w:b w:val="1"/>
          <w:bCs w:val="1"/>
          <w:color w:val="auto"/>
        </w:rPr>
        <w:t xml:space="preserve"> </w:t>
      </w:r>
      <w:r>
        <w:rPr>
          <w:rFonts w:ascii="Arial" w:cs="Arial" w:eastAsia="Arial" w:hAnsi="Arial"/>
          <w:sz w:val="18"/>
          <w:szCs w:val="18"/>
          <w:color w:val="auto"/>
        </w:rPr>
        <w:t>reproductions thereof) and other Company property within your possession or control, including, but not limited to, Company hardcopy and electronic files, email, notes, drawings, records, reports, studies, compilations of data, business plans and forecasts, proposals, agreements, financial and operational information, sales and marketing information, research and development information, product and prototype information, personnel information, specifications, computer-recorded information, tangible property and equipment including, but not limited to, credit cards, entry cards, identification badges, keys, computing and communication devices; and any materials of any kind that contain or embody any proprietary or confidential information of the Company (and all reproductions or embodiments thereof, in whole or in part). Your timely return of all such Company documents and other property is a condition precedent to your receipt of the benefits provided under this Agreement; provided that you are permitted to retain copies of any agreement that you signed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the Company (after leaving with the Company the original or another copy, if you do not possess the original). Your return of property and information shall include return of a copy of any Company information stored on any personal computing device, and deletion of all such information from your personal devices without retention of any copy or embodiment; and you agree to permit the Company to inspect any such device to ensure that such return and deletion of information has taken place.</w:t>
      </w:r>
    </w:p>
    <w:p>
      <w:pPr>
        <w:spacing w:after="0" w:line="183" w:lineRule="exact"/>
        <w:rPr>
          <w:sz w:val="20"/>
          <w:szCs w:val="20"/>
          <w:color w:val="auto"/>
        </w:rPr>
      </w:pPr>
    </w:p>
    <w:p>
      <w:pPr>
        <w:ind w:left="640" w:hanging="176"/>
        <w:spacing w:after="0"/>
        <w:tabs>
          <w:tab w:leader="none" w:pos="64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P</w:t>
      </w:r>
      <w:r>
        <w:rPr>
          <w:rFonts w:ascii="Arial" w:cs="Arial" w:eastAsia="Arial" w:hAnsi="Arial"/>
          <w:sz w:val="14"/>
          <w:szCs w:val="14"/>
          <w:b w:val="1"/>
          <w:bCs w:val="1"/>
          <w:color w:val="auto"/>
        </w:rPr>
        <w:t>ROPRIETARY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ROTECTION AND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SSIGNMENT OF</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IGHTS TO</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ORK</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RODUCT</w:t>
      </w:r>
      <w:r>
        <w:rPr>
          <w:rFonts w:ascii="Arial" w:cs="Arial" w:eastAsia="Arial" w:hAnsi="Arial"/>
          <w:sz w:val="17"/>
          <w:szCs w:val="17"/>
          <w:color w:val="auto"/>
        </w:rPr>
        <w:t>. You acknowledge and agree to abide by your</w:t>
      </w:r>
    </w:p>
    <w:p>
      <w:pPr>
        <w:spacing w:after="0" w:line="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continuing obligations under your Employee Proprietary Information and Inventions Agreement. You further agree that, both during and after your employment, you will make no use or disclosure of any Company proprietary or confidential information unless specifically authorized in writing by a Company officer. You hereby assign to the Company all right, title, and interest you may have in any and all inventions, developments, concepts, methods, trade secrets, intellectual property, or other work product developed or obtained by you during your employment with the Company that relates to any actual or anticipated line of business, product, service, or activity of the Company, or your performance of services for the Company, or was produced on Company time or equipment.</w:t>
      </w:r>
    </w:p>
    <w:p>
      <w:pPr>
        <w:spacing w:after="0" w:line="190" w:lineRule="exact"/>
        <w:rPr>
          <w:sz w:val="20"/>
          <w:szCs w:val="20"/>
          <w:color w:val="auto"/>
        </w:rPr>
      </w:pPr>
    </w:p>
    <w:p>
      <w:pPr>
        <w:jc w:val="both"/>
        <w:ind w:firstLine="464"/>
        <w:spacing w:after="0" w:line="277" w:lineRule="auto"/>
        <w:tabs>
          <w:tab w:leader="none" w:pos="65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ONFIDENTIALITY</w:t>
      </w:r>
      <w:r>
        <w:rPr>
          <w:rFonts w:ascii="Arial" w:cs="Arial" w:eastAsia="Arial" w:hAnsi="Arial"/>
          <w:sz w:val="17"/>
          <w:szCs w:val="17"/>
          <w:color w:val="auto"/>
        </w:rPr>
        <w:t>. The provisions of this Agreement will be held in strictest confidence by you and the Company and will not be publicized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disclosed in any manner whatsoever;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you may disclose this Agreement in confidence to your immediate family; (b) the parties may disclose this Agreement in confidence to their respective attorneys, accountants, auditors, tax preparers, and financial advisors; (c) the Company may disclose this Agreement as necessary to fulfill standard or legally required corporate reporting or disclosure requirements; and (d) the parties may disclose this Agreement insofar as such disclosure may be necessary to enforce its terms or as otherwise required by law.</w:t>
      </w:r>
    </w:p>
    <w:p>
      <w:pPr>
        <w:spacing w:after="0" w:line="168" w:lineRule="exact"/>
        <w:rPr>
          <w:rFonts w:ascii="Arial" w:cs="Arial" w:eastAsia="Arial" w:hAnsi="Arial"/>
          <w:sz w:val="17"/>
          <w:szCs w:val="17"/>
          <w:b w:val="1"/>
          <w:bCs w:val="1"/>
          <w:color w:val="auto"/>
        </w:rPr>
      </w:pPr>
    </w:p>
    <w:p>
      <w:pPr>
        <w:jc w:val="both"/>
        <w:ind w:firstLine="464"/>
        <w:spacing w:after="0" w:line="266" w:lineRule="auto"/>
        <w:tabs>
          <w:tab w:leader="none" w:pos="7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You agree not to disparage the Company and its officers, directors, employees, shareholders and agents, in any manner</w:t>
      </w:r>
      <w:r>
        <w:rPr>
          <w:rFonts w:ascii="Arial" w:cs="Arial" w:eastAsia="Arial" w:hAnsi="Arial"/>
          <w:sz w:val="18"/>
          <w:szCs w:val="18"/>
          <w:b w:val="1"/>
          <w:bCs w:val="1"/>
          <w:color w:val="auto"/>
        </w:rPr>
        <w:t xml:space="preserve"> </w:t>
      </w:r>
      <w:r>
        <w:rPr>
          <w:rFonts w:ascii="Arial" w:cs="Arial" w:eastAsia="Arial" w:hAnsi="Arial"/>
          <w:sz w:val="18"/>
          <w:szCs w:val="18"/>
          <w:color w:val="auto"/>
        </w:rPr>
        <w:t>likely to be harmful to them or their business, business reputations or personal reputations, provided that you may respond accurately and fully to any inquiry to the extent required by legal process.</w:t>
      </w:r>
    </w:p>
    <w:p>
      <w:pPr>
        <w:spacing w:after="0" w:line="176" w:lineRule="exact"/>
        <w:rPr>
          <w:rFonts w:ascii="Arial" w:cs="Arial" w:eastAsia="Arial" w:hAnsi="Arial"/>
          <w:sz w:val="18"/>
          <w:szCs w:val="18"/>
          <w:b w:val="1"/>
          <w:bCs w:val="1"/>
          <w:color w:val="auto"/>
        </w:rPr>
      </w:pPr>
    </w:p>
    <w:p>
      <w:pPr>
        <w:ind w:right="20" w:firstLine="464"/>
        <w:spacing w:after="0" w:line="313" w:lineRule="auto"/>
        <w:tabs>
          <w:tab w:leader="none" w:pos="73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4"/>
          <w:szCs w:val="14"/>
          <w:b w:val="1"/>
          <w:bCs w:val="1"/>
          <w:color w:val="auto"/>
        </w:rPr>
        <w:t>O</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DMISSIONS</w:t>
      </w:r>
      <w:r>
        <w:rPr>
          <w:rFonts w:ascii="Arial" w:cs="Arial" w:eastAsia="Arial" w:hAnsi="Arial"/>
          <w:sz w:val="17"/>
          <w:szCs w:val="17"/>
          <w:b w:val="1"/>
          <w:bCs w:val="1"/>
          <w:color w:val="auto"/>
        </w:rPr>
        <w:t xml:space="preserve">. </w:t>
      </w:r>
      <w:r>
        <w:rPr>
          <w:rFonts w:ascii="Arial" w:cs="Arial" w:eastAsia="Arial" w:hAnsi="Arial"/>
          <w:sz w:val="17"/>
          <w:szCs w:val="17"/>
          <w:color w:val="auto"/>
        </w:rPr>
        <w:t>You understand and agree that the promises and payments in consideration of this Agreement shall not be construed to be an</w:t>
      </w:r>
      <w:r>
        <w:rPr>
          <w:rFonts w:ascii="Arial" w:cs="Arial" w:eastAsia="Arial" w:hAnsi="Arial"/>
          <w:sz w:val="17"/>
          <w:szCs w:val="17"/>
          <w:b w:val="1"/>
          <w:bCs w:val="1"/>
          <w:color w:val="auto"/>
        </w:rPr>
        <w:t xml:space="preserve"> </w:t>
      </w:r>
      <w:r>
        <w:rPr>
          <w:rFonts w:ascii="Arial" w:cs="Arial" w:eastAsia="Arial" w:hAnsi="Arial"/>
          <w:sz w:val="17"/>
          <w:szCs w:val="17"/>
          <w:color w:val="auto"/>
        </w:rPr>
        <w:t>admission of any liability or obligation by the Company to you or to any other person, and that the Company makes no such admission.</w:t>
      </w:r>
    </w:p>
    <w:p>
      <w:pPr>
        <w:spacing w:after="0" w:line="138" w:lineRule="exact"/>
        <w:rPr>
          <w:rFonts w:ascii="Arial" w:cs="Arial" w:eastAsia="Arial" w:hAnsi="Arial"/>
          <w:sz w:val="17"/>
          <w:szCs w:val="17"/>
          <w:b w:val="1"/>
          <w:bCs w:val="1"/>
          <w:color w:val="auto"/>
        </w:rPr>
      </w:pPr>
    </w:p>
    <w:p>
      <w:pPr>
        <w:jc w:val="both"/>
        <w:ind w:firstLine="464"/>
        <w:spacing w:after="0" w:line="274" w:lineRule="auto"/>
        <w:tabs>
          <w:tab w:leader="none" w:pos="726"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ELEASE OF</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LAIMS</w:t>
      </w:r>
      <w:r>
        <w:rPr>
          <w:rFonts w:ascii="Arial" w:cs="Arial" w:eastAsia="Arial" w:hAnsi="Arial"/>
          <w:sz w:val="17"/>
          <w:szCs w:val="17"/>
          <w:b w:val="1"/>
          <w:bCs w:val="1"/>
          <w:color w:val="auto"/>
        </w:rPr>
        <w:t xml:space="preserve">. </w:t>
      </w:r>
      <w:r>
        <w:rPr>
          <w:rFonts w:ascii="Arial" w:cs="Arial" w:eastAsia="Arial" w:hAnsi="Arial"/>
          <w:sz w:val="17"/>
          <w:szCs w:val="17"/>
          <w:color w:val="auto"/>
        </w:rPr>
        <w:t>In exchange for the consideration under this Agreement to which you would not otherwise be entitled, you hereby generally</w:t>
      </w:r>
      <w:r>
        <w:rPr>
          <w:rFonts w:ascii="Arial" w:cs="Arial" w:eastAsia="Arial" w:hAnsi="Arial"/>
          <w:sz w:val="17"/>
          <w:szCs w:val="17"/>
          <w:b w:val="1"/>
          <w:bCs w:val="1"/>
          <w:color w:val="auto"/>
        </w:rPr>
        <w:t xml:space="preserve"> </w:t>
      </w:r>
      <w:r>
        <w:rPr>
          <w:rFonts w:ascii="Arial" w:cs="Arial" w:eastAsia="Arial" w:hAnsi="Arial"/>
          <w:sz w:val="17"/>
          <w:szCs w:val="17"/>
          <w:color w:val="auto"/>
        </w:rPr>
        <w:t>and completely release the Company and its directors, officers, employees, shareholders, partners, agents, attorneys, predecessors, successors, parent and subsidiary entities, insurers, affiliates, and assigns from any and all claims, liabilities and obligations, both known and unknown, arising from or in any way related to events, acts, conduct, or omissions occurring at any time prior to and including the time you sign this Agreement. This general release includes, but is not limited to: (a) all claims arising from or in any way related to your employment with the Company or the termination of that employment; (b) all claims related to your compensation or benefits from the Company,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8" w:name="page49"/>
    <w:bookmarkEnd w:id="48"/>
    <w:p>
      <w:pPr>
        <w:jc w:val="both"/>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salary, bonuses, commissions, fees,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attorneys’ fees, or other claims arising under the federal Civil Rights Act of 1964 (as amended), the federal Americans with Disabilities Act of 1990, the California Labor Code (as amended), the California Family Rights Act, the Age Discrimination in Employment Act (“</w:t>
      </w:r>
      <w:r>
        <w:rPr>
          <w:rFonts w:ascii="Arial" w:cs="Arial" w:eastAsia="Arial" w:hAnsi="Arial"/>
          <w:sz w:val="17"/>
          <w:szCs w:val="17"/>
          <w:b w:val="1"/>
          <w:bCs w:val="1"/>
          <w:color w:val="auto"/>
        </w:rPr>
        <w:t>ADEA</w:t>
      </w:r>
      <w:r>
        <w:rPr>
          <w:rFonts w:ascii="Arial" w:cs="Arial" w:eastAsia="Arial" w:hAnsi="Arial"/>
          <w:sz w:val="17"/>
          <w:szCs w:val="17"/>
          <w:color w:val="auto"/>
        </w:rPr>
        <w:t>”) and the California Fair Employment and Housing Act (as amended). Notwithstanding the foregoing, you are not releasing the Company hereby from any breach of this Agreement subsequent to its Effective Date, or any obligation to indemnify you pursuant to the Articles and Bylaws of the Company, any valid fully executed indemnification agreement with the Company, applicable law, or applicable directors and officers liability insurance. Also, excluded from this Agreement are any claims that cannot be waived by law. You are not waiving your right to bring proceedings before administrative agencies such as the Equal Employment Opportunity Commission, Department of Labor, or the California Department of Fair Employment and Housing, provided that you are waiving any monetary recovery from such proceedings. You represent that you have no lawsuits, claims or actions pending in your name, or on behalf of any other person or entity, against the Company or any other person or entity subject to the release granted in this paragraph.</w:t>
      </w:r>
    </w:p>
    <w:p>
      <w:pPr>
        <w:spacing w:after="0" w:line="184" w:lineRule="exact"/>
        <w:rPr>
          <w:sz w:val="20"/>
          <w:szCs w:val="20"/>
          <w:color w:val="auto"/>
        </w:rPr>
      </w:pPr>
    </w:p>
    <w:p>
      <w:pPr>
        <w:jc w:val="both"/>
        <w:ind w:firstLine="464"/>
        <w:spacing w:after="0" w:line="286" w:lineRule="auto"/>
        <w:tabs>
          <w:tab w:leader="none" w:pos="733" w:val="left"/>
        </w:tabs>
        <w:numPr>
          <w:ilvl w:val="1"/>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ADEA R</w:t>
      </w:r>
      <w:r>
        <w:rPr>
          <w:rFonts w:ascii="Arial" w:cs="Arial" w:eastAsia="Arial" w:hAnsi="Arial"/>
          <w:sz w:val="13"/>
          <w:szCs w:val="13"/>
          <w:b w:val="1"/>
          <w:bCs w:val="1"/>
          <w:color w:val="auto"/>
        </w:rPr>
        <w:t>ELEASE</w:t>
      </w:r>
      <w:r>
        <w:rPr>
          <w:rFonts w:ascii="Arial" w:cs="Arial" w:eastAsia="Arial" w:hAnsi="Arial"/>
          <w:sz w:val="16"/>
          <w:szCs w:val="16"/>
          <w:b w:val="1"/>
          <w:bCs w:val="1"/>
          <w:color w:val="auto"/>
        </w:rPr>
        <w:t xml:space="preserve">. </w:t>
      </w:r>
      <w:r>
        <w:rPr>
          <w:rFonts w:ascii="Arial" w:cs="Arial" w:eastAsia="Arial" w:hAnsi="Arial"/>
          <w:sz w:val="16"/>
          <w:szCs w:val="16"/>
          <w:color w:val="auto"/>
        </w:rPr>
        <w:t>You acknowledge that you are knowingly and voluntarily waiving and releasing any rights you have under the ADEA, and that</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consideration given for the waiver and releases you have given in this Agreement is in addition to anything of value to which you were already entitled. You further acknowledge that you have been advised, as required by the ADEA, that: (a) your waiver and release does not apply to any rights or claims that arise after the date you sign this Agreement; (b) you should consult with an attorney prior to signing this Agreement (although you may choose voluntarily not to do so); (c) you have twenty-one (21) days to consider this Agreement (although you may choose voluntarily to sign it sooner); (d) you have seven</w:t>
      </w:r>
    </w:p>
    <w:p>
      <w:pPr>
        <w:spacing w:after="0" w:line="2" w:lineRule="exact"/>
        <w:rPr>
          <w:rFonts w:ascii="Arial" w:cs="Arial" w:eastAsia="Arial" w:hAnsi="Arial"/>
          <w:sz w:val="16"/>
          <w:szCs w:val="16"/>
          <w:b w:val="1"/>
          <w:bCs w:val="1"/>
          <w:color w:val="auto"/>
        </w:rPr>
      </w:pPr>
    </w:p>
    <w:p>
      <w:pPr>
        <w:jc w:val="both"/>
        <w:ind w:firstLine="8"/>
        <w:spacing w:after="0" w:line="255" w:lineRule="auto"/>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days following the date you sign this Agreement to revoke this Agreement (in a written revocation sent to me); and (e) this Agreement will not be effective until the date upon which the revocation period has expired, which will be the eighth day after you sign this Agreement provided that you do not revoke it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464"/>
        <w:spacing w:after="0" w:line="282" w:lineRule="auto"/>
        <w:tabs>
          <w:tab w:leader="none" w:pos="726"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1542 W</w:t>
      </w:r>
      <w:r>
        <w:rPr>
          <w:rFonts w:ascii="Arial" w:cs="Arial" w:eastAsia="Arial" w:hAnsi="Arial"/>
          <w:sz w:val="15"/>
          <w:szCs w:val="15"/>
          <w:b w:val="1"/>
          <w:bCs w:val="1"/>
          <w:color w:val="auto"/>
        </w:rPr>
        <w:t>AIVER</w:t>
      </w:r>
      <w:r>
        <w:rPr>
          <w:rFonts w:ascii="Arial" w:cs="Arial" w:eastAsia="Arial" w:hAnsi="Arial"/>
          <w:sz w:val="18"/>
          <w:szCs w:val="18"/>
          <w:b w:val="1"/>
          <w:bCs w:val="1"/>
          <w:color w:val="auto"/>
        </w:rPr>
        <w:t xml:space="preserve">. </w:t>
      </w:r>
      <w:r>
        <w:rPr>
          <w:rFonts w:ascii="Arial" w:cs="Arial" w:eastAsia="Arial" w:hAnsi="Arial"/>
          <w:sz w:val="18"/>
          <w:szCs w:val="18"/>
          <w:color w:val="auto"/>
        </w:rPr>
        <w:t>In granting the release herein, which includes claims that may be unknown to you at present, you acknowledge that you</w:t>
      </w:r>
      <w:r>
        <w:rPr>
          <w:rFonts w:ascii="Arial" w:cs="Arial" w:eastAsia="Arial" w:hAnsi="Arial"/>
          <w:sz w:val="18"/>
          <w:szCs w:val="18"/>
          <w:b w:val="1"/>
          <w:bCs w:val="1"/>
          <w:color w:val="auto"/>
        </w:rPr>
        <w:t xml:space="preserve"> </w:t>
      </w:r>
      <w:r>
        <w:rPr>
          <w:rFonts w:ascii="Arial" w:cs="Arial" w:eastAsia="Arial" w:hAnsi="Arial"/>
          <w:sz w:val="18"/>
          <w:szCs w:val="18"/>
          <w:color w:val="auto"/>
        </w:rPr>
        <w:t>have read and understand Section 1542 of the California Civil Code:</w:t>
      </w:r>
    </w:p>
    <w:p>
      <w:pPr>
        <w:spacing w:after="0" w:line="54" w:lineRule="exact"/>
        <w:rPr>
          <w:sz w:val="20"/>
          <w:szCs w:val="20"/>
          <w:color w:val="auto"/>
        </w:rPr>
      </w:pPr>
    </w:p>
    <w:p>
      <w:pPr>
        <w:ind w:left="460"/>
        <w:spacing w:after="0" w:line="282" w:lineRule="auto"/>
        <w:rPr>
          <w:sz w:val="20"/>
          <w:szCs w:val="20"/>
          <w:color w:val="auto"/>
        </w:rPr>
      </w:pPr>
      <w:r>
        <w:rPr>
          <w:rFonts w:ascii="Arial" w:cs="Arial" w:eastAsia="Arial" w:hAnsi="Arial"/>
          <w:sz w:val="18"/>
          <w:szCs w:val="18"/>
          <w:b w:val="1"/>
          <w:bCs w:val="1"/>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hereby expressly waive and relinquish all rights and benefits under that section and any law or legal principle of similar effect in any jurisdiction with respect to the releases granted herein,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but not limited to the release of unknown and unsuspected claims granted in this Agreement.</w:t>
      </w:r>
    </w:p>
    <w:p>
      <w:pPr>
        <w:spacing w:after="0" w:line="221" w:lineRule="exact"/>
        <w:rPr>
          <w:sz w:val="20"/>
          <w:szCs w:val="20"/>
          <w:color w:val="auto"/>
        </w:rPr>
      </w:pPr>
    </w:p>
    <w:p>
      <w:pPr>
        <w:jc w:val="both"/>
        <w:ind w:firstLine="464"/>
        <w:spacing w:after="0" w:line="284" w:lineRule="auto"/>
        <w:tabs>
          <w:tab w:leader="none" w:pos="753" w:val="left"/>
        </w:tabs>
        <w:numPr>
          <w:ilvl w:val="1"/>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D</w:t>
      </w:r>
      <w:r>
        <w:rPr>
          <w:rFonts w:ascii="Arial" w:cs="Arial" w:eastAsia="Arial" w:hAnsi="Arial"/>
          <w:sz w:val="13"/>
          <w:szCs w:val="13"/>
          <w:b w:val="1"/>
          <w:bCs w:val="1"/>
          <w:color w:val="auto"/>
        </w:rPr>
        <w:t>ISPUTE</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ESOLUTION</w:t>
      </w:r>
      <w:r>
        <w:rPr>
          <w:rFonts w:ascii="Arial" w:cs="Arial" w:eastAsia="Arial" w:hAnsi="Arial"/>
          <w:sz w:val="16"/>
          <w:szCs w:val="16"/>
          <w:b w:val="1"/>
          <w:bCs w:val="1"/>
          <w:color w:val="auto"/>
        </w:rPr>
        <w:t xml:space="preserve">. </w:t>
      </w:r>
      <w:r>
        <w:rPr>
          <w:rFonts w:ascii="Arial" w:cs="Arial" w:eastAsia="Arial" w:hAnsi="Arial"/>
          <w:sz w:val="16"/>
          <w:szCs w:val="16"/>
          <w:color w:val="auto"/>
        </w:rPr>
        <w:t>To aid in the rapid and economical resolution of any disputes which may arise under this Agreement, you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agree that any and all claims, disputes or controversies of any nature whatsoever arising from or regarding the interpretation, performance, negotiation, execution, enforcement or breach of this Agreement, your employment, or the termination of your employment, shall be resolved by confidential, final and binding arbitration conducted before a single arbitrator with JAMS, Inc. (“</w:t>
      </w:r>
      <w:r>
        <w:rPr>
          <w:rFonts w:ascii="Arial" w:cs="Arial" w:eastAsia="Arial" w:hAnsi="Arial"/>
          <w:sz w:val="16"/>
          <w:szCs w:val="16"/>
          <w:b w:val="1"/>
          <w:bCs w:val="1"/>
          <w:color w:val="auto"/>
        </w:rPr>
        <w:t>JAMS</w:t>
      </w:r>
      <w:r>
        <w:rPr>
          <w:rFonts w:ascii="Arial" w:cs="Arial" w:eastAsia="Arial" w:hAnsi="Arial"/>
          <w:sz w:val="16"/>
          <w:szCs w:val="16"/>
          <w:color w:val="auto"/>
        </w:rPr>
        <w:t xml:space="preserve">”) in the Los Angeles, California area, in accordance with JAMS’ then-applicable arbitration rules, which appear at the following link: http://www.jamsadr.com/rules-comprehensive-arbitration/. </w:t>
      </w:r>
      <w:r>
        <w:rPr>
          <w:rFonts w:ascii="Arial" w:cs="Arial" w:eastAsia="Arial" w:hAnsi="Arial"/>
          <w:sz w:val="16"/>
          <w:szCs w:val="16"/>
          <w:b w:val="1"/>
          <w:bCs w:val="1"/>
          <w:color w:val="auto"/>
        </w:rPr>
        <w:t>The parties acknowledge</w:t>
      </w:r>
      <w:r>
        <w:rPr>
          <w:rFonts w:ascii="Arial" w:cs="Arial" w:eastAsia="Arial" w:hAnsi="Arial"/>
          <w:sz w:val="16"/>
          <w:szCs w:val="16"/>
          <w:color w:val="auto"/>
        </w:rPr>
        <w:t xml:space="preserve"> </w:t>
      </w:r>
      <w:r>
        <w:rPr>
          <w:rFonts w:ascii="Arial" w:cs="Arial" w:eastAsia="Arial" w:hAnsi="Arial"/>
          <w:sz w:val="16"/>
          <w:szCs w:val="16"/>
          <w:b w:val="1"/>
          <w:bCs w:val="1"/>
          <w:color w:val="auto"/>
        </w:rPr>
        <w:t>that by agreeing to this arbitration procedure, they waive the right to resolve any such dispute through a trial by jury, judge or administrative proceeding</w:t>
      </w:r>
      <w:r>
        <w:rPr>
          <w:rFonts w:ascii="Arial" w:cs="Arial" w:eastAsia="Arial" w:hAnsi="Arial"/>
          <w:sz w:val="16"/>
          <w:szCs w:val="16"/>
          <w:color w:val="auto"/>
        </w:rPr>
        <w:t>. You will have the right to be represented by legal counsel at any arbitration proceeding. The arbitrator shall: (a) have the authority to compel</w:t>
      </w:r>
      <w:r>
        <w:rPr>
          <w:rFonts w:ascii="Arial" w:cs="Arial" w:eastAsia="Arial" w:hAnsi="Arial"/>
          <w:sz w:val="16"/>
          <w:szCs w:val="16"/>
          <w:b w:val="1"/>
          <w:bCs w:val="1"/>
          <w:color w:val="auto"/>
        </w:rPr>
        <w:t xml:space="preserve"> </w:t>
      </w:r>
      <w:r>
        <w:rPr>
          <w:rFonts w:ascii="Arial" w:cs="Arial" w:eastAsia="Arial" w:hAnsi="Arial"/>
          <w:sz w:val="16"/>
          <w:szCs w:val="16"/>
          <w:color w:val="auto"/>
        </w:rPr>
        <w:t>adequate discovery for the resolution of the dispute and to award such relief as would otherwise be available under applicable law in a court proceeding; and</w:t>
      </w:r>
    </w:p>
    <w:p>
      <w:pPr>
        <w:spacing w:after="0" w:line="5" w:lineRule="exact"/>
        <w:rPr>
          <w:rFonts w:ascii="Arial" w:cs="Arial" w:eastAsia="Arial" w:hAnsi="Arial"/>
          <w:sz w:val="16"/>
          <w:szCs w:val="16"/>
          <w:b w:val="1"/>
          <w:bCs w:val="1"/>
          <w:color w:val="auto"/>
        </w:rPr>
      </w:pPr>
    </w:p>
    <w:p>
      <w:pPr>
        <w:jc w:val="both"/>
        <w:ind w:firstLine="8"/>
        <w:spacing w:after="0" w:line="253"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a written statement signed by the arbitrator regarding the disposition of each claim and the relief, if any, awarded as to each claim, the reasons for the award, and the arbitrator’s essential findings and conclusions on which the award is based. The Company shall bear JAMS’ arbitration fees and administrative costs. Nothing in this Agreement shall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87" w:lineRule="exact"/>
        <w:rPr>
          <w:rFonts w:ascii="Arial" w:cs="Arial" w:eastAsia="Arial" w:hAnsi="Arial"/>
          <w:sz w:val="18"/>
          <w:szCs w:val="18"/>
          <w:color w:val="auto"/>
        </w:rPr>
      </w:pPr>
    </w:p>
    <w:p>
      <w:pPr>
        <w:jc w:val="both"/>
        <w:ind w:firstLine="464"/>
        <w:spacing w:after="0" w:line="266" w:lineRule="auto"/>
        <w:tabs>
          <w:tab w:leader="none" w:pos="726"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You hereby represent that you have been paid all compensation owed and for all hours worked, have received all the leave and</w:t>
      </w:r>
      <w:r>
        <w:rPr>
          <w:rFonts w:ascii="Arial" w:cs="Arial" w:eastAsia="Arial" w:hAnsi="Arial"/>
          <w:sz w:val="18"/>
          <w:szCs w:val="18"/>
          <w:b w:val="1"/>
          <w:bCs w:val="1"/>
          <w:color w:val="auto"/>
        </w:rPr>
        <w:t xml:space="preserve"> </w:t>
      </w:r>
      <w:r>
        <w:rPr>
          <w:rFonts w:ascii="Arial" w:cs="Arial" w:eastAsia="Arial" w:hAnsi="Arial"/>
          <w:sz w:val="18"/>
          <w:szCs w:val="18"/>
          <w:color w:val="auto"/>
        </w:rPr>
        <w:t>leave benefits and protections for which you are eligible pursuant to the Family and Medical Leave Act, the California Family Rights Act, or otherwise, and have not suffered any on-the-job injury for which you have not already filed a workers’ compensation claim.</w:t>
      </w:r>
    </w:p>
    <w:p>
      <w:pPr>
        <w:spacing w:after="0" w:line="176" w:lineRule="exact"/>
        <w:rPr>
          <w:rFonts w:ascii="Arial" w:cs="Arial" w:eastAsia="Arial" w:hAnsi="Arial"/>
          <w:sz w:val="18"/>
          <w:szCs w:val="18"/>
          <w:b w:val="1"/>
          <w:bCs w:val="1"/>
          <w:color w:val="auto"/>
        </w:rPr>
      </w:pPr>
    </w:p>
    <w:p>
      <w:pPr>
        <w:jc w:val="both"/>
        <w:ind w:firstLine="464"/>
        <w:spacing w:after="0" w:line="270" w:lineRule="auto"/>
        <w:tabs>
          <w:tab w:leader="none" w:pos="753" w:val="left"/>
        </w:tabs>
        <w:numPr>
          <w:ilvl w:val="1"/>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M</w:t>
      </w:r>
      <w:r>
        <w:rPr>
          <w:rFonts w:ascii="Arial" w:cs="Arial" w:eastAsia="Arial" w:hAnsi="Arial"/>
          <w:sz w:val="14"/>
          <w:szCs w:val="14"/>
          <w:b w:val="1"/>
          <w:bCs w:val="1"/>
          <w:color w:val="auto"/>
        </w:rPr>
        <w:t>ISCELLANEOUS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including all exhibits, constitutes the complete, final and exclusive embodiment of the 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you and the Company with regard to its subject matter. It is entered into without reliance on any promise or representation, written or oral, other than those expressly contained herein, and it supersedes any other such promises, warranties or representations, including, but not limited to, your employment offer letter, Executive Severance Agreement and Employee Proprietary Information and Inventions Agreement (insofar as it may be inconsistent with this Agreement). This Agreement may not be modified or amended except in a written agreement signed by both you and a duly authorized officer of the Company. If any provision of this Agreement (including, but not limited to, the Employee Proprietary Information and Inventions Agreement, incorporated by reference herein) becomes or is declared illegal, unenforceable or void, this Agreement shall continue in full force and effect, and said provision shall be deemed modified and enforceable consistent with the intent of the parties insofar as possible under applicable law. This Agreement will be construed and enforced in accordance with the laws of the State of California without respect to conflicts of law principles. Any ambiguity in this Agreement shall not be construed against either party as the drafter. Any waiver of a breach of this Agreement must be in writing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50" w:name="page51"/>
    <w:bookmarkEnd w:id="5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shall not be deemed a waiver of any successive breach. This Agreement may be executed in counterparts and facsimile signatures will suffice as original signatures.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If this Agreement is acceptable to you, please sign below and return the original to me. You have twenty-one (21) calendar days to decide whether to accept this Agreement, and the Company’s offer contained herein will automatically expire if you do not sign and return it within this timeframe.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  /s/ Hakan S. Edstrom</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Hakan S. Edstrom,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5"/>
                <w:szCs w:val="15"/>
                <w:b w:val="1"/>
                <w:bCs w:val="1"/>
                <w:color w:val="auto"/>
              </w:rPr>
              <w:t>HAVE READ</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UNDERSTAND AND ACCEPT THE FOREGOING</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tc>
        <w:tc>
          <w:tcPr>
            <w:tcW w:w="214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675"/>
        </w:trPr>
        <w:tc>
          <w:tcPr>
            <w:tcW w:w="5640" w:type="dxa"/>
            <w:vAlign w:val="bottom"/>
            <w:gridSpan w:val="3"/>
          </w:tcPr>
          <w:p>
            <w:pPr>
              <w:spacing w:after="0"/>
              <w:rPr>
                <w:sz w:val="20"/>
                <w:szCs w:val="20"/>
                <w:color w:val="auto"/>
              </w:rPr>
            </w:pPr>
            <w:r>
              <w:rPr>
                <w:rFonts w:ascii="Arial" w:cs="Arial" w:eastAsia="Arial" w:hAnsi="Arial"/>
                <w:sz w:val="18"/>
                <w:szCs w:val="18"/>
                <w:color w:val="auto"/>
              </w:rPr>
              <w:t>/s/ Diane Palumbo</w:t>
            </w:r>
          </w:p>
        </w:tc>
        <w:tc>
          <w:tcPr>
            <w:tcW w:w="2140" w:type="dxa"/>
            <w:vAlign w:val="bottom"/>
          </w:tcPr>
          <w:p>
            <w:pPr>
              <w:spacing w:after="0"/>
              <w:rPr>
                <w:sz w:val="24"/>
                <w:szCs w:val="24"/>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March 20, 2015</w:t>
            </w:r>
          </w:p>
        </w:tc>
      </w:tr>
      <w:tr>
        <w:trPr>
          <w:trHeight w:val="228"/>
        </w:trPr>
        <w:tc>
          <w:tcPr>
            <w:tcW w:w="20" w:type="dxa"/>
            <w:vAlign w:val="bottom"/>
          </w:tcPr>
          <w:p>
            <w:pPr>
              <w:spacing w:after="0"/>
              <w:rPr>
                <w:sz w:val="19"/>
                <w:szCs w:val="19"/>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Diane Palumbo</w:t>
            </w:r>
          </w:p>
        </w:tc>
        <w:tc>
          <w:tcPr>
            <w:tcW w:w="18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6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Date</w:t>
            </w:r>
          </w:p>
        </w:tc>
      </w:tr>
      <w:tr>
        <w:trPr>
          <w:trHeight w:val="346"/>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40" w:type="dxa"/>
            <w:vAlign w:val="bottom"/>
          </w:tcPr>
          <w:p>
            <w:pPr>
              <w:jc w:val="right"/>
              <w:ind w:right="1930"/>
              <w:spacing w:after="0"/>
              <w:rPr>
                <w:sz w:val="20"/>
                <w:szCs w:val="20"/>
                <w:color w:val="auto"/>
              </w:rPr>
            </w:pPr>
            <w:r>
              <w:rPr>
                <w:rFonts w:ascii="Arial" w:cs="Arial" w:eastAsia="Arial" w:hAnsi="Arial"/>
                <w:sz w:val="18"/>
                <w:szCs w:val="18"/>
                <w:color w:val="auto"/>
                <w:w w:val="99"/>
              </w:rPr>
              <w:t>7</w:t>
            </w:r>
          </w:p>
        </w:tc>
        <w:tc>
          <w:tcPr>
            <w:tcW w:w="36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DATE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signed on or within 21 days after the Separation Date.)</w:t>
      </w:r>
    </w:p>
    <w:p>
      <w:pPr>
        <w:spacing w:after="0" w:line="225"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color w:val="auto"/>
        </w:rPr>
        <w:t>In consideration for the various benefits provided to me by MannKind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pursuant to my letter Transition and Separation Agreement with the Company dated March 20, 2015 (the “</w:t>
      </w:r>
      <w:r>
        <w:rPr>
          <w:rFonts w:ascii="Arial" w:cs="Arial" w:eastAsia="Arial" w:hAnsi="Arial"/>
          <w:sz w:val="18"/>
          <w:szCs w:val="18"/>
          <w:b w:val="1"/>
          <w:bCs w:val="1"/>
          <w:color w:val="auto"/>
        </w:rPr>
        <w:t>Agreement</w:t>
      </w:r>
      <w:r>
        <w:rPr>
          <w:rFonts w:ascii="Arial" w:cs="Arial" w:eastAsia="Arial" w:hAnsi="Arial"/>
          <w:sz w:val="18"/>
          <w:szCs w:val="18"/>
          <w:color w:val="auto"/>
        </w:rPr>
        <w:t>”), I agree to the terms below.</w:t>
      </w:r>
    </w:p>
    <w:p>
      <w:pPr>
        <w:spacing w:after="0" w:line="16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 hereby confirm that: I have been paid all compensation owed for all hours worked by me for the Company; I have received all leave and leave benefits and protections for which I was eligible (pursuant to the Family and Medical Leave Act, the California Family Rights Act or otherwise) in connection with my work with the Company; and I have not suffered any injury or illness in connection with my work with the Company for which I have not already filed a claim.</w:t>
      </w:r>
    </w:p>
    <w:p>
      <w:pPr>
        <w:spacing w:after="0" w:line="18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I hereby generally and completely release the Company and its current and former directors, officers, employees, shareholders, partners, agents, attorneys, predecessors, successors, parent and subsidiary entities, insurers, affiliates, and assigns from any and all claims, liabilities and obligations, both known and unknown, arising from or in any way related to events, acts, conduct, or omissions occurring prior to and including the time I sign this Separation Date Release (the “</w:t>
      </w:r>
      <w:r>
        <w:rPr>
          <w:rFonts w:ascii="Arial" w:cs="Arial" w:eastAsia="Arial" w:hAnsi="Arial"/>
          <w:sz w:val="16"/>
          <w:szCs w:val="16"/>
          <w:b w:val="1"/>
          <w:bCs w:val="1"/>
          <w:color w:val="auto"/>
        </w:rPr>
        <w:t>Release</w:t>
      </w:r>
      <w:r>
        <w:rPr>
          <w:rFonts w:ascii="Arial" w:cs="Arial" w:eastAsia="Arial" w:hAnsi="Arial"/>
          <w:sz w:val="16"/>
          <w:szCs w:val="16"/>
          <w:color w:val="auto"/>
        </w:rPr>
        <w:t>”). This general release includes, but is not limited to: (1) all claims arising from or in any way related to my employment with the Company, or the termination of that employment; (2) all claims related to compensation or benefits from the Company, including salary, bonuses, commissions, vacation pay, paid time off, expense reimbursements, severance pay, fringe benefits, stock, stock options, or any other ownership interests in the Company;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Arial" w:cs="Arial" w:eastAsia="Arial" w:hAnsi="Arial"/>
          <w:sz w:val="16"/>
          <w:szCs w:val="16"/>
          <w:b w:val="1"/>
          <w:bCs w:val="1"/>
          <w:color w:val="auto"/>
        </w:rPr>
        <w:t>ADEA</w:t>
      </w:r>
      <w:r>
        <w:rPr>
          <w:rFonts w:ascii="Arial" w:cs="Arial" w:eastAsia="Arial" w:hAnsi="Arial"/>
          <w:sz w:val="16"/>
          <w:szCs w:val="16"/>
          <w:color w:val="auto"/>
        </w:rPr>
        <w:t>”), ERISA, the California Fair Employment and Housing Act (as amended), the California Labor Code (as amended), and the California Family Rights Act.</w:t>
      </w:r>
    </w:p>
    <w:p>
      <w:pPr>
        <w:spacing w:after="0" w:line="173"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 xml:space="preserve">I am not releasing: (i) any rights or claims for indemnification I may have pursuant to any written indemnification agreement with the Company to which I am a party or under applicable law; (ii) any rights which cannot be waived as a matter of law; (iii) any rights I have to file or pursue a claim for workers’ compensation or unemployment insurance; and (iv) any claims for breach of this Release. </w:t>
      </w:r>
      <w:r>
        <w:rPr>
          <w:rFonts w:ascii="Arial" w:cs="Arial" w:eastAsia="Arial" w:hAnsi="Arial"/>
          <w:sz w:val="17"/>
          <w:szCs w:val="17"/>
          <w:b w:val="1"/>
          <w:bCs w:val="1"/>
          <w:color w:val="auto"/>
        </w:rPr>
        <w:t>In addition, nothing in this Agreement prevents me</w:t>
      </w:r>
      <w:r>
        <w:rPr>
          <w:rFonts w:ascii="Arial" w:cs="Arial" w:eastAsia="Arial" w:hAnsi="Arial"/>
          <w:sz w:val="17"/>
          <w:szCs w:val="17"/>
          <w:color w:val="auto"/>
        </w:rPr>
        <w:t xml:space="preserve"> </w:t>
      </w:r>
      <w:r>
        <w:rPr>
          <w:rFonts w:ascii="Arial" w:cs="Arial" w:eastAsia="Arial" w:hAnsi="Arial"/>
          <w:sz w:val="17"/>
          <w:szCs w:val="17"/>
          <w:b w:val="1"/>
          <w:bCs w:val="1"/>
          <w:color w:val="auto"/>
        </w:rPr>
        <w:t>from filing, cooperating with, or participating in any proceeding before the Equal Employment Opportunity Commission, the Department of Labor, or any other analogous federal or state government agency, except that I acknowledge and agree that I hereby waive my right to any monetary benefits in connection with any such claim, charge or proceeding</w:t>
      </w:r>
      <w:r>
        <w:rPr>
          <w:rFonts w:ascii="Arial" w:cs="Arial" w:eastAsia="Arial" w:hAnsi="Arial"/>
          <w:sz w:val="17"/>
          <w:szCs w:val="17"/>
          <w:color w:val="auto"/>
        </w:rPr>
        <w:t>.</w:t>
      </w:r>
    </w:p>
    <w:p>
      <w:pPr>
        <w:spacing w:after="0" w:line="174" w:lineRule="exact"/>
        <w:rPr>
          <w:sz w:val="20"/>
          <w:szCs w:val="20"/>
          <w:color w:val="auto"/>
        </w:rPr>
      </w:pPr>
    </w:p>
    <w:p>
      <w:pPr>
        <w:jc w:val="both"/>
        <w:ind w:firstLine="456"/>
        <w:spacing w:after="0" w:line="313" w:lineRule="auto"/>
        <w:rPr>
          <w:sz w:val="20"/>
          <w:szCs w:val="20"/>
          <w:color w:val="auto"/>
        </w:rPr>
      </w:pPr>
      <w:r>
        <w:rPr>
          <w:rFonts w:ascii="Arial" w:cs="Arial" w:eastAsia="Arial" w:hAnsi="Arial"/>
          <w:sz w:val="17"/>
          <w:szCs w:val="17"/>
          <w:color w:val="auto"/>
        </w:rPr>
        <w:t>I also acknowledge that I am knowingly and voluntarily waiving and releasing any rights I may have under the ADEA (“</w:t>
      </w:r>
      <w:r>
        <w:rPr>
          <w:rFonts w:ascii="Arial" w:cs="Arial" w:eastAsia="Arial" w:hAnsi="Arial"/>
          <w:sz w:val="17"/>
          <w:szCs w:val="17"/>
          <w:b w:val="1"/>
          <w:bCs w:val="1"/>
          <w:color w:val="auto"/>
        </w:rPr>
        <w:t>Release ADEA Waiver</w:t>
      </w:r>
      <w:r>
        <w:rPr>
          <w:rFonts w:ascii="Arial" w:cs="Arial" w:eastAsia="Arial" w:hAnsi="Arial"/>
          <w:sz w:val="17"/>
          <w:szCs w:val="17"/>
          <w:color w:val="auto"/>
        </w:rPr>
        <w:t>”). I also acknowledge that the consideration given for the Release ADEA Waiver is in addition to anything of value to which I was already entitled. I further</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52" w:name="page53"/>
    <w:bookmarkEnd w:id="52"/>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 that I have been advised by this writing, as required by the ADEA, that: (a) my release and waiver herein does not apply to any rights or claims that arise after the date I sign this Release; (b) I should consult with an attorney prior to signing this Release (although I may choose voluntarily not to do so);</w:t>
      </w:r>
    </w:p>
    <w:p>
      <w:pPr>
        <w:jc w:val="both"/>
        <w:ind w:firstLine="8"/>
        <w:spacing w:after="0" w:line="302" w:lineRule="auto"/>
        <w:tabs>
          <w:tab w:leader="none" w:pos="253"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have twenty-one (21) days to consider this Release (although I may choose to voluntarily sign it sooner); (d) I have seven (7) days following the date I sign this Release to revoke it (by sending written revocation directly to the Company’s Chief Executive Officer); and (e) the Release will not be effective until the date upon which the revocation period has expired unexercised, which will be the eighth day after I sign this Release (the “</w:t>
      </w:r>
      <w:r>
        <w:rPr>
          <w:rFonts w:ascii="Arial" w:cs="Arial" w:eastAsia="Arial" w:hAnsi="Arial"/>
          <w:sz w:val="16"/>
          <w:szCs w:val="16"/>
          <w:b w:val="1"/>
          <w:bCs w:val="1"/>
          <w:color w:val="auto"/>
        </w:rPr>
        <w:t>Release Effective Date</w:t>
      </w:r>
      <w:r>
        <w:rPr>
          <w:rFonts w:ascii="Arial" w:cs="Arial" w:eastAsia="Arial" w:hAnsi="Arial"/>
          <w:sz w:val="16"/>
          <w:szCs w:val="16"/>
          <w:color w:val="auto"/>
        </w:rPr>
        <w:t>”).</w:t>
      </w:r>
    </w:p>
    <w:p>
      <w:pPr>
        <w:spacing w:after="0" w:line="155"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 xml:space="preserve">I UNDERSTAND THAT THIS RELEASE INCLUDES A RELEASE OF ALL KNOWN AND UNKNOWN CLAIMS. I acknowledge that I have read and understand Section 1542 of the California Civil Code which reads as follows: </w:t>
      </w:r>
      <w:r>
        <w:rPr>
          <w:rFonts w:ascii="Arial" w:cs="Arial" w:eastAsia="Arial" w:hAnsi="Arial"/>
          <w:sz w:val="16"/>
          <w:szCs w:val="16"/>
          <w:b w:val="1"/>
          <w:bCs w:val="1"/>
          <w:color w:val="auto"/>
        </w:rPr>
        <w:t>“A general release does not extend to claims which the creditor does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not know or suspect to exist in his or her favor at the time of executing the release, which if known by him or her must have materially affected his or her settlement with the debtor.” </w:t>
      </w:r>
      <w:r>
        <w:rPr>
          <w:rFonts w:ascii="Arial" w:cs="Arial" w:eastAsia="Arial" w:hAnsi="Arial"/>
          <w:sz w:val="16"/>
          <w:szCs w:val="16"/>
          <w:color w:val="auto"/>
        </w:rPr>
        <w:t>I hereby expressly waive and relinquish all rights and benefits under that section and any law or legal principle of</w:t>
      </w:r>
      <w:r>
        <w:rPr>
          <w:rFonts w:ascii="Arial" w:cs="Arial" w:eastAsia="Arial" w:hAnsi="Arial"/>
          <w:sz w:val="16"/>
          <w:szCs w:val="16"/>
          <w:b w:val="1"/>
          <w:bCs w:val="1"/>
          <w:color w:val="auto"/>
        </w:rPr>
        <w:t xml:space="preserve"> </w:t>
      </w:r>
      <w:r>
        <w:rPr>
          <w:rFonts w:ascii="Arial" w:cs="Arial" w:eastAsia="Arial" w:hAnsi="Arial"/>
          <w:sz w:val="16"/>
          <w:szCs w:val="16"/>
          <w:color w:val="auto"/>
        </w:rPr>
        <w:t>similar effect in any jurisdiction with respect to my release of claims herein, including but not limited to the release of unknown and unsuspected claims.</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Release, together with the Agreement (including all exhibits thereto), constitutes the complete, final and exclusive embodiment of the entire agreement between me and the Company with regard to this subject matter. It is entered into without reliance on any promise or representation, written or oral, other than those expressly contained in the Release or the Agreement, and it entirely supersedes any other such promises, warranties or representations, whether oral or written.</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Diane Palumbo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9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4" w:right="239"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EMPLOYEE PROPRIETARY INFORMATION AND INVENTIONS AGREEMENT</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9019"/>
          </w:cols>
          <w:pgMar w:left="1440" w:top="270"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Hakan S. Edstrom, certify that:</w:t>
      </w:r>
    </w:p>
    <w:p>
      <w:pPr>
        <w:spacing w:after="0" w:line="225"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2015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right="560" w:firstLine="443"/>
        <w:spacing w:after="0" w:line="342" w:lineRule="auto"/>
        <w:tabs>
          <w:tab w:leader="none" w:pos="1143"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60" w:right="40" w:firstLine="443"/>
        <w:spacing w:after="0" w:line="264" w:lineRule="auto"/>
        <w:tabs>
          <w:tab w:leader="none" w:pos="115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11, 2015</w:t>
      </w:r>
      <w:r>
        <w:rPr>
          <w:sz w:val="20"/>
          <w:szCs w:val="20"/>
          <w:color w:val="auto"/>
        </w:rPr>
        <w:tab/>
      </w:r>
      <w:r>
        <w:rPr>
          <w:rFonts w:ascii="Arial" w:cs="Arial" w:eastAsia="Arial" w:hAnsi="Arial"/>
          <w:sz w:val="16"/>
          <w:szCs w:val="16"/>
          <w:color w:val="auto"/>
        </w:rPr>
        <w:t>/s/ Hakan S. Edstrom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Hakan S. Edstrom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225"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2015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right="560" w:firstLine="443"/>
        <w:spacing w:after="0" w:line="342" w:lineRule="auto"/>
        <w:tabs>
          <w:tab w:leader="none" w:pos="1143"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60" w:right="40" w:firstLine="443"/>
        <w:spacing w:after="0" w:line="264" w:lineRule="auto"/>
        <w:tabs>
          <w:tab w:leader="none" w:pos="1153"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11, 2015</w:t>
      </w:r>
      <w:r>
        <w:rPr>
          <w:sz w:val="20"/>
          <w:szCs w:val="20"/>
          <w:color w:val="auto"/>
        </w:rPr>
        <w:tab/>
      </w:r>
      <w:r>
        <w:rPr>
          <w:rFonts w:ascii="Arial" w:cs="Arial" w:eastAsia="Arial" w:hAnsi="Arial"/>
          <w:sz w:val="16"/>
          <w:szCs w:val="16"/>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Matthew J. Pfeffer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Corporate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2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connection with the filing of the quarterly report of MannKind Corporation (the “Company”) on Form 10-Q for the quarterly period ended March 31, 2015,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Hakan S. Edstrom, President and Chief Executive Officer of the Company, and Matthew J. Pfeffer, Corporate Vice President and Chief Financial Officer of the Company, each hereby certifies that to the best of his knowledge:</w:t>
      </w:r>
    </w:p>
    <w:p>
      <w:pPr>
        <w:spacing w:after="0" w:line="158" w:lineRule="exact"/>
        <w:rPr>
          <w:sz w:val="20"/>
          <w:szCs w:val="20"/>
          <w:color w:val="auto"/>
        </w:rPr>
      </w:pPr>
    </w:p>
    <w:p>
      <w:pPr>
        <w:ind w:left="640" w:hanging="17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225" w:lineRule="exact"/>
        <w:rPr>
          <w:rFonts w:ascii="Arial" w:cs="Arial" w:eastAsia="Arial" w:hAnsi="Arial"/>
          <w:sz w:val="18"/>
          <w:szCs w:val="18"/>
          <w:color w:val="auto"/>
        </w:rPr>
      </w:pPr>
    </w:p>
    <w:p>
      <w:pPr>
        <w:ind w:right="340" w:firstLine="464"/>
        <w:spacing w:after="0" w:line="501" w:lineRule="auto"/>
        <w:tabs>
          <w:tab w:leader="none" w:pos="6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11, 2015</w:t>
      </w:r>
    </w:p>
    <w:p>
      <w:pPr>
        <w:spacing w:after="0"/>
        <w:rPr>
          <w:rFonts w:ascii="Arial" w:cs="Arial" w:eastAsia="Arial" w:hAnsi="Arial"/>
          <w:sz w:val="18"/>
          <w:szCs w:val="18"/>
          <w:color w:val="auto"/>
        </w:rPr>
      </w:pPr>
      <w:r>
        <w:rPr>
          <w:rFonts w:ascii="Arial" w:cs="Arial" w:eastAsia="Arial" w:hAnsi="Arial"/>
          <w:sz w:val="18"/>
          <w:szCs w:val="18"/>
          <w:color w:val="auto"/>
        </w:rPr>
        <w:t>In witness whereof, the undersigned have set their hands hereto as of the 11</w:t>
      </w:r>
      <w:r>
        <w:rPr>
          <w:rFonts w:ascii="Arial" w:cs="Arial" w:eastAsia="Arial" w:hAnsi="Arial"/>
          <w:sz w:val="15"/>
          <w:szCs w:val="15"/>
          <w:color w:val="auto"/>
        </w:rPr>
        <w:t>th</w:t>
      </w:r>
      <w:r>
        <w:rPr>
          <w:rFonts w:ascii="Arial" w:cs="Arial" w:eastAsia="Arial" w:hAnsi="Arial"/>
          <w:sz w:val="18"/>
          <w:szCs w:val="18"/>
          <w:color w:val="auto"/>
        </w:rPr>
        <w:t xml:space="preserve"> day of May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Hakan S. Edstrom</w:t>
            </w:r>
          </w:p>
        </w:tc>
        <w:tc>
          <w:tcPr>
            <w:tcW w:w="68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Hakan S. Edstrom</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Matthew J. Pfeffer</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Corporate Vice President and Chief Financial Officer</w:t>
            </w:r>
          </w:p>
        </w:tc>
      </w:tr>
    </w:tbl>
    <w:p>
      <w:pPr>
        <w:spacing w:after="0" w:line="20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32"/>
    </w:lvl>
  </w:abstractNum>
  <w:abstractNum w:abstractNumId="16">
    <w:nsid w:val="2D1D5AE9"/>
    <w:multiLevelType w:val="hybridMultilevel"/>
    <w:lvl w:ilvl="0">
      <w:lvlJc w:val="left"/>
      <w:lvlText w:val="%1"/>
      <w:numFmt w:val="decimal"/>
      <w:start w:val="101"/>
    </w:lvl>
  </w:abstractNum>
  <w:abstractNum w:abstractNumId="17">
    <w:nsid w:val="6763845E"/>
    <w:multiLevelType w:val="hybridMultilevel"/>
    <w:lvl w:ilvl="0">
      <w:lvlJc w:val="left"/>
      <w:lvlText w:val="%1."/>
      <w:numFmt w:val="decimal"/>
      <w:start w:val="1"/>
    </w:lvl>
    <w:lvl w:ilvl="1">
      <w:lvlJc w:val="left"/>
      <w:lvlText w:val="%2"/>
      <w:numFmt w:val="lowerLetter"/>
      <w:start w:val="1"/>
    </w:lvl>
  </w:abstractNum>
  <w:abstractNum w:abstractNumId="18">
    <w:nsid w:val="75A2A8D4"/>
    <w:multiLevelType w:val="hybridMultilevel"/>
    <w:lvl w:ilvl="0">
      <w:lvlJc w:val="left"/>
      <w:lvlText w:val="%1."/>
      <w:numFmt w:val="decimal"/>
      <w:start w:val="4"/>
    </w:lvl>
  </w:abstractNum>
  <w:abstractNum w:abstractNumId="19">
    <w:nsid w:val="8EDBDAB"/>
    <w:multiLevelType w:val="hybridMultilevel"/>
    <w:lvl w:ilvl="0">
      <w:lvlJc w:val="left"/>
      <w:lvlText w:val="%1."/>
      <w:numFmt w:val="decimal"/>
      <w:start w:val="8"/>
    </w:lvl>
  </w:abstractNum>
  <w:abstractNum w:abstractNumId="20">
    <w:nsid w:val="79838CB2"/>
    <w:multiLevelType w:val="hybridMultilevel"/>
    <w:lvl w:ilvl="0">
      <w:lvlJc w:val="left"/>
      <w:lvlText w:val="%1."/>
      <w:numFmt w:val="decimal"/>
      <w:start w:val="9"/>
    </w:lvl>
  </w:abstractNum>
  <w:abstractNum w:abstractNumId="21">
    <w:nsid w:val="4353D0CD"/>
    <w:multiLevelType w:val="hybridMultilevel"/>
    <w:lvl w:ilvl="0">
      <w:lvlJc w:val="left"/>
      <w:lvlText w:val="%1"/>
      <w:numFmt w:val="decimal"/>
      <w:start w:val="1"/>
    </w:lvl>
    <w:lvl w:ilvl="1">
      <w:lvlJc w:val="left"/>
      <w:lvlText w:val="%2."/>
      <w:numFmt w:val="decimal"/>
      <w:start w:val="13"/>
    </w:lvl>
  </w:abstractNum>
  <w:abstractNum w:abstractNumId="22">
    <w:nsid w:val="B03E0C6"/>
    <w:multiLevelType w:val="hybridMultilevel"/>
    <w:lvl w:ilvl="0">
      <w:lvlJc w:val="left"/>
      <w:lvlText w:val="(%1)"/>
      <w:numFmt w:val="decimal"/>
      <w:start w:val="7"/>
    </w:lvl>
    <w:lvl w:ilvl="1">
      <w:lvlJc w:val="left"/>
      <w:lvlText w:val="%2."/>
      <w:numFmt w:val="decimal"/>
      <w:start w:val="14"/>
    </w:lvl>
  </w:abstractNum>
  <w:abstractNum w:abstractNumId="23">
    <w:nsid w:val="189A769B"/>
    <w:multiLevelType w:val="hybridMultilevel"/>
    <w:lvl w:ilvl="0">
      <w:lvlJc w:val="left"/>
      <w:lvlText w:val="%1"/>
      <w:numFmt w:val="lowerLetter"/>
      <w:start w:val="1"/>
    </w:lvl>
    <w:lvl w:ilvl="1">
      <w:lvlJc w:val="left"/>
      <w:lvlText w:val="%2."/>
      <w:numFmt w:val="decimal"/>
      <w:start w:val="15"/>
    </w:lvl>
  </w:abstractNum>
  <w:abstractNum w:abstractNumId="24">
    <w:nsid w:val="54E49EB4"/>
    <w:multiLevelType w:val="hybridMultilevel"/>
    <w:lvl w:ilvl="0">
      <w:lvlJc w:val="left"/>
      <w:lvlText w:val="(%1)"/>
      <w:numFmt w:val="lowerLetter"/>
      <w:start w:val="2"/>
    </w:lvl>
    <w:lvl w:ilvl="1">
      <w:lvlJc w:val="left"/>
      <w:lvlText w:val="%2."/>
      <w:numFmt w:val="decimal"/>
      <w:start w:val="16"/>
    </w:lvl>
  </w:abstractNum>
  <w:abstractNum w:abstractNumId="25">
    <w:nsid w:val="71F32454"/>
    <w:multiLevelType w:val="hybridMultilevel"/>
    <w:lvl w:ilvl="0">
      <w:lvlJc w:val="left"/>
      <w:lvlText w:val="(%1)"/>
      <w:numFmt w:val="lowerLetter"/>
      <w:start w:val="3"/>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2019-12-29T16:59:17Z</dcterms:created>
  <dcterms:modified xsi:type="dcterms:W3CDTF">2019-12-29T16:59:17Z</dcterms:modified>
</cp:coreProperties>
</file>