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63" w:lineRule="exact"/>
        <w:rPr>
          <w:rFonts w:ascii="MS PGothic" w:cs="MS PGothic" w:eastAsia="MS PGothic" w:hAnsi="MS PGothic"/>
          <w:sz w:val="14"/>
          <w:szCs w:val="14"/>
          <w:color w:val="auto"/>
          <w:highlight w:val="black"/>
        </w:rPr>
      </w:pPr>
    </w:p>
    <w:p>
      <w:pPr>
        <w:ind w:left="408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6"/>
          <w:szCs w:val="16"/>
          <w:b w:val="1"/>
          <w:bCs w:val="1"/>
          <w:color w:val="auto"/>
        </w:rPr>
        <w:t>For the fiscal year ended December 31, 2025</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7"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2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46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71"/>
        </w:trPr>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300" w:type="dxa"/>
            <w:vAlign w:val="bottom"/>
            <w:gridSpan w:val="7"/>
          </w:tcPr>
          <w:p>
            <w:pPr>
              <w:jc w:val="center"/>
              <w:ind w:right="3851"/>
              <w:spacing w:after="0"/>
              <w:rPr>
                <w:sz w:val="20"/>
                <w:szCs w:val="20"/>
                <w:color w:val="auto"/>
              </w:rPr>
            </w:pPr>
            <w:r>
              <w:rPr>
                <w:rFonts w:ascii="Times New Roman" w:cs="Times New Roman" w:eastAsia="Times New Roman" w:hAnsi="Times New Roman"/>
                <w:sz w:val="16"/>
                <w:szCs w:val="16"/>
                <w:b w:val="1"/>
                <w:bCs w:val="1"/>
                <w:color w:val="auto"/>
              </w:rPr>
              <w:t>Commission file number: 000-50865</w:t>
            </w:r>
          </w:p>
        </w:tc>
      </w:tr>
      <w:tr>
        <w:trPr>
          <w:trHeight w:val="114"/>
        </w:trPr>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342"/>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gridSpan w:val="7"/>
          </w:tcPr>
          <w:p>
            <w:pPr>
              <w:jc w:val="center"/>
              <w:ind w:right="3851"/>
              <w:spacing w:after="0"/>
              <w:rPr>
                <w:sz w:val="20"/>
                <w:szCs w:val="20"/>
                <w:color w:val="auto"/>
              </w:rPr>
            </w:pPr>
            <w:r>
              <w:rPr>
                <w:rFonts w:ascii="Times New Roman" w:cs="Times New Roman" w:eastAsia="Times New Roman" w:hAnsi="Times New Roman"/>
                <w:sz w:val="27"/>
                <w:szCs w:val="27"/>
                <w:b w:val="1"/>
                <w:bCs w:val="1"/>
                <w:color w:val="auto"/>
                <w:w w:val="99"/>
              </w:rPr>
              <w:t>MannKind Corporation</w:t>
            </w:r>
          </w:p>
        </w:tc>
      </w:tr>
      <w:tr>
        <w:trPr>
          <w:trHeight w:val="212"/>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20" w:type="dxa"/>
            <w:vAlign w:val="bottom"/>
            <w:gridSpan w:val="8"/>
          </w:tcPr>
          <w:p>
            <w:pPr>
              <w:jc w:val="center"/>
              <w:ind w:right="373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14"/>
        </w:trPr>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233"/>
        </w:trPr>
        <w:tc>
          <w:tcPr>
            <w:tcW w:w="3540" w:type="dxa"/>
            <w:vAlign w:val="bottom"/>
          </w:tcPr>
          <w:p>
            <w:pPr>
              <w:jc w:val="center"/>
              <w:ind w:left="201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40" w:type="dxa"/>
            <w:vAlign w:val="bottom"/>
            <w:gridSpan w:val="4"/>
          </w:tcPr>
          <w:p>
            <w:pPr>
              <w:jc w:val="right"/>
              <w:ind w:right="2231"/>
              <w:spacing w:after="0"/>
              <w:rPr>
                <w:sz w:val="20"/>
                <w:szCs w:val="20"/>
                <w:color w:val="auto"/>
              </w:rPr>
            </w:pPr>
            <w:r>
              <w:rPr>
                <w:rFonts w:ascii="Times New Roman" w:cs="Times New Roman" w:eastAsia="Times New Roman" w:hAnsi="Times New Roman"/>
                <w:sz w:val="16"/>
                <w:szCs w:val="16"/>
                <w:b w:val="1"/>
                <w:bCs w:val="1"/>
                <w:color w:val="auto"/>
              </w:rPr>
              <w:t>13-3607736</w:t>
            </w:r>
          </w:p>
        </w:tc>
      </w:tr>
      <w:tr>
        <w:trPr>
          <w:trHeight w:val="148"/>
        </w:trPr>
        <w:tc>
          <w:tcPr>
            <w:tcW w:w="6600" w:type="dxa"/>
            <w:vAlign w:val="bottom"/>
            <w:gridSpan w:val="6"/>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711"/>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6600" w:type="dxa"/>
            <w:vAlign w:val="bottom"/>
            <w:gridSpan w:val="6"/>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ind w:right="1711"/>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54"/>
        </w:trPr>
        <w:tc>
          <w:tcPr>
            <w:tcW w:w="3540" w:type="dxa"/>
            <w:vAlign w:val="bottom"/>
          </w:tcPr>
          <w:p>
            <w:pPr>
              <w:ind w:left="2340"/>
              <w:spacing w:after="0"/>
              <w:rPr>
                <w:sz w:val="20"/>
                <w:szCs w:val="20"/>
                <w:color w:val="auto"/>
              </w:rPr>
            </w:pPr>
            <w:r>
              <w:rPr>
                <w:rFonts w:ascii="Times New Roman" w:cs="Times New Roman" w:eastAsia="Times New Roman" w:hAnsi="Times New Roman"/>
                <w:sz w:val="13"/>
                <w:szCs w:val="13"/>
                <w:b w:val="1"/>
                <w:bCs w:val="1"/>
                <w:color w:val="auto"/>
              </w:rPr>
              <w:t>1 Casper Street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148"/>
        </w:trPr>
        <w:tc>
          <w:tcPr>
            <w:tcW w:w="3540" w:type="dxa"/>
            <w:vAlign w:val="bottom"/>
          </w:tcPr>
          <w:p>
            <w:pPr>
              <w:jc w:val="center"/>
              <w:ind w:left="2030"/>
              <w:spacing w:after="0"/>
              <w:rPr>
                <w:sz w:val="20"/>
                <w:szCs w:val="20"/>
                <w:color w:val="auto"/>
              </w:rPr>
            </w:pPr>
            <w:r>
              <w:rPr>
                <w:rFonts w:ascii="Times New Roman" w:cs="Times New Roman" w:eastAsia="Times New Roman" w:hAnsi="Times New Roman"/>
                <w:sz w:val="13"/>
                <w:szCs w:val="13"/>
                <w:b w:val="1"/>
                <w:bCs w:val="1"/>
                <w:color w:val="auto"/>
              </w:rPr>
              <w:t>Danbury, Connecticut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40" w:type="dxa"/>
            <w:vAlign w:val="bottom"/>
            <w:gridSpan w:val="4"/>
          </w:tcPr>
          <w:p>
            <w:pPr>
              <w:jc w:val="right"/>
              <w:ind w:right="2451"/>
              <w:spacing w:after="0"/>
              <w:rPr>
                <w:sz w:val="20"/>
                <w:szCs w:val="20"/>
                <w:color w:val="auto"/>
              </w:rPr>
            </w:pPr>
            <w:r>
              <w:rPr>
                <w:rFonts w:ascii="Times New Roman" w:cs="Times New Roman" w:eastAsia="Times New Roman" w:hAnsi="Times New Roman"/>
                <w:sz w:val="13"/>
                <w:szCs w:val="13"/>
                <w:b w:val="1"/>
                <w:bCs w:val="1"/>
                <w:color w:val="auto"/>
              </w:rPr>
              <w:t>06810</w:t>
            </w:r>
          </w:p>
        </w:tc>
      </w:tr>
      <w:tr>
        <w:trPr>
          <w:trHeight w:val="178"/>
        </w:trPr>
        <w:tc>
          <w:tcPr>
            <w:tcW w:w="6600" w:type="dxa"/>
            <w:vAlign w:val="bottom"/>
            <w:gridSpan w:val="6"/>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ind w:right="1711"/>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41"/>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20" w:type="dxa"/>
            <w:vAlign w:val="bottom"/>
            <w:gridSpan w:val="8"/>
          </w:tcPr>
          <w:p>
            <w:pPr>
              <w:jc w:val="center"/>
              <w:ind w:right="373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202"/>
        </w:trPr>
        <w:tc>
          <w:tcPr>
            <w:tcW w:w="3540" w:type="dxa"/>
            <w:vAlign w:val="bottom"/>
          </w:tcPr>
          <w:p>
            <w:pPr>
              <w:spacing w:after="0"/>
              <w:rPr>
                <w:sz w:val="17"/>
                <w:szCs w:val="17"/>
                <w:color w:val="auto"/>
              </w:rPr>
            </w:pPr>
          </w:p>
        </w:tc>
        <w:tc>
          <w:tcPr>
            <w:tcW w:w="3060" w:type="dxa"/>
            <w:vAlign w:val="bottom"/>
            <w:gridSpan w:val="5"/>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(818) 661-5000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7700" w:type="dxa"/>
            <w:vAlign w:val="bottom"/>
            <w:gridSpan w:val="9"/>
          </w:tcPr>
          <w:p>
            <w:pPr>
              <w:jc w:val="center"/>
              <w:ind w:right="347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22"/>
        </w:trPr>
        <w:tc>
          <w:tcPr>
            <w:tcW w:w="35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4"/>
        </w:trPr>
        <w:tc>
          <w:tcPr>
            <w:tcW w:w="354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0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MNKD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85" w:lineRule="exact"/>
        <w:rPr>
          <w:sz w:val="24"/>
          <w:szCs w:val="24"/>
          <w:color w:val="auto"/>
        </w:rPr>
      </w:pPr>
    </w:p>
    <w:p>
      <w:pPr>
        <w:sectPr>
          <w:pgSz w:w="11900" w:h="16838" w:orient="portrait"/>
          <w:cols w:equalWidth="0" w:num="3">
            <w:col w:w="7200" w:space="140"/>
            <w:col w:w="420" w:space="120"/>
            <w:col w:w="3360"/>
          </w:cols>
          <w:pgMar w:left="320" w:top="12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5">
            <w:col w:w="7320" w:space="160"/>
            <w:col w:w="240" w:space="80"/>
            <w:col w:w="120" w:space="160"/>
            <w:col w:w="180" w:space="80"/>
            <w:col w:w="2900"/>
          </w:cols>
          <w:pgMar w:left="320" w:top="1256" w:right="339" w:bottom="1440" w:gutter="0" w:footer="0" w:header="0"/>
          <w:type w:val="continuous"/>
        </w:sectPr>
      </w:pPr>
    </w:p>
    <w:p>
      <w:pPr>
        <w:ind w:right="24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14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0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2940"/>
              <w:spacing w:after="0"/>
              <w:rPr>
                <w:sz w:val="20"/>
                <w:szCs w:val="20"/>
                <w:color w:val="auto"/>
              </w:rPr>
            </w:pPr>
            <w:r>
              <w:rPr>
                <w:rFonts w:ascii="Times New Roman" w:cs="Times New Roman" w:eastAsia="Times New Roman" w:hAnsi="Times New Roman"/>
                <w:sz w:val="15"/>
                <w:szCs w:val="15"/>
                <w:color w:val="auto"/>
              </w:rPr>
              <w:t>Accelerated filer</w:t>
            </w:r>
          </w:p>
        </w:tc>
        <w:tc>
          <w:tcPr>
            <w:tcW w:w="600" w:type="dxa"/>
            <w:vAlign w:val="bottom"/>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0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29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00" w:type="dxa"/>
            <w:vAlign w:val="bottom"/>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9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100" w:type="dxa"/>
            <w:vAlign w:val="bottom"/>
          </w:tcPr>
          <w:p>
            <w:pPr>
              <w:ind w:left="2940"/>
              <w:spacing w:after="0"/>
              <w:rPr>
                <w:sz w:val="20"/>
                <w:szCs w:val="20"/>
                <w:color w:val="auto"/>
              </w:rPr>
            </w:pPr>
            <w:r>
              <w:rPr>
                <w:rFonts w:ascii="Times New Roman" w:cs="Times New Roman" w:eastAsia="Times New Roman" w:hAnsi="Times New Roman"/>
                <w:sz w:val="15"/>
                <w:szCs w:val="15"/>
                <w:color w:val="auto"/>
              </w:rPr>
              <w:t>Emerging growth company</w:t>
            </w:r>
          </w:p>
        </w:tc>
        <w:tc>
          <w:tcPr>
            <w:tcW w:w="600" w:type="dxa"/>
            <w:vAlign w:val="bottom"/>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r>
    </w:tbl>
    <w:p>
      <w:pPr>
        <w:ind w:right="80" w:firstLine="509"/>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 w:lineRule="exact"/>
        <w:rPr>
          <w:sz w:val="24"/>
          <w:szCs w:val="24"/>
          <w:color w:val="auto"/>
        </w:rPr>
      </w:pPr>
    </w:p>
    <w:p>
      <w:pPr>
        <w:ind w:right="3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4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w:t>
      </w:r>
      <w:r>
        <w:rPr>
          <w:rFonts w:ascii="Times New Roman" w:cs="Times New Roman" w:eastAsia="Times New Roman" w:hAnsi="Times New Roman"/>
          <w:sz w:val="15"/>
          <w:szCs w:val="15"/>
          <w:color w:val="231F20"/>
        </w:rPr>
        <w:t>securities are registered pursuant to Section 12(b) of the Act, indicate by check mark whether the financial statements of the registrant included in the filing reflect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 xml:space="preserve">correction of an error to previously issued financial statements. </w:t>
      </w:r>
      <w:r>
        <w:rPr>
          <w:rFonts w:ascii="MS PGothic" w:cs="MS PGothic" w:eastAsia="MS PGothic" w:hAnsi="MS PGothic"/>
          <w:sz w:val="15"/>
          <w:szCs w:val="15"/>
          <w:color w:val="000000"/>
        </w:rPr>
        <w:t>☐</w:t>
      </w:r>
    </w:p>
    <w:p>
      <w:pPr>
        <w:spacing w:after="0" w:line="8" w:lineRule="exact"/>
        <w:rPr>
          <w:sz w:val="24"/>
          <w:szCs w:val="24"/>
          <w:color w:val="auto"/>
        </w:rPr>
      </w:pPr>
    </w:p>
    <w:p>
      <w:pPr>
        <w:ind w:right="4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w:t>
      </w:r>
      <w:r>
        <w:rPr>
          <w:rFonts w:ascii="Times New Roman" w:cs="Times New Roman" w:eastAsia="Times New Roman" w:hAnsi="Times New Roman"/>
          <w:sz w:val="15"/>
          <w:szCs w:val="15"/>
          <w:color w:val="231F20"/>
        </w:rPr>
        <w:t>by check mark whether any of those error corrections are restatements that required a recovery analysis of incentive-based compensation received by any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 xml:space="preserve">registrant’s executive officers during the relevant recovery period pursuant to §240.10D-1(b). </w:t>
      </w:r>
      <w:r>
        <w:rPr>
          <w:rFonts w:ascii="MS PGothic" w:cs="MS PGothic" w:eastAsia="MS PGothic" w:hAnsi="MS PGothic"/>
          <w:sz w:val="15"/>
          <w:szCs w:val="15"/>
          <w:color w:val="000000"/>
        </w:rPr>
        <w:t>☐</w:t>
      </w:r>
    </w:p>
    <w:p>
      <w:pPr>
        <w:spacing w:after="0" w:line="1" w:lineRule="exact"/>
        <w:rPr>
          <w:sz w:val="24"/>
          <w:szCs w:val="24"/>
          <w:color w:val="auto"/>
        </w:rPr>
      </w:pPr>
    </w:p>
    <w:p>
      <w:pPr>
        <w:ind w:left="520"/>
        <w:spacing w:after="0" w:line="173" w:lineRule="exact"/>
        <w:tabs>
          <w:tab w:leader="none" w:pos="6960" w:val="left"/>
          <w:tab w:leader="none" w:pos="75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ind w:right="240" w:firstLine="509"/>
        <w:spacing w:after="0" w:line="261" w:lineRule="auto"/>
        <w:rPr>
          <w:sz w:val="20"/>
          <w:szCs w:val="20"/>
          <w:color w:val="auto"/>
        </w:rPr>
      </w:pPr>
      <w:r>
        <w:rPr>
          <w:rFonts w:ascii="Times New Roman" w:cs="Times New Roman" w:eastAsia="Times New Roman" w:hAnsi="Times New Roman"/>
          <w:sz w:val="15"/>
          <w:szCs w:val="15"/>
          <w:color w:val="auto"/>
        </w:rPr>
        <w:t>As of June 30, 2025, the aggregate market value of the voting and non-voting common equity held by non-affiliates of the registrant, computed by reference to the last sale price of such stock as of such date on the Nasdaq Global Market, was approximately $1,131,550,191.</w:t>
      </w:r>
    </w:p>
    <w:p>
      <w:pPr>
        <w:spacing w:after="0" w:line="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February 13, 2026, there were 308,100,433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9" w:lineRule="exact"/>
        <w:rPr>
          <w:sz w:val="24"/>
          <w:szCs w:val="24"/>
          <w:color w:val="auto"/>
        </w:rPr>
      </w:pPr>
    </w:p>
    <w:p>
      <w:pPr>
        <w:ind w:right="340" w:firstLine="509"/>
        <w:spacing w:after="0" w:line="261" w:lineRule="auto"/>
        <w:rPr>
          <w:sz w:val="20"/>
          <w:szCs w:val="20"/>
          <w:color w:val="auto"/>
        </w:rPr>
      </w:pPr>
      <w:r>
        <w:rPr>
          <w:rFonts w:ascii="Times New Roman" w:cs="Times New Roman" w:eastAsia="Times New Roman" w:hAnsi="Times New Roman"/>
          <w:sz w:val="15"/>
          <w:szCs w:val="15"/>
          <w:color w:val="auto"/>
        </w:rPr>
        <w:t>Portions of the registrant’s definitive Proxy Statement (the “Proxy Statement”) for the 2026 Annual Meeting of Stockholders to be filed with the Securities and Exchange Commission not later than April 30, 2026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60" w:type="dxa"/>
            <w:vAlign w:val="bottom"/>
            <w:gridSpan w:val="10"/>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MANNKIND CORPORATION</w:t>
            </w:r>
          </w:p>
        </w:tc>
        <w:tc>
          <w:tcPr>
            <w:tcW w:w="800" w:type="dxa"/>
            <w:vAlign w:val="bottom"/>
          </w:tcPr>
          <w:p>
            <w:pPr>
              <w:spacing w:after="0"/>
              <w:rPr>
                <w:sz w:val="20"/>
                <w:szCs w:val="20"/>
                <w:color w:val="auto"/>
              </w:rPr>
            </w:pPr>
          </w:p>
        </w:tc>
      </w:tr>
      <w:tr>
        <w:trPr>
          <w:trHeight w:val="410"/>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60" w:type="dxa"/>
            <w:vAlign w:val="bottom"/>
            <w:gridSpan w:val="10"/>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0" w:type="dxa"/>
            <w:vAlign w:val="bottom"/>
          </w:tcPr>
          <w:p>
            <w:pPr>
              <w:spacing w:after="0"/>
              <w:rPr>
                <w:sz w:val="24"/>
                <w:szCs w:val="24"/>
                <w:color w:val="auto"/>
              </w:rPr>
            </w:pPr>
          </w:p>
        </w:tc>
      </w:tr>
      <w:tr>
        <w:trPr>
          <w:trHeight w:val="238"/>
        </w:trPr>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20" w:type="dxa"/>
            <w:vAlign w:val="bottom"/>
            <w:gridSpan w:val="12"/>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800" w:type="dxa"/>
            <w:vAlign w:val="bottom"/>
          </w:tcPr>
          <w:p>
            <w:pPr>
              <w:spacing w:after="0"/>
              <w:rPr>
                <w:sz w:val="20"/>
                <w:szCs w:val="20"/>
                <w:color w:val="auto"/>
              </w:rPr>
            </w:pPr>
          </w:p>
        </w:tc>
      </w:tr>
      <w:tr>
        <w:trPr>
          <w:trHeight w:val="432"/>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60" w:type="dxa"/>
            <w:vAlign w:val="bottom"/>
            <w:gridSpan w:val="10"/>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0" w:type="dxa"/>
            <w:vAlign w:val="bottom"/>
          </w:tcPr>
          <w:p>
            <w:pPr>
              <w:spacing w:after="0"/>
              <w:rPr>
                <w:sz w:val="24"/>
                <w:szCs w:val="24"/>
                <w:color w:val="auto"/>
              </w:rPr>
            </w:pPr>
          </w:p>
        </w:tc>
      </w:tr>
      <w:tr>
        <w:trPr>
          <w:trHeight w:val="441"/>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2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800" w:type="dxa"/>
            <w:vAlign w:val="bottom"/>
          </w:tcPr>
          <w:p>
            <w:pPr>
              <w:spacing w:after="0"/>
              <w:rPr>
                <w:sz w:val="24"/>
                <w:szCs w:val="24"/>
                <w:color w:val="auto"/>
              </w:rPr>
            </w:pPr>
          </w:p>
        </w:tc>
      </w:tr>
      <w:tr>
        <w:trPr>
          <w:trHeight w:val="194"/>
        </w:trPr>
        <w:tc>
          <w:tcPr>
            <w:tcW w:w="15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18"/>
        </w:trPr>
        <w:tc>
          <w:tcPr>
            <w:tcW w:w="15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0" w:type="dxa"/>
            <w:vAlign w:val="bottom"/>
          </w:tcPr>
          <w:p>
            <w:pPr>
              <w:spacing w:after="0"/>
              <w:rPr>
                <w:sz w:val="18"/>
                <w:szCs w:val="18"/>
                <w:color w:val="auto"/>
              </w:rPr>
            </w:pPr>
          </w:p>
        </w:tc>
      </w:tr>
      <w:tr>
        <w:trPr>
          <w:trHeight w:val="194"/>
        </w:trPr>
        <w:tc>
          <w:tcPr>
            <w:tcW w:w="15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9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18"/>
        </w:trPr>
        <w:tc>
          <w:tcPr>
            <w:tcW w:w="15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4060" w:type="dxa"/>
            <w:vAlign w:val="bottom"/>
            <w:gridSpan w:val="6"/>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5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9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18"/>
        </w:trPr>
        <w:tc>
          <w:tcPr>
            <w:tcW w:w="15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gridSpan w:val="9"/>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0" w:type="dxa"/>
            <w:vAlign w:val="bottom"/>
          </w:tcPr>
          <w:p>
            <w:pPr>
              <w:spacing w:after="0"/>
              <w:rPr>
                <w:sz w:val="18"/>
                <w:szCs w:val="18"/>
                <w:color w:val="auto"/>
              </w:rPr>
            </w:pPr>
          </w:p>
        </w:tc>
      </w:tr>
      <w:tr>
        <w:trPr>
          <w:trHeight w:val="194"/>
        </w:trPr>
        <w:tc>
          <w:tcPr>
            <w:tcW w:w="15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9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8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80"/>
        </w:trPr>
        <w:tc>
          <w:tcPr>
            <w:tcW w:w="15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commercialization plans and expectations, including our ability to successfully market, commercialize and achieve market acceptance for Afrezza®, Furoscix®, V-Go®, or other product candidates or therapies that we may develop or acquire, including the potential pediatric launch of Afrezza in 2026; the potential Furoscix ReadyFlow™ Autoinjector launch in 2026; expected milestones for MNKD-201; our ability to manufacture sufficient quantities of Afrezza and obtain insulin supply as needed; our ability to manufacture sufficient quantities of Tyvaso DPI® to meet demand; our ability to recruit patients for our clinical studies; our expectations regarding our contract manufacturers’ and suppliers’ abilities to meet our current and expected near-term demand for V-Go and our expected commercial needs for Furoscix; our ability to successfully commercialize our Technosphere drug delivery platform; our estimates for future performance; our estimates and expectations regarding future financial results, capital requirements and our needs for additional financing, including our belief that we will be able to meet our near-term liquidity needs; the progress or success of our research, development and clinical programs, including the application for and receipt of regulatory clearances and approvals and expected timing for data readouts; our ability to protect our intellectual property and operate our business without infringing upon the intellectual property rights of others our ability to service our debt obligations;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like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w:t>
      </w:r>
    </w:p>
    <w:p>
      <w:pPr>
        <w:spacing w:after="0" w:line="9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Afrezza, Technosphere®, BluHale®, Dreamboat®, Furoscix, Furoscix ReadyFlow, Cricket®, V-Go and MannKind Corporation are our trademarks in the United States. We have also applied for or have registered company trademarks in other jurisdictions. This document also contains trademarks and service marks of other companies that are the property of their respective owners.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 of this Annual Report on Form 10-K and should be carefully considered, together with other information in this Annual Report on Form 10-K and our other filings with the Securities and Exchange Commission (“SEC”) before making investment decisions regarding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or our collaboration partner are commercializing may only achieve a limited degree of commercial success.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United Therapeutics reduces its commercial emphasis on Tyvaso DPI, our revenues could decline materially.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Tyvaso DPI, which could reduce our gross margin and profitability.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policies, including tariffs, sanctions and trade barriers may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data or our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1"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current or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safety and efficacy of approved products may differ from clinical studies, which could negatively impact sales and could lead to reputational harm or other negative effects.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product candidates and technology may not be able to compete effectively or may be rendered obsolete.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the scPharma acquisition or any future acquisition or strategic transaction; we may be unable to successfully integrate new products, technologies or businesses we acquire.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legislation may impact the net sales of commercial products sold by us or any partner.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020" w:right="4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the words “MannKind,” “we,” “Company,” “us” and “our” refer to MannKind Corporation and its subsidiaries.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dedicated to transforming chronic disease care through innovative, patient-centric solutions. Focused on cardiometabolic and orphan lung diseases, we develop and commercialize treatments that address serious unmet medical needs, including diabetes, pulmonary hypertension, and fluid overload in heart failure and chronic kidney disease. With deep expertise in drug-device combinations, we aim to deliver therapies designed to fit seamlessly into daily life.</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cardiometabolic business is currently comprised of three commercial products: Afrezza (insulin human) Inhalation Powder; Furoscix (furosemide injection); and the V-Go wearable insulin delivery device:</w:t>
      </w:r>
    </w:p>
    <w:p>
      <w:pPr>
        <w:spacing w:after="0" w:line="162" w:lineRule="exact"/>
        <w:rPr>
          <w:sz w:val="20"/>
          <w:szCs w:val="20"/>
          <w:color w:val="auto"/>
        </w:rPr>
      </w:pPr>
    </w:p>
    <w:p>
      <w:pPr>
        <w:ind w:left="1020" w:right="1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Afrezza is an ultra rapid-acting inhaled insulin indicated to improve glycemic control in adults with diabetes. Afrezza was developed by us and consists of a dry powder formulation of human insulin delivered from a small portable inhaler. Administered at the beginning of a meal, Afrezza dissolves rapidly upon inhalation to the lung and delivers insulin quickly to the bloodstream.</w:t>
      </w:r>
    </w:p>
    <w:p>
      <w:pPr>
        <w:spacing w:after="0" w:line="175" w:lineRule="exact"/>
        <w:rPr>
          <w:rFonts w:ascii="Times New Roman" w:cs="Times New Roman" w:eastAsia="Times New Roman" w:hAnsi="Times New Roman"/>
          <w:sz w:val="18"/>
          <w:szCs w:val="18"/>
          <w:color w:val="auto"/>
        </w:rPr>
      </w:pPr>
    </w:p>
    <w:p>
      <w:pPr>
        <w:ind w:left="1020" w:right="34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Furoscix is a novel formulation of furosemide that delivers an 80 mg dose via an on-body infusor over a five-hour period. Furoscix is indicated for the treatment of edema in pediatric patients who weigh at least 43 kg and adult patients with chronic heart failure or chronic kidney disease. Furoscix is the first FDA-approved subcutaneous loop diuretic that delivers intravenous-equivalent diuresis at home as opposed to a hospital setting. Furoscix was developed by scPharmaceuticals Inc. ("scPharma"), which we acquired in October 2025. See Note 3 - Business Combinations in the Consolidated Financial Statements included in Part II, Item 8 – Financial Statements and Supplementary Data.</w:t>
      </w:r>
    </w:p>
    <w:p>
      <w:pPr>
        <w:spacing w:after="0" w:line="18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 is a mechanical basal-bolus insulin delivery system that is worn like a patch and can eliminate the need for taking multiple daily injections. V-Go administers a continuous preset basal rate of insulin over 24 hours and provides discreet on-demand bolus dosing at mealtimes. V-Go received 510(k) clearance by the FDA in 2010 and has been available commercially since 2012. In May 2022, we acquired V-Go from Zealand Pharma A/S and Zealand Pharma US, Inc. (together “Zealand”).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anticipate two potential milestones for our cardiometabolic business in 2026 based on regulatory submissions that we made in 2025. The FDA is currently reviewing a supplemental Biologics License Application ("sBLA") pursuant to which we are seeking approval for Afrezza in children and adolescents living with type 1 or type 2 diabetes. The sBLA has been assigned a Prescription Drug User Fee Act ("PDUFA") target action date of May 29, 2026. The FDA is also reviewing a supplemental New Drug Application ("sNDA") pursuant to which we are seeking approval for Furoscix ReadyFlow Autoinjector ("ReadyFlow Formulation"), a high-concentration formulation of furosemide that is delivered subcutaneously in under ten seconds. The sNDA has been assigned a PDUFA target action date of July 26, 2026.</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United States, we are solely responsible for the commercialization of Afrezza, Furoscix and V-Go. Outside of the U.S., our strategy has been to establish regional partnerships in foreign jurisdictions where there are commercial opportunities, subject to the receipt of necessary foreign regulatory approvals. In December 2025, we supplied our partner in India, Cipla Ltd. (“Cipla”), with an initial shipment of Afrezza to support their launch of Afrezza in India.</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proprietary formulation and inhaler technologies used in Afrezza have also been deployed in our efforts to develop products to treat orphan lung diseases. Our first product to address an orphan lung disease, Tyvaso DPI (treprostinil) inhalation powder, received FDA approval in May 2022 for the treatment of pulmonary arterial hypertension ("PAH") and pulmonary hypertension associated with interstitial lung disease ("PH-ILD"). Our development and marketing partner (sometimes referred to as our collaboration partner), United Therapeutics Corporation (“United Therapeutics” or “UT”) began commercializing Tyvaso DPI in June 2022 and is obligated to pay us a royalty on net sales of the product. We also receive revenue for the supply of Tyvaso DPI that we manufacture for UT. In August 2025, we announced the expansion of our collaboration, pursuant to which we will formulate MNKD-1501, a second investigational molecule using our proprietary technologies, and United Therapeutics will conduct preclinical and clinical development activities. Per the agreement, we received an upfront payment and are eligible to receive milestone payments upon achievement of specified development milestones as well as royalties on net sales of MNKD-1501, if approved.</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other major program in our pipeline that will potentially address an orphan lung disease is MNKD-201, a dry-powder formulation of nintedanib for the treatment of idiopathic pulmonary fibrosis ("IPF"). An oral dosage form of nintedanib has been available for more than a decade. However, a fairly large oral dose is required in order to achieve sufficient drug levels in lung tissue. High systemic levels of nintedanib are often associated with undesirable side effects. Our goal with an inhaled formulation is to deliver a therapeutic amount of nintedanib to the lungs while avoiding high levels of the drug in other tissues. In 2024, we conducted a Phase 1 clinical study of MNKD-201, which met its primary objective of demonstrating positive safety results and good tolerability in healthy volunteers. We are currently conducting a Phase 1b</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right="500"/>
        <w:spacing w:after="0" w:line="282" w:lineRule="auto"/>
        <w:rPr>
          <w:sz w:val="20"/>
          <w:szCs w:val="20"/>
          <w:color w:val="auto"/>
        </w:rPr>
      </w:pPr>
      <w:r>
        <w:rPr>
          <w:rFonts w:ascii="Times New Roman" w:cs="Times New Roman" w:eastAsia="Times New Roman" w:hAnsi="Times New Roman"/>
          <w:sz w:val="18"/>
          <w:szCs w:val="18"/>
          <w:color w:val="auto"/>
        </w:rPr>
        <w:t>study of MNKD-201 in the United States, top line data expected in early 2H 2026, as well as a global Phase 2 study to assess the potential safety and efficacy of this investigational product in patients with IPF, in which we expect the first patient to be enrolled in in Q2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MNKD-701 is another pipeline opportunity that we are exploring. This program is focused on bumetanide, a more potent loop diuretic than furosemide.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evaluating the feasibility of formulating bumetanide as a dry-powder that can be administered via oral inhalation.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Technosphere powders, such as Afrezza, Tyvaso DPI, MNKD-201 and MNKD-701, are based on our proprietary excipient, fumaryl diketopiperazine (“FDKP”), which is a pH-sensitive organic molecule that self-assembles into small particles under acidic conditions. Certain drugs can be loaded onto these particles by combining a solution of the drug with a solution or suspension of Technosphere material, which is then dried to powder form. The resulting powder has a consistent and narrow range of particle sizes with good aerodynamic properties that enable efficient delivery deep into the lungs. Technosphere powders dissolve quickly when the particles contact the moist lung surface with its neutral pH, releasing the drug molecules to diffuse across a thin layer of cells into the arterial circulation, bypassing the liver to provide excellent systemic exposure. In our Danbury, Connecticut facility, we can develop novel Technosphere formulations of different pharmaceutical ingredients and manufacture clinical and commercial supplies of these powders. In our manufacturing suites, we formulate commercial-scale quantities of both the Afrezza and Tyvaso DPI inhalation powders, fill plastic cartridges with the powders and package the cartridges into overwraps for Afrezza and blister packs for Tyvaso DPI. Afrezza and certain Tyvaso DPI final patient kits are assembled at our Connecticut facility, by combining overwraps or blister packs, inhalers, and the applicable package inserts. Final packaging of clinical supplies is performed by an external contract packager.</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Technosphere powders are intended to be administered with our innovative, breath-powered, dry powder inhalers. Our inhalers are easy to use, cost-effective and can be produced in both a reusable (chronic treatment) and a single-use (acute treatment) format. Both the reusable and single-use inhaler formats use the same internal air-flow design. Both Afrezza and Tyvaso DPI use the reusable format (also known as Dreamboat). Being breath-powered, our inhaler requires only the patient’s inhalation effort to deliver the powder. To administer a dose of the inhalation powder, a patient loads a cartridge into our inhaler and inhales through the mouthpiece. Upon inhalation, the dry powder is lifted out of the cartridge and broken up (or de-agglomerated) into small particles. The inhalers are engineered to produce an aggressive airstream that de-agglomerates the powder while keeping the powder moving relatively slowly. This slow-moving powder effectively navigates the patient’s airways to reach the deep lung with minimal deposition at the back of the throat. Our inhalers show very little change in performance (i.e., efficient cartridge emptying) over a wide range of inhalation efforts. We have a supply agreement with the contract manufacturer that produces the plastic-molded parts for our inhaler and the corresponding cartridges. We expect to be able to qualify an additional vendor of plastic-molding contract manufacturing services, if warranted by demand. We assemble the inhalers from the individual components at our Connecticut facility.</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quality management systems of our Connecticut facility have been certified to be in conformance with the ISO 13485:2016 standard. Our facility is inspected on a regular basis by the FDA, most recently in October 2025 when the FDA conducted an unannounced GMP inspection related to Afrezza and Tyvaso DPI. The inspection concluded without any observations requiring a Form 483. The FDA and other foreign jurisdictions are expected to conduct additional inspections of our facility from time to time.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our Connecticut facility has enough capacity to satisfy the current demand for Afrezza and Tyvaso DPI, especially given the recent expansion of our production capacity in order to meet the demand for Tyvaso DPI projected by UT over the next several years. The costs of this expansion project were primarily borne by UT.</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Currently, the only source of insulin that we have qualified for Afrezza is manufactured by Amphastar France Pharmaceuticals S.A.S. (“Amphastar”). In April 2014, we entered into a supply agreement with Amphastar (as amended, the “Insulin Supply Agreement”) to purchase certain annual minimum quantities with an aggregate purchase commitment of €120.1 million over a term that currently extends through at least December 31, 2034. As of December 31, 2025, there was €55.2 million remaining in aggregate purchase commitments under this agreement. See additional information in Note 16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consolidated financial statements for further information related to the Insulin Supply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treprostinil used to produce Tyvaso DPI is supplied to us at no cost by United Therapeutics.</w:t>
      </w:r>
    </w:p>
    <w:p>
      <w:pPr>
        <w:spacing w:after="0" w:line="22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the past, we purchased FDKP, the primary component of Technosphere powders, from a major chemical manufacturer with facilities in Europe and North America. We subsequently developed a more efficient process for manufacturing FDKP and transferred the new process to a different European chemical manufacturer. We are currently evaluating the comparability of powders made with the two different sources of FDKP. Once the testing is completed, we plan to include the additional source of FDKP in a future update to our drug master file.</w:t>
      </w:r>
    </w:p>
    <w:p>
      <w:pPr>
        <w:spacing w:after="0" w:line="18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 key component of Furoscix is the wearable on-body delivery system, which is applied to the abdomen via a medical grade adhesive and delivers a subcutaneous infusion of Furoscix through a pre-programmed, biphasic delivery profile over a five hour period. The infusor is made by West Pharmaceutical Services, Inc. (“West”) pursuant to a supply agreement that currently extends through December 31, 2027 (as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right="40"/>
        <w:spacing w:after="0" w:line="258" w:lineRule="auto"/>
        <w:rPr>
          <w:sz w:val="20"/>
          <w:szCs w:val="20"/>
          <w:color w:val="auto"/>
        </w:rPr>
      </w:pPr>
      <w:r>
        <w:rPr>
          <w:rFonts w:ascii="Times New Roman" w:cs="Times New Roman" w:eastAsia="Times New Roman" w:hAnsi="Times New Roman"/>
          <w:sz w:val="18"/>
          <w:szCs w:val="18"/>
          <w:color w:val="auto"/>
        </w:rPr>
        <w:t>amended, the “West Supply Agreement”). For other Furoscix components, we use a network of qualified suppliers or contract manufacturing organizations (“CMOs”) to produce, manufacture, sterilize and assemble the product. Our suppliers produce the component parts to our designs and specifications. Certain processes utilized in the manufacture and test of our product candidates have been verified and validated as required by the FDA and other regulatory bodies. We believe that our current third-party manufacturers have sufficient capacity to manufacture Furoscix in quantities sufficient to meet our expected commercial needs.</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Affordable, high-quality raw materials are essential to the manufacture of Furoscix. Due to their technical specifications, these components may be more limited, as they are available from one or only a few suppliers. We mitigate potential risk in sourcing these materials through inventory and supplier management.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V-Go is manufactured for us by a CMO in Southern China using MannKind-owned, custom-designed, semi-automated manufacturing equipment and production lines that can be brought online and/or staffed up as demand increases. We believe these production lines will have the ability to meet our current and expected near-term demand for V-Go. Additional CMOs in China perform release testing, sterilization, inspection and packaging functions.</w:t>
      </w:r>
    </w:p>
    <w:p>
      <w:pPr>
        <w:spacing w:after="0" w:line="17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V-Go is assembled from components that are manufactured to our specifications. Each completed device is tested to ensure compliance with our engineering and quality assurance specifications. A series of automated inspection checks, including x-ray assessments and lot-released testing, are also conducted throughout the manufacturing process to verify proper assembly and functionality. When mechanical components are sourced from outside vendors, those vendors must meet our detailed qualification and process control requirements. We maintain a team of product and process engineers, supply chain and quality personnel who provide product and production line support for V-Go. We also utilize a full-time dedicated contractor based in China.</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Some of the parts and components of V-Go are purchased from single-source vendors, and we manage any single-source components and suppliers through our global supply chain operation. We believe that, if necessary, alternative sources of supply for such components would be available in a relatively short period of time and on commercially reasonable terms once such alternate suppliers have the appropriate tooling in place.</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our Connecticut facility, we manufacture the nintedanib dry powder formulation being evaluated in the MNKD-201 program. We purchase nintedanib from suppliers of generic drug substances.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general, our suppliers and contract manufacturers are sophisticated and mature organizations, often with multinational operations, that have significant experience with pharmaceutical and medical device manufacturing. Our quality and manufacturing personnel conduct extensive inspections to qualify new vendors and conduct periodic GMP audits of their operations on an ongoing basis. Our CMO facilities and the facilities of our critical suppliers are subject to periodic inspection by the FDA and corresponding state and foreign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for all inventions in the United States, Europe, Japan and, depending on the nature of the invention, selected other jurisdictions. We have obtained, are seeking, and will continue to seek patent protection on the compositions of matter, methods of treatment and manufacturing processes flowing from our research and development efforts.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Technosphere drug delivery platform enjoys patent protection relating to the powder, its manufacture, its use for pulmonary delivery of drugs as well as protection related to our inhalers and associated cartridges. We have additional patent coverage relating to methods for the treatment of diabetes using Afrezza. Overall, Afrezza is protected by approximately 580 issued patents and 40 pending patent applications in the United States and selected jurisdictions around the world, the longest-lived of which will expire in 2032. Similarly, Tyvaso DPI, which is based on the same platform, is protected by approximately 600 issued patents in the United States and elsewhere and an additional 80 pending patent applications. Currently, the longest-lived patent protection for Tyvaso DPI in our portfolio will expire in 2035.</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Furoscix patent portfolio consists of patent families directed to the composition of matter of our subcutaneous formulation of furosemide and methods of treating edema, hypertension or heart failure using the formulation of furosemide having a concentration of about 2 mg/mL to about 20 mg/mL. These patent families include approximately 40 issued patents and 30 pending applications in the United States and elsewhere. The longest-lived patents in this group will expire in 2034. The ReadyFlow Formulation is protected by an additional patent family directed to compositions of matter of liquid pharmaceutical formulations containing an increased concentration of furosemide and methods of treating congestion, edema, fluid overload, or hypertension using these formulations of furosemide. This global patent family includes 25 issued patents and 35 pending applications, with terms extending into 2040.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t>Various features of the commercial V-Go device are protected by a portfolio of approximately 60 issued patents and another 10 pending patent applications, the longest-lived of which will expire in 2033. Additional patents and patent applications are expected to provide protection for products in our pipeline, including MNKD-201, MNKD-701, our BluHale inhalation-profiling apparatus and various development tools. Our entire worldwide portfolio consists of approximately 1,100 issued patents and approximately 310 pending patent applications. We expect to file further patent applications as our research and development efforts continue.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Drug delivery is a crowded field and a substantial number of patents have been issued to inventors and companies in this space.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 For some of our inventions, particularly manufacturing processes and improvements, we have chosen to rely on trade secrets and know-how, which are not protected by patents, to maintain our competitive position.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trademarks and service marks to protect our corporate brand as well as the branding associated with Afrezza, Furoscix, V-Go, our Technosphere formulation technology, our device platform and the product support programs that we have developed. Our current portfolio consists of approximately 325 registered trademarks and 85 applications in the U.S. and selected foreign jurisdictions. We routinely monitor competing trademarks and, when necessary, oppose marks that we believe would be confusing to consumers. We also enforce against the unauthorized use or misappropriation of our marks.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Consequently, our competitors may develop similar products for the treatment of diabetes, heart failure or for other indications we may pursue in the future, and such competitors’ products may be more effective, better tolerated and less costly than our product candidates. We face competition based on, among other things, product efficacy and safety, the timing and scope of regulatory approvals, product ease of use and price.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Afrezza is administered at the beginning of a meal, so its principal competitors are “rapid-acting” insulin analogs that are used for mealtime insulin injections. The products in this category are marketed by Eli Lilly and Company, Novo Nordisk A/S and Sanofi S.A. V-Go is typically used by patients as part of a basal-bolus insulin regimen. Like Afrezza, it competes with injectable mealtime insulin products but also with long-acting, or basal, injectable insulins. The principal products in this category are marketed by Novo Nordisk and Sanofi.</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Both Afrezza and V-Go also face some competition from glucagon-like peptide-1, or GLP-1, analog injection products. These products are often used in combination with oral medications or basal insulin injection before a patient progresses to a basal-bolus insulin regimen. As a result, we also compete with the manufacturers of GLP-1 analog injection products, such as AstraZeneca PLC, Eli Lilly and Company and Novo Nordisk A/S.</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Furoscix faces competition from companies developing therapies that are directly competitive to our approach, and others are more generally developing therapies to treat heart failure. These companies include but are not limited to: Abbott Laboratories, Amgen, AstraZeneca, Bayer, Bioheart, Boston Scientific, Boehringer Ingelheim, Corstasis, Eli Lilly and Company, GlaxoSmithKline, Johnson &amp; Johnson, Merck &amp; Co., Medtronic, Novartis, Pfizer, Roche, Sanofi, Sarfez Pharmaceuticals, Servier Pharmaceuticals, SQ Innovation and Takeda Pharmaceutical Company. We believe the key competitive factors that will affect the development and commercial success of our product candidates include ease of administration and convenience of dosing, therapeutic efficacy, safety and tolerability profiles and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FDA and comparable regulatory agencies in state and local jurisdictions impose substantial requirements upon the research, clinical development, testing, manufacture, labeling, storage, shipping, approval, recordkeeping, advertising, promotion, sale and distribution of medical devices and new drug and biologic products. In addition, to the extent that our products are marketed abroad, they are also subject to export requirements and to regulation by foreign governments. The regulatory approval process is generally lengthy, expensive and uncertain. Failure to comply with applicable FDA and other regulatory requirements can result in sanctions being imposed on us, including warning letters, hold letters on clinical research, product recalls or seizures,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civil or criminal fines or other penalties.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holder of marketing approvals for Afrezza, Furoscix and V-Go, we are subject to continuing regulation by the FDA, including post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140"/>
        <w:spacing w:after="0" w:line="256" w:lineRule="auto"/>
        <w:rPr>
          <w:sz w:val="20"/>
          <w:szCs w:val="20"/>
          <w:color w:val="auto"/>
        </w:rPr>
      </w:pPr>
      <w:r>
        <w:rPr>
          <w:rFonts w:ascii="Times New Roman" w:cs="Times New Roman" w:eastAsia="Times New Roman" w:hAnsi="Times New Roman"/>
          <w:sz w:val="18"/>
          <w:szCs w:val="18"/>
          <w:color w:val="auto"/>
        </w:rPr>
        <w:t>marketing study commitments or requirements, record-keeping requirements, reporting of adverse experiences with our products, submitting periodic reports, drug sampling and distribution requirements, notifying the FDA and gaining its approval of certain manufacturing or labeling changes, and complying with certain electronic records and signature requirements. For example, as part of the approval of Afrezza, the FDA required us to conduct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manufacturer of multiple therapeutic products, including Tyvaso DPI, our Connecticut facility is subject to federal registration and listing requirements and, if applicable, to state licensing requirements. It is also subject to inspection by the FDA and other national regulatory bodies and must comply with current good manufacturing practices (“cGMPs”), quality management system regulations for medical devices (“QMSR”) and other requirements enforced by these regulatory bodies. So too are the facilities of our insulin supplier and the supplier(s) of FDKP. Likewise, the supplier of our inhaler and cartridges and the CMOs for Furoscix and V-Go are subject to QMSR, which requires manufacturers to follow elaborate design, testing, control, documentation and other quality assurance procedures during the manufacturing process of medical devices, among other requirements. A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FDA imposes complex regulations on entities that advertise and promote drugs, which include, among other requirements, standards for and regulation of direct-to-consumer advertising, industry sponsored scientific and educational activities, promotional activities involving the Internet, and restrictions on off-label promotion. The FDA has very broad enforcement authority,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Products manufactured in the United States and marketed outside the United States are subject to certain FDA regulations, as well as regulation by the country in which the products are to be sold. We are also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Reimbursement</w:t>
      </w:r>
    </w:p>
    <w:p>
      <w:pPr>
        <w:spacing w:after="0" w:line="2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payers, such as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payers often provide reimbursement for products and services based on the level at which the government (through the Medicare or Medicaid programs) provides reimbursement for such products and services. In the United States, the European Union and other potentially significant markets for our product candidates, government authorities and other third-party payers are increasingly attempting to limit or regulate the price of medical products and services, particularly for new and innovative products and therapies, which has resulted in lower average selling prices. Further, the increased emphasis on managed healthcare in the United States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Pricing pressures can arise from rules and practices of managed care organizations, judicial decisions and governmental laws and regulations related to Medicare, Medicaid, healthcare reform, pharmaceutical reimbursement policies and pricing in general.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w:t>
      </w:r>
    </w:p>
    <w:p>
      <w:pPr>
        <w:spacing w:after="0" w:line="1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the Patient Protection and Affordable Care Act, as amended by the Health Care and Education Reconciliation Act (collectively, “PPACA”), which was enacted in March 2010. In the years since the PPACA was enacted, there have been a number of executive, judicial and congressional challenges to certain aspects of PPACA. While Congress has not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0" w:name="page11"/>
    <w:bookmarkEnd w:id="10"/>
    <w:p>
      <w:pPr>
        <w:ind w:right="60"/>
        <w:spacing w:after="0" w:line="253" w:lineRule="auto"/>
        <w:rPr>
          <w:sz w:val="20"/>
          <w:szCs w:val="20"/>
          <w:color w:val="auto"/>
        </w:rPr>
      </w:pPr>
      <w:r>
        <w:rPr>
          <w:rFonts w:ascii="Times New Roman" w:cs="Times New Roman" w:eastAsia="Times New Roman" w:hAnsi="Times New Roman"/>
          <w:sz w:val="18"/>
          <w:szCs w:val="18"/>
          <w:color w:val="auto"/>
        </w:rPr>
        <w:t>passed comprehensive repeal legislation, several bills affecting the implementation of certain provisions of the PPACA have been signed into law. For example, on July 4, 2025, the One Big Beautiful Bill Act (the “OBBBA”) was signed into law, which narrowed access to PPACA marketplace exchange enrollment and declined to extend the PPACA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PPACA subsidies.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Moreover, in the United States,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March 2021, the American Rescue Plan Act of 2021 was signed into law, which eliminated the statutory Medicaid drug rebate cap, previously set at 100% of a drug’s average manufacturer price (“AMP”), for single source and innovator multiple source drugs, effective January 1, 2024.</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Any such approved importation plans, when implemented, may result in lower drug prices for products covered by those programs. Further, it is possible that other healthcare reform measures may be adopted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Care Fraud and Abuse and Transparency Laws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Similarly,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federal healthcare Anti-Kickback Statute prohibits, among other things, persons or entities from knowingly and willfully soliciting, offering, receiving or providing remuneration, directly or indirectly, overtly or covertly,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federal civil and criminal false claims laws, including the civil False Claims Act, which can be enforced through civil whistleblower or qui tam actions, and civil monetary penalty laws impose criminal and civil penalties against individuals or entities for, among other things, knowingly presenting, or causing to be presented, to the federal government, including the Medicare and Medicaid programs,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 w:name="page12"/>
    <w:bookmarkEnd w:id="11"/>
    <w:p>
      <w:pPr>
        <w:ind w:right="400"/>
        <w:spacing w:after="0" w:line="282" w:lineRule="auto"/>
        <w:rPr>
          <w:sz w:val="20"/>
          <w:szCs w:val="20"/>
          <w:color w:val="auto"/>
        </w:rPr>
      </w:pPr>
      <w:r>
        <w:rPr>
          <w:rFonts w:ascii="Times New Roman" w:cs="Times New Roman" w:eastAsia="Times New Roman" w:hAnsi="Times New Roman"/>
          <w:sz w:val="18"/>
          <w:szCs w:val="18"/>
          <w:color w:val="auto"/>
        </w:rPr>
        <w:t>claims for payment or approval that are false or fraudulent or making a false statement to avoid, decrease or conceal an obligation to pay money to the federal government.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among other things, executing a scheme to defraud any healthcare benefit program and also created federal criminal laws that prohibit knowingly and willfully falsifying, concealing or covering up a material fact or making any materially false statements in connection with the delivery of or payment for healthcare benefits, items or services.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(i) report information related to certain payments or other transfers of value made or distributed to physicians, certain other healthcare professionals, and teaching hospitals, or to entities or individuals at the request of, or designated on behalf of, the physicians and teaching hospitals and (ii) report annually certain ownership and investment interests held by physicians and their immediate family members.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comply with industry’s compliance guidelines and relevant compliance guidance promulgated by the federal government and register pharmaceutical sales representatives and limit expenditure for, or payments to, individual medical or health professionals. In addition, certain state and local laws require pharmaceutical companies to report expenses relating to the marketing and promotion of pharmaceutical products and to report gifts and payments to individual physicians in the states; register pharmaceutical sales representatives, and report pricing with respect to certain drug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data privacy and security laws, regulations, and rules, contractual obligations, industry standards, policies and other obligations related to data privacy and security. For example,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independent contractors or agents of covered entities, which include certain healthcare providers, health plans, and healthcare clearinghouses, that receive or obtain protected health information in connection with providing a service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 laws also govern the privacy and security of personal data, including health information in certain circumstances, many of which differ from each other in significant ways and may not have the same effect, thus complicating compliance efforts.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effective January 1, 2023, expands the CCPA. The CPRA established a new California Privacy Protection Agency to implement and enforce the CPRA, which could increase the risk of enforcement. Similar laws are being considered in several other states, as well as at the federal and local levels, and we expect more states to pass similar laws in the future. At this time, at least 19 states have enacted some sort of data privacy law, with bills introduced in many other states.</w:t>
      </w:r>
    </w:p>
    <w:p>
      <w:pPr>
        <w:spacing w:after="0" w:line="1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Foreign data privacy and security laws impose significant and complex compliance obligations on entities that are subject to those laws. As one example, the European Union’s General Data Protection Regulation 2016/679 (“EU GDPR”) contains provisions specifically directed at the processing of health information, higher sanctions and extra-territoriality measures that are intended to bring non-EU companies under the data security and privacy legal framework specified in the regulation. With the expansion of our business operations to include operations in the EU, such as the current Phase 2 clinical trial of MNKD-201, we will be subject to increased governmental regulation in the EU countries in which we might operate, including the EU GDPR.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product distribution practices, environmental protection and fire hazard control.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ind w:right="200"/>
        <w:spacing w:after="0" w:line="256" w:lineRule="auto"/>
        <w:rPr>
          <w:sz w:val="20"/>
          <w:szCs w:val="20"/>
          <w:color w:val="auto"/>
        </w:rPr>
      </w:pPr>
      <w:r>
        <w:rPr>
          <w:rFonts w:ascii="Times New Roman" w:cs="Times New Roman" w:eastAsia="Times New Roman" w:hAnsi="Times New Roman"/>
          <w:sz w:val="18"/>
          <w:szCs w:val="18"/>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significant criminal, civil and administrative penalties, damages, fines, imprisonment, disgorgement, exclusion from government healthcare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Business Practices and Sustainability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Ethical Marketing</w:t>
      </w:r>
    </w:p>
    <w:p>
      <w:pPr>
        <w:spacing w:after="0" w:line="22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require that our employees abide by our Code of Business Conduct and Ethics, our policy on interactions with healthcare professionals and patients, U.S. federal and state laws and applicable foreign laws. We are committed to protecting the health and well-being of patients by ensuring that medically sound knowledge of the benefits and risks of our products is understood and communicated thoroughly and accurately to patients, physicians and global health authorities.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policy on interactions with healthcare professionals and patients requires that our employees promote our products fairly, truthfully, accurately and on-label. Off-label promotion of our products is explicitly prohibited, as are sales activities that would interfere with a healthcare provider’s independent medical judgment or the doctor-patient relationship. All sales staff receive compliance training upon hire and on an annual basis. We also routinely monitor sales calls. We expect that consistent enforcement of, and training on, our Code of Business Conduct and Ethics and our policy on interactions with healthcare professionals and patients will help us to avoid the incidence of unethical marketing practices.</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part of our commitment to patient support and education, our employees and consultants may attend and participate in certain patient events, such as health fairs or local disease awareness and advocacy events. In all cases, interactions with patients and patient groups may only be conducted in settings that are suitable for patient education and separate from the usual place(s) of clinical business of healthcare providers or institutions. In addition, our sponsorship of such events, if any, must be clearly disclosed through prominent signage.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Safety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safety of our products at all stages – from clinical trials to the administration and use and through to safe disposal – is a key area of attention for us. We manufacture our approved and investigational products in accordance with the applicable cGMPs, QMSR and other requirements enforced by the FDA and other regulatory bodies that have oversight over our products.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all sales packs of our drugs that are placed in the distribution chain are serialized in accordance with the requirements of the Drug Quality Supply Chain Security Act, which requires drug manufacturers to assign a unique identifier to each sales pack (and each aggregate of such sales pack, such as a case or pallet). These identifiers remain on such pack or aggregate through the whole supply chain until its consumption or destruction. This system is intended to improve detection and removal of drugs that may be counterfeit, stolen, contaminated, or otherwise harmful from the drug supply chain.</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All of our employees are required to adhere to a standard operating procedure for capturing and reporting adverse events, safety information, and product complaints/adverse incidents involving any drug products marketed by us. These reports, as well as those that are collected by our third-party call center, are evaluated, processed and reported to regulatory authorities in accordance with FDA regulations and guidance on the post-marketing reporting of adverse experiences involving drugs, medical devices and combination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of Clinical Trial Participants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When we are actively conducting clinical trials, the safety of our clinical trials plays a crucial role in the development of new products and our continuing prosperity. We take numerous steps to maximize the safety of our clinical trial participants.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health of subjects in clinical trials is a priority for us and we are committed to conducting clinical trials according to uniformly high ethical standards. We apply those standards to trials that we sponsor and conduct directly as well as those conducted on our behalf by clinical research organizations. We conduct trials in accordance with all applicable laws, the standards of International Council for Harmonisation of Technical Requirements for Registration of Pharmaceuticals for Human Use Guidelines and following the ethical principles that have their origin in the Declaration of Helsinki.</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require that informed consent be obtained in all trials to ensure that participants understand the risks and benefits of the procedures, how personal medical data is collected and used, and that participation in the trial is voluntary, among other information. We retain documentation that all participants in our trials have provided informed consent.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100"/>
        <w:spacing w:after="0" w:line="282" w:lineRule="auto"/>
        <w:rPr>
          <w:sz w:val="20"/>
          <w:szCs w:val="20"/>
          <w:color w:val="auto"/>
        </w:rPr>
      </w:pPr>
      <w:r>
        <w:rPr>
          <w:rFonts w:ascii="Times New Roman" w:cs="Times New Roman" w:eastAsia="Times New Roman" w:hAnsi="Times New Roman"/>
          <w:sz w:val="18"/>
          <w:szCs w:val="18"/>
          <w:color w:val="auto"/>
        </w:rPr>
        <w:t>We monitor clinical trials through audits and inspections conducted by us and by clinical research organizations (CROs) that we engage. We also inspect our CROs prior to, and during, an engagement. These inspections verify that our policies, good clinical practices and applicable laws are being adhered to.</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ability to ensure the safety of clinical trial participants is critical to securing regulatory approval and continued product development success. Moreover, our inability to conduct safe and effective clinical trials could increase our development costs over time. We will continue to hold ourselves to high standards in our oversight and management of clinical trials.</w:t>
      </w:r>
    </w:p>
    <w:p>
      <w:pPr>
        <w:spacing w:after="0" w:line="17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Our policy is to disclose the basic results of all clinical trials that we conduct to test the effectiveness of investigational drugs intended to treat serious or life-threatening diseases or conditions (i.e., phase 2-4 clinical studies). Additionally, we may voluntarily disclose the results of initial safety studies (i.e., phase 1 clinical studies). In our disclosure of clinical trial results, our policy is to include all serious adverse events and those non-serious adverse events that have a frequency of at least five percent.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Corruption and Bribery</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Code of Business Conduct and Ethics reflects the business practices and principles of behavior that we expect of every employee, officer and director. All new employees are trained on the Code of Business Conduct and Ethics and existing employees are required to acknowledge annually that they have refreshed their familiarity with the policies contained within it. Our Code of Business Conduct and Ethics includes clear guidelines on anti-bribery and anti-corruption practices. In addition, we have adopted a separate anti-corruption policy. Currently, we have very limited operations outside the United States; however, as we expand our global reach through collaborations or through our own growth, we acknowledge that certain regions may pose a higher risk for corrupt practices. We intend to continue our internal training programs and oversight over collaborators on anti-bribery, anti-corruption and other unethical practices in order to reduce these risks.</w:t>
      </w:r>
    </w:p>
    <w:p>
      <w:pPr>
        <w:spacing w:after="0" w:line="18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Bribing healthcare professionals to use or recommend our products can create adverse publicity and damage our ability to use a critical channel of influence. We believe that training on, and enforcement of, these codes will limit the incidence of unethical interactions between our personnel and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long-lived assets comprised of our property, equipment, right-of-use assets, developed technology, in-process R&amp;D ("IPR&amp;D") and goodwill and are located in the United States and China and totaled $486.5 million and $105.7 million as of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human capital helps us develop and commercialize new products, conduct clinical trials and navigate government regulations. Our ability to recruit, develop and retain highly skilled talent is a significant determinant of our success. Our Code of Business Conduct and Ethics codifies our commitment to diversity and to providing equal opportunity and a positive working environment in all aspects of employment. We also have policies setting forth our expectations for nondiscrimination and a harassment-free work environment. Specifically, our policy is that no aspect of employment, including hiring and promotional opportunities, will be subject to unlawful discrimination or harassment (including sexual harassment) based on race, creed, color, religion, national origin, ancestry, gender (including pregnancy, breastfeeding or medical conditions related to pregnancy or breastfeeding), age, physical or intellectual disability, sexual orientation, gender identity, gender expression, gender stereotyping, marital status, military or veteran status, citizenship, genetic characteristic or information, or any other characteristic protected by applicable federal, state or local law.</w:t>
      </w:r>
    </w:p>
    <w:p>
      <w:pPr>
        <w:spacing w:after="0" w:line="19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As of December 31, 2025, we had 592 total at-will employees, of which 591 were full-time. Of our total employees, 254 were engaged in manufacturing, 46 in research and development, and 292 in selling, general and administrative. 22 of these employees had a Ph.D. degree and/or M.D. degree and were engaged in activities relating to research and development, manufacturing, quality assurance or business development. As of December 31, 2025, our workforce was distributed among gender and ethnic minorities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Grade Levels</w:t>
            </w:r>
          </w:p>
        </w:tc>
        <w:tc>
          <w:tcPr>
            <w:tcW w:w="29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2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Female (%)</w:t>
            </w:r>
          </w:p>
        </w:tc>
        <w:tc>
          <w:tcPr>
            <w:tcW w:w="198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Ethnic minority (%)</w:t>
            </w: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Vice President and above</w:t>
            </w:r>
          </w:p>
        </w:tc>
        <w:tc>
          <w:tcPr>
            <w:tcW w:w="2900" w:type="dxa"/>
            <w:vAlign w:val="bottom"/>
            <w:shd w:val="clear" w:color="auto" w:fill="CFF0FC"/>
          </w:tcPr>
          <w:p>
            <w:pPr>
              <w:jc w:val="center"/>
              <w:ind w:left="1113"/>
              <w:spacing w:after="0"/>
              <w:rPr>
                <w:sz w:val="20"/>
                <w:szCs w:val="20"/>
                <w:color w:val="auto"/>
              </w:rPr>
            </w:pPr>
            <w:r>
              <w:rPr>
                <w:rFonts w:ascii="Times New Roman" w:cs="Times New Roman" w:eastAsia="Times New Roman" w:hAnsi="Times New Roman"/>
                <w:sz w:val="18"/>
                <w:szCs w:val="18"/>
                <w:color w:val="auto"/>
                <w:w w:val="99"/>
              </w:rPr>
              <w:t>31</w:t>
            </w:r>
          </w:p>
        </w:tc>
        <w:tc>
          <w:tcPr>
            <w:tcW w:w="182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8"/>
                <w:szCs w:val="18"/>
                <w:color w:val="auto"/>
              </w:rPr>
              <w:t>26%</w:t>
            </w:r>
          </w:p>
        </w:tc>
        <w:tc>
          <w:tcPr>
            <w:tcW w:w="19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Director and Senior Manager</w:t>
            </w:r>
          </w:p>
        </w:tc>
        <w:tc>
          <w:tcPr>
            <w:tcW w:w="2900" w:type="dxa"/>
            <w:vAlign w:val="bottom"/>
          </w:tcPr>
          <w:p>
            <w:pPr>
              <w:jc w:val="center"/>
              <w:ind w:left="1133"/>
              <w:spacing w:after="0"/>
              <w:rPr>
                <w:sz w:val="20"/>
                <w:szCs w:val="20"/>
                <w:color w:val="auto"/>
              </w:rPr>
            </w:pPr>
            <w:r>
              <w:rPr>
                <w:rFonts w:ascii="Times New Roman" w:cs="Times New Roman" w:eastAsia="Times New Roman" w:hAnsi="Times New Roman"/>
                <w:sz w:val="18"/>
                <w:szCs w:val="18"/>
                <w:color w:val="auto"/>
              </w:rPr>
              <w:t>225</w:t>
            </w:r>
          </w:p>
        </w:tc>
        <w:tc>
          <w:tcPr>
            <w:tcW w:w="18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rPr>
              <w:t>47%</w:t>
            </w:r>
          </w:p>
        </w:tc>
        <w:tc>
          <w:tcPr>
            <w:tcW w:w="198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Managers and below</w:t>
            </w:r>
          </w:p>
        </w:tc>
        <w:tc>
          <w:tcPr>
            <w:tcW w:w="2900" w:type="dxa"/>
            <w:vAlign w:val="bottom"/>
            <w:shd w:val="clear" w:color="auto" w:fill="CFF0FC"/>
          </w:tcPr>
          <w:p>
            <w:pPr>
              <w:jc w:val="center"/>
              <w:ind w:left="1133"/>
              <w:spacing w:after="0"/>
              <w:rPr>
                <w:sz w:val="20"/>
                <w:szCs w:val="20"/>
                <w:color w:val="auto"/>
              </w:rPr>
            </w:pPr>
            <w:r>
              <w:rPr>
                <w:rFonts w:ascii="Times New Roman" w:cs="Times New Roman" w:eastAsia="Times New Roman" w:hAnsi="Times New Roman"/>
                <w:sz w:val="18"/>
                <w:szCs w:val="18"/>
                <w:color w:val="auto"/>
              </w:rPr>
              <w:t>336</w:t>
            </w:r>
          </w:p>
        </w:tc>
        <w:tc>
          <w:tcPr>
            <w:tcW w:w="182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8"/>
                <w:szCs w:val="18"/>
                <w:color w:val="auto"/>
              </w:rPr>
              <w:t>44%</w:t>
            </w:r>
          </w:p>
        </w:tc>
        <w:tc>
          <w:tcPr>
            <w:tcW w:w="19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rPr>
              <w:t>43%</w:t>
            </w:r>
          </w:p>
        </w:tc>
      </w:t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employees</w:t>
            </w:r>
          </w:p>
        </w:tc>
        <w:tc>
          <w:tcPr>
            <w:tcW w:w="2900" w:type="dxa"/>
            <w:vAlign w:val="bottom"/>
          </w:tcPr>
          <w:p>
            <w:pPr>
              <w:jc w:val="center"/>
              <w:ind w:left="1133"/>
              <w:spacing w:after="0"/>
              <w:rPr>
                <w:sz w:val="20"/>
                <w:szCs w:val="20"/>
                <w:color w:val="auto"/>
              </w:rPr>
            </w:pPr>
            <w:r>
              <w:rPr>
                <w:rFonts w:ascii="Times New Roman" w:cs="Times New Roman" w:eastAsia="Times New Roman" w:hAnsi="Times New Roman"/>
                <w:sz w:val="18"/>
                <w:szCs w:val="18"/>
                <w:color w:val="auto"/>
              </w:rPr>
              <w:t>592</w:t>
            </w:r>
          </w:p>
        </w:tc>
        <w:tc>
          <w:tcPr>
            <w:tcW w:w="18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rPr>
              <w:t>44%</w:t>
            </w:r>
          </w:p>
        </w:tc>
        <w:tc>
          <w:tcPr>
            <w:tcW w:w="198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rPr>
              <w:t>35%</w:t>
            </w:r>
          </w:p>
        </w:tc>
      </w:tr>
      <w:tr>
        <w:trPr>
          <w:trHeight w:val="626"/>
        </w:trPr>
        <w:tc>
          <w:tcPr>
            <w:tcW w:w="4540" w:type="dxa"/>
            <w:vAlign w:val="bottom"/>
          </w:tcPr>
          <w:p>
            <w:pPr>
              <w:spacing w:after="0"/>
              <w:rPr>
                <w:sz w:val="24"/>
                <w:szCs w:val="24"/>
                <w:color w:val="auto"/>
              </w:rPr>
            </w:pPr>
          </w:p>
        </w:tc>
        <w:tc>
          <w:tcPr>
            <w:tcW w:w="2900" w:type="dxa"/>
            <w:vAlign w:val="bottom"/>
          </w:tcPr>
          <w:p>
            <w:pPr>
              <w:jc w:val="right"/>
              <w:ind w:right="1633"/>
              <w:spacing w:after="0"/>
              <w:rPr>
                <w:sz w:val="20"/>
                <w:szCs w:val="20"/>
                <w:color w:val="auto"/>
              </w:rPr>
            </w:pPr>
            <w:r>
              <w:rPr>
                <w:rFonts w:ascii="Times New Roman" w:cs="Times New Roman" w:eastAsia="Times New Roman" w:hAnsi="Times New Roman"/>
                <w:sz w:val="18"/>
                <w:szCs w:val="18"/>
                <w:color w:val="auto"/>
              </w:rPr>
              <w:t>14</w:t>
            </w:r>
          </w:p>
        </w:tc>
        <w:tc>
          <w:tcPr>
            <w:tcW w:w="18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100"/>
        <w:spacing w:after="0" w:line="282" w:lineRule="auto"/>
        <w:rPr>
          <w:sz w:val="20"/>
          <w:szCs w:val="20"/>
          <w:color w:val="auto"/>
        </w:rPr>
      </w:pPr>
      <w:r>
        <w:rPr>
          <w:rFonts w:ascii="Times New Roman" w:cs="Times New Roman" w:eastAsia="Times New Roman" w:hAnsi="Times New Roman"/>
          <w:sz w:val="18"/>
          <w:szCs w:val="18"/>
          <w:color w:val="auto"/>
        </w:rPr>
        <w:t>None of our employees are subject to a collective bargaining agreement. We believe relations with our employees are good. In managing our business, we monitor several human capital measures, including:</w:t>
      </w:r>
    </w:p>
    <w:p>
      <w:pPr>
        <w:spacing w:after="0" w:line="54" w:lineRule="exact"/>
        <w:rPr>
          <w:sz w:val="20"/>
          <w:szCs w:val="20"/>
          <w:color w:val="auto"/>
        </w:rPr>
      </w:pPr>
    </w:p>
    <w:p>
      <w:pPr>
        <w:ind w:left="1100" w:right="40" w:hanging="509"/>
        <w:spacing w:after="0" w:line="261"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a set of specified corporate objectives for each calendar year, some of which are milestone-based, such as achieving development milestones relating to our investigational products, and some of which are quantitative, such as achieving target net sales of commercial products. These objectives are intended to stretch employees and serve as development opportunities but also form the basis for our incentive compensation programs.</w:t>
      </w:r>
    </w:p>
    <w:p>
      <w:pPr>
        <w:spacing w:after="0" w:line="71" w:lineRule="exact"/>
        <w:rPr>
          <w:rFonts w:ascii="Times New Roman" w:cs="Times New Roman" w:eastAsia="Times New Roman" w:hAnsi="Times New Roman"/>
          <w:sz w:val="18"/>
          <w:szCs w:val="18"/>
          <w:color w:val="auto"/>
        </w:rPr>
      </w:pPr>
    </w:p>
    <w:p>
      <w:pPr>
        <w:ind w:left="1100" w:right="140" w:hanging="509"/>
        <w:spacing w:after="0" w:line="266"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churn rate – the number of new hires and terminations each month as a percentage of the employee base – as well as the number of regrettable losses. These metrics help us to identify areas within the company where there may be a need for greater management attention and intervention.</w:t>
      </w:r>
    </w:p>
    <w:p>
      <w:pPr>
        <w:spacing w:after="0" w:line="67" w:lineRule="exact"/>
        <w:rPr>
          <w:rFonts w:ascii="Times New Roman" w:cs="Times New Roman" w:eastAsia="Times New Roman" w:hAnsi="Times New Roman"/>
          <w:sz w:val="18"/>
          <w:szCs w:val="18"/>
          <w:color w:val="auto"/>
        </w:rPr>
      </w:pPr>
    </w:p>
    <w:p>
      <w:pPr>
        <w:ind w:left="1100" w:hanging="509"/>
        <w:spacing w:after="0" w:line="266"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responses to periodic employee surveys, which are designed to give us insight into employees’ perception of company culture and areas where management’s efforts are perceived positively or negatively as well as open-ended feedback in the form of anonymous comments and questions.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offer our employees a portfolio of rewards (our “Total Rewards Program”) to recruit and retain a high level of talent across the Company. Our Total Rewards program is offered to each employee and currently consists of the seven components:</w:t>
      </w:r>
    </w:p>
    <w:p>
      <w:pPr>
        <w:spacing w:after="0" w:line="54" w:lineRule="exact"/>
        <w:rPr>
          <w:sz w:val="20"/>
          <w:szCs w:val="20"/>
          <w:color w:val="auto"/>
        </w:rPr>
      </w:pPr>
    </w:p>
    <w:p>
      <w:pPr>
        <w:ind w:left="1100" w:hanging="509"/>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 We offer a market-competitive base salary.</w:t>
      </w:r>
    </w:p>
    <w:p>
      <w:pPr>
        <w:spacing w:after="0" w:line="117" w:lineRule="exact"/>
        <w:rPr>
          <w:rFonts w:ascii="Times New Roman" w:cs="Times New Roman" w:eastAsia="Times New Roman" w:hAnsi="Times New Roman"/>
          <w:sz w:val="18"/>
          <w:szCs w:val="18"/>
          <w:color w:val="auto"/>
        </w:rPr>
      </w:pPr>
    </w:p>
    <w:p>
      <w:pPr>
        <w:ind w:left="1100" w:right="780" w:hanging="509"/>
        <w:spacing w:after="0" w:line="282"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program – We offer quarterly sales incentive bonuses to our sales force and annual bonuses to the remainder of our employees.</w:t>
      </w:r>
    </w:p>
    <w:p>
      <w:pPr>
        <w:spacing w:after="0" w:line="53" w:lineRule="exact"/>
        <w:rPr>
          <w:rFonts w:ascii="Times New Roman" w:cs="Times New Roman" w:eastAsia="Times New Roman" w:hAnsi="Times New Roman"/>
          <w:sz w:val="18"/>
          <w:szCs w:val="18"/>
          <w:color w:val="auto"/>
        </w:rPr>
      </w:pPr>
    </w:p>
    <w:p>
      <w:pPr>
        <w:ind w:left="1100" w:right="60" w:hanging="509"/>
        <w:spacing w:after="0" w:line="282"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program – A portion of our employees are eligible for a new hire and annual equity awards that consist of time- and, in some cases, performance-based restricted stock units and non-qualified stock options.</w:t>
      </w:r>
    </w:p>
    <w:p>
      <w:pPr>
        <w:spacing w:after="0" w:line="53" w:lineRule="exact"/>
        <w:rPr>
          <w:rFonts w:ascii="Times New Roman" w:cs="Times New Roman" w:eastAsia="Times New Roman" w:hAnsi="Times New Roman"/>
          <w:sz w:val="18"/>
          <w:szCs w:val="18"/>
          <w:color w:val="auto"/>
        </w:rPr>
      </w:pPr>
    </w:p>
    <w:p>
      <w:pPr>
        <w:jc w:val="both"/>
        <w:ind w:left="1100" w:right="440" w:hanging="509"/>
        <w:spacing w:after="0" w:line="266"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wellness program – A variety of insurance plans that allow employees to select among different options, including a health maintenance organization, a preferred provider organization and a high-deductible health plan, as well as flexible spending and health savings accounts.</w:t>
      </w:r>
    </w:p>
    <w:p>
      <w:pPr>
        <w:spacing w:after="0" w:line="67" w:lineRule="exact"/>
        <w:rPr>
          <w:rFonts w:ascii="Times New Roman" w:cs="Times New Roman" w:eastAsia="Times New Roman" w:hAnsi="Times New Roman"/>
          <w:sz w:val="18"/>
          <w:szCs w:val="18"/>
          <w:color w:val="auto"/>
        </w:rPr>
      </w:pPr>
    </w:p>
    <w:p>
      <w:pPr>
        <w:ind w:left="1100" w:right="420" w:hanging="509"/>
        <w:spacing w:after="0" w:line="282"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program – In addition to the paid time off that is accrued throughout the year, we offer paid holidays, including recurring week-long company shutdowns.</w:t>
      </w:r>
    </w:p>
    <w:p>
      <w:pPr>
        <w:spacing w:after="0" w:line="53" w:lineRule="exact"/>
        <w:rPr>
          <w:rFonts w:ascii="Times New Roman" w:cs="Times New Roman" w:eastAsia="Times New Roman" w:hAnsi="Times New Roman"/>
          <w:sz w:val="18"/>
          <w:szCs w:val="18"/>
          <w:color w:val="auto"/>
        </w:rPr>
      </w:pPr>
    </w:p>
    <w:p>
      <w:pPr>
        <w:ind w:left="1100" w:right="120" w:hanging="509"/>
        <w:spacing w:after="0" w:line="282"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savings program – A 401(k) retirement plan pursuant to which we match 50% of employee contributions up to a specified limit on their annual eligible earnings.</w:t>
      </w:r>
    </w:p>
    <w:p>
      <w:pPr>
        <w:spacing w:after="0" w:line="53" w:lineRule="exact"/>
        <w:rPr>
          <w:rFonts w:ascii="Times New Roman" w:cs="Times New Roman" w:eastAsia="Times New Roman" w:hAnsi="Times New Roman"/>
          <w:sz w:val="18"/>
          <w:szCs w:val="18"/>
          <w:color w:val="auto"/>
        </w:rPr>
      </w:pPr>
    </w:p>
    <w:p>
      <w:pPr>
        <w:ind w:left="1100" w:right="260" w:hanging="509"/>
        <w:spacing w:after="0" w:line="266"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 (“ESPP”) program – The ESPP provides the opportunity to purchase shares of our common stock through payroll deductions every six months at a 15% discount to the market price at the beginning or end of each offering period, whichever is lower.</w:t>
      </w:r>
    </w:p>
    <w:p>
      <w:pPr>
        <w:spacing w:after="0" w:line="67" w:lineRule="exact"/>
        <w:rPr>
          <w:rFonts w:ascii="Times New Roman" w:cs="Times New Roman" w:eastAsia="Times New Roman" w:hAnsi="Times New Roman"/>
          <w:sz w:val="18"/>
          <w:szCs w:val="18"/>
          <w:color w:val="auto"/>
        </w:rPr>
      </w:pPr>
    </w:p>
    <w:p>
      <w:pPr>
        <w:ind w:left="1100" w:right="620" w:hanging="509"/>
        <w:spacing w:after="0" w:line="282"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Recognition Program – We provide a company-wide Spot and Peer to Peer Recognition Program to more directly reward performance and behaviors and drive cultural improvement.</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majority of our employees are essential workers involved in the production of medicine for chronic diseases. As such, they cannot work remotely and must perform their job duties in our Connecticut facility according to a 24/7 shift schedule. Other employees have work responsibilities that can be performed somewhat asynchronously and in different locations. For such employees, our general preference is that in-office employees be in the office during core business hours at least four days per week in order to maximize the productivity gains that come from having a collaborative culture and a common workplace; however, we also recognize that such employees can be equally productive working from home some of the time or with a flexible workday that they can structure around significant events outside of the workplace, such as commute times or childcare responsibilities.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Occupational Health and Safety</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Hazardous materials are inherent in our operations, and it is not possible to eliminate completely the risk of accidental exposure from our operations. We have established procedures to comply with governmental regulations regarding workplace safety, including training employees to enable them to recognize risks and empower them to learn, discover, work safely, and to minimize injuries, illnesses, environmental impact and regulatory risks. In 2025, our total illness and injury incidence rate was 0.3 per 100 employees compared to the 2024 industry average of 1.7, as reported by the U.S. Department of Labor, and our DART (days away/restricted or job transfer) incident rate was 0.2 per 100 employees compared to the 2024 industry average of 1.2. We will continue our efforts to ensure a high level of workplace safety.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were incorporated in the State of Delaware on February 14, 1991. Our principal executive offices are located at 1 Casper Street, Danbury, Connecticut 06810, and our general telephone number is (818) 661-5000.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our websites are not incorporated into this Annual Report. Further, our references to the URLs for these websites are intended to be inactive textual reference only.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current executive officers and their ages: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5"/>
                <w:szCs w:val="15"/>
                <w:color w:val="auto"/>
              </w:rPr>
            </w:pPr>
          </w:p>
        </w:tc>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Castagna, Pharm.D.</w:t>
            </w:r>
          </w:p>
        </w:tc>
        <w:tc>
          <w:tcPr>
            <w:tcW w:w="120" w:type="dxa"/>
            <w:vAlign w:val="bottom"/>
          </w:tcPr>
          <w:p>
            <w:pPr>
              <w:spacing w:after="0"/>
              <w:rPr>
                <w:sz w:val="16"/>
                <w:szCs w:val="16"/>
                <w:color w:val="auto"/>
              </w:rPr>
            </w:pP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6"/>
                <w:szCs w:val="16"/>
                <w:color w:val="auto"/>
              </w:rPr>
            </w:pPr>
          </w:p>
        </w:tc>
        <w:tc>
          <w:tcPr>
            <w:tcW w:w="7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 Prentiss</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Ajay Ahuja, M.D., MBA</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Medical Officer</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Dominic Marasco</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President, Endocrine Business Unit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Sanjay Singh, M Pharm, MBA</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Technical Operations</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Stuart A. Tross, Ph.D.</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Human Resources</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David B. Thomson, Ph.D., J.D.</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2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Michael E. Castagna, Pharm.D. </w:t>
      </w:r>
      <w:r>
        <w:rPr>
          <w:rFonts w:ascii="Times New Roman" w:cs="Times New Roman" w:eastAsia="Times New Roman" w:hAnsi="Times New Roman"/>
          <w:sz w:val="18"/>
          <w:szCs w:val="18"/>
          <w:color w:val="auto"/>
        </w:rPr>
        <w:t>has been our Chief Executive Officer since May 2017 and was our Chief Commercial Officer from March 2016 until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From November 2012 until he joined us, Dr. Castagna was at Amgen, Inc., where he initially served as Vice President, Global Lifecycle Management, and subsequently,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B. Prentiss </w:t>
      </w:r>
      <w:r>
        <w:rPr>
          <w:rFonts w:ascii="Times New Roman" w:cs="Times New Roman" w:eastAsia="Times New Roman" w:hAnsi="Times New Roman"/>
          <w:sz w:val="18"/>
          <w:szCs w:val="18"/>
          <w:color w:val="auto"/>
        </w:rPr>
        <w:t>has been our Chief Financial Officer since April 2024. From September 2022 until March 2024, Mr. Prentiss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ADARx Pharmaceuticals, Inc., a privately held clinical-stage biotechnology company. Between April 2015 and November 2021, he held a series of finance positions of increasing responsibility at the commercial-stage biotech company Adamas Pharmaceuticals, Inc. (“Adamas”), culminating in Chief Financial Officer commencing in November 2019. His responsibilities at Adamas included finance, accounting, investor relations, information technology and facilities. From June 2013 until March 2015, he was Vice President, Finance and Corporate Controller of InterMune Inc., a commercial-stage biotech with responsibilities over all aspects of corporate accounting, reporting, and treasury. Prior to that, Mr. Prentiss was Senior Director, Controller at Dynavax Technologies Corporation, a clinical-stage biopharmaceutical company, from May 2012 to June 2013, where he was responsible for the accounting and tax functions. Between 2005 – 2012, he worked here at MannKind, where he held senior finance positions of increasing responsibility. Prior to that, Mr. Prentiss was a Senior Manager at KPMG LLP in the assurance practice. Mr. Prentiss received a B.Sc. degree in Accounting from Loyola Marymount University, and an MBA from Indiana University. Mr. Prentiss is a licensed CPA (inactive) in California.</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Dr Ajay Ahuja, MD, MBA </w:t>
      </w:r>
      <w:r>
        <w:rPr>
          <w:rFonts w:ascii="Times New Roman" w:cs="Times New Roman" w:eastAsia="Times New Roman" w:hAnsi="Times New Roman"/>
          <w:sz w:val="18"/>
          <w:szCs w:val="18"/>
          <w:color w:val="auto"/>
        </w:rPr>
        <w:t>has been our Executive Vice President and Chief Medical Officer since September 2025. Dr. Ahuja brings to MannKind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two decades of leadership experience across the biopharmaceutical industry, spanning development-stage companies and global pharmaceutical firms since 2003. From January 2025 to September 2025, Dr. Ahuja served as the Development and Launch Leader for a late-stage DNA-based therapeutic at Kardigan Bio, a cardiology-focused biopharmaceutical company. Between February 2021 and January 2025, Dr. Ahuja held a senior leadership role at Idorsia Pharmaceuticals, where he built out the US Medical department and launched multiple novel compounds. Earlier in his career, he served as Global Head of Medical Affairs at Allergan, overseeing all therapeutic areas and a team of over 100 professionals across the U.S. and international markets. Dr. Ahuja also served as Global Medical Head for Takeda Pharmaceuticals’ cardiometabolic franchise, with a focus on diabetes and cardiovascular disease, and has also held impactful roles at GSK, Pfizer, Novartis, and Tepha, Inc. Dr. Ahuja earned his Doctor of Medicine from Washington University School of Medicine and completed his residency and fellowship training at Northwestern University and Harvard Medical School, respectively. As a board-certified physician, Dr. Ahuja practiced medicine on staff at Boston Children’s Hospital for over a decade. He also earned an MBA from Harvard Business School before embarking on his industry career.</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Dominic Marasco, R.Ph., </w:t>
      </w:r>
      <w:r>
        <w:rPr>
          <w:rFonts w:ascii="Times New Roman" w:cs="Times New Roman" w:eastAsia="Times New Roman" w:hAnsi="Times New Roman"/>
          <w:sz w:val="18"/>
          <w:szCs w:val="18"/>
          <w:color w:val="auto"/>
        </w:rPr>
        <w:t>has been our President, Endocrine Business Unit since January 2025. Prior to joining us, Mr. Marasco held the 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President, Chief Commercial Officer for Envision Pharma Group from February 2023 until August 2024, leading its technology and artificial intelligence business units and all commercial operations. Before joining Envision Pharma, Mr. Marasco was Chief Commercial Officer at BioAgilytix Labs, Inc. from December 2019 until December 2022. Prior to BioAgilytix, he was EVP, Global Business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right="100"/>
        <w:spacing w:after="0" w:line="258" w:lineRule="auto"/>
        <w:rPr>
          <w:sz w:val="20"/>
          <w:szCs w:val="20"/>
          <w:color w:val="auto"/>
        </w:rPr>
      </w:pPr>
      <w:r>
        <w:rPr>
          <w:rFonts w:ascii="Times New Roman" w:cs="Times New Roman" w:eastAsia="Times New Roman" w:hAnsi="Times New Roman"/>
          <w:sz w:val="18"/>
          <w:szCs w:val="18"/>
          <w:color w:val="auto"/>
        </w:rPr>
        <w:t>Development, Commercial Group at Syneos Health from February 2018 until December 2019, after serving in progressive leadership roles at Amgen, Inc. including Head of U.S. Sales for the Neuroscience Business Unit and before that Global Commercial Head, Amgen Biosimilars. Mr. Marasco also held successful commercial leadership roles at Sandoz Biopharmaceuticals, a Novartis Company, and Quintiles Transnational Holdings Inc (now IQVIA). He began his career as a pharmacist before joining Eli Lilly and Company in a sales capacity. Mr. Marasco has a Bachelor of Science degree from the Philadelphia College of Pharmacy and completed Harvard Business School’s Advanced Management Program.</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Sanjay Singh </w:t>
      </w:r>
      <w:r>
        <w:rPr>
          <w:rFonts w:ascii="Times New Roman" w:cs="Times New Roman" w:eastAsia="Times New Roman" w:hAnsi="Times New Roman"/>
          <w:sz w:val="18"/>
          <w:szCs w:val="18"/>
          <w:color w:val="auto"/>
        </w:rPr>
        <w:t>has been our Executive Vice President, Technical Operations since October 2022. Before joining us, since 2011 Mr. Singh served as Sr.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Associate President Technical Operations in India and USA at Aurobindo Pharma, a leading generic pharmaceutical manufacturing company, headquartered in Hyderabad, India. Prior to Aurobindo, Mr. Singh worked in various leadership roles at Cipla Ltd (2000 – 2007, 2008 – 2011), Glenmark Pharma (2007-2008), Nicholas Piramal India Ltd (1992-2000) and Cadila Laboratories (1990-1991). Mr. Singh has been associated with the Parenteral Drug Association (PDA) and was the founding president of the PDA, India chapter before moving to the US in 2015. Mr. Singh received an M. Pharma. degree in Pharmaceutical Chemistry from LM College of Pharmacy, Ahmedabad, India and an MBA degree from Institute of Management Studies, Indore, India.</w:t>
      </w:r>
    </w:p>
    <w:p>
      <w:pPr>
        <w:spacing w:after="0" w:line="18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Stuart A. Tross, Ph.D. </w:t>
      </w:r>
      <w:r>
        <w:rPr>
          <w:rFonts w:ascii="Times New Roman" w:cs="Times New Roman" w:eastAsia="Times New Roman" w:hAnsi="Times New Roman"/>
          <w:sz w:val="18"/>
          <w:szCs w:val="18"/>
          <w:color w:val="auto"/>
        </w:rPr>
        <w:t>has been our Executive Vice President, Human Resources since December 2016, with responsibilities for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spacing w:after="0" w:line="17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B. Thomson, Ph.D., J.D. </w:t>
      </w:r>
      <w:r>
        <w:rPr>
          <w:rFonts w:ascii="Times New Roman" w:cs="Times New Roman" w:eastAsia="Times New Roman" w:hAnsi="Times New Roman"/>
          <w:sz w:val="18"/>
          <w:szCs w:val="18"/>
          <w:color w:val="auto"/>
        </w:rPr>
        <w:t>has been our General Counsel and Corporate Secretary since January 2002. Prior to joining us, he practiced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corporate/commercial and securities law at a major Toronto law firm. Earlier in his career, Dr. Thomson was a post-doctoral fellow at the Rockefeller University. Dr. Thomson obtained his B.S., M Sc. and Ph.D. degrees from Queens University and obtained his J.D. degree from the University of Toronto.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products that we or our collaboration partner are commercializing may only achieve a limited degree of commercial success.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Afrezza, Furoscix and any products that we may develop or acquire in the future) and the product that is commercialized by our current collaboration partner (including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w:t>
      </w:r>
    </w:p>
    <w:p>
      <w:pPr>
        <w:spacing w:after="0" w:line="7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 or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United Therapeutics reduces its commercial emphasis on Tyvaso DPI, our revenues could decline materially.</w:t>
      </w:r>
    </w:p>
    <w:p>
      <w:pPr>
        <w:spacing w:after="0" w:line="22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On its February 25, 2026 earnings call, United Therapeutics highlighted the development of Tresmi, a treprostinil solution for use in a soft mist inhaler, describing it as a “category killer” designed to significantly reduce coughing—an acknowledged side effect of dry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powder inhalers—by up to 90% based on human studies, with plans to file for approval in PAH and interstitial lung disease within the year and launch commercially in the following year. Such public statements regarding Tresmi’s potential advantages and United Therapeutics’ future commercial plans indicate that United Therapeutics may choose to prioritize Tresmi or other pipeline products over Tyvaso DPI.</w:t>
      </w:r>
    </w:p>
    <w:p>
      <w:pPr>
        <w:spacing w:after="0" w:line="20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is derived from royalties and collaboration and services revenue associated with United Therapeutics’ commercialization of Tyvaso DPI. Because United Therapeutics is solely responsible for the development, marketing, promotion, and sale of Tyvaso DPI, our ability to maintain and grow this revenue is highly dependent on the commercial performance of Tyvaso DPI and on United Therapeutics’ strategic priorities, resource allocation decisions, and overall commitment to undertake development activities that could potentially expand the therapeutic indications for Tyvaso DPI. Moreover, we have limited control over United Therapeutics’ commercialization activities, including decisions related to marketing strategy, salesforce deployment, pricing, market access, physician outreach, patient support programs, and the prioritization of Tyvaso DPI relative to other products in its portfolio.</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United Therapeutics reduces its commercial emphasis on Tyvaso DPI, diverts resources toward Tresmi or other therapies, or if Tresmi, if and when launched, displaces Tyvaso DPI in the market, our revenues could decline materially. United Therapeutics’ strategic priorities are outside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8" w:name="page19"/>
    <w:bookmarkEnd w:id="18"/>
    <w:p>
      <w:pPr>
        <w:ind w:right="580"/>
        <w:spacing w:after="0" w:line="282" w:lineRule="auto"/>
        <w:rPr>
          <w:sz w:val="20"/>
          <w:szCs w:val="20"/>
          <w:color w:val="auto"/>
        </w:rPr>
      </w:pPr>
      <w:r>
        <w:rPr>
          <w:rFonts w:ascii="Times New Roman" w:cs="Times New Roman" w:eastAsia="Times New Roman" w:hAnsi="Times New Roman"/>
          <w:sz w:val="18"/>
          <w:szCs w:val="18"/>
          <w:color w:val="auto"/>
        </w:rPr>
        <w:t>our control, and we cannot predict how evolving market dynamics, product differentiation claims, or United Therapeutics’ internal assessments will influence its promotional and development strategies.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Any reduction in Tyvaso DPI sales—including due to competitive products introduced by United Therapeutics itself, shifting promotional strategies, or physician or patient preference trends influenced by United Therapeutics’ messaging or otherwise—would adversely affect our results of operations. Our business and results of operations remain significantly exposed to United Therapeutics’ strategic and commercial decisions.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adoption and sales of our products, we need to continue to develop our commercial organization, including maintaining and growing a highly experienced and skilled workforce with qualified sales representatives.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sales forces promote our products to different target groups of physicians. In order to successfully commercialize our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retain and effectively manage adequate numbers of effective sales personnel;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complementary products to be offered by sales personnel, which may put us at a competitive disadvantage relative to companies that have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costs and expenses associated with maintaining our sales organization.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are unable to maintain effective sales forces for our products, including potential future products, we may not be able to generate sufficient product revenue in the United States. We are required to expend significant time and resources to train our sales forces to educate physicians about our products. In addition, we must continually train our sales forces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spacing w:after="0" w:line="22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Similarly, if UT does not effectively engage or maintain its sales force for Tyvaso DPI, our ability to recognize royalties and manufacturing revenue from this collaboration will be adversely affected.</w:t>
      </w:r>
    </w:p>
    <w:p>
      <w:pPr>
        <w:spacing w:after="0" w:line="26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Tyvaso DPI, which could reduce our gross margin and profitability.</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Afrezza and Tyvaso DPI are manufactured by us in our Danbury, Connecticut facility, where we assemble the inhalers from their individual molded parts, formulate the inhalation powders, fill plastic cartridges with the powders, package the cartridges into secondary packaging and assemble the final kits. If and when needed, we also utilize a contract packager to assemble final kits for commercial sale.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If we fail to deliver the required commercial quantities of the product on a timely basis, at commercially reasonable prices and at acceptable quality, and we were unable to promptly find on a timely basis one or more replacement manufacturers capable of production at a substantially equivalent cost, in substantially equivalent volume and quality, we would likely be unable to meet demand for such drug products and we would lose potential revenues.</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demand for our products increases, we may have to invest additional resources to purchase components, hire and train employees, and enhance or expand our manufacturing capabilities. If we fail to increase our production capacity efficiently, our sales may not increase in line with our forecasts and our operating margins could fluctuate or decline. In addition, we may be unable to support commercialization of Tyvaso DPI.</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40"/>
        <w:spacing w:after="0" w:line="261" w:lineRule="auto"/>
        <w:rPr>
          <w:sz w:val="20"/>
          <w:szCs w:val="20"/>
          <w:color w:val="auto"/>
        </w:rPr>
      </w:pPr>
      <w:r>
        <w:rPr>
          <w:rFonts w:ascii="Times New Roman" w:cs="Times New Roman" w:eastAsia="Times New Roman" w:hAnsi="Times New Roman"/>
          <w:sz w:val="18"/>
          <w:szCs w:val="18"/>
          <w:color w:val="auto"/>
        </w:rPr>
        <w:t>Unlike Afrezza and Tyvaso DPI, which are assembled and formulated domestically, V-Go is wholly manufactured on our behalf by contract manufacturers located in China.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V-Go business is subject to risks associated with doing business in China, including:</w:t>
      </w:r>
    </w:p>
    <w:p>
      <w:pPr>
        <w:spacing w:after="0" w:line="72" w:lineRule="exact"/>
        <w:rPr>
          <w:sz w:val="20"/>
          <w:szCs w:val="20"/>
          <w:color w:val="auto"/>
        </w:rPr>
      </w:pPr>
    </w:p>
    <w:p>
      <w:pPr>
        <w:ind w:left="1020" w:right="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and export licensing and control requirements, although in July 2025, we received a ruling from U.S. Customs and Border Protection that V-Go qualifies for duty-free treatment under subheading 9817.00.96 of the Harmonized Tariff Schedule of the United States (“HTSUS”);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risks may be exacerbated by our limited experience with V-Go and its manufacturing processes. If V-Go does not continue to qualify for duty-free treatment, any tariffs that apply to imported goods from China could materially and adversely affect our margins on V-Go sales.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Similarly, the drug formulation and device components of Furoscix are manufactured for us by third parties, some of which are outside the United States. In addition to the risks identified above, any future curtailment in the availability of materials could result in production or other delays with consequent adverse effects on us. In addition, because regulatory authorities must generally approve raw material sources for pharmaceutical products, changes in raw material suppliers may result in production delays or higher raw material costs.</w:t>
      </w:r>
    </w:p>
    <w:p>
      <w:pPr>
        <w:spacing w:after="0" w:line="28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raw materials for formulating powders, such as FDKP, as well as other components, such as the inhaler and the related cartridges.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cGMP for drug products, and the molding of the inhaler and cartridges components in accordance with QMSRs.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certain other components, such as packaging materials, we obtain materials from a limited number of suppliers, including some parts and components that are purchased from single-source vendors. For outsourced products such as Furoscix and V-Go, this is also true for some of the components required by our contract manufacturers. Depending on a limited number of suppliers exposes us to risks, including limited control over pricing, availability, quality and delivery schedules. In addition, we do not have long-term supply agreements for such components and, in many cases, purchases are made on a purchase order basis. As a result, our suppliers have no obligation to manufacture for us or sell to us any given quantity of components. Because we do not have long-standing relationships with all of the suppliers in our supply chain, we may not be able to convince them to continue to make components available to us unless there is demand for such components from their other customers. If any one or more of our suppliers cease to provide us with sufficient quantities of components in a timely manner or on pricing and quality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materials sourced from suppliers located outside the United States have or may become subject to tariffs under U.S. trade policies. Although our current inventories of such materials are sufficient to meet our projected production levels for at least the next six months, our manufacturing costs may be impacted by any prevailing tariffs on imports at the time such materials enter the United States.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Components made domestically from imported materials that are or become subject to tariffs would be expected to become more expensive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any future tariffs will increase our cost of goods and decrease our operating margins.</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QMSR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QMSR requirements, as well as our specifications and quality requirements, which would require significant time and expense and could delay production.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w:t>
      </w:r>
    </w:p>
    <w:p>
      <w:pPr>
        <w:spacing w:after="0" w:line="18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Recent and potential future changes in international trade policies, particularly regarding U.S.-China trade relations and pharmaceutical-specific tariffs, present material risks to our operations and financial performance. While we manufacture Afrezza and Tyvaso DPI in our Danbury, Connecticut facility and our Furoscix contract manufacturers have domestic operations, we and our suppliers must obtain raw materials, chemicals, device components, and specialized equipment from international sources. In addition, V-Go is manufactured for us by contract manufacturers in China, although this product is currently eligible for duty-free treatment under a specific exemption in the HTSUS.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Unlike many industries, our ability to pass increased costs to customers is limited by the structure of pharmaceutical and medical device pricing and reimbursement systems. Pricing for our products is established through annual or multi-year contracts with commercial, third-party payers and pharmacy benefit managers,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 or future tariffs will also result in increased manufacturing expense, as well as research and development expenses, including with respect to increased costs associated with APIs,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royalty revenue and results of operations may also be adversely impacted if our marketing and collaboration partner, United Therapeutics, is adversely impacted by any of the factors described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tariffs and other trade developments have and may continue to heighten the risks related to the other risk factors described elsewhere in this report.</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In general, patients are less likely to use our products unless coverage is provided and reimbursement is adequate to cover a significant portion of the cost of our products.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Even if favorable coverage and reimbursement status is attained from some payers for our products, less favorable coverage policies and reimbursement rates may be implemented in the future. Such less favorable coverage could impact the market acceptance of any product and could have a negative effect on our revenues and operating results. Even if we succeed in bringing more products to market, we cannot be certain that any such products would be considered cost-effective or that coverage and adequate reimbursement to the consumer would be available.</w:t>
      </w:r>
    </w:p>
    <w:p>
      <w:pPr>
        <w:spacing w:after="0" w:line="19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of 2022 (“IRA”) limited insulin copays to $35 per month for Medicare Part D beneficiaries starting in 2023. Further,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or any collaboration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partner’s ability to successfully commercialize such products and would impact our profitability, results of operations, financial condition, and prospects.</w:t>
      </w:r>
    </w:p>
    <w:p>
      <w:pPr>
        <w:spacing w:after="0" w:line="2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scPharma acquisition or any future acquisition or strategic transaction; we may be unable to successfully integrate new products, technologies or businesses we acquire.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2025, we acquired scPharma as part of a strategy of assessing potential strategic acquisitions, dispositions, partnerships and other strategic transactions. We expect to continue this strategy by periodically evaluating and pursuing acquisition of companies, therapeutic products, product candidates and technologies. The integration of any acquired business, product, technology or other assets into our company may be complex and time-consuming and, if such businesses, products, technologies or assets are not successfully integrated, we may not achieve the anticipated benefits, cost-savings or growth opportunities. Potential difficulties that may be encountered in the integration process include the following:</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1020" w:right="2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or restructuring costs associated with an acquired business, product, technology or other asset or arrangement. In particular, the scPharma acquisition may have a potentially adverse effect on our net debt and liquidity position as a result of the acquisition purchase price being paid in cash. Because we incurred debt to pay for the acquisition, our interest expense, leverage and debt service requirements have increased significantly. Any one of these challenges or risks could impair our ability to realize any benefit from our acquisitions or arrangements after we have expended resources on them. Future acquisitions or dispositions could also result in potentially dilutive issuances of our equity securities, the incurrence of debt, contingent liabilities or amortization expenses or write-offs of goodwill, developed technologies and in-process research and development, any of which could harm our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products that we or a collaboration partner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our products;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senior convertible notes to require us to repay or repurchase such debt securities if and when required;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senior convertible notes or any other convertible debt securities we may issue are converted into or exchanged for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R&amp;D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Furoscix, V-Go, Tyvaso DPI, our product candidates or competitive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raised capital in the past through borrowings and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ind w:right="60"/>
        <w:spacing w:after="0" w:line="254"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1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data or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and third parties with whom we work, employ and are increasingly dependent upon information technology systems, infrastructure, applications, websites and other resources. Our business, and that of the third parties with whom we work,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physical threats, such as telecommunications failures, earthquakes, fires or floods, as well as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and productivity software, and other functions. We also rely on third-party service providers to provide other products or services, or otherwise to operate our business. Our business, including our ability to manufacture drug products and conduct clinical 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on a timely basis. It may also be difficult and/or costly to detect, investigate, 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have required us to implement and maintain specific security measures, industry-standards or reasonable security measures to protect our information technology systems and sensitive information.</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although we have not directly experienced a cyberattack, third parties with whom we work have experienced security incidents, such as the SolarWinds attack in December 2020, the ransomware attack on Kronos Private Cloud in December 2021 and the Change Healthcare data breach in February 2024. In all of these cases, we were able to apply software patches or move operations to a new provider in order to avoid any negative impact on our operations or the sensitive information we may process. Nonetheless, these incidents illustrate that despite our efforts to identify and remediate vulnerabilities, if any, in our information technology systems and those of third parties with whom we work, our efforts may not be successful.</w:t>
      </w:r>
    </w:p>
    <w:p>
      <w:pPr>
        <w:spacing w:after="0" w:line="19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the use of generative artificial intelligence (“AI”) technologies by our employees, personnel or vendors.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26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spacing w:after="0" w:line="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Blackstone Credit Facility requires us, and any debt arrangements we may enter into in the future may require us, to comply with various covenants that limit our ability to, among other things:</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mergers 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modify existing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royalties or revenue interests;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additional lines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holders of our capital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certain organizational documents;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our affiliates.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the Blackstone Credit Facility requires us to maintain at least $40.0 million of liquidity, tested quarterly, with liquidity defined as our unrestricted cash and cash equivalents held in collateral accounts of the lenders. The covenants in the Blackstone Credit Facility could prevent us from pursuing business opportunities that we or our stockholders may consider beneficial.</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obligations under the Blackstone Credit Facility are guaranteed by each of our subsidiaries and any future subsidiaries, subject to limited exceptions, and are secured by a security interest in substantially all of our and the subsidiary guarantors’ assets, including intellectual property. A breach of any of these covenants could result in an event of default under the Blackstone Credit Facility. If we default under our obligations under the Blackstone Credit Facility, the lenders could proceed against the collateral granted to them to secure our indebtedness or declare all obligations under the Blackstone Credit Facility to be due and payable. In certain circumstances, procedures by the lenders could result in a loss by us of all of our equipment and inventory, which are included in the collateral granted to the lenders.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have sufficient resources to make any required repayments of principal and interest under the terms of our indebtedness when required. If we fail to pay interest on the Blackstone Credit Facility when required or principal at maturity, we will be in default and may also suffer an event of default under the terms of other borrowing arrangements that we may enter into from time to time. In addition, a default under our senior convertible notes would constitute an event of default under the Blackstone Credit Facility. Any of these events could have a material adverse effect on our business, results of operations and financial condition, up to and including lenders initiating bankruptcy proceedings or causing us to cease operations altogether.</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26" w:name="page27"/>
    <w:bookmarkEnd w:id="26"/>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sustain positive cash flow from operations and profitability depends heavily upon successfully commercializing our products, and although we had positive cash flows from operations and net income in the year ended December 31, 2025, we may not continue to generate positive cash flow from operations or be profitable in the future. In addition, we cannot assure you that we will maintain a level of cash flows from operating activities sufficient to permit us to make scheduled payments on our insulin purchase commitments and debt obligations. If our cash flows and capital resources are insufficient to fund our obligations, we may be forced to reduce or delay capital expenditures, sell assets or operations, seek additional capital or restructure or refinance our obligations. In the past, we have had losses that have had, and we may in the future have losses that have, an adverse impact on our working capital, total assets and stockholders’ equity.</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2025,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policy of strict lockdowns in order to reduce the spread of disease. Disruptions in sales and demand for our products would be expected to occur:</w:t>
      </w:r>
    </w:p>
    <w:p>
      <w:pPr>
        <w:spacing w:after="0" w:line="8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chronic disease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our products to be prescribed and reimbursed.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t>Afrezza has been approved in the United States, Brazil and India, but we have not yet obtained approval in any other jurisdiction. V-Go has received 510(k) clearance from the FDA, but has not received a comparable approval in any other country. Similarly, Furoscix is approved only in the United States.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current or future products.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product candidates through our internal research programs. All product candidates require preclinical, clinical and other testing prior to seeking regulatory approval to market them. Accordingly, the development timelines for product candidates can stretch over many years. Further research and development on these programs requires significant financial resources. Given our limited financial resources, we may not be able to complete the full clinical development of our product candidates unless we are able to obtain specific funding for these programs or enter into collaborations with third parties.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8" w:lineRule="exact"/>
        <w:rPr>
          <w:sz w:val="20"/>
          <w:szCs w:val="20"/>
          <w:color w:val="auto"/>
        </w:rPr>
      </w:pPr>
    </w:p>
    <w:p>
      <w:pPr>
        <w:ind w:left="1020" w:right="20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products and product candidates may not reach the statistical significance necessary, or otherwise be sufficient to support FDA or other regulatory approval for the claimed indications;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120"/>
        <w:spacing w:after="0" w:line="282" w:lineRule="auto"/>
        <w:rPr>
          <w:sz w:val="20"/>
          <w:szCs w:val="20"/>
          <w:color w:val="auto"/>
        </w:rPr>
      </w:pPr>
      <w:r>
        <w:rPr>
          <w:rFonts w:ascii="Times New Roman" w:cs="Times New Roman" w:eastAsia="Times New Roman" w:hAnsi="Times New Roman"/>
          <w:sz w:val="18"/>
          <w:szCs w:val="18"/>
          <w:color w:val="auto"/>
        </w:rPr>
        <w:t>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or to source clinical supplies from contract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long-term safety and efficacy of approved products may differ from clinical studies, which could negatively impact sales and could lead to reputational harm or other negative effects.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V-Go received pre-market clearance in 2010 under Section 510(k) of the U.S. Federal Food, Drug, and Cosmetic Act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product candidates and technology may not be able to compete effectively or may be rendered obsolete.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technologies or one or more of our product candidates becoming obsolete or noncompetitive. Third parties may develop or introduce new products that render our technology or products less competitive, uneconomical or obsolete. For example, on its February 25, 2026 earnings call, United Therapeutics described Tresmi, a treprostinil solution for use in a soft mist inhaler, as a “category killer” in reference to dry-powder inhalers. If any of our Technosphere powders used in Afrezza, Tyvaso DPI, MNKD-201 and MNKD-701, which are based on our proprietary excipient FDKP, are viewed to be inferior to alternative drug delivery technologies, our product portfolio and pipeline could be materially and adversely affected. Our future success may depend not only on our ability to develop our product candidates, but also our ability to improve them in order to keep pace with emerging industry developments. We cannot assure you that we will be able to do so.</w:t>
      </w:r>
    </w:p>
    <w:p>
      <w:pPr>
        <w:spacing w:after="0" w:line="1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9" w:name="page30"/>
    <w:bookmarkEnd w:id="2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other liability policies.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our operations and our ability to execute our business strategy could be materially harmed.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2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reporting of financial position, results of operations and presentation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8"/>
          <w:szCs w:val="18"/>
          <w:color w:val="auto"/>
        </w:rPr>
        <w:t>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The OBBBA, the IRA, the Coronavirus Aid, Relief, and Economic Security Act and legislation informally titled the Tax Cuts and Jobs Act enacted made significant changes to the U.S. tax laws. For example, the Tax Cuts and Jobs Act of 2017 (the "Tax Act") required taxpayers to capitalize and amortize U.S.-based and non-U.S.-based research and experimental, or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Further guidance from the Internal Revenue Service and other tax authorities with respect to such legislation may affect us, and certain aspects of any legislation could be repealed, modified or sunset in future years.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may be subject to limitations.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carryforwards of approximately $2.2 billion and $1.5 billion available, respectively, to reduce future taxable income. $520.1 million of the federal net operating loss carryforwards do not expire and the remaining federal net operating loss carryforwards will begin expiring in 2026 through various future dates.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The Company is in the process of completing a Section 382 analysis beginning from the date of our initial public offering through December 31, 2025, to determine whether additional limitations may be placed on the net operating loss carryforwards and other tax attributes and does not anticipate any additional changes in ownership that meet Section 382 study ownership change threshold. There is a risk that changes in ownership may occur in tax years after December 31, 2025.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8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29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Disruptions or significant changes in staffing levels at the FDA and other agencies may also slow the time necessary for new drugs to be reviewed and/or approved by necessary government agencies, which would adversely affect our business. For example, over the last decade,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at banking institutions in the United States that we believe are of high quality. Cash held in these accounts often exceed the Federal Deposit Insurance Corporation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if there are any modifications to an approved product, including changes in indications, labeling, or manufacturing processes or facilities, we may be required to submit and obtain FDA approval of a new or supplemental NDA (“sNDA”) and/or supplemental BLA (“sBLA”), which may require us to develop additional data or conduct additional preclinical studies and clinical trials. Failure to comply with these requirements can result in regulatory enforcement actions and adverse publicity. If future clinical trials are unsuccessful, significantly delayed or not completed, we may not be able to market products for other indications.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the submission of an NDA or BLA including any sNDA or sBLA, to the FDA with supporting clinical safety and efficacy data does not guarantee that the FDA will accept the submission for filing, or that the marketing approval application submissions to any other regulatory authorities will be accepted for filing and review by those authorities. We cannot be certain that we will be able to respond to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spacing w:after="0" w:line="255" w:lineRule="auto"/>
        <w:rPr>
          <w:sz w:val="20"/>
          <w:szCs w:val="20"/>
          <w:color w:val="auto"/>
        </w:rPr>
      </w:pPr>
      <w:r>
        <w:rPr>
          <w:rFonts w:ascii="Times New Roman" w:cs="Times New Roman" w:eastAsia="Times New Roman" w:hAnsi="Times New Roman"/>
          <w:sz w:val="18"/>
          <w:szCs w:val="18"/>
          <w:color w:val="auto"/>
        </w:rPr>
        <w:t>regulatory requests during the review period in a timely manner, or at all, without delaying potential regulatory action. We also cannot be certain that any of our product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29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9" w:lineRule="exact"/>
        <w:rPr>
          <w:sz w:val="20"/>
          <w:szCs w:val="20"/>
          <w:color w:val="auto"/>
        </w:rPr>
      </w:pPr>
    </w:p>
    <w:p>
      <w:pPr>
        <w:ind w:left="1020" w:right="6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QMSR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QMSR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the approval of Afrezza, the FDA required us to conduct certain additional clinical studies of Afrezza, including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ind w:right="20"/>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 New Drug Application ("NDA"). If successful, a citizen petition can significantly delay, or even prevent, the approval of a drug product.</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impact the net sales of commercial products sold by us or any partner.</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has been a number of legislative and regulatory proposals in recent years to change the healthcare system in ways that could impact our ability to sell our products profitably. For example, on July 4, 2025, the One Big Beautiful Bill Act (the “OBBBA”) was signed into law, which narrowed access to PPACA marketplace exchange enrollment and declined to extend the PPACA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PPACA subsidies.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640"/>
        <w:spacing w:after="0" w:line="282" w:lineRule="auto"/>
        <w:rPr>
          <w:sz w:val="20"/>
          <w:szCs w:val="20"/>
          <w:color w:val="auto"/>
        </w:rPr>
      </w:pPr>
      <w:r>
        <w:rPr>
          <w:rFonts w:ascii="Times New Roman" w:cs="Times New Roman" w:eastAsia="Times New Roman" w:hAnsi="Times New Roman"/>
          <w:sz w:val="18"/>
          <w:szCs w:val="18"/>
          <w:color w:val="auto"/>
        </w:rPr>
        <w:t>on our ability to commercialize our products and product candidates under development, our business, financial condition and profitability may be adversely affected.</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HHS, the FDA, the Centers for Medicare and Medicaid Services (“CMS”) and related agencies. These actions, presently directed by executive orders or memoranda from the Office of Management and Budget, may propose policy changes that create additional uncertainty for MannKind’s business. For example, the current administration has announced agreements with several pharmaceutical companies that require the drug manufacturers to offer, through a direct to consumer platform, U.S. patients and Medicaid programs prescription drug Most-Favored-Nation pricing equal to or lower than those paid in other developed nations, with additional mandates for direct-to-patient discounts and repatriation of foreign revenues. Other recent actions and proposals include (1) reducing agency workforce; (2) directing HHS and other agencies to lower prescription drug costs for Medicare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(“MAHA”) Commission’s recent Strategy Report,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If Most-Favored-Nation pricing for pharmaceutical products is implemented and applicable to Afrezza, our revenue opportunities for Afrezza may be adversely affected, as our U.S. pricing for Afrezza would have to be reduced to the lowest price paid for Afrezza outside of the United States. In such event and subject to the terms of our agreements with our ex-U.S. partners, we may choose to forgo the ex-U.S. market. Likewise, our royalty revenue from Tyvaso DPI could suffer for the same reason. In June 2024, the U.S. Supreme Court’s Loper Bright decision greatly reduced judicial deference to regulatory agencies, which could increase successful legal challenges to federal regulations affecting our operations. Finally, Congress may introduce and ultimately pass health care related legislation that could impact the drug approval process and make changes to the Medicare Drug Price Negotiation Program.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31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5" w:lineRule="exact"/>
        <w:rPr>
          <w:sz w:val="20"/>
          <w:szCs w:val="20"/>
          <w:color w:val="auto"/>
        </w:rPr>
      </w:pPr>
    </w:p>
    <w:p>
      <w:pPr>
        <w:ind w:left="1020" w:right="120" w:hanging="503"/>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9"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the CMS information related to payments and other transfers of value to physicians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6" w:name="page37"/>
    <w:bookmarkEnd w:id="36"/>
    <w:p>
      <w:pPr>
        <w:ind w:left="1020" w:right="100"/>
        <w:spacing w:after="0" w:line="266" w:lineRule="auto"/>
        <w:rPr>
          <w:sz w:val="20"/>
          <w:szCs w:val="20"/>
          <w:color w:val="auto"/>
        </w:rPr>
      </w:pPr>
      <w:r>
        <w:rPr>
          <w:rFonts w:ascii="Times New Roman" w:cs="Times New Roman" w:eastAsia="Times New Roman" w:hAnsi="Times New Roman"/>
          <w:sz w:val="18"/>
          <w:szCs w:val="18"/>
          <w:color w:val="auto"/>
        </w:rPr>
        <w:t>(defined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68" w:lineRule="exact"/>
        <w:rPr>
          <w:sz w:val="20"/>
          <w:szCs w:val="20"/>
          <w:color w:val="auto"/>
        </w:rPr>
      </w:pPr>
    </w:p>
    <w:p>
      <w:pPr>
        <w:ind w:left="1020" w:right="5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75"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9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We cannot ensure that all our employees, agents, contractors, vendors, licensees, partners or collaborators will comply with all applicable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3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right="120"/>
        <w:spacing w:after="0" w:line="256" w:lineRule="auto"/>
        <w:rPr>
          <w:sz w:val="20"/>
          <w:szCs w:val="20"/>
          <w:color w:val="auto"/>
        </w:rPr>
      </w:pPr>
      <w:r>
        <w:rPr>
          <w:rFonts w:ascii="Times New Roman" w:cs="Times New Roman" w:eastAsia="Times New Roman" w:hAnsi="Times New Roman"/>
          <w:sz w:val="18"/>
          <w:szCs w:val="18"/>
          <w:color w:val="auto"/>
        </w:rPr>
        <w:t>privacy notices and honor requests of such individuals to exercise certain privacy rights. The CCPA provides for fines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have passed and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with whom we work.</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GDPR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 and South Korea’s Personal Information Protection Act.</w:t>
      </w:r>
    </w:p>
    <w:p>
      <w:pPr>
        <w:spacing w:after="0" w:line="192"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such as the Department of Justice, are also increasingly scrutinizing certain personal data transfers. For example, the Department of Justice issued a rule titled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This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20"/>
        <w:spacing w:after="0" w:line="253" w:lineRule="auto"/>
        <w:rPr>
          <w:sz w:val="20"/>
          <w:szCs w:val="20"/>
          <w:color w:val="auto"/>
        </w:rPr>
      </w:pPr>
      <w:r>
        <w:rPr>
          <w:rFonts w:ascii="Times New Roman" w:cs="Times New Roman" w:eastAsia="Times New Roman" w:hAnsi="Times New Roman"/>
          <w:sz w:val="18"/>
          <w:szCs w:val="18"/>
          <w:color w:val="auto"/>
        </w:rPr>
        <w:t>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880"/>
        <w:spacing w:after="0" w:line="282" w:lineRule="auto"/>
        <w:rPr>
          <w:sz w:val="20"/>
          <w:szCs w:val="20"/>
          <w:color w:val="auto"/>
        </w:rPr>
      </w:pPr>
      <w:r>
        <w:rPr>
          <w:rFonts w:ascii="Times New Roman" w:cs="Times New Roman" w:eastAsia="Times New Roman" w:hAnsi="Times New Roman"/>
          <w:sz w:val="18"/>
          <w:szCs w:val="18"/>
          <w:color w:val="auto"/>
        </w:rPr>
        <w:t>will be subjected to further proceedings limiting their scope, will provide significant proprietary protection or competitive advantage, or will be circumvented or invalidated.</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0" w:name="page41"/>
    <w:bookmarkEnd w:id="40"/>
    <w:p>
      <w:pPr>
        <w:ind w:right="100"/>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8" w:lineRule="exact"/>
        <w:rPr>
          <w:sz w:val="20"/>
          <w:szCs w:val="20"/>
          <w:color w:val="auto"/>
        </w:rPr>
      </w:pPr>
    </w:p>
    <w:p>
      <w:pPr>
        <w:ind w:left="1020" w:right="18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(including United Therapeutics), or our competitors concerning clinical study results, acquisitions, strategic alliances, technological innovations, strategic priorities, resource allocation, commercial emphasis, product side effects, product candidates or newly approved commercial products, the relative benefits of product candidates or approved products versus the product candidates or products marketed by us or our collaborators, product discontinuations, or other developments;</w:t>
      </w:r>
    </w:p>
    <w:p>
      <w:pPr>
        <w:spacing w:after="0" w:line="71" w:lineRule="exact"/>
        <w:rPr>
          <w:rFonts w:ascii="Times New Roman" w:cs="Times New Roman" w:eastAsia="Times New Roman" w:hAnsi="Times New Roman"/>
          <w:sz w:val="18"/>
          <w:szCs w:val="18"/>
          <w:color w:val="auto"/>
        </w:rPr>
      </w:pPr>
    </w:p>
    <w:p>
      <w:pPr>
        <w:ind w:left="1020" w:right="11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commercialization of our products in foreign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royalties, prescriptions or other operating metrics;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such as inflation, tariffs, and other fiscal and trade policy changes, especially for emerging growth and pharmaceutical market sectors;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2" w:name="page43"/>
    <w:bookmarkEnd w:id="42"/>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329"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right="120"/>
        <w:spacing w:after="0" w:line="282" w:lineRule="auto"/>
        <w:rPr>
          <w:sz w:val="20"/>
          <w:szCs w:val="20"/>
          <w:color w:val="auto"/>
        </w:rPr>
      </w:pPr>
      <w:r>
        <w:rPr>
          <w:rFonts w:ascii="Times New Roman" w:cs="Times New Roman" w:eastAsia="Times New Roman" w:hAnsi="Times New Roman"/>
          <w:sz w:val="18"/>
          <w:szCs w:val="18"/>
          <w:color w:val="auto"/>
        </w:rPr>
        <w:t>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In addition, we are restricted from paying dividends on our capital stock pursuant to the terms of the Blackstone Credit Facility.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There is no guarantee that our common stock will appreciate or maintain its current price. You could lose the entire value of any investment in our common stock.</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Likewise, the issuance of additional shares of our common stock upon the exchange or conversion of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a substantial number of shares of our common stock is reserved for issuance upon the exercise of stock options, the vesting of restricted stock unit awards and purchases under our ESPP. The issuance or sale of substantial amounts of common stock, or the perception that such issuances or sales may occur, could adversely affect the market price of our common stock and other securities.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global credit and financial markets have recently experienced extreme volatility and disruptions.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100"/>
        <w:spacing w:after="0" w:line="255" w:lineRule="auto"/>
        <w:rPr>
          <w:sz w:val="20"/>
          <w:szCs w:val="20"/>
          <w:color w:val="auto"/>
        </w:rPr>
      </w:pPr>
      <w:r>
        <w:rPr>
          <w:rFonts w:ascii="Times New Roman" w:cs="Times New Roman" w:eastAsia="Times New Roman" w:hAnsi="Times New Roman"/>
          <w:sz w:val="18"/>
          <w:szCs w:val="18"/>
          <w:color w:val="auto"/>
        </w:rPr>
        <w:t>volatile business environment, currency fluctuations, actual or anticipated bank failures, tariffs and trade wars,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international and geopolitical events, including military conflicts, threatened hostilities, conflicts or heighted tension among alliance countries, and other geopolitical conflicts could also have a serious adverse impact on our business.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Currently, our manufacturing facility in Connecticut is the sole location for the manufacturing of Afrezza and Tyvaso DPI. Similarly, we have exclusive supply arrangements with the contract manufacturers that produce V-Go and Furoscix. The facilities and the specialized manufacturing equipment used to manufacture these products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manufacturing-related data (collectively “Information Systems and Data”).</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cybersecurity risk committee, which includes employees with responsibility for information technology, information security, operations, finance and legal matters, has oversight of the cybersecurity program which manages our cybersecurity threats and risks. Members of this committee identify and assess risks from cybersecurity threats by monitoring and evaluating our threat environment using various methods, including:</w:t>
      </w:r>
    </w:p>
    <w:p>
      <w:pPr>
        <w:spacing w:after="0" w:line="17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automated and manual tools for identifying threats;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threat assessments for internal and external threats;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vulnerability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threats reported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scans of the threat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adhering to recognized cybersecurity frameworks to ensure regulatory compliance;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internal and external audits;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reports of threats and 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our and our industry’s risk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to reports and services that identify cybersecurity threats;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third-party threat assessments.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w:t>
      </w:r>
    </w:p>
    <w:p>
      <w:pPr>
        <w:spacing w:after="0" w:line="16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incident response and communication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disaster recovery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risk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security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of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tracking and disposal;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46" w:name="page47"/>
    <w:bookmarkEnd w:id="46"/>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cybersecurity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enterprise risk management processes. For example,</w:t>
      </w:r>
    </w:p>
    <w:p>
      <w:pPr>
        <w:spacing w:after="0" w:line="27" w:lineRule="exact"/>
        <w:rPr>
          <w:sz w:val="20"/>
          <w:szCs w:val="20"/>
          <w:color w:val="auto"/>
        </w:rPr>
      </w:pPr>
    </w:p>
    <w:p>
      <w:pPr>
        <w:ind w:right="180" w:firstLine="8"/>
        <w:spacing w:after="0" w:line="253"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is addressed as a component of our enterprise risk management program and identified in our risk heat map with a specified mitigation plan; (2) our information security department works with management to prioritize our risk management processes and mitigate cybersecurity threats that are more likely to lead to a material impact to our business; (3) our cybersecurity risk committee evaluates material risks from cybersecurity threats against our overall business objectives and reports to the audit committee of the board of directors, which evaluates our overall enterprise risk.</w:t>
      </w:r>
    </w:p>
    <w:p>
      <w:pPr>
        <w:spacing w:after="0" w:line="8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periodically to identify, assess, and manage material risks from cybersecurity threats, including for example:</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intelligence service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software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cybersecurity service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 firms;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dark web monitoring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firms, including legal counsel.</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third-party application providers provide critical services for our business. Our vendor management program to manage cybersecurity risks associated with our use of these providers includes audits and a review of security assessments.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the imposition of contractual obligations related to cybersecurity on the provider.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in this Annual Report on Form 10-K, including “Risk Factors –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audit committee of the board of directors is responsible for overseeing our cybersecurity risk management processes, including oversight of mitigation of risks from cybersecurity threats.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Executive Director of Information Technology, who has more than 30 years of experience of building and managing critical systems that house sensitive data, and a dedicated information security analyst with more than 15 years of experience in providing protection and resilience against evolving threats. Our Executive Director of Information Technology is responsible for hiring appropriate personnel, helping to integrate cybersecurity risk considerations into our overall risk management strategy, and communicating key priorities to relevant personnel. This member of the management team is also responsible for approving budgets, helping prepare for cybersecurity incidents, approving cybersecurity processes, and reviewing security assessments and other security-related reports.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and communication plan is designed to escalate certain cybersecurity incidents to members of management depending on the circumstances, including the executive leadership team. The cybersecurity risk committee works with our incident response team to help mitigate and remediate cybersecurity incidents of which they are notified. In addition, our cybersecurity incident response and communication plan includes reporting to the audit committee of the board of directors for certain cybersecurity incidents.</w:t>
      </w:r>
    </w:p>
    <w:p>
      <w:pPr>
        <w:spacing w:after="0" w:line="7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audit committee receives regular reports from the cybersecurity risk committee concerning our significant cybersecurity threats and risk and the processes we have implemented to address them. The audit committee also has access to various reports, summaries or presentations related to cybersecurity threats, incidents, risk and mitigation.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Danbury, CT</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18"/>
          <w:szCs w:val="18"/>
          <w:color w:val="auto"/>
        </w:rPr>
        <w:t>In 2001, we acquired a facility in Danbury, Connecticut that included two buildings comprised of approximately 190,000 square feet on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The Danbury facility contains our principal executive offices. We believe the Danbury facility has sufficient space, including unimproved manufacturing space, to satisfy anticipated commercial demand for Afrezza and Tyvaso DPI.</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On November 8, 2021, we sold a portion of the Danbury facility to an affiliate of Creative Manufacturing Properties (the “Purchaser”) for a sales price of $102.3 million and entered into a 20-year lease agreement with the Purchaser, with four renewal options of five years each. See Note 7 – </w:t>
      </w:r>
      <w:r>
        <w:rPr>
          <w:rFonts w:ascii="Times New Roman" w:cs="Times New Roman" w:eastAsia="Times New Roman" w:hAnsi="Times New Roman"/>
          <w:sz w:val="18"/>
          <w:szCs w:val="18"/>
          <w:i w:val="1"/>
          <w:iCs w:val="1"/>
          <w:color w:val="auto"/>
        </w:rPr>
        <w:t>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and Note 16 –</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in the Consolidated Financial Statements included in Part II, Item 8 –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Westlake Village, CA</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we leased a total of approximately 24,475 square feet of office space in Westlake Village, California pursuant to a lease that expires in July 2028.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Consolidated Financial Statements included in Part II, Item 8 – Financial Statements and Supplementary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Marlborough, MA</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assumed certain leased real property (the “Marlborough Lease”) pursuant to the Asset Purchase Agreement entered into in May 2022 with Zealand Pharma A/S and Zealand Pharma US, Inc. The Marlborough Lease pertains to certain premises in a building located in Marlborough, Massachusetts. As of December 31, 2025, we leased a total of approximately 20,000 square feet of building space pursuant to a lease that expires in February 28, 2026.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Consolidated Financial Statements included in Part II, Item 8 – Financial Statements and Supplementary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Bedford, MA</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July 2024, we assumed certain leased real property (the "Bedford Lease") in connection with the Pulmatrix Transaction. The Bedford Lease pertains to approximately 20,000 square feet in a building located in Bedford, Massachusetts. The monthly base rent payments of $101,282 are subject to 3% annual increases, plus the estimated cost of maintaining the property and common areas by the landlord. We also assumed from Pulmatrix a $0.7 million obligation to repay landlord-funded tenant improvements at a rate of $6,000 per month through the end of the lease term in November 2033. We have the right to extend the lease term for an additional five-year term.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Burlington, MA and Salem, NH</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merger with scPharma in October 2025, we assumed a 9,342 square foot facility in Burlington, Massachusetts which was previously entered into as a sublease in August 2023 and extends through August 2029. We also assumed a 1,855 square foot facility in Salem, New Hampshire which extends through August 2026. Both facilities house general and administrative as well as research and development activities. See Note 16 –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in the Consolidated Financial Statements included in Part II, Item 8 – Financial Statements and Supplementary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color w:val="auto"/>
        </w:rPr>
        <w:t xml:space="preserve">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Consolidated Financial Statements included in Part II, Item 8 – Financial Statements and Supplementary Data.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Common Stock Market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traded on The Nasdaq Global Market under the symbol “MNKD” since July 28, 2004.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13, 2026, there were 90 registered holders of record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3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spacing w:after="0" w:line="20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graph illustrates a comparison of the cumulative total stockholder return (change in stock price plus reinvested dividends) of our common stock with (i) The Nasdaq Composite Index and (ii) The Nasdaq Biotechnology Index. The graph assumes a $100 investment, on December 31, 2020, in (i) our common stock, (ii) the securities comprising The Nasdaq Composite Index and (iii) the securities comprising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123190</wp:posOffset>
            </wp:positionV>
            <wp:extent cx="5486400" cy="2828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8640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do not anticipate paying any cash dividends on our common stock in the foreseeable future. Any future determination to pay dividends will be at the discretion of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2024 compared to the year ended December 31, 2023 has been omitted from this Annual Report on Form 10-K but may be found in “Item 7. Management’s Discussion and Analysis of Financial Condition and Results of Operations” in our Annual Report on Form 10-K for the year ended December 31, 2024, filed with the SEC on February 26, 2025, which discussion is incorporated herein by reference and which is available free of charge on the SEC’s website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dedicated to transforming chronic disease care through innovative, patient-centric solutions. Focused on cardiometabolic and orphan lung diseases, we develop and commercialize treatments that address serious unmet medical needs, including diabetes, pulmonary hypertension, and fluid overload in heart failure and chronic kidney disease. With deep expertise in drug-device combinations, we aim to deliver therapies designed to fit seamlessly into daily life.</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cardiometabolic business is currently comprised of three commercial products: Afrezza (insulin human) Inhalation Powder; Furoscix (furosemide injection); and the V-Go wearable insulin delivery device:</w:t>
      </w:r>
    </w:p>
    <w:p>
      <w:pPr>
        <w:spacing w:after="0" w:line="162" w:lineRule="exact"/>
        <w:rPr>
          <w:sz w:val="20"/>
          <w:szCs w:val="20"/>
          <w:color w:val="auto"/>
        </w:rPr>
      </w:pPr>
    </w:p>
    <w:p>
      <w:pPr>
        <w:ind w:left="900" w:right="4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Afrezza is an ultra rapid-acting inhaled insulin indicated to improve glycemic control in adults with diabetes. Afrezza was developed by us and consists of a dry powder formulation of human insulin delivered from a small portable inhaler. Administered at the beginning of a meal, Afrezza dissolves rapidly upon inhalation to the lung and delivers insulin quickly to the bloodstream.</w:t>
      </w:r>
    </w:p>
    <w:p>
      <w:pPr>
        <w:spacing w:after="0" w:line="175" w:lineRule="exact"/>
        <w:rPr>
          <w:rFonts w:ascii="Times New Roman" w:cs="Times New Roman" w:eastAsia="Times New Roman" w:hAnsi="Times New Roman"/>
          <w:sz w:val="18"/>
          <w:szCs w:val="18"/>
          <w:color w:val="auto"/>
        </w:rPr>
      </w:pPr>
    </w:p>
    <w:p>
      <w:pPr>
        <w:ind w:left="900" w:right="40" w:hanging="383"/>
        <w:spacing w:after="0" w:line="258"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Furoscix is a novel formulation of furosemide that delivers an 80 mg dose via an on-body infusor over a five-hour period. Furoscix is indicated for the treatment of edema in pediatric patients who weigh at least 43 kg and adult patients with chronic heart failure or chronic kidney disease. Furoscix is the first FDA-approved subcutaneous loop diuretic that delivers intravenous-equivalent diuresis at home as opposed to a hospital setting. Furoscix was developed by scPharma, which we acquired in October 2025. See Note 3 - Business Combinations in the Consolidated Financial Statements included in Part II, Item 8 – Financial Statements and Supplementary Data.</w:t>
      </w:r>
    </w:p>
    <w:p>
      <w:pPr>
        <w:spacing w:after="0" w:line="183" w:lineRule="exact"/>
        <w:rPr>
          <w:rFonts w:ascii="Times New Roman" w:cs="Times New Roman" w:eastAsia="Times New Roman" w:hAnsi="Times New Roman"/>
          <w:sz w:val="18"/>
          <w:szCs w:val="18"/>
          <w:color w:val="auto"/>
        </w:rPr>
      </w:pPr>
    </w:p>
    <w:p>
      <w:pPr>
        <w:ind w:left="900" w:right="220" w:hanging="383"/>
        <w:spacing w:after="0" w:line="261"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 is a mechanical basal-bolus insulin delivery system that is worn like a patch and can eliminate the need for taking multiple daily injections. V-Go administers a continuous preset basal rate of insulin over 24 hours and provides discreet on-demand bolus dosing at mealtimes. V-Go received 510(k) clearance by the FDA in 2010 and has been available commercially since 2012. In May 2022, we acquired V-Go from Zealand.</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anticipate two potential milestones for our cardiometabolic business in 2026 based on regulatory submissions that we made in 2025. The FDA is currently reviewing a sBLA pursuant to which we are seeking approval for Afrezza in children and adolescents living with type 1 or type 2 diabetes. The sBLA has been assigned a PDUFA target action date of May 29, 2026. The FDA is also reviewing a sNDA pursuant to which we are seeking approval for Furoscix ReadyFlow Autoinjector, a high-concentration formulation of furosemide that is delivered subcutaneously in under ten seconds. The sNDA has been assigned a PDUFA target action date of July 26, 2026.</w:t>
      </w:r>
    </w:p>
    <w:p>
      <w:pPr>
        <w:spacing w:after="0" w:line="183"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the United States, we are solely responsible for the commercialization of Afrezza, Furoscix and V-Go. Outside of the U.S., our strategy has been to establish regional partnerships in foreign jurisdictions where there are commercial opportunities, subject to the receipt of necessary foreign regulatory approvals. In December 2025, we supplied our partner in India, Cipla, with an initial shipment of Afrezza to support their launch of Afrezza in India.</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proprietary formulation and inhaler technologies used in Afrezza have also been deployed in our efforts to develop products to treat orphan lung diseases. Our first product to address an orphan lung disease,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revenue for the supply of Tyvaso DPI that we manufacture for UT. In August 2025, we announced the expansion of our collaboration, pursuant to which we will formulate MNKD-1501, a second investigational molecule using our proprietary technologies, and United Therapeutics will conduct preclinical and clinical development activities. Per the agreement, we received an upfront payment and are eligible to receive milestone payments upon achievement of specified development milestones as well as royalties on net sales of MNKD-1501, if approved.</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other major program in our pipeline that will potentially address an orphan lung disease is MNKD-201, a dry-powder formulation of nintedanib for the treatment of IPF. An oral dosage form of nintedanib has been available for more than a decade. However, a fairly large oral dose is required in order to achieve sufficient drug levels in lung tissue. High systemic levels of nintedanib are often associated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ind w:right="20"/>
        <w:spacing w:after="0" w:line="258" w:lineRule="auto"/>
        <w:rPr>
          <w:sz w:val="20"/>
          <w:szCs w:val="20"/>
          <w:color w:val="auto"/>
        </w:rPr>
      </w:pPr>
      <w:r>
        <w:rPr>
          <w:rFonts w:ascii="Times New Roman" w:cs="Times New Roman" w:eastAsia="Times New Roman" w:hAnsi="Times New Roman"/>
          <w:sz w:val="18"/>
          <w:szCs w:val="18"/>
          <w:color w:val="auto"/>
        </w:rPr>
        <w:t>undesirable side effects. Our goal with an inhaled formulation is to deliver a therapeutic amount of nintedanib to the lungs while avoiding high levels of the drug in other tissues. In 2024, we conducted a Phase 1 clinical study of MNKD-201, which met its primary objective of demonstrating positive safety results and good tolerability in healthy volunteers. We are currently conducting a Phase 1b study of MNKD-201 in the United States, top line data expected in early 2H 2026, as well as a global Phase 2 study to assess the potential safety and efficacy of this investigational product in patients with IPF, in which we expect the first patient to be enrolled in in Q2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MNKD-701 is another pipeline opportunity that we are exploring. This program is focused on bumetanide, a more potent loop diuretic than furosemide.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evaluating the feasibility of formulating bumetanide as a dry-powder that can be administered via oral inhalation.</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 Ongoing changes in tariff policy by the U.S. government may potentially raise the future cost to source the raw materials and components needed to manufacture our products. We are actively monitoring this situation and exploring strategies to mitigate the risks.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cash equivalents and investments of $176.4 million, an accumulated deficit of $3.2 billion and a total stockholders’ deficit of $51.0 million. We had net income of $5.9 million in the year ended December 31, 2025, net income of $27.6 million and net loss of $11.9 million in the years ended December 31, 2024 and 2023, respectively. To date, we have funded our operations primarily through the sale of our equity and convertible debt securities, from the receipt of upfront and milestone payments from collaborations, from borrowings, from sales of Afrezza, Furoscix and V-Go, from royalties and manufacturing revenue from UT, from proceeds of the sale-leaseback of our manufacturing facility in Danbury, CT and from the sale of a portion of future royalties that we receive from UT.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is in accordance with accounting principles generally accepted in the United States of America (“GAAP”).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consider our critical accounting policies to be those related to revenue recognition and gross-to-net adjustments, interest expense related to liability for sale of future royalties, business combinations including valuation of acquired intangible assets and contingent consideration and stock-based compensation. These critical accounting policies as well as our significant accounting policies and are more fully described in Note 2 –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of the Notes to Consolidated Financial Statements </w:t>
      </w:r>
      <w:r>
        <w:rPr>
          <w:rFonts w:ascii="Times New Roman" w:cs="Times New Roman" w:eastAsia="Times New Roman" w:hAnsi="Times New Roman"/>
          <w:sz w:val="18"/>
          <w:szCs w:val="18"/>
          <w:color w:val="auto"/>
        </w:rPr>
        <w:t>included in Part II, Item 8 – Financial Statements and Supplementary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w:t>
      </w:r>
    </w:p>
    <w:p>
      <w:pPr>
        <w:spacing w:after="0" w:line="17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Net Revenue – Commercial Product Sales </w:t>
      </w:r>
      <w:r>
        <w:rPr>
          <w:rFonts w:ascii="Times New Roman" w:cs="Times New Roman" w:eastAsia="Times New Roman" w:hAnsi="Times New Roman"/>
          <w:sz w:val="18"/>
          <w:szCs w:val="18"/>
          <w:color w:val="auto"/>
        </w:rPr>
        <w:t>— We sell products to a limited number of wholesale distributors and specialty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pharmacies, durable medical suppliers (“DME”), specialty distributors and direct purchasers in the U.S. and India (collectively, “Customers”). Wholesale distributors subsequently resell our products to retail pharmacies and certain medical centers or hospitals. Specialty pharmacies sell directly to patients. In addition to distribution agreements with Customers, we enter into arrangements with payers that provide for government mandated and/or privately negotiated rebates, chargebacks, and discounts with respect to the purchase of our products.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We recognize revenue on product sales when the Customer obtains control of our product, which occurs at delivery for wholesale distributors and generally at delivery for specialty pharmacies.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Reserves for Variable Consideration</w:t>
      </w:r>
      <w:r>
        <w:rPr>
          <w:rFonts w:ascii="Times New Roman" w:cs="Times New Roman" w:eastAsia="Times New Roman" w:hAnsi="Times New Roman"/>
          <w:sz w:val="18"/>
          <w:szCs w:val="18"/>
          <w:color w:val="auto"/>
        </w:rPr>
        <w:t xml:space="preserve"> below.</w:t>
      </w:r>
    </w:p>
    <w:p>
      <w:pPr>
        <w:spacing w:after="0" w:line="1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us and our Customers, payers, and other indirect customers relating to the sale of our products. These reserves are based on the amounts earned, or to be claimed on the related sales, and result in a reduction of accounts receivable or establishment of a current liability. Significant judgments are required in making these estimates.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line="258" w:lineRule="auto"/>
        <w:rPr>
          <w:sz w:val="20"/>
          <w:szCs w:val="20"/>
          <w:color w:val="auto"/>
        </w:rPr>
      </w:pPr>
      <w:r>
        <w:rPr>
          <w:rFonts w:ascii="Times New Roman" w:cs="Times New Roman" w:eastAsia="Times New Roman" w:hAnsi="Times New Roman"/>
          <w:sz w:val="18"/>
          <w:szCs w:val="18"/>
          <w:color w:val="auto"/>
        </w:rPr>
        <w:t xml:space="preserve">Where appropriate, these estimates take into consideration a range of possible outcomes, which are probability-weighted in accordance with the expected value method in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relevant factors such as current contractual and statutory requirements, specific known market events and trends, industry data, and forecasted customer buying and payment patterns. Overall, these reserves reduce recognized revenue to our best estimates of the amount of consideration to which we are entitled based on the terms of the respective underlying contracts.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Our analysis also contemplates application of the constraint in accordance with the guidance, under which we determined a material reversal of revenue would not occur in a future period for the estimates of gross-to-net adjustments as of December 31, 2025 and, therefore, the transaction price was not reduced further during the year ended December 31, 2025. Actual amounts of consideration ultimately received may differ from the Company’s estimates. If actual results in the future vary from our estimates, we will adjust these estimates, which would affect net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commercial product sales and earnings in the period such variances become known.</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estimating gross-to-net adjustments, historical experience, payer channel mix unbilled claims, claim submission time lags and inventory levels in the distribution channel. Our reserves for variable consideration related to our commercial products are reflected in our gross-to-net adjustments which were 32% of gross product revenue, or $54.0 million, for the year ended December 31, 2025, compared to 40% of gross product revenue, or $53.8 million, for the year ended December 31, 2024.</w:t>
      </w:r>
    </w:p>
    <w:p>
      <w:pPr>
        <w:spacing w:after="0" w:line="17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 xml:space="preserve">These reserves are further detailed under Reserves for Variable Consideration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w:t>
      </w:r>
    </w:p>
    <w:p>
      <w:pPr>
        <w:spacing w:after="0" w:line="15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Collaborations and Services </w:t>
      </w:r>
      <w:r>
        <w:rPr>
          <w:rFonts w:ascii="Times New Roman" w:cs="Times New Roman" w:eastAsia="Times New Roman" w:hAnsi="Times New Roman"/>
          <w:sz w:val="18"/>
          <w:szCs w:val="18"/>
          <w:color w:val="auto"/>
        </w:rPr>
        <w:t>— We enter into licensing, research or other agreements under which we license certain rights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to third parties, conduct research or provide other services to third parties. The terms of these arrangements may include but are not limited to payment to us of one or more of the following: up-front license fees; development, regulatory, and commercial milestone payments; payments for commercial manufacturing and clinical supply services we provide; and royalties on net sales of licensed products and sublicenses of the rights. As part of the accounting for these arrangements, we must develop assumptions that require significant judgment such as determining the performance obligation in the contract and determining the stand-alone selling price for each performance obligation identified in the contract.</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 arrangement has multiple performance obligations, the allocation of the transaction price is determined from observable market inputs, if available, and we use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our significant collaboration and service agreement with UT, which was entered into in December 2022 and includes a long-term commercial supply agreement (as amended, the "CSA"), if there is a 10% difference in (i) the estimates used to determine the transaction price for the CSA or (ii) the related allocation of the transaction price between performance obligations, the difference between the estimates for accruals and the actual liability for deferred revenue and revenue recognized for collaborations and services would be $5.5 million for the year ended December 31, 2025.</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Royalties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 royalty revenue for a sales-based or usage-based royalty if it is promised in exchange for an intellectual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license. The royalty revenue is recognized as the subsequent sale of the product occurs or, if later and applicable, the satisfaction or partial satisfaction of the performance obligation to which the royalty has been allocated. Our collaboration agreement with UT entitles us to receive a royalty on net sales of Tyvaso DPI for the license of our intellectual property that was considered to be interdependent with the development activities that supported the approval of Tyvaso DPI.</w:t>
      </w:r>
    </w:p>
    <w:p>
      <w:pPr>
        <w:spacing w:after="0" w:line="1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Liability for Sale of Future Royalties — </w:t>
      </w:r>
      <w:r>
        <w:rPr>
          <w:rFonts w:ascii="Times New Roman" w:cs="Times New Roman" w:eastAsia="Times New Roman" w:hAnsi="Times New Roman"/>
          <w:sz w:val="18"/>
          <w:szCs w:val="18"/>
          <w:color w:val="auto"/>
        </w:rPr>
        <w:t>In December 2023, we sold a portion of our rights to future royalties on UT’s sale of Tyvaso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DPI. The upfront proceeds received from the royalty purchaser were recorded as a royalty liability in the consolidated balance sheets. As royalty payments are earned by and remitted to the royalty purchaser, the balance of the royalty liability will be effectively repaid as it is amortized over the life of the underlying purchase agreement. To amortize the royalty liability, we estimate the total amount of future royalty payments to be made to the royalty purchaser. The excess of those future estimated royalty payments over the upfront proceeds received is recognized in the consolidated statements of operations as non-cash interest expense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2" w:name="page53"/>
    <w:bookmarkEnd w:id="52"/>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evaluates the effective interest rate periodically based on its forecasted royalty payments utilizing the prospective method. 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 If there is a 10% difference in the estimated future royalty payments, the impact to our interest expense with respect to our royalty liability would be $2.6 million for the year ended December 31, 2025.</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Including Valuation of Acquired Intangible Assets and Contingent Consideration </w:t>
      </w:r>
      <w:r>
        <w:rPr>
          <w:rFonts w:ascii="Times New Roman" w:cs="Times New Roman" w:eastAsia="Times New Roman" w:hAnsi="Times New Roman"/>
          <w:sz w:val="18"/>
          <w:szCs w:val="18"/>
          <w:color w:val="auto"/>
        </w:rPr>
        <w:t>— The accounting for business combinations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requires the Company to make significant estimates and assumptions in determining the fair values of assets acquired and liabilities assumed, including identifiable intangible assets and contingent consideration obligations. These significant judgments have a material impact on the amounts recorded at the acquisition date and on subsequent earnings. As part of the acquisition of scPharma, we identified two intangible assets, each measured using valuation models that rely on Level 3 inputs and require management to make assumptions about future economic benefits. Key inputs for these valuations include the discount rate, royalty rate and estimates of future revenue and margin growth, where applicable. The fair value of contingent consideration similarly requires significant judgment in establishing the probability-weighted likelihood of achieving the performance milestones that drive future payouts and the discount rate. If there is a 10% difference in the fair value of the contingent consideration, the impact to our other expense would be $2.6 million for the year ended December 31, 2025. See Note 3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of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performance-based awards,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with market conditions (“Market RSUs”), nonqualified stock options (“options”) and the compensatory elements of employee stock purchase plans, are recognized in the consolidated statements of operations based upon the fair value of the awards at the grant date. Restricted stock units are valued based on the market price on the grant date. We evaluate stock awards with performance conditions as to the probability that the performance conditions will be met and estimates the date at which the performance conditions will be met in order to properly recognize stock-based compensation expense over the requisite service period. The grant date fair value and the effect of the market conditions for the Market RSUs was estimated using a Monte Carlo valuation. We use the Black-Scholes option valuation model to estimate the grant date fair value of employee options and the compensatory elements of employee stock purchase plans.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Market RSUs was $10.84 per unit for the Market RSUs granted during the year ended December 31, 2025, compared to $10.30 per unit for the Market RSUs granted during the year ended December 31, 2024. If there is a 10% difference in the grant date fair value of the Market RSUs, the impact to our stock-based compensation expense would be $1.1 million for the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Uncertainties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collaboration agreement with UT entitles us to receive a 10% royalty on net sales of Tyvaso DPI, subject to our sale of a 1% royalty on future net sales to a royalty purchaser (leaving us with a 9% royalty). Our royalty revenue reflects the trend in net sales of Tyvaso DPI in the marketplace. See Note 16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Notes to Consolidated Financial Statements included in Part II, Item 8</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Financial Statements and Supplementary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2025 and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revenue categories for the years ended December 31, 2025 and 2024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revenue from 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168,090</w:t>
            </w:r>
          </w:p>
        </w:tc>
        <w:tc>
          <w:tcPr>
            <w:tcW w:w="2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136,127</w:t>
            </w:r>
          </w:p>
        </w:tc>
        <w:tc>
          <w:tcPr>
            <w:tcW w:w="1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31,963</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566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discounts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580" w:type="dxa"/>
            <w:vAlign w:val="bottom"/>
            <w:tcBorders>
              <w:bottom w:val="single" w:sz="8" w:color="CFF0FC"/>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114,137</w:t>
            </w:r>
          </w:p>
        </w:tc>
        <w:tc>
          <w:tcPr>
            <w:tcW w:w="2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31,808</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128,116</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1580" w:type="dxa"/>
            <w:vAlign w:val="bottom"/>
            <w:tcBorders>
              <w:bottom w:val="single" w:sz="8" w:color="CFF0FC"/>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348,966</w:t>
            </w:r>
          </w:p>
        </w:tc>
        <w:tc>
          <w:tcPr>
            <w:tcW w:w="2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63,462</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-728345</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-728345</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111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Gross revenue from sales of Afrezza increased by $10.6 million, or 11%, for the year ended December 31, 2025 compared to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increased price and higher demand. The gross-to-net adjustment was 32% of gross revenue, or $34.9 million, for the year ended December 31, 2025 compared to 35% of gross revenue, or $34.9 million, for the prior year. The decreased gross-to-net percentage was primarily attributable to a decrease in rebates in accordance with contractual arrangements. As a result, net revenue from sales of Afrezza increased by $10.5 million, or 16%, for the year ended December 31, 2025 compared to the prior year.</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Furoscix — Gross revenue from sales of Furoscix was $32.4 million for the period from the October 7, 2025 acquisition date of scPharma to December 31, 2025. The gross to net adjustment was 28% resulting in net revenue of $23.2 million for the year ended December 31, 2025.</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Gross revenue from sales of V-Go decreased by $11.0 million, or 30%, for the year ended December 31, 2025 compared to the prior year and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 result of lower demand partially offset by lower gross to net deductions. The gross-to-net adjustment was 38% of gross revenue, or $9.8 million, for the year ended December 31, 2025 compared to 51% of gross revenue, or $18.9 million, for the prior year. The improved gross-to-net percentage was primarily attributable to a decrease in rebates related to a reduction in active contracts. As a result, net revenue from sales of V-Go decreased by $1.9 million, or 10%, for the year ended December 31, 2025 compared to the prior year.</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and Royalties </w:t>
      </w:r>
      <w:r>
        <w:rPr>
          <w:rFonts w:ascii="Times New Roman" w:cs="Times New Roman" w:eastAsia="Times New Roman" w:hAnsi="Times New Roman"/>
          <w:sz w:val="18"/>
          <w:szCs w:val="18"/>
          <w:color w:val="auto"/>
        </w:rPr>
        <w:t>— Net revenue from collaborations and services increased by $5.9 million, or 6%,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compared to the prior year. The increase in revenue was primarily attributable to increased manufacturing volume for product sold to UT. Royalty revenue from UT increased by $25.8 million, or 25%, for the year ended December 31, 2025 compared to the prior year due to UT's increase in net revenue from sales of Tyvaso DPI.</w:t>
      </w:r>
    </w:p>
    <w:p>
      <w:pPr>
        <w:spacing w:after="0" w:line="18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See Note 11 – Collaborations, Licensing and Other Arrangements </w:t>
      </w:r>
      <w:r>
        <w:rPr>
          <w:rFonts w:ascii="Times New Roman" w:cs="Times New Roman" w:eastAsia="Times New Roman" w:hAnsi="Times New Roman"/>
          <w:sz w:val="18"/>
          <w:szCs w:val="18"/>
          <w:color w:val="auto"/>
        </w:rPr>
        <w:t>to the Notes to Consolidated Financial Statements included in Part II, Item 8 –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 gross profit</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commercial product gross profit categories for the years ended December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product sales</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114,137</w:t>
            </w:r>
          </w:p>
        </w:tc>
        <w:tc>
          <w:tcPr>
            <w:tcW w:w="2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82,329</w:t>
            </w:r>
          </w:p>
        </w:tc>
        <w:tc>
          <w:tcPr>
            <w:tcW w:w="1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31,808</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54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Cost of goods sold, excluding amortization of acquired intangible</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5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Amortization of acquired intangible assets</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29"/>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83,364</w:t>
            </w: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15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630"/>
        </w:trPr>
        <w:tc>
          <w:tcPr>
            <w:tcW w:w="5420" w:type="dxa"/>
            <w:vAlign w:val="bottom"/>
          </w:tcPr>
          <w:p>
            <w:pPr>
              <w:spacing w:after="0"/>
              <w:rPr>
                <w:sz w:val="24"/>
                <w:szCs w:val="24"/>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5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-1071245</wp:posOffset>
            </wp:positionV>
            <wp:extent cx="111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-1053465</wp:posOffset>
            </wp:positionV>
            <wp:extent cx="111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-1071245</wp:posOffset>
            </wp:positionV>
            <wp:extent cx="1111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-1053465</wp:posOffset>
            </wp:positionV>
            <wp:extent cx="111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1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Commercial product gross profit increased by $18.5 million, or 28%, for the year ended December 31, 2025 compared to the prior year. The increase in gross profit was primarily attributable to the recognition of sales of Furoscix beginning in the fourth quarter of 2025, as well as an increase in Afrezza net revenue due to increased sales and improved gross-to-net adjustments. Of the 6% decrease in gross margin, 4% is attributable to the amortization of the acquired intangible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expense categories for the years ended December 31, 2025 and 2024 (dollars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Cost of goods sold – commercial, excluding amortization of acquired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5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20,455</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144,135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5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1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310,165</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212,917</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1580" w:type="dxa"/>
            <w:vAlign w:val="bottom"/>
            <w:tcBorders>
              <w:top w:val="single" w:sz="8" w:color="CFF0FC"/>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-372745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-372745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Cost of revenue — collaborations and services increased by $2.0 million, or 3%, for the year ended December 31, 2025 compared to the prior year. The increases were primarily attributable to an increase in production related inventory write-offs for the period in addition to increase in costs of sales associated with an increase in the number of blisters sold, which was partially offset by decreases in cost per blister due to increased efficiencies in manufacturing activities in our Danbury, CT facility.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$20.5 million, or 45%, for the year ended December 31, 2025 compared to the prior year. The increase was primarily attributable to the ICoN-1 clinical study for MNKD-101, which was discontinued in the fourth quarter of 2025, clinical production scale-up for MNKD-201, personnel costs, primarily due to a full-year of costs associated with the third quarter of 2024 Pulmatrix transaction, which bolstered our research capabilities and capacity, and expenses related to Furoscix ReadyFlow. These increases were partially offset by the completion of INHALE-3, the Phase 1 clinical study and the toxicology studies for MNKD-201 in 2024, and lower costs for INHALE-1, as the study was closed out in the second quarter of 2025.</w:t>
      </w:r>
    </w:p>
    <w:p>
      <w:pPr>
        <w:spacing w:after="0" w:line="12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year ended December 31, 2025 increased by $49.8 million, or 53%, compared to the prior year. The increase primarily reflects the inclusion of $17.6 million of SG&amp;A costs associated with the promotion and support of Furoscix as well as $9.7 million of transaction-related costs incurred as part of the acquisition of scPharma. The remainder of the increase was largely attributable to higher headcount and personnel-related expense as well as deploying a medical science liaison team and Afrezza promotional costs in preparation to support the potential pediatric launch of Afrezza in 2026.</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Amortization of acquired intangible assets was $4.0 million for the year ended December 31, 2025 and was related to the amortization of the developed technology related to the Furoscix on-body infuser acquired through the acquisition of scPharma.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5" w:name="page56"/>
    <w:bookmarkEnd w:id="55"/>
    <w:p>
      <w:pPr>
        <w:ind w:right="200"/>
        <w:spacing w:after="0" w:line="261" w:lineRule="auto"/>
        <w:rPr>
          <w:sz w:val="20"/>
          <w:szCs w:val="20"/>
          <w:color w:val="auto"/>
        </w:rPr>
      </w:pPr>
      <w:r>
        <w:rPr>
          <w:rFonts w:ascii="Times New Roman" w:cs="Times New Roman" w:eastAsia="Times New Roman" w:hAnsi="Times New Roman"/>
          <w:sz w:val="18"/>
          <w:szCs w:val="18"/>
          <w:color w:val="auto"/>
        </w:rPr>
        <w:t>Loss on foreign currency transaction was $7.7 million for the year ended December 31, 2025 compared to a gain of $3.9 million for the prior year. These non-cash changes were due to fluctuations in U.S. dollar to Euro exchange rates. Under the Insulin Supply Agreement with Amphastar, payment obligations for future purchases are denominated in Euros. We record a gain or loss on foreign currency transaction impact of the US dollar to Euro exchange rate associated with these future purchase commitments.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other income (expense) categories for the years ended December 31, 2025 and 2024 (dollars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(4,562)</w:t>
            </w:r>
          </w:p>
        </w:tc>
        <w:tc>
          <w:tcPr>
            <w:tcW w:w="1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(13,830)</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(1,849)</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(14,449)</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(16,172)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(9,750)</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available-for-sale investment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(6,409)</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(4,859)</w:t>
            </w:r>
          </w:p>
        </w:tc>
        <w:tc>
          <w:tcPr>
            <w:tcW w:w="1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(5,259)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(37,394)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(42,069)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2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88"/>
        </w:trPr>
        <w:tc>
          <w:tcPr>
            <w:tcW w:w="5740" w:type="dxa"/>
            <w:vAlign w:val="bottom"/>
            <w:tcBorders>
              <w:top w:val="single" w:sz="8" w:color="CFF0FC"/>
            </w:tcBorders>
          </w:tcPr>
          <w:p>
            <w:pPr>
              <w:spacing w:after="0" w:line="88" w:lineRule="exact"/>
              <w:rPr>
                <w:sz w:val="20"/>
                <w:szCs w:val="20"/>
                <w:color w:val="auto"/>
              </w:rPr>
            </w:pPr>
            <w:r>
              <w:rPr>
                <w:rFonts w:ascii="Times New Roman" w:cs="Times New Roman" w:eastAsia="Times New Roman" w:hAnsi="Times New Roman"/>
                <w:sz w:val="10"/>
                <w:szCs w:val="10"/>
                <w:color w:val="auto"/>
              </w:rPr>
              <w:t>_________________________</w:t>
            </w:r>
          </w:p>
        </w:tc>
        <w:tc>
          <w:tcPr>
            <w:tcW w:w="2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94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0" w:type="dxa"/>
            <w:vAlign w:val="bottom"/>
            <w:tcBorders>
              <w:top w:val="single" w:sz="8" w:color="CFF0FC"/>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-226695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-210185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-226695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-210185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Interest income, net, consisting of interest and accretion on investments net of amortization, decreased by $4.6 million compared to the prior year primarily due to lower average balances on our securities portfolio as well as lower yields.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increased by $1.8 million for the year ended December 31, 2025 compared to the prior year. The increase was primarily due to new term loans with an aggregate principal amount of $325.0 million, which were drawn in August and October 2025. The increase was partially offset by the following principal debt reductions that occurred in 2024: (i) $28.3 million full repayment to MidCap under the MidCap credit facility in April 2024, (ii) the discharge and termination of $8.8 million of the outstanding principal balance under the Mann Group convertible note in April 2024 and (iii) the exchange of an aggregate principal amount of approximately $193.7 million of our senior convertible notes due March 2026 in December 2024. See Note 10 </w:t>
      </w:r>
      <w:r>
        <w:rPr>
          <w:rFonts w:ascii="Times New Roman" w:cs="Times New Roman" w:eastAsia="Times New Roman" w:hAnsi="Times New Roman"/>
          <w:sz w:val="18"/>
          <w:szCs w:val="18"/>
          <w:i w:val="1"/>
          <w:iCs w:val="1"/>
          <w:color w:val="auto"/>
        </w:rPr>
        <w:t>– Borrowings</w:t>
      </w:r>
      <w:r>
        <w:rPr>
          <w:rFonts w:ascii="Times New Roman" w:cs="Times New Roman" w:eastAsia="Times New Roman" w:hAnsi="Times New Roman"/>
          <w:sz w:val="18"/>
          <w:szCs w:val="18"/>
          <w:color w:val="auto"/>
        </w:rPr>
        <w:t xml:space="preserve"> in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on liability for sale of future royalties was $14.4 million and $16.2 million for the years ended December 31, 2025 and 2024, respectively, and was attributable to imputed interest and amortization of debt issuance costs on the liability recorded in connection with the sale of 1% of our Tyvaso DPI royalties in December 2023. See Note 16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xml:space="preserve"> in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on financing liability was $9.8 million for each of the years ended December 31, 2025 and 2024, and represented imputed interest incurred on the sale lease-back transaction for our manufacturing facility in Danbury, CT.</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Impairment of available-for-sale investment of $6.4 million for the year ended December 31, 2025 was a result of the write-off of the Thirona investment. Impairment of available-for-sale investment for the year ended December 31, 2024 was $1.6 million as a result of a modification recorded for the Thirona investment.</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expense for the year ended December 31, 2025 was a result of the remeasurement of the fair value of the contingent consideration liability obtained from the acquisition of scPharma. The contingent consideration will be remeasured each subsequent reporting period until the related contingencies have been resolved.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Gain on bargain purchase of $5.3 million for the year ended December 31, 2024 was the result of the excess of net assets acquired compared to consideration paid in the Pulmatrix Transaction. See Note 3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in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w:t>
      </w:r>
    </w:p>
    <w:p>
      <w:pPr>
        <w:spacing w:after="0" w:line="17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Loss on settlement of debt for the year ended December 31, 2024 includes repayment of a portion of the senior convertible notes pursuant to private exchange agreements with certain note holders in December 2024, resulting in an inducement expense of $13.4 million. Additionally, a loss on early extinguishment of debt of $7.0 million was incurred for the year ended December 31, 2024 in connection with the repayment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the MidCap credit facility and Mann Group convertible note in April 2024. See Note 10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in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of $4.5 million for the year ended December 31, 2025 relates to deferred taxes established as part of the acquisition of scPharma.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$2.9 million for the year ended December 31, 2024 was primarily related to state income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under GAAP, we are presenting non-GAAP net income (loss) and non-GAAP net income per share - basic, which are non-GAAP financial measures. We are providing these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are not meant to be considered in isolation or as a substitute for comparable GAAP measures; should be read in conjunction with our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Annual Report on Form 10-K have limits in their usefulness to investors and may be calculated differently from, and therefore may not be directly comparable to, similarly titled measures used by other companies.</w:t>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financial measures for net income (loss) and net income (loss) per share ("EPS") for basic weighted average shares as reported in our consolidated statement of operations to a non-GAAP presentation: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GAAP reported net income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5,863</w:t>
            </w:r>
          </w:p>
        </w:tc>
        <w:tc>
          <w:tcPr>
            <w:tcW w:w="14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(11,938)</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Non-GAAP adjustments: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 compensation</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24,195</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21,358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Interest expense on liability for sale of future royalties</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2"/>
                <w:szCs w:val="12"/>
                <w:color w:val="auto"/>
              </w:rPr>
              <w:t xml:space="preserve">Sold portion of royalty revenue </w:t>
            </w:r>
            <w:r>
              <w:rPr>
                <w:rFonts w:ascii="Times New Roman" w:cs="Times New Roman" w:eastAsia="Times New Roman" w:hAnsi="Times New Roman"/>
                <w:sz w:val="15"/>
                <w:szCs w:val="15"/>
                <w:color w:val="auto"/>
                <w:vertAlign w:val="superscript"/>
              </w:rPr>
              <w:t>(1)</w:t>
            </w:r>
          </w:p>
        </w:tc>
        <w:tc>
          <w:tcPr>
            <w:tcW w:w="1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(12,812)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(10,234)</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(2,103)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35"/>
        </w:trPr>
        <w:tc>
          <w:tcPr>
            <w:tcW w:w="422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auto"/>
              </w:rPr>
              <w:t xml:space="preserve">Acquisition-related expenses </w:t>
            </w:r>
            <w:r>
              <w:rPr>
                <w:rFonts w:ascii="Times New Roman" w:cs="Times New Roman" w:eastAsia="Times New Roman" w:hAnsi="Times New Roman"/>
                <w:sz w:val="15"/>
                <w:szCs w:val="15"/>
                <w:color w:val="auto"/>
                <w:vertAlign w:val="superscript"/>
              </w:rPr>
              <w:t>(2)</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Loss (gain) on foreign currency transaction</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7,749</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(3,907)</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Impairment loss on available-for-sale investment</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Amortization of intangible assets acquired</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3,973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Gain on bargain purchase</w:t>
            </w:r>
          </w:p>
        </w:tc>
        <w:tc>
          <w:tcPr>
            <w:tcW w:w="10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(5,259)</w:t>
            </w:r>
          </w:p>
        </w:tc>
        <w:tc>
          <w:tcPr>
            <w:tcW w:w="100" w:type="dxa"/>
            <w:vAlign w:val="bottom"/>
          </w:tcPr>
          <w:p>
            <w:pPr>
              <w:spacing w:after="0"/>
              <w:rPr>
                <w:sz w:val="11"/>
                <w:szCs w:val="11"/>
                <w:color w:val="auto"/>
              </w:rPr>
            </w:pPr>
          </w:p>
        </w:tc>
        <w:tc>
          <w:tcPr>
            <w:tcW w:w="9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Loss on settlement of debt</w:t>
            </w:r>
          </w:p>
        </w:tc>
        <w:tc>
          <w:tcPr>
            <w:tcW w:w="1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20,444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4220" w:type="dxa"/>
            <w:vAlign w:val="bottom"/>
            <w:tcBorders>
              <w:top w:val="single" w:sz="8" w:color="CFF0FC"/>
              <w:bottom w:val="single" w:sz="8" w:color="CFF0FC"/>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Non-GAAP 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59,516</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0.19</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67,712</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0.25</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5,879</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0.03</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auto"/>
              </w:rPr>
              <w:t>Weighted average shares used to compute net income</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 share – basic</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305,639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-289560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-289560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-289560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-289560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-289560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-289560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3" w:lineRule="exact"/>
        <w:rPr>
          <w:sz w:val="20"/>
          <w:szCs w:val="20"/>
          <w:color w:val="auto"/>
        </w:rPr>
      </w:pPr>
    </w:p>
    <w:p>
      <w:pPr>
        <w:ind w:left="500" w:right="180" w:hanging="492"/>
        <w:spacing w:after="0" w:line="272"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the 1% royalty on net sales of Tyvaso DPI earned during the years ended December 31, 2025 and 2024 which is remitted to the royalty purchaser and recognized as royalties from collaborations in our consolidated statements of operations. Our revenues from royalties from collaborations during the years ended December 31, 2025 and 2024 and fourth quarter of 2023 totaled $128.1 million, $102.3 million and $21.0 million, respectively, of which $12.8 million, $10.2 million, and $2.1 million, respectively, is remitted to the royalty purchaser.</w:t>
      </w:r>
    </w:p>
    <w:p>
      <w:pPr>
        <w:spacing w:after="0" w:line="2"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transaction fees incurred during the year ended December 31, 2025 associated with the acquisition of scPharma.</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the development of our product pipeline, the manufacturing and marketing of Afrezza, Furoscix and V-Go, manufacturing Tyvaso DPI, selling, general and administrative expenses, and principal and interest payments on our financing liability and debt.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7" w:name="page58"/>
    <w:bookmarkEnd w:id="57"/>
    <w:p>
      <w:pPr>
        <w:ind w:right="160"/>
        <w:spacing w:after="0" w:line="258" w:lineRule="auto"/>
        <w:rPr>
          <w:sz w:val="20"/>
          <w:szCs w:val="20"/>
          <w:color w:val="auto"/>
        </w:rPr>
      </w:pPr>
      <w:r>
        <w:rPr>
          <w:rFonts w:ascii="Times New Roman" w:cs="Times New Roman" w:eastAsia="Times New Roman" w:hAnsi="Times New Roman"/>
          <w:sz w:val="18"/>
          <w:szCs w:val="18"/>
          <w:color w:val="auto"/>
        </w:rPr>
        <w:t>We fund our operations primarily through sales of Afrezza, Furoscix and V-Go, and royalties and manufacturing revenue from UT. Historically, we have funded our operations primarily through the sale of equity and convertible debt securities, from the receipt of upfront and milestone payments from collaborations, from borrowings, from proceeds from the sale of certain assets and the sale of a portion of our future royalties that we receive from UT. In combination with our cash, cash equivalents and investments on hand, we believe that these sources of revenue, as well as the potential financing sources currently available to us, will allow us to meet our liquidity needs over the next 12 months and in the longer term.</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material cash requirements as of December 31, 2025 associated with contractual commitments for future periods (in thousands, except footnotes):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2029-2030</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(1)</w:t>
            </w:r>
          </w:p>
        </w:tc>
        <w:tc>
          <w:tcPr>
            <w:tcW w:w="11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10,533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153,913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36,773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Insulin purchase agreement</w:t>
            </w:r>
            <w:r>
              <w:rPr>
                <w:rFonts w:ascii="Times New Roman" w:cs="Times New Roman" w:eastAsia="Times New Roman" w:hAnsi="Times New Roman"/>
                <w:sz w:val="24"/>
                <w:szCs w:val="24"/>
                <w:color w:val="auto"/>
                <w:vertAlign w:val="superscript"/>
              </w:rPr>
              <w:t>(3)</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Insulin purchase capacity fees</w:t>
            </w:r>
            <w:r>
              <w:rPr>
                <w:rFonts w:ascii="Times New Roman" w:cs="Times New Roman" w:eastAsia="Times New Roman" w:hAnsi="Times New Roman"/>
                <w:sz w:val="24"/>
                <w:szCs w:val="24"/>
                <w:color w:val="auto"/>
                <w:vertAlign w:val="superscript"/>
              </w:rPr>
              <w:t>(3)</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Bedford, MA facility operating lease</w:t>
            </w:r>
            <w:r>
              <w:rPr>
                <w:rFonts w:ascii="Times New Roman" w:cs="Times New Roman" w:eastAsia="Times New Roman" w:hAnsi="Times New Roman"/>
                <w:sz w:val="24"/>
                <w:szCs w:val="24"/>
                <w:color w:val="auto"/>
                <w:vertAlign w:val="superscript"/>
              </w:rPr>
              <w:t>(4)</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Blackstone term loan</w:t>
            </w:r>
            <w:r>
              <w:rPr>
                <w:rFonts w:ascii="Times New Roman" w:cs="Times New Roman" w:eastAsia="Times New Roman" w:hAnsi="Times New Roman"/>
                <w:sz w:val="24"/>
                <w:szCs w:val="24"/>
                <w:color w:val="auto"/>
                <w:vertAlign w:val="superscript"/>
              </w:rPr>
              <w:t>(5)</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Blackstone term loan interest</w:t>
            </w:r>
            <w:r>
              <w:rPr>
                <w:rFonts w:ascii="Times New Roman" w:cs="Times New Roman" w:eastAsia="Times New Roman" w:hAnsi="Times New Roman"/>
                <w:sz w:val="24"/>
                <w:szCs w:val="24"/>
                <w:color w:val="auto"/>
                <w:vertAlign w:val="superscript"/>
              </w:rPr>
              <w:t>(5)</w:t>
            </w:r>
          </w:p>
        </w:tc>
        <w:tc>
          <w:tcPr>
            <w:tcW w:w="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27,734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55,469</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material cash requirements</w:t>
            </w:r>
          </w:p>
        </w:tc>
        <w:tc>
          <w:tcPr>
            <w:tcW w:w="11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79,928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411,596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201,302</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1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-250825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-250825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-250825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-250825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500" w:right="20" w:hanging="492"/>
        <w:spacing w:after="0" w:line="269" w:lineRule="auto"/>
        <w:tabs>
          <w:tab w:leader="none" w:pos="5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$103.4 million principal amount of indebtedness under the Sale-Leaseback Transaction, plus $104.2 million of imputed interest and $2.3 million in unamortized debt issuance costs. On November 8, 2021, we sold a portion of our manufacturing facility located in Danbury, CT to an affiliate of Creative Manufacturing Properties (the “Purchaser”) for a sales price of $102.3 million. We leased the property from the Purchaser for an initial term of 20 years, with four renewal options of five years each. The total annual rent under the lease started at approximately $9.5 million per year, subject to a 50% rent abatement during the first year of the lease, and increases annually by (i) 2.5% in the second through fifth year of the lease and (ii) 3% in the sixth and each subsequent year of the lease, including any renewal term. We are responsible for payment of operating expenses, property taxes and insurance for the leased property. Pursuant to the terms of the lease, we have four options to repurchase the property, in 2026, 2031, 2036 and 2041, for the greater of (i) $102.3 million or (ii) the fair market value of the leased property. Interest expense is calculated using an incremental borrowing rate of approximately 9.0%.</w:t>
      </w:r>
    </w:p>
    <w:p>
      <w:pPr>
        <w:spacing w:after="0" w:line="78" w:lineRule="exact"/>
        <w:rPr>
          <w:rFonts w:ascii="Times New Roman" w:cs="Times New Roman" w:eastAsia="Times New Roman" w:hAnsi="Times New Roman"/>
          <w:sz w:val="13"/>
          <w:szCs w:val="13"/>
          <w:color w:val="auto"/>
        </w:rPr>
      </w:pPr>
    </w:p>
    <w:p>
      <w:pPr>
        <w:ind w:left="500" w:right="100" w:hanging="492"/>
        <w:spacing w:after="0" w:line="275" w:lineRule="auto"/>
        <w:tabs>
          <w:tab w:leader="none" w:pos="5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$36.3 million aggregate principal amount of senior convertible notes and a remaining interest payment obligation of $0.5 million in 2026 as a result of the principal amount bearing interest at 2.50% payable semi-annually in arrears on March 1 and September 1 of each year, beginning on September 1, 2021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74" w:lineRule="exact"/>
        <w:rPr>
          <w:rFonts w:ascii="Times New Roman" w:cs="Times New Roman" w:eastAsia="Times New Roman" w:hAnsi="Times New Roman"/>
          <w:sz w:val="13"/>
          <w:szCs w:val="13"/>
          <w:color w:val="auto"/>
        </w:rPr>
      </w:pPr>
    </w:p>
    <w:p>
      <w:pPr>
        <w:ind w:left="500" w:right="40" w:hanging="492"/>
        <w:spacing w:after="0" w:line="275" w:lineRule="auto"/>
        <w:tabs>
          <w:tab w:leader="none" w:pos="5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July 2014 Insulin Supply Agreement with Amphastar to manufacture and supply us certain quantities of recombinant human insulin for use in Afrezza was amended in May 2021 and again on December 22, 2023 to purchase certain minimum quantities over a term that currently extends through at least December 31, 2034. Unless terminated earlier, the agreement can be renewed for additional, successive two-year terms upon 12 months’ written notice given prior to the end of the initial term or any additional two-year term.</w:t>
      </w:r>
    </w:p>
    <w:p>
      <w:pPr>
        <w:spacing w:after="0" w:line="74" w:lineRule="exact"/>
        <w:rPr>
          <w:rFonts w:ascii="Times New Roman" w:cs="Times New Roman" w:eastAsia="Times New Roman" w:hAnsi="Times New Roman"/>
          <w:sz w:val="13"/>
          <w:szCs w:val="13"/>
          <w:color w:val="auto"/>
        </w:rPr>
      </w:pPr>
    </w:p>
    <w:p>
      <w:pPr>
        <w:ind w:left="500" w:right="80" w:hanging="492"/>
        <w:spacing w:after="0" w:line="272" w:lineRule="auto"/>
        <w:tabs>
          <w:tab w:leader="none" w:pos="5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$11.9 million remaining lease payments under an operating lease of a building located in Bedford, Massachusetts (the "Bedford Lease"). In July 2024, the Company assumed the Bedford Lease in connection with the Pulmatrix Transaction.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 Interest expense is calculated using an incremental borrowing rate of approximately 7.3%.</w:t>
      </w:r>
    </w:p>
    <w:p>
      <w:pPr>
        <w:spacing w:after="0" w:line="77" w:lineRule="exact"/>
        <w:rPr>
          <w:rFonts w:ascii="Times New Roman" w:cs="Times New Roman" w:eastAsia="Times New Roman" w:hAnsi="Times New Roman"/>
          <w:sz w:val="13"/>
          <w:szCs w:val="13"/>
          <w:color w:val="auto"/>
        </w:rPr>
      </w:pPr>
    </w:p>
    <w:p>
      <w:pPr>
        <w:ind w:left="500" w:right="180" w:hanging="492"/>
        <w:spacing w:after="0" w:line="267" w:lineRule="auto"/>
        <w:tabs>
          <w:tab w:leader="none" w:pos="5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$325.0 million in aggregate principal amount of term loans bearing interest at a rate per annum equal to, (i) in the case of a Base Rate Loan, the greatest of (a) the prime rate in effect on such day, (b) the federal funds rate in effect on such day plus 0.5%, (c) Adjusted Term SOFR (defined below) for a one-month’s tenor in effect on such day plus 1%, and (d) 3.0% plus a margin of 3.75%, or (ii) in the case of a SOFR Loan, the one, three or six month term SOFR (at the Company’s election), subject to a 2.00% floor (the “Adjusted Term SOFR”), plus a margin of 4.75%. In addition, upon the occurrence and continuation of an event of default under the Amended Credit Agreement, interest on the term loans accrues at the applicable rate plus 2.00% per annum. Interest is paid quarterly or, if the Company elects 1-month SOFR, monthly. The interest rate margin increases to 4.00% in the case of a Base Rate Loan and 5.00% in the case of a SOFR Loan at any time the Company’s ratio of indebtedness to adjusted EBITDA (measured on a trailing four quarter basis) is greater than or equal to 5.00:1.00 as of the most recent fiscal quarter for which the Company has delivered financial statements. Future material cash requirements for interest payments are based on the interest rate as of December 31, 2025, which was 8.53%. The Blackstone Credit Facility requires us to maintain at least $40.0 million of liquidity, tested quarterly, with liquidity defined as our unrestricted cash and cash equivalents held in collateral accounts of the lenders.</w:t>
      </w:r>
    </w:p>
    <w:p>
      <w:pPr>
        <w:spacing w:after="0" w:line="19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date, we have been able to timely make our required interest payments on our indebtedness. If we fail to repay, repurchase or redeem our outstanding notes and term loans when required, we will be in default under the applicable instrument for such indebtedness, and may also suffer an event of default under the terms of other borrowing arrangements that we may enter into from time to time. Any of these events could have an adverse effect on our business, results of operations and financial condition. We may from time to time seek to retire or purchase our outstanding debt, including the remaining senior convertible notes and our term loans, through cash purchases and/or exchanges for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100"/>
        <w:spacing w:after="0" w:line="266" w:lineRule="auto"/>
        <w:rPr>
          <w:sz w:val="20"/>
          <w:szCs w:val="20"/>
          <w:color w:val="auto"/>
        </w:rPr>
      </w:pPr>
      <w:r>
        <w:rPr>
          <w:rFonts w:ascii="Times New Roman" w:cs="Times New Roman" w:eastAsia="Times New Roman" w:hAnsi="Times New Roman"/>
          <w:sz w:val="18"/>
          <w:szCs w:val="18"/>
          <w:color w:val="auto"/>
        </w:rPr>
        <w:t>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$45.0 million of which remain payable as of December 31, 2025. See Note 9 –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and Note 16 –</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in the Notes to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 for further information related to the Milestone Rights.</w:t>
      </w:r>
    </w:p>
    <w:p>
      <w:pPr>
        <w:spacing w:after="0" w:line="183"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2018, we entered into a controlled equity offering sales agreement with Cantor Fitzgerald &amp; Co. (“Cantor Fitzgerald”), as sales agent, pursuant to which we may offer and sell, from time to time, through Cantor Fitzgerald, shares of our common stock, which was amended and restated in February 2025 (as amended, the “CF Sales Agreement”). Under the CF Sales Agreement, Cantor Fitzgerald may sell shares by any method deemed to be an “at-the-market offering” as defined in Rule 415 under the Securities Act of 1933, as amended. On February 26, 2025, we filed a sales agreement prospectus under a registration statement on Form S-3, which became effective upon filing, covering the sale of up to $200.0 million of our common stock through Cantor Fitzgerald under the CF Sales Agreement, of which $200.0 million remained available as of December 31, 2025.</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we generated $18.3 million of cash from our operating activities. Cash generated from operating activities consisted of net income of $5.9 million offset by non-cash adjustments of $58.3 million and a net decrease in cash flows from operating assets and liabilities of $45.9 million. Non-cash items primarily included stock-based compensation of $24.2 million, interest on liability for sale of future royalties of $14.4 million, depreciation and amortization of $12.3 million, and write-off of inventory of $10.4 million. These charges were partially offset by the sold portion of royalty revenue of $12.8 million. The net decrease in cash flows from operating assets and liabilities was primarily due to a decrease of $16.7 million in accounts payable, decrease of $10.0 million in prepaid expenses and other current assets, and a decrease of $8.3 million in deferred revenue. These decreases were partially offset by an increase of $3.3 million in accrued expenses and other current liabilities.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we generated $42.5 million of cash from our operating activities. Cash generated from operating activities consisted of net income of $27.6 million offset by non-cash adjustments of $51.4 million and a net decrease in cash flows from operating assets and liabilities of $36.5 million. Non-cash items primarily included stock-based compensation of $21.4 million, interest on liability for sale of future royalties of $16.2 million, loss on settlement of debt of $20.4 million and depreciation and amortization of $7.4 million. These charges were partially offset by the sold portion of royalty revenue of $10.2 million and a gain on bargain purchase of $5.3 million. The net decrease in cash flows from operating assets and liabilities was primarily due to a decrease of $15.3 million in deferred revenue and decrease of $6.6 million in prepaid expenses and other current assets. These decreases were partially offset by an increase of $2.7 million in accounts receivable, net.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$304.8 million for the year ended December 31, 2025 was primarily due to the $357.7 million of cash used in the acquisition of scPharma, net of cash acquired, and inclusive of the $10.0 million bridge loan provided to scPharma prior the acquisition. There was also the purchase of $157.8 million of debt securities. The cash used was partially offset by the maturity of $215.3 million of debt securities.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$96.6 million for the year ended December 31, 2024 was primarily due to the purchase of $273.8 million of held-to-maturity securities, $9.7 million of property and equipment and $7.0 million of available-for-sale securities, partially offset by the maturity of $135.3 million of held-to-maturity debt securities and $58.1 million of available-for-sale securities.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$315.1 million for the year ended December 31, 2025 was primarily due to proceeds from a term loan of $325.0 million under the Blackstone Credit Facility, partially offset by $7.3 million of loan issuance costs.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of $137.3 million for the year ended December 31, 2024 was primarily due to principal and early extinguishment payments on the senior convertible notes of $87.7 million, MidCap credit facility of $36.6 million, and Mann Group convertible note of $8.9 million and $6.1 million of payments to taxing authorities from equity withheld upon vesting of RSUs and stock options, partially offset by $3.1 million in proceeds from the market price stock purchase plan ("MPSPP") and ESPP.</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we will be able to meet our near-term liquidity needs based on our cash, cash equivalents and investments on hand, sales of Afrezza, Furoscix and V-Go, and royalties and manufacturing revenue from the production and sale of Tyvaso DPI as well as through debt or equity financing, if necessary, for our long-term liquidity needs. We expect to continue to incur expenditures for the foreseeable future in support of our manufacturing operations, sales and marketing costs for our products and development costs for other product candidates in our pipeline. As of December 31, 2025, we had cash, cash equivalents and investments of $176.4 million, which was comprised of capital resources of $74.9 million in cash and cash equivalents, $96.5 million in short-term investments and $5.0 million in long-term investments, and total principal amount of outstanding borrowings of $361.3 million.</w:t>
      </w:r>
    </w:p>
    <w:p>
      <w:pPr>
        <w:spacing w:after="0" w:line="18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the next 12 months from the date of issuance of our Consolidated Financial Statements included in Part II, Item 8 – Financial Statements and Supplementary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 Summary of Significant Accounting Policies</w:t>
      </w:r>
      <w:r>
        <w:rPr>
          <w:rFonts w:ascii="Times New Roman" w:cs="Times New Roman" w:eastAsia="Times New Roman" w:hAnsi="Times New Roman"/>
          <w:sz w:val="18"/>
          <w:szCs w:val="18"/>
          <w:color w:val="auto"/>
        </w:rPr>
        <w:t xml:space="preserve"> in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 for information regarding new accounting standards that have been issued by the FASB but are not effective until after December 31,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senior convertible notes have a fixed interest rate of 2.50%, and therefore the interest expense associated with such debt is not exposed to changes in market interest rates. Interest on borrowings under the Blackstone Credit Facility accrue interest at a rate per annum equal to (i) in the case of a Base Rate Loan, the greatest of (a) the prime rate in effect on such day, (b) the federal funds rate in effect on such day plus 0.5%, (c) Adjusted Term SOFR for a one-month’s tenor in effect on such day plus 1%, and (d) 3.0% plus a margin of 3.75%, or (ii) in the case of a SOFR Loan, one, three or six month Adjusted Term SOFR (at our election), plus a margin of 4.75%. The interest rate margin increases to 4.00% in the case of a Base Rate Loan and 5.00% in the case of a SOFR Loan at any time the Company’s ratio of indebtedness to adjusted EBITDA (measured on a trailing four quarter basis) is greater than or equal to 5.00:1.00 as of the most recent fiscal quarter for which the Company has delivered financial statements. Accordingly, our interest expense under the Blackstone Credit Facility is subject to changes in the various market interest rates. If a hypothetical 10% change in the SOFR interest rates on December 31, 2025 were to have occurred, this change would not have had a material effect on our annual interest payment obligation on the borrowings under the Blackstone Credit Facility, which as of December 31, 2025, are SOFR Loans. See Note 10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in the Notes to Consolidated Financial Statements included in Part II, Item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Statements and Supplementary Data for information about the principal amount of outstanding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year ended December 31, 2025, we realized a $7.7 million currency loss, which was reflected as a loss on foreign currency transaction in the consolidated statements of operations.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December 31, 2025 were to have occurred, this change would have resulted in a foreign currency impact to our pre-tax income of approximately $6.6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Items 15(a) (1) and (2) of Part IV of this Annual Report on Form 10-K.</w:t>
      </w:r>
    </w:p>
    <w:p>
      <w:pPr>
        <w:spacing w:after="0" w:line="329" w:lineRule="exact"/>
        <w:rPr>
          <w:sz w:val="20"/>
          <w:szCs w:val="20"/>
          <w:color w:val="auto"/>
        </w:rPr>
      </w:pPr>
    </w:p>
    <w:p>
      <w:pPr>
        <w:ind w:right="39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our Chief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t>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December 31, 2025.</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concluded that the design and operation of our disclosure controls and procedures were effective at the reasonable assurance level as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2025. In making this assessment, our management used the criteria set forth by the Committee of Sponsoring Organizations of the Treadway Commission ("COSO") in the Internal Control-Integrated Framework ("2013 Framework").</w:t>
      </w:r>
    </w:p>
    <w:p>
      <w:pPr>
        <w:spacing w:after="0" w:line="8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permitted by guidelines established by the SEC for newly acquired businesses, management has excluded scPharma from its assessment of the effectiveness of the Company’s internal control over financial reporting for the year ended December 31, 2025. Excluding associated goodwill and intangible assets, scPharma represents approximately 7% of the Company’s consolidated total assets and 7% of consolidated total revenues as of and for the year ended December 31, 2025. The Company’s independent registered public accounting firm has not evaluated the internal control over financial reporting of scPharma for the year ended December 31, 2025.</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is in the process of integrating scPharma into the Company’s internal control framework and plans to include scPharma in its assessment of internal control over financial reporting beginning with the year ending December 31, 2026.</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the above exemption for scPharma, our management concluded that, as of December 31, 2025, our internal control over financial reporting was effective at the reasonable assurance level based on those criteria.</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Deloitte &amp; Touche LLP, an independent registered public accounting firm, as stated in their attestation report herein, which expresses an unqualified opinion on the effectiveness of our internal control over financial reporting as of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left="2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MannKind Corporation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MannKind Corporation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scPharmaceuticals Inc., which was acquired on October 7, 2025, and whose financial statements constitute 7% of total assets, excluding associated goodwill and intangible assets, and 7% of revenues of the consolidated financial statement amounts as of and for the year ended December 31, 2025. Accordingly, our audit did not include the internal control over financial reporting at scPharmaceuticals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two of our officers (as defined in Rule 16a-1(f) under the Exchange Act) and directors terminated or adopted a written trading plan for the orderly disposition of the Company’s securities as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Type of Trading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120" w:type="dxa"/>
            <w:vAlign w:val="bottom"/>
          </w:tcPr>
          <w:p>
            <w:pPr>
              <w:spacing w:after="0"/>
              <w:rPr>
                <w:sz w:val="17"/>
                <w:szCs w:val="17"/>
                <w:color w:val="auto"/>
              </w:rPr>
            </w:pPr>
          </w:p>
        </w:tc>
        <w:tc>
          <w:tcPr>
            <w:tcW w:w="100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Non-Rule</w:t>
            </w:r>
          </w:p>
        </w:tc>
        <w:tc>
          <w:tcPr>
            <w:tcW w:w="240" w:type="dxa"/>
            <w:vAlign w:val="bottom"/>
          </w:tcPr>
          <w:p>
            <w:pPr>
              <w:spacing w:after="0"/>
              <w:rPr>
                <w:sz w:val="17"/>
                <w:szCs w:val="17"/>
                <w:color w:val="auto"/>
              </w:rPr>
            </w:pPr>
          </w:p>
        </w:tc>
        <w:tc>
          <w:tcPr>
            <w:tcW w:w="1440" w:type="dxa"/>
            <w:vAlign w:val="bottom"/>
            <w:gridSpan w:val="2"/>
          </w:tcPr>
          <w:p>
            <w:pPr>
              <w:jc w:val="center"/>
              <w:ind w:left="92"/>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to be</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4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Action</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(1)</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ind w:left="130"/>
              <w:spacing w:after="0" w:line="258"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(2)</w:t>
            </w:r>
          </w:p>
        </w:tc>
        <w:tc>
          <w:tcPr>
            <w:tcW w:w="2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22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189"/>
        </w:trPr>
        <w:tc>
          <w:tcPr>
            <w:tcW w:w="1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Sanjay Singh</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Termination</w:t>
            </w:r>
          </w:p>
        </w:tc>
        <w:tc>
          <w:tcPr>
            <w:tcW w:w="14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rPr>
              <w:t>November 14, 2025</w:t>
            </w:r>
          </w:p>
        </w:tc>
        <w:tc>
          <w:tcPr>
            <w:tcW w:w="7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shd w:val="clear" w:color="auto" w:fill="CFF0FC"/>
          </w:tcPr>
          <w:p>
            <w:pPr>
              <w:jc w:val="center"/>
              <w:ind w:left="112"/>
              <w:spacing w:after="0" w:line="189" w:lineRule="exact"/>
              <w:rPr>
                <w:sz w:val="20"/>
                <w:szCs w:val="20"/>
                <w:color w:val="auto"/>
              </w:rPr>
            </w:pPr>
            <w:r>
              <w:rPr>
                <w:rFonts w:ascii="Times New Roman" w:cs="Times New Roman" w:eastAsia="Times New Roman" w:hAnsi="Times New Roman"/>
                <w:sz w:val="18"/>
                <w:szCs w:val="18"/>
                <w:color w:val="auto"/>
                <w:w w:val="96"/>
              </w:rPr>
              <w:t>37,554</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ind w:left="104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November 14,</w:t>
            </w: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President, Technical</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Steven B. Binder</w:t>
            </w:r>
          </w:p>
        </w:tc>
        <w:tc>
          <w:tcPr>
            <w:tcW w:w="120" w:type="dxa"/>
            <w:vAlign w:val="bottom"/>
          </w:tcPr>
          <w:p>
            <w:pPr>
              <w:spacing w:after="0"/>
              <w:rPr>
                <w:sz w:val="17"/>
                <w:szCs w:val="17"/>
                <w:color w:val="auto"/>
              </w:rPr>
            </w:pPr>
          </w:p>
        </w:tc>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Termination</w:t>
            </w:r>
          </w:p>
        </w:tc>
        <w:tc>
          <w:tcPr>
            <w:tcW w:w="140" w:type="dxa"/>
            <w:vAlign w:val="bottom"/>
          </w:tcPr>
          <w:p>
            <w:pPr>
              <w:spacing w:after="0"/>
              <w:rPr>
                <w:sz w:val="17"/>
                <w:szCs w:val="17"/>
                <w:color w:val="auto"/>
              </w:rPr>
            </w:pPr>
          </w:p>
        </w:tc>
        <w:tc>
          <w:tcPr>
            <w:tcW w:w="1700" w:type="dxa"/>
            <w:vAlign w:val="bottom"/>
            <w:gridSpan w:val="2"/>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auto"/>
                <w:w w:val="99"/>
              </w:rPr>
              <w:t>December 2, 2025</w:t>
            </w:r>
          </w:p>
        </w:tc>
        <w:tc>
          <w:tcPr>
            <w:tcW w:w="7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tcPr>
          <w:p>
            <w:pPr>
              <w:jc w:val="center"/>
              <w:ind w:left="112"/>
              <w:spacing w:after="0" w:line="195" w:lineRule="exact"/>
              <w:rPr>
                <w:sz w:val="20"/>
                <w:szCs w:val="20"/>
                <w:color w:val="auto"/>
              </w:rPr>
            </w:pPr>
            <w:r>
              <w:rPr>
                <w:rFonts w:ascii="Times New Roman" w:cs="Times New Roman" w:eastAsia="Times New Roman" w:hAnsi="Times New Roman"/>
                <w:sz w:val="18"/>
                <w:szCs w:val="18"/>
                <w:color w:val="auto"/>
              </w:rPr>
              <w:t>151,965</w:t>
            </w:r>
          </w:p>
        </w:tc>
        <w:tc>
          <w:tcPr>
            <w:tcW w:w="220" w:type="dxa"/>
            <w:vAlign w:val="bottom"/>
          </w:tcPr>
          <w:p>
            <w:pPr>
              <w:spacing w:after="0"/>
              <w:rPr>
                <w:sz w:val="17"/>
                <w:szCs w:val="17"/>
                <w:color w:val="auto"/>
              </w:rPr>
            </w:pPr>
          </w:p>
        </w:tc>
        <w:tc>
          <w:tcPr>
            <w:tcW w:w="1220" w:type="dxa"/>
            <w:vAlign w:val="bottom"/>
          </w:tcPr>
          <w:p>
            <w:pPr>
              <w:ind w:left="10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3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December 2,</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170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Steven B. Binder</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Adoption</w:t>
            </w:r>
          </w:p>
        </w:tc>
        <w:tc>
          <w:tcPr>
            <w:tcW w:w="14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auto"/>
                <w:w w:val="99"/>
              </w:rPr>
              <w:t>December 2, 2025</w:t>
            </w:r>
          </w:p>
        </w:tc>
        <w:tc>
          <w:tcPr>
            <w:tcW w:w="78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shd w:val="clear" w:color="auto" w:fill="CFF0FC"/>
          </w:tcPr>
          <w:p>
            <w:pPr>
              <w:jc w:val="center"/>
              <w:ind w:left="112"/>
              <w:spacing w:after="0" w:line="196" w:lineRule="exact"/>
              <w:rPr>
                <w:sz w:val="20"/>
                <w:szCs w:val="20"/>
                <w:color w:val="auto"/>
              </w:rPr>
            </w:pPr>
            <w:r>
              <w:rPr>
                <w:rFonts w:ascii="Times New Roman" w:cs="Times New Roman" w:eastAsia="Times New Roman" w:hAnsi="Times New Roman"/>
                <w:sz w:val="17"/>
                <w:szCs w:val="17"/>
                <w:color w:val="auto"/>
                <w:w w:val="99"/>
              </w:rPr>
              <w:t>157,186</w:t>
            </w:r>
            <w:r>
              <w:rPr>
                <w:rFonts w:ascii="Times New Roman" w:cs="Times New Roman" w:eastAsia="Times New Roman" w:hAnsi="Times New Roman"/>
                <w:sz w:val="22"/>
                <w:szCs w:val="22"/>
                <w:color w:val="auto"/>
                <w:w w:val="99"/>
                <w:vertAlign w:val="superscript"/>
              </w:rPr>
              <w:t>(3)</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ind w:left="10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Contract, instruction or written plan intended to satisfy the affirmative defense conditions of Rule 10b5-1(c) under the Exchange Act.</w:t>
      </w:r>
    </w:p>
    <w:p>
      <w:pPr>
        <w:spacing w:after="0" w:line="126" w:lineRule="exact"/>
        <w:rPr>
          <w:rFonts w:ascii="Times New Roman" w:cs="Times New Roman" w:eastAsia="Times New Roman" w:hAnsi="Times New Roman"/>
          <w:sz w:val="13"/>
          <w:szCs w:val="13"/>
          <w:color w:val="auto"/>
        </w:rPr>
      </w:pPr>
    </w:p>
    <w:p>
      <w:pPr>
        <w:ind w:left="500" w:hanging="492"/>
        <w:spacing w:after="0"/>
        <w:tabs>
          <w:tab w:leader="none" w:pos="5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"Non-Rule 10b5-1 trading arrangement" as defined in Item 408(c) of Regulation S-K under the Exchange Act.</w:t>
      </w:r>
    </w:p>
    <w:p>
      <w:pPr>
        <w:spacing w:after="0" w:line="126" w:lineRule="exact"/>
        <w:rPr>
          <w:rFonts w:ascii="Times New Roman" w:cs="Times New Roman" w:eastAsia="Times New Roman" w:hAnsi="Times New Roman"/>
          <w:sz w:val="13"/>
          <w:szCs w:val="13"/>
          <w:color w:val="auto"/>
        </w:rPr>
      </w:pPr>
    </w:p>
    <w:p>
      <w:pPr>
        <w:ind w:left="500" w:right="40" w:hanging="492"/>
        <w:spacing w:after="0" w:line="275" w:lineRule="auto"/>
        <w:tabs>
          <w:tab w:leader="none" w:pos="5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trading plan for Steven B. Binder is designed to sell a specified percentage of the net shares delivered after tax withholding upon the vesting of restricted stock unit awards held. The actual number of shares to be sold will depend on state and federal tax rates applicable on the relevant vesting dates (currently assumed to be a combined 34%) as well as the payout, if any, of performance RSU awards (currently assumed to be at 107%). Based on these assumptions, the number of shares of common stock underlying restricted stock unit awards to be sold by Steven B. Binder after tax withholdings is approximately 157,186.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and not set forth below will be set forth in the sections headed “Proposal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Election of Directors” and “Corporate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Principles and Board and Committee Matters” in our definitive proxy statement for our 2026 Annual Meeting of Stockholders (the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to be filed with the SEC on or before April 30, 2026, and is incorporated herein by reference.</w:t>
      </w:r>
    </w:p>
    <w:p>
      <w:pPr>
        <w:spacing w:after="0" w:line="97" w:lineRule="exact"/>
        <w:rPr>
          <w:sz w:val="20"/>
          <w:szCs w:val="20"/>
          <w:color w:val="auto"/>
        </w:rPr>
      </w:pPr>
    </w:p>
    <w:p>
      <w:pPr>
        <w:ind w:right="620" w:firstLine="8"/>
        <w:spacing w:after="0" w:line="284" w:lineRule="auto"/>
        <w:tabs>
          <w:tab w:leader="none" w:pos="2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Officers — </w:t>
      </w:r>
      <w:r>
        <w:rPr>
          <w:rFonts w:ascii="Times New Roman" w:cs="Times New Roman" w:eastAsia="Times New Roman" w:hAnsi="Times New Roman"/>
          <w:sz w:val="18"/>
          <w:szCs w:val="18"/>
          <w:color w:val="auto"/>
        </w:rPr>
        <w:t>For information regarding the identification and business experience of our executive officers, see “Information about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Part I, Item 1 of this Annual Report on Form 10-K.</w:t>
      </w:r>
    </w:p>
    <w:p>
      <w:pPr>
        <w:spacing w:after="0" w:line="5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 </w:t>
      </w:r>
      <w:r>
        <w:rPr>
          <w:rFonts w:ascii="Times New Roman" w:cs="Times New Roman" w:eastAsia="Times New Roman" w:hAnsi="Times New Roman"/>
          <w:sz w:val="18"/>
          <w:szCs w:val="18"/>
          <w:color w:val="auto"/>
        </w:rPr>
        <w:t>Our board of directors consists of the following members: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James S. Shannon, M.D. </w:t>
      </w:r>
      <w:r>
        <w:rPr>
          <w:rFonts w:ascii="Times New Roman" w:cs="Times New Roman" w:eastAsia="Times New Roman" w:hAnsi="Times New Roman"/>
          <w:sz w:val="18"/>
          <w:szCs w:val="18"/>
          <w:color w:val="auto"/>
        </w:rPr>
        <w:t>rejoined our board in May 2015 after previously serving as a director from February 2010 until April 2012. Dr. Shannon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Chairman of the Board of Directors in December 2020. From May 2012 until his retirement in April 2015, Dr. Shannon was the Chief Medical Officer of GSK plc. He formerly held the position of Global Head of Pharma Development at Novartis AG, based in Basel, Switzerland from 2005 until 2008. After joining Sandoz in 1994 as Head of Drug Regulatory Affairs, Dr. Shannon led the Integration Office for R&amp;D overseeing the creation of the Novartis R&amp;D group from those of Ciba-Geigy Ltd and Sandoz. Following the merger, he was appointed Head of the Cardiovascular Strategic Team and subsequently became Global Head of Project and Portfolio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from January 2009 until April 2010. Dr. Shannon served on the boards of Immodulon Therapeutics Limited from July 2015 until December 2021 and Horizon Therapeutics from August 2017 until October 2023. He is currently chairman of the board of Kyowa Kirin (NA) Inc. since July 2019, and has served on the boards of ProQR Therapeutics NV since June 2016 and Leyden Labs since September 2020.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p>
      <w:pPr>
        <w:spacing w:after="0" w:line="19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Steven B. Binder </w:t>
      </w:r>
      <w:r>
        <w:rPr>
          <w:rFonts w:ascii="Times New Roman" w:cs="Times New Roman" w:eastAsia="Times New Roman" w:hAnsi="Times New Roman"/>
          <w:sz w:val="18"/>
          <w:szCs w:val="18"/>
          <w:color w:val="auto"/>
        </w:rPr>
        <w:t>joined the board in October 2024 and was our Chief Financial Officer from July 2017 to April 2024. Before joining us, since 2013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Binder served as Vice President and Chief 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Michael E. Castagna, Pharm.D. </w:t>
      </w:r>
      <w:r>
        <w:rPr>
          <w:rFonts w:ascii="Times New Roman" w:cs="Times New Roman" w:eastAsia="Times New Roman" w:hAnsi="Times New Roman"/>
          <w:sz w:val="18"/>
          <w:szCs w:val="18"/>
          <w:color w:val="auto"/>
        </w:rPr>
        <w:t>has served as our Chief Executive Officer and as one of our directors since May 2017. Mr. Castagna also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Vice President, Chief Commercial Officer from March 2016 until May 2017. From November 2012 until he joined us, Mr.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Before BMS, Mr. Castagna served as Vice President and Head, Biopharmaceuticals, North America, at Sandoz, a division of Novartis. Beginning in 1997, he held positions with commercial or medical affairs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Ronald J. Consiglio </w:t>
      </w:r>
      <w:r>
        <w:rPr>
          <w:rFonts w:ascii="Times New Roman" w:cs="Times New Roman" w:eastAsia="Times New Roman" w:hAnsi="Times New Roman"/>
          <w:sz w:val="18"/>
          <w:szCs w:val="18"/>
          <w:color w:val="auto"/>
        </w:rPr>
        <w:t>has been one of our directors since October 2003. Since 1999, Mr. Consiglio has been the Managing Director of Synergy Trading,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 Mr. Consiglio has served as a member of the board of trustees for the Metropolitan West Funds since 2003. Mr. Consiglio served as a certified public accountant for over 17 years and was a partner in the international accounting firm of Deloitte, Haskins &amp; Sells. He holds a bachelor’s degree in accounting from California State University at Northridge.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4" w:name="page65"/>
    <w:bookmarkEnd w:id="64"/>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Michael A. Friedman, M.D. </w:t>
      </w:r>
      <w:r>
        <w:rPr>
          <w:rFonts w:ascii="Times New Roman" w:cs="Times New Roman" w:eastAsia="Times New Roman" w:hAnsi="Times New Roman"/>
          <w:sz w:val="18"/>
          <w:szCs w:val="18"/>
          <w:color w:val="auto"/>
        </w:rPr>
        <w:t>has been one of our directors since December 2003. In 2014, Dr. Friedman completed a decade of service as the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the City of Hope National Medical Center. Previously, from September 2001 until April 2003, Dr. Friedman held the position of Senior Vice President of Research and Development, Medical and Public Policy, for Pharmacia Corporation and, from 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He served on the board of Celgene Corporation from February 2011 to December 2019 and on the board of Smith &amp; Nephew plc from April 2013 to April 2019. Dr. Friedman received a Bachelor of Arts degree, magna cum laude, from Tulane University, New Orleans, Louisiana, and a doctorate in medicine from the University of Texas, Southwestern Medical School.</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Jennifer Grancio </w:t>
      </w:r>
      <w:r>
        <w:rPr>
          <w:rFonts w:ascii="Times New Roman" w:cs="Times New Roman" w:eastAsia="Times New Roman" w:hAnsi="Times New Roman"/>
          <w:sz w:val="18"/>
          <w:szCs w:val="18"/>
          <w:color w:val="auto"/>
        </w:rPr>
        <w:t>has been one of our directors since March 2020. Since October 2023, Ms. Grancio has been the Global Head of Wealth at the TCW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From October 2020 until October 2023, Ms. Grancio served as the Chief Executive Officer of Engine No. 1, an impact investment firm. From November 2018 until October 2020, she consulted through Grancio Capital, where she worked with CEOs to accelerate high-growth company success. From 1999 to 2018, she served as a founder and executive with BlackRock’s iShares business, where she spearheaded the distribution of iShares in the United States and Europe and acted as the Global Head of Marketing and Partnerships for BlackRock’s index business. Prior to BlackRock, she was a senior associate with PricewaterhouseCoopers, a management consulting firm. Ms. Grancio serves as a board member for Ethic Inc., a sustainable investing firm, and for Harvest Savings &amp; Wealth Technologies, Inc. She is also on the advisory boards of Say Technologies LLC and m+ funds (from Alaia Capital, LLC). Ms. Grancio earned a bachelor’s degree in economics and international relations from Stanford University, and an MBA degree in strategy and finance from Columbia Business School.</w:t>
      </w:r>
    </w:p>
    <w:p>
      <w:pPr>
        <w:spacing w:after="0" w:line="18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Anthony Hooper </w:t>
      </w:r>
      <w:r>
        <w:rPr>
          <w:rFonts w:ascii="Times New Roman" w:cs="Times New Roman" w:eastAsia="Times New Roman" w:hAnsi="Times New Roman"/>
          <w:sz w:val="18"/>
          <w:szCs w:val="18"/>
          <w:color w:val="auto"/>
        </w:rPr>
        <w:t>has been one of our directors since January 2020. He is also a director of BeiGene, Ltd. and Amplity Health. Mr. Hooper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of Global Commercial Operations for Amgen Inc. from Oct 2011 until August 2018. Prior to joining Amgen, Mr. Hooper spent more than 15 years at Bristol-Myers Squibb.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Sabrina Kay, Ed.D. </w:t>
      </w:r>
      <w:r>
        <w:rPr>
          <w:rFonts w:ascii="Times New Roman" w:cs="Times New Roman" w:eastAsia="Times New Roman" w:hAnsi="Times New Roman"/>
          <w:sz w:val="18"/>
          <w:szCs w:val="18"/>
          <w:color w:val="auto"/>
        </w:rPr>
        <w:t>has been a member of our Board of Directors since December 2020. Currently, Dr. Kay serves as Founder and CEO of Fremont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where she has led the operations and exits of several companies including The Art Institute of Hollywood (sold to Education Management Corp.), Premier Business Bank (sold to First Foundation Inc.), Fashion Umbrella, Fremont College, and Dale Carnegie of Los Angeles. Dr. Kay currently serves on the boards of East West Bank (NASDAQ: EWBC) and Hagerty (NYSE:HGTY). She is also a philanthropist, having served on more than 30 charitable and civic boards, including the Los Angeles Sports and Entertainment Commission, Petersen Automotive Museum, Portal Schools, the Leadership Council of International Medical Corps Leadership Council, the Board of Leaders of USC Marshall School and After-School All-Stars Los Angeles, which she chairs. Dr. Kay received Ed.D. and M.Sc. degrees in education from the University of Pennsylvania. She also holds an MBA from the University of Southern California.</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Christine Mundkur </w:t>
      </w:r>
      <w:r>
        <w:rPr>
          <w:rFonts w:ascii="Times New Roman" w:cs="Times New Roman" w:eastAsia="Times New Roman" w:hAnsi="Times New Roman"/>
          <w:sz w:val="18"/>
          <w:szCs w:val="18"/>
          <w:color w:val="auto"/>
        </w:rPr>
        <w:t>has been one of our directors since November 2018. Ms. Mundkur most recently served as Chief Executive Officer and non-voting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of Directors for Impopharma Inc., a developer of complex formulations focused on inhaled pharmaceutical products, from February 2013 to February 2017. While at Impopharma, Ms. Mundkur led the transition of the company from a successful clinical research organization into a generic pharmaceutical inhalation development company. Her work included the internal 8 development and filing of Abbreviated New Drug Applications for spray and inhalation products. Ms. Mundkur also previously served as President and Chief Executive Officer of the U.S. Division and Head of Commercial Operations for North America for Sandoz, Inc. from January 2009 to April 2010. She served as Chief Executive Officer of Barr Laboratories, Inc. from April 2008 to December 2008, where she started her career as quality and regulatory counsel in 1993. In addition, Ms. Mundkur has served as a strategic consultant advising several clients on global pharmaceutical business strategies. Ms. Mundkur currently serves on the board of directors of Cardinal Health and served on the board of directors of Lupin Limited from April 2019 through December 2022. Ms. Mundkur holds a J.D. from the St. Louis University School of Law and received her B.S. degree in chemistry from St. Louis University.</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Policy that applies to our directors and employees, including our principal executive officer, principal financial officer, principal accounting officer or controller, and have posted the text of the policy on our website (</w:t>
      </w:r>
      <w:r>
        <w:rPr>
          <w:rFonts w:ascii="Times New Roman" w:cs="Times New Roman" w:eastAsia="Times New Roman" w:hAnsi="Times New Roman"/>
          <w:sz w:val="18"/>
          <w:szCs w:val="18"/>
          <w:i w:val="1"/>
          <w:iCs w:val="1"/>
          <w:color w:val="auto"/>
        </w:rPr>
        <w:t>www.mannkindcorp.com</w:t>
      </w:r>
      <w:r>
        <w:rPr>
          <w:rFonts w:ascii="Times New Roman" w:cs="Times New Roman" w:eastAsia="Times New Roman" w:hAnsi="Times New Roman"/>
          <w:sz w:val="18"/>
          <w:szCs w:val="18"/>
          <w:color w:val="auto"/>
        </w:rPr>
        <w:t>) in connection with “Corporate Governance”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“Executive Compensation,” “Compensation of Directors” and “Compensation Committee Report”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“Corporate Governance Principles and Board and Committee Matters” and “Related Party Transactions, Policy and Procedures”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“Principal Accounting Fees and Services” and “Pre-Approval Policies and Procedures” in the Proxy Statement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5" w:right="6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21"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117" w:lineRule="exact"/>
        <w:rPr>
          <w:rFonts w:ascii="Times New Roman" w:cs="Times New Roman" w:eastAsia="Times New Roman" w:hAnsi="Times New Roman"/>
          <w:sz w:val="18"/>
          <w:szCs w:val="18"/>
          <w:color w:val="auto"/>
        </w:rPr>
      </w:pPr>
    </w:p>
    <w:p>
      <w:pPr>
        <w:ind w:left="1020" w:right="3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96"/>
        </w:trPr>
        <w:tc>
          <w:tcPr>
            <w:tcW w:w="422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4180" w:type="dxa"/>
            <w:vAlign w:val="bottom"/>
            <w:gridSpan w:val="2"/>
          </w:tcPr>
          <w:p>
            <w:pPr>
              <w:spacing w:after="0"/>
              <w:rPr>
                <w:sz w:val="17"/>
                <w:szCs w:val="17"/>
                <w:color w:val="auto"/>
              </w:rPr>
            </w:pPr>
          </w:p>
        </w:tc>
        <w:tc>
          <w:tcPr>
            <w:tcW w:w="2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42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4140" w:type="dxa"/>
            <w:vAlign w:val="bottom"/>
          </w:tcPr>
          <w:p>
            <w:pPr>
              <w:spacing w:after="0"/>
              <w:rPr>
                <w:sz w:val="17"/>
                <w:szCs w:val="17"/>
                <w:color w:val="auto"/>
              </w:rPr>
            </w:pPr>
          </w:p>
        </w:tc>
        <w:tc>
          <w:tcPr>
            <w:tcW w:w="2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7"/>
                <w:szCs w:val="17"/>
                <w:color w:val="auto"/>
              </w:rPr>
            </w:pPr>
          </w:p>
        </w:tc>
        <w:tc>
          <w:tcPr>
            <w:tcW w:w="6280" w:type="dxa"/>
            <w:vAlign w:val="bottom"/>
            <w:gridSpan w:val="9"/>
          </w:tcPr>
          <w:p>
            <w:pPr>
              <w:spacing w:after="0"/>
              <w:rPr>
                <w:sz w:val="17"/>
                <w:szCs w:val="17"/>
                <w:color w:val="auto"/>
              </w:rPr>
            </w:pPr>
          </w:p>
        </w:tc>
        <w:tc>
          <w:tcPr>
            <w:tcW w:w="2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35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Deficit</w:t>
            </w:r>
          </w:p>
        </w:tc>
        <w:tc>
          <w:tcPr>
            <w:tcW w:w="4820" w:type="dxa"/>
            <w:vAlign w:val="bottom"/>
            <w:gridSpan w:val="3"/>
          </w:tcPr>
          <w:p>
            <w:pPr>
              <w:spacing w:after="0"/>
              <w:rPr>
                <w:sz w:val="17"/>
                <w:szCs w:val="17"/>
                <w:color w:val="auto"/>
              </w:rPr>
            </w:pPr>
          </w:p>
        </w:tc>
        <w:tc>
          <w:tcPr>
            <w:tcW w:w="2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2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7"/>
                <w:szCs w:val="17"/>
                <w:color w:val="auto"/>
              </w:rPr>
            </w:pPr>
          </w:p>
        </w:tc>
        <w:tc>
          <w:tcPr>
            <w:tcW w:w="5500" w:type="dxa"/>
            <w:vAlign w:val="bottom"/>
            <w:gridSpan w:val="6"/>
          </w:tcPr>
          <w:p>
            <w:pPr>
              <w:spacing w:after="0"/>
              <w:rPr>
                <w:sz w:val="17"/>
                <w:szCs w:val="17"/>
                <w:color w:val="auto"/>
              </w:rPr>
            </w:pPr>
          </w:p>
        </w:tc>
        <w:tc>
          <w:tcPr>
            <w:tcW w:w="2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31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5220" w:type="dxa"/>
            <w:vAlign w:val="bottom"/>
            <w:gridSpan w:val="4"/>
          </w:tcPr>
          <w:p>
            <w:pPr>
              <w:spacing w:after="0"/>
              <w:rPr>
                <w:sz w:val="17"/>
                <w:szCs w:val="17"/>
                <w:color w:val="auto"/>
              </w:rPr>
            </w:pPr>
          </w:p>
        </w:tc>
        <w:tc>
          <w:tcPr>
            <w:tcW w:w="2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bl>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54" w:lineRule="exact"/>
        <w:rPr>
          <w:sz w:val="20"/>
          <w:szCs w:val="20"/>
          <w:color w:val="auto"/>
        </w:rPr>
      </w:pPr>
    </w:p>
    <w:p>
      <w:pPr>
        <w:ind w:left="1540" w:right="80" w:hanging="514"/>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or furnished as part of, or incorporated by reference into, this Annual Report on Form 10-K: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100" w:type="dxa"/>
            <w:vAlign w:val="bottom"/>
            <w:gridSpan w:val="1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Agreement and Plan of Merger, dated August 24, 2025, by and among MannKind Corporation, Seacoast Merger Sub, Inc. and</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scPharmaceuticals Inc. (incorporated by reference to Exhibit 2.1 to MannKind’s Current Report on Form 8-K (File No. 000-50865), filed with</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the SEC on August 25, 2025).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Amended and Restated Certificate of Incorporation of MannKind Corporation (incorporated by reference to Exhibit 3.1 to MannKind’s</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Quarterly Report on Form 10-Q (File No. 000-50865), filed with the SEC on August 9, 2016).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Exhibit 3.1 to MannKind’s Current Report on Form 8-K (File No. 000-50865), filed with the SEC on March 2, 2017).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Exhibit 3.1 to MannKind’s Current Report on Form 8-K (File No. 000-50865), filed with the SEC on December 13, 2017).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3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Exhibit 3.1 to MannKind’s Current Report on Form 8-K (File No. 000-50865), filed with the SEC on May 30, 2023).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Amended and Restated Bylaws of MannKind Corporation (incorporated by reference to Exhibit 3.2 to MannKind’s Current Report on Form 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3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K (File No. 000-50865), filed with the SEC on May 27, 2020).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112">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color w:val="0000FF"/>
                </w:rPr>
                <w:t>3.3</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color w:val="0000FF"/>
                </w:rPr>
                <w:t>3.4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color w:val="0000FF"/>
                </w:rPr>
                <w:t>3.5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17">
              <w:r>
                <w:rPr>
                  <w:rFonts w:ascii="Times New Roman" w:cs="Times New Roman" w:eastAsia="Times New Roman" w:hAnsi="Times New Roman"/>
                  <w:sz w:val="18"/>
                  <w:szCs w:val="18"/>
                  <w:color w:val="0000FF"/>
                </w:rPr>
                <w:t>3.6</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Common Stock certificate (incorporated by reference to Exhibit 4.2 to MannKind’s Annual Report on Form 10-K (File No. 000-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6440" w:type="dxa"/>
            <w:vAlign w:val="bottom"/>
            <w:gridSpan w:val="11"/>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50865)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March 16, 2017).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670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Description of Common Stock (incorporated by reference to Exhibit 4.3 to MannKind's Annual Report on Form 10-K (File No. 000-50865),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7100" w:type="dxa"/>
            <w:vAlign w:val="bottom"/>
            <w:tcBorders>
              <w:left w:val="single" w:sz="8" w:color="0000FF"/>
            </w:tcBorders>
            <w:gridSpan w:val="1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filed with the SEC on February 27, 2024).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7260" w:type="dxa"/>
            <w:vAlign w:val="bottom"/>
            <w:gridSpan w:val="1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0380" w:type="dxa"/>
            <w:vAlign w:val="bottom"/>
            <w:gridSpan w:val="2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Milestone Rights Purchase Agreement, dated as of July 1, 2013, by and among MannKind Corporation, Deerfield Private Design Fund II, L.P.</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7720" w:type="dxa"/>
            <w:vAlign w:val="bottom"/>
            <w:gridSpan w:val="20"/>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and Horizon Santé FLML SÁRL (incorporated by reference to Exhibit 99.3 to MannKind’s Current Report on Form 8-K (File No. 000-50865),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7780" w:type="dxa"/>
            <w:vAlign w:val="bottom"/>
            <w:gridSpan w:val="2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7"/>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filed with the SEC on July 1, 2013).</w:t>
              </w:r>
            </w:hyperlink>
          </w:p>
        </w:tc>
        <w:tc>
          <w:tcPr>
            <w:tcW w:w="0" w:type="dxa"/>
            <w:vAlign w:val="bottom"/>
          </w:tcPr>
          <w:p>
            <w:pPr>
              <w:spacing w:after="0"/>
              <w:rPr>
                <w:sz w:val="1"/>
                <w:szCs w:val="1"/>
                <w:color w:val="auto"/>
              </w:rPr>
            </w:pPr>
          </w:p>
        </w:tc>
      </w:tr>
      <w:tr>
        <w:trPr>
          <w:trHeight w:val="574"/>
        </w:trPr>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top w:val="single" w:sz="8" w:color="0000FF"/>
            </w:tcBorders>
            <w:gridSpan w:val="5"/>
          </w:tcPr>
          <w:p>
            <w:pPr>
              <w:spacing w:after="0"/>
              <w:rPr>
                <w:sz w:val="24"/>
                <w:szCs w:val="24"/>
                <w:color w:val="auto"/>
              </w:rPr>
            </w:pPr>
          </w:p>
        </w:tc>
        <w:tc>
          <w:tcPr>
            <w:tcW w:w="4220" w:type="dxa"/>
            <w:vAlign w:val="bottom"/>
            <w:gridSpan w:val="12"/>
          </w:tcPr>
          <w:p>
            <w:pPr>
              <w:jc w:val="right"/>
              <w:ind w:right="1920"/>
              <w:spacing w:after="0"/>
              <w:rPr>
                <w:sz w:val="20"/>
                <w:szCs w:val="20"/>
                <w:color w:val="auto"/>
              </w:rPr>
            </w:pPr>
            <w:r>
              <w:rPr>
                <w:rFonts w:ascii="Times New Roman" w:cs="Times New Roman" w:eastAsia="Times New Roman" w:hAnsi="Times New Roman"/>
                <w:sz w:val="18"/>
                <w:szCs w:val="18"/>
                <w:color w:val="auto"/>
              </w:rPr>
              <w:t>67</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580" w:type="dxa"/>
            <w:vAlign w:val="bottom"/>
            <w:gridSpan w:val="17"/>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4"/>
                <w:szCs w:val="14"/>
                <w:color w:val="auto"/>
              </w:rPr>
            </w:pPr>
          </w:p>
        </w:tc>
        <w:tc>
          <w:tcPr>
            <w:tcW w:w="958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Warrant to Purchase Stock issued to MidCap Financial Trust on August 6, 2019 (incorporated by reference to Exhibit 4.1 to</w:t>
              </w:r>
            </w:hyperlink>
          </w:p>
        </w:tc>
        <w:tc>
          <w:tcPr>
            <w:tcW w:w="8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as of March 4, 2021, by and between MannKind Corporation and U.S. Bank National Association, as Trustee (incorporated by</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reference to Exhibit 4.1 to MannKind’s Current Report on Form 8-K (File No. 000-50865), filed with the SEC on March 5, 2021).</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Global Note, representing MannKind Corporation’s 2.50% Convertible Senior Notes due 2026 (included as Exhibit A to the Indenture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filed as Exhibit 4.15) (incorporated by reference to Exhibit 4.2 to MannKind’s Current Report on Form 8-K (File No. 000-50865), filed with the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SEC on March 5, 2021).</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Offer Letter, dated March 25, 2024, by and between MannKind Corporation and Chris Prentiss (incorporated by reference to Exhibit 10.1 to</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MannKind's Current Report on Form 8-K (File No. 000-50865), filed with the SEC on March 26, 2024).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Offer Letter, dated March 9, 2016, by and between MannKind Corporation and Michael E. Castagna (incorporated by reference to Exhibit 10.38</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to MannKind’s Annual Report on Form 10-K (File No. 000-50865), filed with the SEC on March 15, 2016).</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Offer Letter, dated December 22, 2016, by and between MannKind Corporation and Stuart Tross (incorporated by reference to Exhibit 10.36 to</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MannKind’s Annual Report on Form 10-K (File No. 000-50865), filed with the SEC on March 16, 2017).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Offer Letter, dated May 16, 2023, by and between MannKind Corporation and Sanjay Singh (incorporated by reference to Exhibit 10.4 to</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MannKind's Annual Report on Form 10-K (File No. 000-50865) filed with the SEC on February 27, 2024).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Executive Severance Agreement, dated October 10, 2007, by and between MannKind Corporation and David Thomson (incorporated by</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reference to Exhibit 99.1 to MannKind’s Current Report on Form 8-K (File No. 000-50865), as amended, filed with the SEC on October 17,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30">
              <w:r>
                <w:rPr>
                  <w:rFonts w:ascii="Times New Roman" w:cs="Times New Roman" w:eastAsia="Times New Roman" w:hAnsi="Times New Roman"/>
                  <w:sz w:val="18"/>
                  <w:szCs w:val="18"/>
                  <w:color w:val="0000FF"/>
                  <w:w w:val="90"/>
                </w:rPr>
                <w:t>2007).</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Indemnity Agreement entered into between MannKind Corporation and each of its directors and officers (incorporated by reference to</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Exhibit 10.1 to MannKind’s Registration Statement on Form S-1 (File No. 333-115020), filed with the SEC on April 30, 2004, as amended).</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Change of Control Agreement (incorporated by reference to Exhibit 99.1 to MannKind’s Current Report on Form 8-K (File No. 000-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50865)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April 7, 2017).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Non-Employee Director Compensation Program (incorporated by reference to Exhibit 10.1 to MannKind’s Quarterly Report on Form 10-Q (File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No. 000-50865), filed with the SEC on May 8, 2025).</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MannKind Corporation 2013 Equity Incentive Plan, as amended (incorporated by reference to Exhibit 10.1 to MannKind’s Quarterly Report 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10-Q (File No. 000-50865), filed with the SEC on August 9, 2016).</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Stock Option Grant Notice, Stock Option Agreement and Notice of Exercise under the MannKind 2013 Equity Incentive Plan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by reference to Exhibit 99.2 to MannKind’s Registration Statement on Form S-8 (File No. 000-188790), filed with the SEC 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May 23, 2013).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Restricted Stock Unit Grant Notice and Restricted Stock Unit Award Agreement under the MannKind 2013 Equity Incentive Plan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to Exhibit 99.3 to MannKind’s Registration Statement on Form S-8 (File No. 000-188790), filed with the SEC 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May 23, 2013).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MannKind Corporation 2018 Equity Incentive Plan, as amended (incorporated by reference to Exhibit 99.1 to MannKind’s Registration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Statement on Form S-8 (File No. 333-274176), filed with the SEC on August 23, 2023).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Stock Option Grant Notice, Stock Option Agreement and Notice of Exercise under the MannKind 2018 Equity Incentive Plan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by reference to Exhibit 99.2 to MannKind’s Registration Statement on Form S-8 (File No. 333-226648), filed with the SEC 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58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August 7, 2018).</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Restricted Stock Unit Grant Notice and Restricted Stock Unit Award Agreement under the MannKind 2018 Equity Incentive Plan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Exhibit 99.3 to MannKind’s Registration Statement on Form S-8 (File No. 333-226648), filed with the SEC 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58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August 7, 2018).</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MannKind Corporation 2004 Employee Stock Purchase Plan, as amended (incorporated by reference to Exhibit 99.2 to MannKind’s</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Registration Statement on Form S-8 (File No. 333-274176), filed with the SEC on August 23, 2023).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308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10420" w:type="dxa"/>
            <w:vAlign w:val="bottom"/>
            <w:gridSpan w:val="2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MannKind Corporation Market Price Stock Purchase Plan (incorporated by reference to Exhibit 99.1 to MannKind’s Registration Statement 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7"/>
            <w:shd w:val="clear" w:color="auto" w:fill="0000FF"/>
          </w:tcPr>
          <w:p>
            <w:pPr>
              <w:spacing w:after="0" w:line="20" w:lineRule="exact"/>
              <w:rPr>
                <w:sz w:val="1"/>
                <w:szCs w:val="1"/>
                <w:color w:val="auto"/>
              </w:rPr>
            </w:pPr>
          </w:p>
        </w:tc>
        <w:tc>
          <w:tcPr>
            <w:tcW w:w="5260" w:type="dxa"/>
            <w:vAlign w:val="bottom"/>
            <w:gridSpan w:val="1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3"/>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S-8 (File No. 333-225428), filed with the SEC on June 5, 2018).</w:t>
              </w:r>
            </w:hyperlink>
          </w:p>
        </w:tc>
        <w:tc>
          <w:tcPr>
            <w:tcW w:w="0" w:type="dxa"/>
            <w:vAlign w:val="bottom"/>
          </w:tcPr>
          <w:p>
            <w:pPr>
              <w:spacing w:after="0"/>
              <w:rPr>
                <w:sz w:val="1"/>
                <w:szCs w:val="1"/>
                <w:color w:val="auto"/>
              </w:rPr>
            </w:pPr>
          </w:p>
        </w:tc>
      </w:tr>
      <w:tr>
        <w:trPr>
          <w:trHeight w:val="574"/>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Borders>
              <w:top w:val="single" w:sz="8" w:color="0000FF"/>
            </w:tcBorders>
            <w:gridSpan w:val="7"/>
          </w:tcPr>
          <w:p>
            <w:pPr>
              <w:jc w:val="right"/>
              <w:ind w:right="88"/>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60" w:type="dxa"/>
            <w:vAlign w:val="bottom"/>
            <w:gridSpan w:val="14"/>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6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4"/>
                <w:szCs w:val="14"/>
                <w:color w:val="auto"/>
              </w:rPr>
            </w:pPr>
          </w:p>
        </w:tc>
        <w:tc>
          <w:tcPr>
            <w:tcW w:w="1004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Supply Agreement, July 31, 2014, by and between MannKind Corporation and Amphastar France Pharmaceuticals S.A.S. (incorporated by</w:t>
              </w:r>
            </w:hyperlink>
          </w:p>
        </w:tc>
        <w:tc>
          <w:tcPr>
            <w:tcW w:w="3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reference to Exhibit 10.23 to MannKind’s Annual Report on Form 10-K (File No. 000-50865), filed with the SEC on February 25,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First Amendment to Supply Agreement, dated October 31, 2014, by and between MannKind Corporation and Amphastar France</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Pharmaceuticals, S.A.S. and Amphastar Pharmaceuticals, Inc. (incorporated by reference to Exhibit 10.32 to MannKind’s Annual Report on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10-K (File No. 000-50865), filed with the SEC on March 16, 2017).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Second Amendment to Supply Agreement, dated November 9, 2016, by and between MannKind Corporation and Amphastar Pharmaceuticals,</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 (incorporated by reference to Exhibit 10.1 to MannKind’s Quarterly Report on Form 10-Q (File No. 000-50865), filed with the SEC on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November 7, 2024).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Third Amendment to Supply Agreement, dated April 11, 2018, by and between MannKind Corporation and Amphastar Pharmaceuticals, Inc.</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(incorporated by reference to Exhibit 10.2 to MannKind’s Quarterly Report on Form 10-Q (File No. 000-50865), filed with the SEC on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November 7, 2024).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Fourth Amendment to Supply Agreement, dated December 24, 2018, by and between MannKind Corporation and Amphastar Pharmaceuticals,</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 (incorporated by reference to Exhibit 10.50 to MannKind’s Annual Report on Form 10-K (File No. 000-50865), filed with the SEC on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February 26, 2019).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Fifth Amendment to Supply Agreement, dated August 2, 2019, by and between MannKind Corporation and Amphastar Pharmaceuticals, Inc.</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by reference to Exhibit 99.5 to MannKind’s Current Report on Form 8-K (File No. 000-50865), filed with the SEC on August 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80" w:type="dxa"/>
            <w:vAlign w:val="bottom"/>
            <w:gridSpan w:val="2"/>
          </w:tcPr>
          <w:p>
            <w:pPr>
              <w:ind w:left="100"/>
              <w:spacing w:after="0" w:line="196" w:lineRule="exact"/>
              <w:rPr>
                <w:rFonts w:ascii="Times New Roman" w:cs="Times New Roman" w:eastAsia="Times New Roman" w:hAnsi="Times New Roman"/>
                <w:sz w:val="18"/>
                <w:szCs w:val="18"/>
                <w:color w:val="0000FF"/>
                <w:w w:val="94"/>
              </w:rPr>
            </w:pPr>
            <w:hyperlink r:id="rId149">
              <w:r>
                <w:rPr>
                  <w:rFonts w:ascii="Times New Roman" w:cs="Times New Roman" w:eastAsia="Times New Roman" w:hAnsi="Times New Roman"/>
                  <w:sz w:val="18"/>
                  <w:szCs w:val="18"/>
                  <w:color w:val="0000FF"/>
                  <w:w w:val="94"/>
                </w:rPr>
                <w:t>2019).</w:t>
              </w:r>
            </w:hyperlink>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Sixth Amendment to Supply Agreement, dated May 24, 2021, by and between MannKind Corporation and Amphastar Pharmaceuticals, Inc.</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(incorporated by reference to Exhibit 99.1 to MannKind’s Current Report on Form 8-K (File No. 000-50865), filed with the SEC on May 25,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80" w:type="dxa"/>
            <w:vAlign w:val="bottom"/>
            <w:gridSpan w:val="2"/>
          </w:tcPr>
          <w:p>
            <w:pPr>
              <w:ind w:left="100"/>
              <w:spacing w:after="0" w:line="196" w:lineRule="exact"/>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2021).</w:t>
              </w:r>
            </w:hyperlink>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Seventh Amendment to Supply Agreement, dated December 22, 2023, by and between MannKind Corporation and Amphastar Pharmaceuticals,</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 (incorporated by reference to Exhibit 99.1 to MannKind’s Current Report on Form 8-K (File No. 000-50865), filed with the SEC on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December 27, 2023).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520" w:type="dxa"/>
            <w:vAlign w:val="bottom"/>
            <w:tcBorders>
              <w:right w:val="single" w:sz="8" w:color="0000EE"/>
            </w:tcBorders>
            <w:gridSpan w:val="3"/>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Office Lease, dated May 5 2017, by and between MannKind Corporation and Russell Ranch Road II LLC. (incorporated by reference to Exhibit</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MannKind’s Quarterly Report on Form 10-Q (File No. 000-50865), filed with the SEC on August 7, 2017).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320" w:type="dxa"/>
            <w:vAlign w:val="bottom"/>
            <w:tcBorders>
              <w:right w:val="single" w:sz="8" w:color="0000EE"/>
            </w:tcBorders>
            <w:gridSpan w:val="4"/>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Third Amendment to Office Lease, dated April 8, 2022, between MannKind Corporation and Russell Ranch Road II LLC (incorporated by</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2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reference to Exhibit 10.1 to MannKind's Quarterly Report on Form 10-Q (File No. 000-50865), filed with the SEC on May 5, 2022).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42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License and Collaboration Agreement, dated September 3, 2018, by and between MannKind Corporation and United Therapeutics.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840" w:right="24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54">
        <w:r>
          <w:rPr>
            <w:rFonts w:ascii="Times New Roman" w:cs="Times New Roman" w:eastAsia="Times New Roman" w:hAnsi="Times New Roman"/>
            <w:sz w:val="18"/>
            <w:szCs w:val="18"/>
            <w:u w:val="single" w:color="auto"/>
            <w:color w:val="0000FF"/>
          </w:rPr>
          <w:t>First Amendment to License and Collaboration Agreement dated August 24, 2025, by and between MannKind Corporation and United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Therapeutics Corporation (incorporated by reference to Exhibit 10.1 to MannKind’s Current Report on Form 8-K (File No. 000-50865), filed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with the SEC on August 27,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1937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61937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485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6485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6344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100" w:hanging="822"/>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58">
        <w:r>
          <w:rPr>
            <w:rFonts w:ascii="Times New Roman" w:cs="Times New Roman" w:eastAsia="Times New Roman" w:hAnsi="Times New Roman"/>
            <w:sz w:val="18"/>
            <w:szCs w:val="18"/>
            <w:u w:val="single" w:color="auto"/>
            <w:color w:val="0000FF"/>
          </w:rPr>
          <w:t>Research Agreement, dated September 3, 2018, by and between MannKind Corporation and United Therapeutics Corporation (incorporated by</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reference to Exhibit 10.3 to MannKind’s Quarterly Report on Form 10-Q (File No. 000-50865), filed with the SEC on November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-185420</wp:posOffset>
            </wp:positionV>
            <wp:extent cx="65741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65741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-48260</wp:posOffset>
            </wp:positionV>
            <wp:extent cx="63461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6346190"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940" w:type="dxa"/>
            <w:vAlign w:val="bottom"/>
            <w:gridSpan w:val="3"/>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4"/>
                <w:szCs w:val="14"/>
                <w:color w:val="auto"/>
              </w:rPr>
            </w:pPr>
          </w:p>
        </w:tc>
        <w:tc>
          <w:tcPr>
            <w:tcW w:w="972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Commercial Supply Agreement, dated August 12, 2021, by and between MannKind Corporation and United Therapeutics Corporation</w:t>
              </w:r>
            </w:hyperlink>
          </w:p>
        </w:tc>
        <w:tc>
          <w:tcPr>
            <w:tcW w:w="6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4"/>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(incorporated by reference to Exhibit 10.1 to MannKind’s Quarterly Report on Form 10-Q (File No. 000-50865), filed with the SEC on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3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4"/>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November 9, 2021).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840" w:right="8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63">
        <w:r>
          <w:rPr>
            <w:rFonts w:ascii="Times New Roman" w:cs="Times New Roman" w:eastAsia="Times New Roman" w:hAnsi="Times New Roman"/>
            <w:sz w:val="18"/>
            <w:szCs w:val="18"/>
            <w:u w:val="single" w:color="auto"/>
            <w:color w:val="0000FF"/>
          </w:rPr>
          <w:t>First Amendment to Commercial Supply Agreement, dated October 16, 2021, by and between MannKind Corporation and United Therapeutics</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Corporation (incorporated by reference to Exhibit 10.2 to MannKind’s Quarterly Report on Form 10-Q (File No. 000-50865), filed with the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SEC on November 9,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5900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659003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4128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641286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301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4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67">
        <w:r>
          <w:rPr>
            <w:rFonts w:ascii="Times New Roman" w:cs="Times New Roman" w:eastAsia="Times New Roman" w:hAnsi="Times New Roman"/>
            <w:sz w:val="18"/>
            <w:szCs w:val="18"/>
            <w:u w:val="single" w:color="auto"/>
            <w:color w:val="0000FF"/>
          </w:rPr>
          <w:t>Second Amendment to Commercial Supply Agreement, dated June 15, 2022, by and between MannKind Corporation and United Therapeutics</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Corporation (incorporated by reference to Exhibit 10.49 to MannKind's Annual Report on Form 10-K (File No. 000-50865,), filed with the SEC</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on February 23,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5582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65582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609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050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40" w:right="6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71">
        <w:r>
          <w:rPr>
            <w:rFonts w:ascii="Times New Roman" w:cs="Times New Roman" w:eastAsia="Times New Roman" w:hAnsi="Times New Roman"/>
            <w:sz w:val="18"/>
            <w:szCs w:val="18"/>
            <w:u w:val="single" w:color="auto"/>
            <w:color w:val="0000FF"/>
          </w:rPr>
          <w:t>Third Amendment to Commercial Supply Agreement, dated August 31, 2022, by and between MannKind Corporation and United Therapeutics</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Corporation (incorporated by reference to Exhibit 10.50 to MannKind's Annual Report on Form 10-K (File No. 000-50865), filed with the SEC</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on February 23,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5963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65963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588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65887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0502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10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75">
        <w:r>
          <w:rPr>
            <w:rFonts w:ascii="Times New Roman" w:cs="Times New Roman" w:eastAsia="Times New Roman" w:hAnsi="Times New Roman"/>
            <w:sz w:val="18"/>
            <w:szCs w:val="18"/>
            <w:u w:val="single" w:color="auto"/>
            <w:color w:val="0000FF"/>
          </w:rPr>
          <w:t>Fourth Amendment to Commercial Supply Agreement, dated December 22, 2022, by and between MannKind Corporation and United</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Therapeutics Corporation (incorporated by reference to Exhibit 10.51 to MannKind's Annual Report on Form 10-K (File No. 000-50865), filed</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with the SEC on February 23,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1683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616839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5697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65697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6884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16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79">
        <w:r>
          <w:rPr>
            <w:rFonts w:ascii="Times New Roman" w:cs="Times New Roman" w:eastAsia="Times New Roman" w:hAnsi="Times New Roman"/>
            <w:sz w:val="18"/>
            <w:szCs w:val="18"/>
            <w:u w:val="single" w:color="auto"/>
            <w:color w:val="0000FF"/>
          </w:rPr>
          <w:t>Fifth Amendment to Commercial Supply Agreement, dated January 8, 2024, by and between MannKind Corporation and United Therapeutics</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Corporation (incorporated by reference to Exhibit 10.2 to MannKind’s Quarterly Report on Form 10-Q (File No. 000-50865), filed with the</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SEC on May 8,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5328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65328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4128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641286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0280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2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83">
        <w:r>
          <w:rPr>
            <w:rFonts w:ascii="Times New Roman" w:cs="Times New Roman" w:eastAsia="Times New Roman" w:hAnsi="Times New Roman"/>
            <w:sz w:val="18"/>
            <w:szCs w:val="18"/>
            <w:u w:val="single" w:color="auto"/>
            <w:color w:val="0000FF"/>
          </w:rPr>
          <w:t>Sixth Amendment to Commercial Supply Agreement, dated December 2, 2024, by and between MannKind Corporation and United</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Therapeutics Corporation (incorporated by reference to Exhibit 10.3 to MannKind’s Quarterly Report on Form 10-Q (File No. 000-50865), filed</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with the SEC on May 8,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0477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604774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609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4281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900" w:hanging="822"/>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8"/>
          <w:szCs w:val="18"/>
          <w:u w:val="single" w:color="auto"/>
          <w:color w:val="0000FF"/>
        </w:rPr>
        <w:t>Seventh Amendment to Commercial Supply Agreement, dated January 7, 2026, by and between MannKind Corporation and United Therapeutics Corporation.</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-185420</wp:posOffset>
            </wp:positionV>
            <wp:extent cx="60604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-48260</wp:posOffset>
            </wp:positionV>
            <wp:extent cx="1199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69" w:lineRule="exact"/>
        <w:rPr>
          <w:rFonts w:ascii="Times New Roman" w:cs="Times New Roman" w:eastAsia="Times New Roman" w:hAnsi="Times New Roman"/>
          <w:sz w:val="18"/>
          <w:szCs w:val="18"/>
          <w:u w:val="single" w:color="auto"/>
          <w:color w:val="0000FF"/>
        </w:rPr>
      </w:pPr>
    </w:p>
    <w:p>
      <w:pPr>
        <w:ind w:left="840" w:right="420" w:hanging="822"/>
        <w:spacing w:after="0" w:line="312"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89">
        <w:r>
          <w:rPr>
            <w:rFonts w:ascii="Times New Roman" w:cs="Times New Roman" w:eastAsia="Times New Roman" w:hAnsi="Times New Roman"/>
            <w:sz w:val="17"/>
            <w:szCs w:val="17"/>
            <w:u w:val="single" w:color="auto"/>
            <w:color w:val="0000FF"/>
          </w:rPr>
          <w:t>Purchase and Sale Agreement, dated September 23, 2021, by and between MannKind Corporation and 1 Casper, LLC (incorporated by</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reference to Exhibit 10.3 to MannKind’s Quarterly Report on Form 10-Q (File No. 000-50865), filed with the SEC on November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-198755</wp:posOffset>
            </wp:positionV>
            <wp:extent cx="62090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620903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-61595</wp:posOffset>
            </wp:positionV>
            <wp:extent cx="63461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6346190" cy="8255"/>
                    </a:xfrm>
                    <a:prstGeom prst="rect">
                      <a:avLst/>
                    </a:prstGeom>
                    <a:noFill/>
                  </pic:spPr>
                </pic:pic>
              </a:graphicData>
            </a:graphic>
          </wp:anchor>
        </w:drawing>
      </w:r>
    </w:p>
    <w:p>
      <w:pPr>
        <w:spacing w:after="0" w:line="25" w:lineRule="exact"/>
        <w:rPr>
          <w:sz w:val="20"/>
          <w:szCs w:val="20"/>
          <w:color w:val="auto"/>
        </w:rPr>
      </w:pPr>
    </w:p>
    <w:p>
      <w:pPr>
        <w:ind w:left="840" w:right="24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92">
        <w:r>
          <w:rPr>
            <w:rFonts w:ascii="Times New Roman" w:cs="Times New Roman" w:eastAsia="Times New Roman" w:hAnsi="Times New Roman"/>
            <w:sz w:val="18"/>
            <w:szCs w:val="18"/>
            <w:u w:val="single" w:color="auto"/>
            <w:color w:val="0000FF"/>
          </w:rPr>
          <w:t>Purchase and Sale Agreement, dated December 27, 2023, by and between MannKind Corporation and Sagard Healthcare Funding Partners</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Borrower 2 SPE, LP (incorporated by reference to Exhibit 99.1 to MannKind’s Current Report on Form 8-K (File No. 000-50865), filed with</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the SEC on January 2,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3804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63804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485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648589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3423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840" w:right="360" w:hanging="822"/>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196">
        <w:r>
          <w:rPr>
            <w:rFonts w:ascii="Times New Roman" w:cs="Times New Roman" w:eastAsia="Times New Roman" w:hAnsi="Times New Roman"/>
            <w:sz w:val="18"/>
            <w:szCs w:val="18"/>
            <w:u w:val="single" w:color="auto"/>
            <w:color w:val="0000FF"/>
          </w:rPr>
          <w:t>Office Lease, dated May 10, 2017, by and between Valeritas, Inc. and RFP Lincoln 293 LLC (incorporated by reference to Exhibit 10.52 to</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MannKind’s Annual Report on Form 10-K (File No. 000-50865), filed with the SEC on February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-185420</wp:posOffset>
            </wp:positionV>
            <wp:extent cx="64122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-48260</wp:posOffset>
            </wp:positionV>
            <wp:extent cx="49504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4950460" cy="8255"/>
                    </a:xfrm>
                    <a:prstGeom prst="rect">
                      <a:avLst/>
                    </a:prstGeom>
                    <a:noFill/>
                  </pic:spPr>
                </pic:pic>
              </a:graphicData>
            </a:graphic>
          </wp:anchor>
        </w:drawing>
      </w:r>
    </w:p>
    <w:p>
      <w:pPr>
        <w:spacing w:after="0" w:line="47" w:lineRule="exact"/>
        <w:rPr>
          <w:sz w:val="20"/>
          <w:szCs w:val="20"/>
          <w:color w:val="auto"/>
        </w:rPr>
      </w:pPr>
    </w:p>
    <w:p>
      <w:pPr>
        <w:ind w:left="840" w:right="40" w:hanging="822"/>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99">
        <w:r>
          <w:rPr>
            <w:rFonts w:ascii="Times New Roman" w:cs="Times New Roman" w:eastAsia="Times New Roman" w:hAnsi="Times New Roman"/>
            <w:sz w:val="18"/>
            <w:szCs w:val="18"/>
            <w:u w:val="single" w:color="auto"/>
            <w:color w:val="0000FF"/>
          </w:rPr>
          <w:t>First Amendment to Office Lease, dated February 11, 2019, by and between Valeritas, Inc. and BRP 293 Equity Partners, LLC (incorporated by</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reference to Exhibit 10.53 to MannKind’s Annual Report on Form 10-K (File No. 000-50865), filed with the SEC on February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-185420</wp:posOffset>
            </wp:positionV>
            <wp:extent cx="6609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-48260</wp:posOffset>
            </wp:positionV>
            <wp:extent cx="62896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6289675" cy="8890"/>
                    </a:xfrm>
                    <a:prstGeom prst="rect">
                      <a:avLst/>
                    </a:prstGeom>
                    <a:noFill/>
                  </pic:spPr>
                </pic:pic>
              </a:graphicData>
            </a:graphic>
          </wp:anchor>
        </w:drawing>
      </w:r>
    </w:p>
    <w:p>
      <w:pPr>
        <w:spacing w:after="0" w:line="47" w:lineRule="exact"/>
        <w:rPr>
          <w:sz w:val="20"/>
          <w:szCs w:val="20"/>
          <w:color w:val="auto"/>
        </w:rPr>
      </w:pPr>
    </w:p>
    <w:p>
      <w:pPr>
        <w:ind w:left="840" w:right="16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202">
        <w:r>
          <w:rPr>
            <w:rFonts w:ascii="Times New Roman" w:cs="Times New Roman" w:eastAsia="Times New Roman" w:hAnsi="Times New Roman"/>
            <w:sz w:val="18"/>
            <w:szCs w:val="18"/>
            <w:u w:val="single" w:color="auto"/>
            <w:color w:val="0000FF"/>
          </w:rPr>
          <w:t>Loan Agreement, dated August 6, 2025, among MannKind Corporation, certain subsidiaries of MannKind Corporation, Wilmington Trust,</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National Association, Blackstone Alternative Credit Advisors LP and the lenders from time to time party thereto (incorporated by reference to</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Exhibit 10.2 to MannKind’s Quarterly Report on Form 10-Q (File No. 000-50865), filed with the SEC on August 6,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3779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5328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65328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56235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840" w:right="360" w:hanging="822"/>
        <w:spacing w:after="0" w:line="261"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206">
        <w:r>
          <w:rPr>
            <w:rFonts w:ascii="Times New Roman" w:cs="Times New Roman" w:eastAsia="Times New Roman" w:hAnsi="Times New Roman"/>
            <w:sz w:val="18"/>
            <w:szCs w:val="18"/>
            <w:u w:val="single" w:color="auto"/>
            <w:color w:val="0000FF"/>
          </w:rPr>
          <w:t>Amendment No.1 to the Loan Agreement, dated August 24, 2025, among MannKind Corporation, certain subsidiaries of MannKind</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Corporation, Wilmington Trust, National Association, Blackstone Alternative Credit Advisors LP and the lenders from time to time party</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thereto (incorporated by reference to Exhibit 10.2 to MannKind’s Current Report on Form 8-K (File No. 000-50865), filed with the SEC on</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August 25,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-448310</wp:posOffset>
            </wp:positionV>
            <wp:extent cx="60794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60794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-311150</wp:posOffset>
            </wp:positionV>
            <wp:extent cx="63176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-173990</wp:posOffset>
            </wp:positionV>
            <wp:extent cx="64128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641286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-36830</wp:posOffset>
            </wp:positionV>
            <wp:extent cx="8248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840" w:right="340" w:hanging="822"/>
        <w:spacing w:after="0" w:line="266"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10.44</w:t>
      </w:r>
      <w:r>
        <w:rPr>
          <w:sz w:val="20"/>
          <w:szCs w:val="20"/>
          <w:color w:val="auto"/>
        </w:rPr>
        <w:tab/>
      </w:r>
      <w:hyperlink r:id="rId211">
        <w:r>
          <w:rPr>
            <w:rFonts w:ascii="Times New Roman" w:cs="Times New Roman" w:eastAsia="Times New Roman" w:hAnsi="Times New Roman"/>
            <w:sz w:val="18"/>
            <w:szCs w:val="18"/>
            <w:u w:val="single" w:color="auto"/>
            <w:color w:val="0000FF"/>
          </w:rPr>
          <w:t>Contingent Value Rights Agreement, dated October 7, 2025, by and between MannKind Corporation and Broadridge Corporate Issuer</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Solutions, LLC (incorporated by reference to Exhibit 10.1 to MannKind’s Current Report on Form 8-K (File No. 000-50865), filed with the</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SEC on October 9,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-313055</wp:posOffset>
            </wp:positionV>
            <wp:extent cx="61747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617474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-175895</wp:posOffset>
            </wp:positionV>
            <wp:extent cx="64192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64192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1868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840" w:right="20" w:hanging="822"/>
        <w:spacing w:after="0" w:line="28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215">
        <w:r>
          <w:rPr>
            <w:rFonts w:ascii="Times New Roman" w:cs="Times New Roman" w:eastAsia="Times New Roman" w:hAnsi="Times New Roman"/>
            <w:sz w:val="18"/>
            <w:szCs w:val="18"/>
            <w:u w:val="single" w:color="auto"/>
            <w:color w:val="0000FF"/>
          </w:rPr>
          <w:t>Insider Trading Policy (incorporated by reference to Exhibit 19.1 to MannKind’s Annual Report on Form 10-K (File No. 000-50865), filed with</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the SEC on February 26,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-185420</wp:posOffset>
            </wp:positionV>
            <wp:extent cx="66090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-48260</wp:posOffset>
            </wp:positionV>
            <wp:extent cx="1456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1456690" cy="889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4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-20320</wp:posOffset>
            </wp:positionV>
            <wp:extent cx="18148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-7620</wp:posOffset>
            </wp:positionV>
            <wp:extent cx="2769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1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Rules 13a-14(a) and 15d-14(a)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-7620</wp:posOffset>
            </wp:positionV>
            <wp:extent cx="64147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6414770" cy="8255"/>
                    </a:xfrm>
                    <a:prstGeom prst="rect">
                      <a:avLst/>
                    </a:prstGeom>
                    <a:noFill/>
                  </pic:spPr>
                </pic:pic>
              </a:graphicData>
            </a:graphic>
          </wp:anchor>
        </w:drawing>
      </w:r>
    </w:p>
    <w:p>
      <w:pPr>
        <w:spacing w:after="0" w:line="1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Rules 13a-14(a) and 15d-14(a)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-7620</wp:posOffset>
            </wp:positionV>
            <wp:extent cx="63836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6383655" cy="8255"/>
                    </a:xfrm>
                    <a:prstGeom prst="rect">
                      <a:avLst/>
                    </a:prstGeom>
                    <a:noFill/>
                  </pic:spPr>
                </pic:pic>
              </a:graphicData>
            </a:graphic>
          </wp:anchor>
        </w:drawing>
      </w:r>
    </w:p>
    <w:p>
      <w:pPr>
        <w:spacing w:after="0" w:line="111" w:lineRule="exact"/>
        <w:rPr>
          <w:sz w:val="20"/>
          <w:szCs w:val="20"/>
          <w:color w:val="auto"/>
        </w:rPr>
      </w:pPr>
    </w:p>
    <w:p>
      <w:pPr>
        <w:ind w:left="840" w:right="260" w:hanging="822"/>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Rules 13a-14(b) and 15d-14(b) of the Securities Exchange Act of 1934, as amended, and Section 1350 of Chapter 63 of Title 18 of the United States Code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-185420</wp:posOffset>
            </wp:positionV>
            <wp:extent cx="64566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64566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-48260</wp:posOffset>
            </wp:positionV>
            <wp:extent cx="4061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4061460" cy="8255"/>
                    </a:xfrm>
                    <a:prstGeom prst="rect">
                      <a:avLst/>
                    </a:prstGeom>
                    <a:noFill/>
                  </pic:spPr>
                </pic:pic>
              </a:graphicData>
            </a:graphic>
          </wp:anchor>
        </w:drawing>
      </w:r>
    </w:p>
    <w:p>
      <w:pPr>
        <w:spacing w:after="0" w:line="47" w:lineRule="exact"/>
        <w:rPr>
          <w:sz w:val="20"/>
          <w:szCs w:val="20"/>
          <w:color w:val="auto"/>
        </w:rPr>
      </w:pPr>
    </w:p>
    <w:p>
      <w:pPr>
        <w:ind w:left="840" w:right="20" w:hanging="822"/>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pursuant to Rules 13a-14(b) and 15d-14(b) of the Securities Exchange Act of 1934, as amended, and Section 1350 of Chapter 63 of Title 18 of the United States Code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-185420</wp:posOffset>
            </wp:positionV>
            <wp:extent cx="66090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-48260</wp:posOffset>
            </wp:positionV>
            <wp:extent cx="38684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3868420" cy="8255"/>
                    </a:xfrm>
                    <a:prstGeom prst="rect">
                      <a:avLst/>
                    </a:prstGeom>
                    <a:noFill/>
                  </pic:spPr>
                </pic:pic>
              </a:graphicData>
            </a:graphic>
          </wp:anchor>
        </w:drawing>
      </w:r>
    </w:p>
    <w:p>
      <w:pPr>
        <w:spacing w:after="0" w:line="47" w:lineRule="exact"/>
        <w:rPr>
          <w:sz w:val="20"/>
          <w:szCs w:val="20"/>
          <w:color w:val="auto"/>
        </w:rPr>
      </w:pPr>
    </w:p>
    <w:p>
      <w:pPr>
        <w:ind w:left="840" w:hanging="832"/>
        <w:spacing w:after="0" w:line="282" w:lineRule="auto"/>
        <w:tabs>
          <w:tab w:leader="none" w:pos="840" w:val="left"/>
        </w:tabs>
        <w:numPr>
          <w:ilvl w:val="0"/>
          <w:numId w:val="40"/>
        </w:numPr>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Dodd-Frank Clawback Policy (incorporated by reference to Exhibit 97 to MannKind's Annual Report on Form 10-K (File No. 000-80865), filed</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with the SEC on February 27,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527685</wp:posOffset>
            </wp:positionH>
            <wp:positionV relativeFrom="paragraph">
              <wp:posOffset>-185420</wp:posOffset>
            </wp:positionV>
            <wp:extent cx="6609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-48260</wp:posOffset>
            </wp:positionV>
            <wp:extent cx="16884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Interactive Data Files pursuant to Rule 405 of Regulation S-T.</w:t>
      </w:r>
    </w:p>
    <w:p>
      <w:pPr>
        <w:spacing w:after="0" w:line="130"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has been formatted in Inline XBRL.</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have been omitted pursuant to Item 601(b)(10)(iv) of Regulation S-K.</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Certain annexes, exhibits and schedules have been omitted pursuant to Item 601(a)(5) of Regulation S-K.</w:t>
      </w:r>
    </w:p>
    <w:p>
      <w:pPr>
        <w:spacing w:after="0" w:line="1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3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MANNKIND CORPORATION</w:t>
      </w:r>
    </w:p>
    <w:p>
      <w:pPr>
        <w:spacing w:after="0" w:line="252" w:lineRule="exact"/>
        <w:rPr>
          <w:sz w:val="20"/>
          <w:szCs w:val="20"/>
          <w:color w:val="auto"/>
        </w:rPr>
      </w:pPr>
    </w:p>
    <w:p>
      <w:pPr>
        <w:ind w:left="6100"/>
        <w:spacing w:after="0"/>
        <w:tabs>
          <w:tab w:leader="none" w:pos="6540" w:val="left"/>
          <w:tab w:leader="none" w:pos="6900" w:val="left"/>
        </w:tabs>
        <w:rPr>
          <w:sz w:val="20"/>
          <w:szCs w:val="20"/>
          <w:color w:val="auto"/>
        </w:rPr>
      </w:pPr>
      <w:r>
        <w:rPr>
          <w:rFonts w:ascii="Times New Roman" w:cs="Times New Roman" w:eastAsia="Times New Roman" w:hAnsi="Times New Roman"/>
          <w:sz w:val="18"/>
          <w:szCs w:val="18"/>
          <w:color w:val="auto"/>
        </w:rPr>
        <w:t>By:</w:t>
        <w:tab/>
        <w:t>/s/</w:t>
        <w:tab/>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spacing w:after="0" w:line="8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53"/>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Castagna</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2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B. Prentiss</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 Prentiss</w:t>
            </w:r>
          </w:p>
        </w:tc>
        <w:tc>
          <w:tcPr>
            <w:tcW w:w="2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 Shannon</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James S. Shannon, M.D., MRCP (UK)</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B. Binder</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Steven B. Binder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J. Consiglio</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Ronald J. Consiglio</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Friedman, M.D.</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Michael Friedman, M.D.</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Grancio</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Jennifer Grancio</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Anthony C. Hooper</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7"/>
        </w:trPr>
        <w:tc>
          <w:tcPr>
            <w:tcW w:w="3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Anthony C. Hooper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6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Sabrina Kay, Ed.D.</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Sabrina Kay, Ed.D.</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Christine Mundkur</w:t>
            </w:r>
          </w:p>
        </w:tc>
        <w:tc>
          <w:tcPr>
            <w:tcW w:w="2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7"/>
        </w:trPr>
        <w:tc>
          <w:tcPr>
            <w:tcW w:w="3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Christine Mundkur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57"/>
        </w:trPr>
        <w:tc>
          <w:tcPr>
            <w:tcW w:w="3940" w:type="dxa"/>
            <w:vAlign w:val="bottom"/>
          </w:tcPr>
          <w:p>
            <w:pPr>
              <w:spacing w:after="0"/>
              <w:rPr>
                <w:sz w:val="24"/>
                <w:szCs w:val="24"/>
                <w:color w:val="auto"/>
              </w:rPr>
            </w:pPr>
          </w:p>
        </w:tc>
        <w:tc>
          <w:tcPr>
            <w:tcW w:w="5060" w:type="dxa"/>
            <w:vAlign w:val="bottom"/>
            <w:gridSpan w:val="2"/>
          </w:tcPr>
          <w:p>
            <w:pPr>
              <w:jc w:val="right"/>
              <w:ind w:right="3191"/>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96"/>
        </w:trPr>
        <w:tc>
          <w:tcPr>
            <w:tcW w:w="422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680" w:type="dxa"/>
            <w:vAlign w:val="bottom"/>
            <w:gridSpan w:val="2"/>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6"/>
        </w:trPr>
        <w:tc>
          <w:tcPr>
            <w:tcW w:w="42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640" w:type="dxa"/>
            <w:vAlign w:val="bottom"/>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7"/>
                <w:szCs w:val="17"/>
                <w:color w:val="auto"/>
              </w:rPr>
            </w:pPr>
          </w:p>
        </w:tc>
        <w:tc>
          <w:tcPr>
            <w:tcW w:w="2780" w:type="dxa"/>
            <w:vAlign w:val="bottom"/>
            <w:gridSpan w:val="8"/>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35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Deficit</w:t>
            </w:r>
          </w:p>
        </w:tc>
        <w:tc>
          <w:tcPr>
            <w:tcW w:w="1320" w:type="dxa"/>
            <w:vAlign w:val="bottom"/>
            <w:gridSpan w:val="3"/>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2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7"/>
                <w:szCs w:val="17"/>
                <w:color w:val="auto"/>
              </w:rPr>
            </w:pPr>
          </w:p>
        </w:tc>
        <w:tc>
          <w:tcPr>
            <w:tcW w:w="2000" w:type="dxa"/>
            <w:vAlign w:val="bottom"/>
            <w:gridSpan w:val="5"/>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4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669"/>
        </w:trPr>
        <w:tc>
          <w:tcPr>
            <w:tcW w:w="2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73</w:t>
            </w: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MannKind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MannKind Corporation and subsidiaries (the "Company") as of December 31, 2025 and 2024, and the related consolidated statements of operations, comprehensive income (loss), stockholders’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Internal Control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Integrated Framework (2013) issued by the Committee of Sponsoring Organizations of the Treadway Commission and our report dated February 26,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a matter arising from the current-period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Collaborations and Services – Revenue Forecast – Refer to Notes 2 and 11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With respect to the Company's significant collaboration and service agreement that includes a long-term commercial supply agreement, the Company identified three distinct performance obligations: (1) the license, supply of product to be used in clinical development, and continued development and approval support for Tyvaso DPI; (2) development activities for the next generation of the product; and (3) a material right associated with current and future manufacturing and supply of product (“Manufacturing Services”).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Deferred revenue related to Manufacturing Services is recognized as product is delivered over the commercial supply agreement using an output method based on the estimate of measurement of progress. Consideration received that does not meet the requirements to satisfy the revenue recognition criteria is recorded as deferred revenue.</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the level of effort required and the period over which the Company is expected to complete its performance obligation under this arrangement, which in turn is utilized to estimate the amount of Manufacturing Services that should be recognized, as control of manufactured products is transferred to the customer. This estimation utilizes the Company’s actual product revenue, as well as the forecasted product revenue related to the delivery of its performance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the forecasted revenue associated with collaboration and services revenue as a critical audit matter because of the judgments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spacing w:after="0" w:line="266" w:lineRule="auto"/>
        <w:rPr>
          <w:sz w:val="20"/>
          <w:szCs w:val="20"/>
          <w:color w:val="auto"/>
        </w:rPr>
      </w:pPr>
      <w:r>
        <w:rPr>
          <w:rFonts w:ascii="Times New Roman" w:cs="Times New Roman" w:eastAsia="Times New Roman" w:hAnsi="Times New Roman"/>
          <w:sz w:val="18"/>
          <w:szCs w:val="18"/>
          <w:color w:val="auto"/>
        </w:rPr>
        <w:t>necessary for management to estimate the projected development plan. Given the complexity involved in determining the significant assumptions and judgments used in estimating the forecasted product revenue over the contract term, auditing such estimates required a high degree of auditor judgment and increased extent of audit effort.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estimates of the forecasted revenue, included the following, among others:</w:t>
      </w:r>
    </w:p>
    <w:p>
      <w:pPr>
        <w:spacing w:after="0" w:line="117" w:lineRule="exact"/>
        <w:rPr>
          <w:sz w:val="20"/>
          <w:szCs w:val="20"/>
          <w:color w:val="auto"/>
        </w:rPr>
      </w:pPr>
    </w:p>
    <w:p>
      <w:pPr>
        <w:ind w:left="1020" w:right="3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processes to assess and evaluate the reasonableness of the forecasted product revenue.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the following procedures to evaluate the significant assumptions and judgments used by management to develop the revenue forecast:</w:t>
      </w:r>
    </w:p>
    <w:p>
      <w:pPr>
        <w:spacing w:after="0" w:line="53" w:lineRule="exact"/>
        <w:rPr>
          <w:rFonts w:ascii="Times New Roman" w:cs="Times New Roman" w:eastAsia="Times New Roman" w:hAnsi="Times New Roman"/>
          <w:sz w:val="18"/>
          <w:szCs w:val="18"/>
          <w:color w:val="auto"/>
        </w:rPr>
      </w:pPr>
    </w:p>
    <w:p>
      <w:pPr>
        <w:ind w:left="1540" w:right="1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oEvaluated the appropriateness of the method used by the Company to generate the estimate based on our understanding of the nature of the contract.</w:t>
      </w:r>
    </w:p>
    <w:p>
      <w:pPr>
        <w:spacing w:after="0" w:line="53" w:lineRule="exact"/>
        <w:rPr>
          <w:rFonts w:ascii="Times New Roman" w:cs="Times New Roman" w:eastAsia="Times New Roman" w:hAnsi="Times New Roman"/>
          <w:sz w:val="18"/>
          <w:szCs w:val="18"/>
          <w:color w:val="auto"/>
        </w:rPr>
      </w:pPr>
    </w:p>
    <w:p>
      <w:pPr>
        <w:ind w:left="1540" w:right="5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oEvaluated management’s ability to estimate total forecasted revenue by comparing actual revenues to management’s historical estimates and changes in historical forecasts.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Tested the mathematical accuracy of the Company’s calculations used.</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Evaluated the accuracy and completeness of data used by management to generate the estimate.</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Intangible Assets – Valuation of Developed Technology – On-body infusor and IPR&amp;D – Furoscix ReadyFlow Autoinjector - Refer to Notes 2, 3 and 8 to the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7, 2025, the Company completed its merger with scPharmaceuticals Inc. (“scPharma”), a publicly held pharmaceutical company focused on cardiovascular and renal care. The merger with scPharma was accounted for as a business combination using the acquisition method of accounting, which requires the assets acquired and liabilities assumed to be recognized at their respective fair values as of the effective date. Accordingly, the purchase price was allocated to the tangible and intangibles assets acquired based on their respective fair values, including developed technology intangible assets of $194.0 million and IPR&amp;D intangible assets of $129.6 million.</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fair value of the acquired developed technology related to the on-body infusor and the IPR&amp;D related to the ReadyFlow Formulation were derived using an income approach, specifically a projected discounted cash flow method, adjusted for the probability of regulatory and commercial success. The determination of the fair value of the developed technology and IPR&amp;D intangible assets required management to make significant estimates and assumptions related to future cash flows and the discount rate.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identified the valuation of the acquired developed technology and IPR&amp;D intangible assets acquired as a critical audit matter because of the significant estimates and assumptions management made related to the future revenue growth and expenses, and the selection of the discount rate to determine the fair value of these assets. This required a high degree of auditor judgment and an increased extent of effort, including the involvement of our fair value specialists, when performing audit procedures to evaluate the reasonableness of management's forecasts of future cash flows and the discount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estimates of future cash flows and discount rate for the acquired developed technology and IPR&amp;D intangible assets included the following, among others:</w:t>
      </w:r>
    </w:p>
    <w:p>
      <w:pPr>
        <w:spacing w:after="0" w:line="270" w:lineRule="exact"/>
        <w:rPr>
          <w:sz w:val="20"/>
          <w:szCs w:val="20"/>
          <w:color w:val="auto"/>
        </w:rPr>
      </w:pPr>
    </w:p>
    <w:p>
      <w:pPr>
        <w:ind w:left="1020" w:right="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valuation of the developed technology and IPR&amp;D intangible assets, including those over estimates of future cash flows and the selection of the discount rate.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analyses of the significant assumptions used in the developed technology and IPR&amp;D valuation models to evaluate the change in fair value resulting from changes in the significant assumptions.</w:t>
      </w:r>
    </w:p>
    <w:p>
      <w:pPr>
        <w:spacing w:after="0" w:line="53"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estimated cash flows by inquiring of management regarding its processes for developing estimated cash flows and comparing the estimates to historical results of the Company, cash flow results of other acquisitions completed in recent years, and growth assumptions observed for comparable peer companies.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estimated revenue growth rates and cash flows were consistent with evidence obtained in other areas of the audit, including a retrospective review of actual post-acquisition financial results.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5" w:name="page76"/>
    <w:bookmarkEnd w:id="75"/>
    <w:p>
      <w:pPr>
        <w:ind w:left="1020" w:hanging="503"/>
        <w:spacing w:after="0" w:line="26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(1) evaluated the reasonableness of the valuation methodology; (2) evaluated the reasonableness of the discount rate through comparing the data underlying the determination of the discount rate to independent sources and developing a range of independent estimates and compared those to the discount rates selected by management; and (3) tested the mathematical accuracy of the discounted cash flow calculation.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76" w:name="page77"/>
    <w:bookmarkEnd w:id="76"/>
    <w:p>
      <w:pPr>
        <w:ind w:left="352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130175</wp:posOffset>
            </wp:positionV>
            <wp:extent cx="9398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220" w:type="dxa"/>
            <w:vAlign w:val="bottom"/>
            <w:gridSpan w:val="6"/>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 share data)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product sales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114,137</w:t>
            </w: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82,329</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348,966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 – commercial, excluding amortization of acquired intangible assets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66,348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(3,907)</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310,165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212,917</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(11,981)</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(15,151)</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(16,172)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(9,828)</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(9,825)</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available-for-sale investment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(20,444)</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(42,069)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(19,055)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 (benefit) expense</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(10,377)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4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4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305,639</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274,415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 basic</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4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4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314,112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283,844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 diluted</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-3977005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-3977005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-2862580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-2862580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-1473835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-899795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-882015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-899795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-882015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-462280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-445135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-462280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-445135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3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impairment of available-for-sale</w:t>
            </w: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included in net income (loss)</w:t>
            </w:r>
          </w:p>
        </w:tc>
        <w:tc>
          <w:tcPr>
            <w:tcW w:w="1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3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160" w:type="dxa"/>
            <w:vAlign w:val="bottom"/>
            <w:gridSpan w:val="4"/>
          </w:tcPr>
          <w:p>
            <w:pPr>
              <w:jc w:val="right"/>
              <w:ind w:right="1188"/>
              <w:spacing w:after="0" w:line="118" w:lineRule="exact"/>
              <w:rPr>
                <w:sz w:val="20"/>
                <w:szCs w:val="20"/>
                <w:color w:val="auto"/>
              </w:rPr>
            </w:pPr>
            <w:r>
              <w:rPr>
                <w:rFonts w:ascii="Times New Roman" w:cs="Times New Roman" w:eastAsia="Times New Roman" w:hAnsi="Times New Roman"/>
                <w:sz w:val="13"/>
                <w:szCs w:val="13"/>
                <w:b w:val="1"/>
                <w:bCs w:val="1"/>
                <w:color w:val="auto"/>
              </w:rPr>
              <w:t>except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80" w:type="dxa"/>
            <w:vAlign w:val="bottom"/>
            <w:gridSpan w:val="6"/>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ind w:left="31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74,882</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46,339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96,464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150,917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38,367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46,553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31,360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291,579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268,306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82,423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85,365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 - on-body infusor</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190,027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IPR&amp;D - ReadyFlow Formulation</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26,757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2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4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792,182</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393,843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2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ind w:left="18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9,034</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64,628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Senior convertible notes – current</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Liability for sale of future royalties – current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Contingent consideration - current</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21,132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Financing liability – current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 – current</w:t>
            </w:r>
          </w:p>
        </w:tc>
        <w:tc>
          <w:tcPr>
            <w:tcW w:w="10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15,331</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171,031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81,837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Liability for sale of future royalties – long term</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136,985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Financing liability – long term</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revenue – long term</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39,977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51,160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Recognized loss on purchase commitments – long term</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liability</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 long term</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Milestone liabilities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318,361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Senior convertible notes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tcBorders>
              <w:top w:val="single" w:sz="8" w:color="CFF0FC"/>
            </w:tcBorders>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02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843,204</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472,659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14)</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deficit: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0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Undesignated preferred stock, $0.01 par value – 10,000,000 shares authorized;</w:t>
            </w: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6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 shares issued or outstanding as of December 31, 2025 or December 31, 2024</w:t>
            </w: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0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 800,000,000 shares authorized;</w:t>
            </w: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307,832,587 and 302,959,782 shares issued and outstanding as of</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December 31, 2025 and December 31, 2024, respectively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3,141,741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3,118,865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(3,195,956)</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(3,201,819)</w:t>
            </w:r>
          </w:p>
        </w:tc>
        <w:tc>
          <w:tcPr>
            <w:tcW w:w="0" w:type="dxa"/>
            <w:vAlign w:val="bottom"/>
          </w:tcPr>
          <w:p>
            <w:pPr>
              <w:spacing w:after="0"/>
              <w:rPr>
                <w:sz w:val="1"/>
                <w:szCs w:val="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stockholders' deficit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(51,022)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(78,816)</w:t>
            </w:r>
          </w:p>
        </w:tc>
        <w:tc>
          <w:tcPr>
            <w:tcW w:w="0" w:type="dxa"/>
            <w:vAlign w:val="bottom"/>
          </w:tcPr>
          <w:p>
            <w:pPr>
              <w:spacing w:after="0"/>
              <w:rPr>
                <w:sz w:val="1"/>
                <w:szCs w:val="1"/>
                <w:color w:val="auto"/>
              </w:rPr>
            </w:pPr>
          </w:p>
        </w:tc>
      </w:tr>
      <w:tr>
        <w:trPr>
          <w:trHeight w:val="182"/>
        </w:trPr>
        <w:tc>
          <w:tcPr>
            <w:tcW w:w="602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deficit</w:t>
            </w:r>
          </w:p>
        </w:tc>
        <w:tc>
          <w:tcPr>
            <w:tcW w:w="1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792,182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393,843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-4165600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-3205480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-3188335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-2236470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-1285240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-231140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2100" w:type="dxa"/>
            <w:vAlign w:val="bottom"/>
            <w:gridSpan w:val="4"/>
            <w:vMerge w:val="restart"/>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80" w:type="dxa"/>
            <w:vAlign w:val="bottom"/>
          </w:tcPr>
          <w:p>
            <w:pPr>
              <w:spacing w:after="0"/>
              <w:rPr>
                <w:sz w:val="12"/>
                <w:szCs w:val="12"/>
                <w:color w:val="auto"/>
              </w:rPr>
            </w:pPr>
          </w:p>
        </w:tc>
        <w:tc>
          <w:tcPr>
            <w:tcW w:w="210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17"/>
              <w:spacing w:after="0" w:line="14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9"/>
                <w:szCs w:val="9"/>
                <w:color w:val="auto"/>
              </w:rPr>
            </w:pPr>
          </w:p>
        </w:tc>
        <w:tc>
          <w:tcPr>
            <w:tcW w:w="1040" w:type="dxa"/>
            <w:vAlign w:val="bottom"/>
            <w:gridSpan w:val="2"/>
          </w:tcPr>
          <w:p>
            <w:pPr>
              <w:jc w:val="right"/>
              <w:ind w:right="340"/>
              <w:spacing w:after="0" w:line="109"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3"/>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BALANCE, JANUARY 1, 2023</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263,793</w:t>
            </w:r>
          </w:p>
        </w:tc>
        <w:tc>
          <w:tcPr>
            <w:tcW w:w="4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2,638</w:t>
            </w:r>
          </w:p>
        </w:tc>
        <w:tc>
          <w:tcPr>
            <w:tcW w:w="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2,964,293</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(3,217,469)</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(250,538)</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with restricted stock units and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(10,203)</w:t>
            </w: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(10,162)</w:t>
            </w: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conversion of Mann Group convertible note interest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Issuance of at-the-market offering</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Issuance costs associated with at-the-market offering</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(11,938)</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(11,938)</w:t>
            </w:r>
          </w:p>
        </w:tc>
        <w:tc>
          <w:tcPr>
            <w:tcW w:w="0" w:type="dxa"/>
            <w:vAlign w:val="bottom"/>
          </w:tcPr>
          <w:p>
            <w:pPr>
              <w:spacing w:after="0"/>
              <w:rPr>
                <w:sz w:val="1"/>
                <w:szCs w:val="1"/>
                <w:color w:val="auto"/>
              </w:rPr>
            </w:pPr>
          </w:p>
        </w:tc>
      </w:tr>
      <w:tr>
        <w:trPr>
          <w:trHeight w:val="128"/>
        </w:trPr>
        <w:tc>
          <w:tcPr>
            <w:tcW w:w="458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270,034</w:t>
            </w:r>
          </w:p>
        </w:tc>
        <w:tc>
          <w:tcPr>
            <w:tcW w:w="26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2,700</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2,980,539</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(3,229,407)</w:t>
            </w:r>
          </w:p>
        </w:tc>
        <w:tc>
          <w:tcPr>
            <w:tcW w:w="22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(246,168)</w:t>
            </w:r>
          </w:p>
        </w:tc>
        <w:tc>
          <w:tcPr>
            <w:tcW w:w="10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580" w:type="dxa"/>
            <w:vAlign w:val="bottom"/>
            <w:shd w:val="clear" w:color="auto" w:fill="CFF0FC"/>
          </w:tcPr>
          <w:p>
            <w:pPr>
              <w:ind w:left="8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with restricted stock units and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(6,125)</w:t>
            </w: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(6,087)</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conversion of Mann Group convertible note principal</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conversion of Mann Group convertible note interest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conversion of senior convertible note principal</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26,750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116,172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21,358</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gain on available-for-sale securities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27,588</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302,960</w:t>
            </w:r>
          </w:p>
        </w:tc>
        <w:tc>
          <w:tcPr>
            <w:tcW w:w="26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3,029</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3,118,865</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1,109</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(3,201,819)</w:t>
            </w:r>
          </w:p>
        </w:tc>
        <w:tc>
          <w:tcPr>
            <w:tcW w:w="22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(78,816)</w:t>
            </w:r>
          </w:p>
        </w:tc>
        <w:tc>
          <w:tcPr>
            <w:tcW w:w="10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580" w:type="dxa"/>
            <w:vAlign w:val="bottom"/>
            <w:shd w:val="clear" w:color="auto" w:fill="CFF0FC"/>
          </w:tcPr>
          <w:p>
            <w:pPr>
              <w:ind w:left="8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4,272</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(3,305)</w:t>
            </w: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(3,262)</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Adjustment for impairment loss of available-</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for-sale investment included in net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(1,269)</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(1,269)</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5,863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8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DECEMBER 31, 2025</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307,833</w:t>
            </w:r>
          </w:p>
        </w:tc>
        <w:tc>
          <w:tcPr>
            <w:tcW w:w="26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3,078</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3,141,741</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115</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(3,195,956)</w:t>
            </w:r>
          </w:p>
        </w:tc>
        <w:tc>
          <w:tcPr>
            <w:tcW w:w="22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(51,022)</w:t>
            </w:r>
          </w:p>
        </w:tc>
        <w:tc>
          <w:tcPr>
            <w:tcW w:w="10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-2673985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-2673985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-2673985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-2673985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-2673985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-1268095</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-1268095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-1268095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-1268095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-1268095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-119380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-119380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-119380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-119380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-119380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ind w:left="3940"/>
        <w:spacing w:after="0"/>
        <w:rPr>
          <w:sz w:val="20"/>
          <w:szCs w:val="20"/>
          <w:color w:val="auto"/>
        </w:rPr>
      </w:pPr>
      <w:r>
        <w:rPr>
          <w:rFonts w:ascii="Times New Roman" w:cs="Times New Roman" w:eastAsia="Times New Roman" w:hAnsi="Times New Roman"/>
          <w:sz w:val="14"/>
          <w:szCs w:val="14"/>
          <w:b w:val="1"/>
          <w:bCs w:val="1"/>
          <w:color w:val="auto"/>
        </w:rPr>
        <w:t>MANNKIND CORPORATION AND SUBSIDIARIES</w:t>
      </w:r>
    </w:p>
    <w:p>
      <w:pPr>
        <w:ind w:left="3900"/>
        <w:spacing w:after="0" w:line="233"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tbl>
      <w:tblPr>
        <w:tblLayout w:type="fixed"/>
        <w:tblInd w:w="0" w:type="dxa"/>
        <w:tblCellMar>
          <w:top w:w="0" w:type="dxa"/>
          <w:left w:w="0" w:type="dxa"/>
          <w:bottom w:w="0" w:type="dxa"/>
          <w:right w:w="0" w:type="dxa"/>
        </w:tblCellMar>
      </w:tblPr>
      <w:tr>
        <w:trPr>
          <w:trHeight w:val="139"/>
        </w:trPr>
        <w:tc>
          <w:tcPr>
            <w:tcW w:w="6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20" w:type="dxa"/>
            <w:vAlign w:val="bottom"/>
            <w:gridSpan w:val="8"/>
          </w:tcPr>
          <w:p>
            <w:pPr>
              <w:jc w:val="center"/>
              <w:ind w:left="137"/>
              <w:spacing w:after="0" w:line="139" w:lineRule="exact"/>
              <w:rPr>
                <w:sz w:val="20"/>
                <w:szCs w:val="20"/>
                <w:color w:val="auto"/>
              </w:rPr>
            </w:pPr>
            <w:r>
              <w:rPr>
                <w:rFonts w:ascii="Times New Roman" w:cs="Times New Roman" w:eastAsia="Times New Roman" w:hAnsi="Times New Roman"/>
                <w:sz w:val="13"/>
                <w:szCs w:val="13"/>
                <w:b w:val="1"/>
                <w:bCs w:val="1"/>
                <w:color w:val="auto"/>
                <w:w w:val="97"/>
              </w:rPr>
              <w:t>Twelve Months Ended December 31,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66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r>
      <w:tr>
        <w:trPr>
          <w:trHeight w:val="128"/>
        </w:trPr>
        <w:tc>
          <w:tcPr>
            <w:tcW w:w="6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668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8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Pr>
          <w:p>
            <w:pPr>
              <w:jc w:val="right"/>
              <w:ind w:right="722"/>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(11,938)</w:t>
            </w:r>
          </w:p>
        </w:tc>
      </w:tr>
      <w:tr>
        <w:trPr>
          <w:trHeight w:val="126"/>
        </w:trPr>
        <w:tc>
          <w:tcPr>
            <w:tcW w:w="6680" w:type="dxa"/>
            <w:vAlign w:val="bottom"/>
            <w:tcBorders>
              <w:right w:val="single" w:sz="8" w:color="CFF0FC"/>
            </w:tcBorders>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w:t>
            </w:r>
          </w:p>
        </w:tc>
        <w:tc>
          <w:tcPr>
            <w:tcW w:w="8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71"/>
        </w:trPr>
        <w:tc>
          <w:tcPr>
            <w:tcW w:w="6680" w:type="dxa"/>
            <w:vAlign w:val="bottom"/>
            <w:tcBorders>
              <w:right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operating activities: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8"/>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17,649</w:t>
            </w:r>
          </w:p>
        </w:tc>
        <w:tc>
          <w:tcPr>
            <w:tcW w:w="120" w:type="dxa"/>
            <w:vAlign w:val="bottom"/>
          </w:tcPr>
          <w:p>
            <w:pPr>
              <w:spacing w:after="0"/>
              <w:rPr>
                <w:sz w:val="12"/>
                <w:szCs w:val="12"/>
                <w:color w:val="auto"/>
              </w:rPr>
            </w:pPr>
          </w:p>
        </w:tc>
      </w:tr>
      <w:tr>
        <w:trPr>
          <w:trHeight w:val="148"/>
        </w:trPr>
        <w:tc>
          <w:tcPr>
            <w:tcW w:w="6680" w:type="dxa"/>
            <w:vAlign w:val="bottom"/>
            <w:tcBorders>
              <w:right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Interest on liability for sale of future royalties</w:t>
            </w:r>
          </w:p>
        </w:tc>
        <w:tc>
          <w:tcPr>
            <w:tcW w:w="8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16,172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shd w:val="clear" w:color="auto" w:fill="CFF0FC"/>
          </w:tcPr>
          <w:p>
            <w:pPr>
              <w:spacing w:after="0"/>
              <w:rPr>
                <w:sz w:val="12"/>
                <w:szCs w:val="12"/>
                <w:color w:val="auto"/>
              </w:rPr>
            </w:pPr>
          </w:p>
        </w:tc>
      </w:tr>
      <w:tr>
        <w:trPr>
          <w:trHeight w:val="148"/>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Sold portion of royalty revenue</w:t>
            </w:r>
          </w:p>
        </w:tc>
        <w:tc>
          <w:tcPr>
            <w:tcW w:w="8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(12,811)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(10,234)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(2,103)</w:t>
            </w:r>
          </w:p>
        </w:tc>
      </w:tr>
      <w:tr>
        <w:trPr>
          <w:trHeight w:val="148"/>
        </w:trPr>
        <w:tc>
          <w:tcPr>
            <w:tcW w:w="6680" w:type="dxa"/>
            <w:vAlign w:val="bottom"/>
            <w:tcBorders>
              <w:right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Write-off of inventory</w:t>
            </w:r>
          </w:p>
        </w:tc>
        <w:tc>
          <w:tcPr>
            <w:tcW w:w="8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10,397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4,574</w:t>
            </w:r>
          </w:p>
        </w:tc>
        <w:tc>
          <w:tcPr>
            <w:tcW w:w="120" w:type="dxa"/>
            <w:vAlign w:val="bottom"/>
            <w:shd w:val="clear" w:color="auto" w:fill="CFF0FC"/>
          </w:tcPr>
          <w:p>
            <w:pPr>
              <w:spacing w:after="0"/>
              <w:rPr>
                <w:sz w:val="12"/>
                <w:szCs w:val="12"/>
                <w:color w:val="auto"/>
              </w:rPr>
            </w:pPr>
          </w:p>
        </w:tc>
      </w:tr>
      <w:tr>
        <w:trPr>
          <w:trHeight w:val="149"/>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4,535</w:t>
            </w:r>
          </w:p>
        </w:tc>
        <w:tc>
          <w:tcPr>
            <w:tcW w:w="120" w:type="dxa"/>
            <w:vAlign w:val="bottom"/>
          </w:tcPr>
          <w:p>
            <w:pPr>
              <w:spacing w:after="0"/>
              <w:rPr>
                <w:sz w:val="12"/>
                <w:szCs w:val="12"/>
                <w:color w:val="auto"/>
              </w:rPr>
            </w:pPr>
          </w:p>
        </w:tc>
      </w:tr>
      <w:tr>
        <w:trPr>
          <w:trHeight w:val="148"/>
        </w:trPr>
        <w:tc>
          <w:tcPr>
            <w:tcW w:w="6680" w:type="dxa"/>
            <w:vAlign w:val="bottom"/>
            <w:tcBorders>
              <w:right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 (gain) on foreign currency transactions</w:t>
            </w:r>
          </w:p>
        </w:tc>
        <w:tc>
          <w:tcPr>
            <w:tcW w:w="8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7,749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(3,907)</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120" w:type="dxa"/>
            <w:vAlign w:val="bottom"/>
            <w:shd w:val="clear" w:color="auto" w:fill="CFF0FC"/>
          </w:tcPr>
          <w:p>
            <w:pPr>
              <w:spacing w:after="0"/>
              <w:rPr>
                <w:sz w:val="12"/>
                <w:szCs w:val="12"/>
                <w:color w:val="auto"/>
              </w:rPr>
            </w:pPr>
          </w:p>
        </w:tc>
      </w:tr>
      <w:tr>
        <w:trPr>
          <w:trHeight w:val="148"/>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Impairment loss on available-for-sale investment</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tcPr>
          <w:p>
            <w:pPr>
              <w:spacing w:after="0"/>
              <w:rPr>
                <w:sz w:val="12"/>
                <w:szCs w:val="12"/>
                <w:color w:val="auto"/>
              </w:rPr>
            </w:pPr>
          </w:p>
        </w:tc>
      </w:tr>
      <w:tr>
        <w:trPr>
          <w:trHeight w:val="148"/>
        </w:trPr>
        <w:tc>
          <w:tcPr>
            <w:tcW w:w="6680" w:type="dxa"/>
            <w:vAlign w:val="bottom"/>
            <w:tcBorders>
              <w:right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Net accretion of investments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(2,647)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(5,092)</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r>
      <w:tr>
        <w:trPr>
          <w:trHeight w:val="148"/>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Non-cash lease expense of right-of-use assets</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20" w:type="dxa"/>
            <w:vAlign w:val="bottom"/>
          </w:tcPr>
          <w:p>
            <w:pPr>
              <w:spacing w:after="0"/>
              <w:rPr>
                <w:sz w:val="12"/>
                <w:szCs w:val="12"/>
                <w:color w:val="auto"/>
              </w:rPr>
            </w:pPr>
          </w:p>
        </w:tc>
      </w:tr>
      <w:tr>
        <w:trPr>
          <w:trHeight w:val="149"/>
        </w:trPr>
        <w:tc>
          <w:tcPr>
            <w:tcW w:w="6680" w:type="dxa"/>
            <w:vAlign w:val="bottom"/>
            <w:tcBorders>
              <w:right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liability</w:t>
            </w:r>
          </w:p>
        </w:tc>
        <w:tc>
          <w:tcPr>
            <w:tcW w:w="8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120" w:type="dxa"/>
            <w:vAlign w:val="bottom"/>
          </w:tcPr>
          <w:p>
            <w:pPr>
              <w:spacing w:after="0"/>
              <w:rPr>
                <w:sz w:val="12"/>
                <w:szCs w:val="12"/>
                <w:color w:val="auto"/>
              </w:rPr>
            </w:pPr>
          </w:p>
        </w:tc>
      </w:tr>
      <w:tr>
        <w:trPr>
          <w:trHeight w:val="148"/>
        </w:trPr>
        <w:tc>
          <w:tcPr>
            <w:tcW w:w="6680" w:type="dxa"/>
            <w:vAlign w:val="bottom"/>
            <w:tcBorders>
              <w:right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 on settlement of debt</w:t>
            </w:r>
          </w:p>
        </w:tc>
        <w:tc>
          <w:tcPr>
            <w:tcW w:w="8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20,444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800" w:type="dxa"/>
            <w:vAlign w:val="bottom"/>
          </w:tcPr>
          <w:p>
            <w:pPr>
              <w:spacing w:after="0"/>
              <w:rPr>
                <w:sz w:val="12"/>
                <w:szCs w:val="12"/>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(5,259)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Borders>
              <w:right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 on estimated returns of acquired product</w:t>
            </w:r>
          </w:p>
        </w:tc>
        <w:tc>
          <w:tcPr>
            <w:tcW w:w="8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(84)</w:t>
            </w:r>
          </w:p>
        </w:tc>
      </w:tr>
      <w:tr>
        <w:trPr>
          <w:trHeight w:val="148"/>
        </w:trPr>
        <w:tc>
          <w:tcPr>
            <w:tcW w:w="6680" w:type="dxa"/>
            <w:vAlign w:val="bottom"/>
            <w:tcBorders>
              <w:right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Change in deferred tax liability</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(4,969)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80" w:type="dxa"/>
            <w:vAlign w:val="bottom"/>
            <w:tcBorders>
              <w:right w:val="single" w:sz="8" w:color="CFF0FC"/>
            </w:tcBorders>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(4,762)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120" w:type="dxa"/>
            <w:vAlign w:val="bottom"/>
            <w:shd w:val="clear" w:color="auto" w:fill="CFF0FC"/>
          </w:tcPr>
          <w:p>
            <w:pPr>
              <w:spacing w:after="0"/>
              <w:rPr>
                <w:sz w:val="12"/>
                <w:szCs w:val="12"/>
                <w:color w:val="auto"/>
              </w:rPr>
            </w:pPr>
          </w:p>
        </w:tc>
      </w:tr>
      <w:tr>
        <w:trPr>
          <w:trHeight w:val="148"/>
        </w:trPr>
        <w:tc>
          <w:tcPr>
            <w:tcW w:w="66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8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(3,196)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(11,347)</w:t>
            </w:r>
          </w:p>
        </w:tc>
      </w:tr>
      <w:tr>
        <w:trPr>
          <w:trHeight w:val="148"/>
        </w:trPr>
        <w:tc>
          <w:tcPr>
            <w:tcW w:w="6680" w:type="dxa"/>
            <w:vAlign w:val="bottom"/>
            <w:tcBorders>
              <w:right w:val="single" w:sz="8" w:color="CFF0FC"/>
            </w:tcBorders>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(10,032)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(6,574)</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(7,318)</w:t>
            </w:r>
          </w:p>
        </w:tc>
      </w:tr>
      <w:tr>
        <w:trPr>
          <w:trHeight w:val="149"/>
        </w:trPr>
        <w:tc>
          <w:tcPr>
            <w:tcW w:w="66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(1,909)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(3,570)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20" w:type="dxa"/>
            <w:vAlign w:val="bottom"/>
          </w:tcPr>
          <w:p>
            <w:pPr>
              <w:spacing w:after="0"/>
              <w:rPr>
                <w:sz w:val="12"/>
                <w:szCs w:val="12"/>
                <w:color w:val="auto"/>
              </w:rPr>
            </w:pPr>
          </w:p>
        </w:tc>
      </w:tr>
      <w:tr>
        <w:trPr>
          <w:trHeight w:val="148"/>
        </w:trPr>
        <w:tc>
          <w:tcPr>
            <w:tcW w:w="6680" w:type="dxa"/>
            <w:vAlign w:val="bottom"/>
            <w:tcBorders>
              <w:right w:val="single" w:sz="8" w:color="CFF0FC"/>
            </w:tcBorders>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(16,711)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(2,788)</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(1,473)</w:t>
            </w:r>
          </w:p>
        </w:tc>
      </w:tr>
      <w:tr>
        <w:trPr>
          <w:trHeight w:val="148"/>
        </w:trPr>
        <w:tc>
          <w:tcPr>
            <w:tcW w:w="66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(2,703)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6,606</w:t>
            </w:r>
          </w:p>
        </w:tc>
        <w:tc>
          <w:tcPr>
            <w:tcW w:w="120" w:type="dxa"/>
            <w:vAlign w:val="bottom"/>
          </w:tcPr>
          <w:p>
            <w:pPr>
              <w:spacing w:after="0"/>
              <w:rPr>
                <w:sz w:val="12"/>
                <w:szCs w:val="12"/>
                <w:color w:val="auto"/>
              </w:rPr>
            </w:pPr>
          </w:p>
        </w:tc>
      </w:tr>
      <w:tr>
        <w:trPr>
          <w:trHeight w:val="148"/>
        </w:trPr>
        <w:tc>
          <w:tcPr>
            <w:tcW w:w="6680" w:type="dxa"/>
            <w:vAlign w:val="bottom"/>
            <w:tcBorders>
              <w:right w:val="single" w:sz="8" w:color="CFF0FC"/>
            </w:tcBorders>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(8,259)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(15,312)</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39,462</w:t>
            </w:r>
          </w:p>
        </w:tc>
        <w:tc>
          <w:tcPr>
            <w:tcW w:w="120" w:type="dxa"/>
            <w:vAlign w:val="bottom"/>
            <w:shd w:val="clear" w:color="auto" w:fill="CFF0FC"/>
          </w:tcPr>
          <w:p>
            <w:pPr>
              <w:spacing w:after="0"/>
              <w:rPr>
                <w:sz w:val="12"/>
                <w:szCs w:val="12"/>
                <w:color w:val="auto"/>
              </w:rPr>
            </w:pPr>
          </w:p>
        </w:tc>
      </w:tr>
      <w:tr>
        <w:trPr>
          <w:trHeight w:val="148"/>
        </w:trPr>
        <w:tc>
          <w:tcPr>
            <w:tcW w:w="66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Recognized loss on purchase commitments</w:t>
            </w:r>
          </w:p>
        </w:tc>
        <w:tc>
          <w:tcPr>
            <w:tcW w:w="800" w:type="dxa"/>
            <w:vAlign w:val="bottom"/>
          </w:tcPr>
          <w:p>
            <w:pPr>
              <w:spacing w:after="0"/>
              <w:rPr>
                <w:sz w:val="12"/>
                <w:szCs w:val="12"/>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(2,690)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(9,424)</w:t>
            </w:r>
          </w:p>
        </w:tc>
      </w:tr>
      <w:tr>
        <w:trPr>
          <w:trHeight w:val="135"/>
        </w:trPr>
        <w:tc>
          <w:tcPr>
            <w:tcW w:w="6680" w:type="dxa"/>
            <w:vAlign w:val="bottom"/>
            <w:tcBorders>
              <w:right w:val="single" w:sz="8" w:color="CFF0FC"/>
            </w:tcBorders>
            <w:shd w:val="clear" w:color="auto" w:fill="CFF0FC"/>
          </w:tcPr>
          <w:p>
            <w:pPr>
              <w:ind w:left="380"/>
              <w:spacing w:after="0" w:line="135"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(873)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(2,292)</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(2,385)</w:t>
            </w:r>
          </w:p>
        </w:tc>
      </w:tr>
      <w:tr>
        <w:trPr>
          <w:trHeight w:val="129"/>
        </w:trPr>
        <w:tc>
          <w:tcPr>
            <w:tcW w:w="6680" w:type="dxa"/>
            <w:vAlign w:val="bottom"/>
            <w:tcBorders>
              <w:top w:val="single" w:sz="8" w:color="CFF0FC"/>
            </w:tcBorders>
          </w:tcPr>
          <w:p>
            <w:pPr>
              <w:ind w:left="500"/>
              <w:spacing w:after="0" w:line="12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18,255</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42,511</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34,094</w:t>
            </w:r>
          </w:p>
        </w:tc>
        <w:tc>
          <w:tcPr>
            <w:tcW w:w="120" w:type="dxa"/>
            <w:vAlign w:val="bottom"/>
            <w:tcBorders>
              <w:top w:val="single" w:sz="8" w:color="CFF0FC"/>
            </w:tcBorders>
          </w:tcPr>
          <w:p>
            <w:pPr>
              <w:spacing w:after="0"/>
              <w:rPr>
                <w:sz w:val="11"/>
                <w:szCs w:val="11"/>
                <w:color w:val="auto"/>
              </w:rPr>
            </w:pPr>
          </w:p>
        </w:tc>
      </w:tr>
      <w:tr>
        <w:trPr>
          <w:trHeight w:val="142"/>
        </w:trPr>
        <w:tc>
          <w:tcPr>
            <w:tcW w:w="668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8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available-for-sale securities</w:t>
            </w:r>
          </w:p>
        </w:tc>
        <w:tc>
          <w:tcPr>
            <w:tcW w:w="8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(157,803)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(7,006)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8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215,308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58,126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scPharma, net of cash acquired</w:t>
            </w:r>
          </w:p>
        </w:tc>
        <w:tc>
          <w:tcPr>
            <w:tcW w:w="8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(347,742)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note receivable</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80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(4,566)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(9,693)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(42,441)</w:t>
            </w:r>
          </w:p>
        </w:tc>
      </w:tr>
      <w:tr>
        <w:trPr>
          <w:trHeight w:val="148"/>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held-to-maturity securities</w:t>
            </w:r>
          </w:p>
        </w:tc>
        <w:tc>
          <w:tcPr>
            <w:tcW w:w="8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(273,789)</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(79,095)</w:t>
            </w:r>
          </w:p>
        </w:tc>
      </w:tr>
      <w:tr>
        <w:trPr>
          <w:trHeight w:val="149"/>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maturities of held-to-maturity securities</w:t>
            </w:r>
          </w:p>
        </w:tc>
        <w:tc>
          <w:tcPr>
            <w:tcW w:w="800" w:type="dxa"/>
            <w:vAlign w:val="bottom"/>
          </w:tcPr>
          <w:p>
            <w:pPr>
              <w:spacing w:after="0"/>
              <w:rPr>
                <w:sz w:val="12"/>
                <w:szCs w:val="12"/>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119,166</w:t>
            </w:r>
          </w:p>
        </w:tc>
        <w:tc>
          <w:tcPr>
            <w:tcW w:w="120" w:type="dxa"/>
            <w:vAlign w:val="bottom"/>
          </w:tcPr>
          <w:p>
            <w:pPr>
              <w:spacing w:after="0"/>
              <w:rPr>
                <w:sz w:val="12"/>
                <w:szCs w:val="12"/>
                <w:color w:val="auto"/>
              </w:rPr>
            </w:pPr>
          </w:p>
        </w:tc>
      </w:tr>
      <w:tr>
        <w:trPr>
          <w:trHeight w:val="135"/>
        </w:trPr>
        <w:tc>
          <w:tcPr>
            <w:tcW w:w="6680" w:type="dxa"/>
            <w:vAlign w:val="bottom"/>
            <w:tcBorders>
              <w:bottom w:val="single" w:sz="8" w:color="CFF0FC"/>
              <w:right w:val="single" w:sz="8" w:color="CFF0FC"/>
            </w:tcBorders>
            <w:shd w:val="clear" w:color="auto" w:fill="CFF0FC"/>
          </w:tcPr>
          <w:p>
            <w:pPr>
              <w:ind w:left="120"/>
              <w:spacing w:after="0" w:line="135" w:lineRule="exact"/>
              <w:rPr>
                <w:sz w:val="20"/>
                <w:szCs w:val="20"/>
                <w:color w:val="auto"/>
              </w:rPr>
            </w:pPr>
            <w:r>
              <w:rPr>
                <w:rFonts w:ascii="Times New Roman" w:cs="Times New Roman" w:eastAsia="Times New Roman" w:hAnsi="Times New Roman"/>
                <w:sz w:val="14"/>
                <w:szCs w:val="14"/>
                <w:color w:val="auto"/>
              </w:rPr>
              <w:t>Proceeds from insurance claim</w:t>
            </w:r>
          </w:p>
        </w:tc>
        <w:tc>
          <w:tcPr>
            <w:tcW w:w="8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gridSpan w:val="2"/>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382</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9"/>
        </w:trPr>
        <w:tc>
          <w:tcPr>
            <w:tcW w:w="6680" w:type="dxa"/>
            <w:vAlign w:val="bottom"/>
          </w:tcPr>
          <w:p>
            <w:pPr>
              <w:ind w:left="500"/>
              <w:spacing w:after="0" w:line="12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0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(304,803)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(96,649)</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(1,988)</w:t>
            </w:r>
          </w:p>
        </w:tc>
      </w:tr>
      <w:tr>
        <w:trPr>
          <w:trHeight w:val="142"/>
        </w:trPr>
        <w:tc>
          <w:tcPr>
            <w:tcW w:w="668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8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term loan</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loan issuance costs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(7,266)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26"/>
        </w:trPr>
        <w:tc>
          <w:tcPr>
            <w:tcW w:w="66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Payments for taxes related to net issuance of common stock associated with</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6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stock units and stock options</w:t>
            </w:r>
          </w:p>
        </w:tc>
        <w:tc>
          <w:tcPr>
            <w:tcW w:w="8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(6,087)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(10,162)</w:t>
            </w:r>
          </w:p>
        </w:tc>
      </w:tr>
      <w:tr>
        <w:trPr>
          <w:trHeight w:val="148"/>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on financing liability</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(398)</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(189)</w:t>
            </w:r>
          </w:p>
        </w:tc>
      </w:tr>
      <w:tr>
        <w:trPr>
          <w:trHeight w:val="149"/>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market price stock purchase plan and employee stock purchase plan</w:t>
            </w: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120" w:type="dxa"/>
            <w:vAlign w:val="bottom"/>
          </w:tcPr>
          <w:p>
            <w:pPr>
              <w:spacing w:after="0"/>
              <w:rPr>
                <w:sz w:val="12"/>
                <w:szCs w:val="12"/>
                <w:color w:val="auto"/>
              </w:rPr>
            </w:pPr>
          </w:p>
        </w:tc>
      </w:tr>
      <w:tr>
        <w:trPr>
          <w:trHeight w:val="148"/>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Milestone Right Agreement payment</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(639)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(752)</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(924)</w:t>
            </w:r>
          </w:p>
        </w:tc>
      </w:tr>
      <w:tr>
        <w:trPr>
          <w:trHeight w:val="149"/>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MidCap credit facility</w:t>
            </w:r>
          </w:p>
        </w:tc>
        <w:tc>
          <w:tcPr>
            <w:tcW w:w="800" w:type="dxa"/>
            <w:vAlign w:val="bottom"/>
          </w:tcPr>
          <w:p>
            <w:pPr>
              <w:spacing w:after="0"/>
              <w:rPr>
                <w:sz w:val="12"/>
                <w:szCs w:val="12"/>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(36,617)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(6,667)</w:t>
            </w:r>
          </w:p>
        </w:tc>
      </w:tr>
      <w:tr>
        <w:trPr>
          <w:trHeight w:val="148"/>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future royalties</w:t>
            </w:r>
          </w:p>
        </w:tc>
        <w:tc>
          <w:tcPr>
            <w:tcW w:w="8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20" w:type="dxa"/>
            <w:vAlign w:val="bottom"/>
            <w:shd w:val="clear" w:color="auto" w:fill="CFF0FC"/>
          </w:tcPr>
          <w:p>
            <w:pPr>
              <w:spacing w:after="0"/>
              <w:rPr>
                <w:sz w:val="12"/>
                <w:szCs w:val="12"/>
                <w:color w:val="auto"/>
              </w:rPr>
            </w:pP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costs associated with sale of future royalties</w:t>
            </w:r>
          </w:p>
        </w:tc>
        <w:tc>
          <w:tcPr>
            <w:tcW w:w="800" w:type="dxa"/>
            <w:vAlign w:val="bottom"/>
          </w:tcPr>
          <w:p>
            <w:pPr>
              <w:spacing w:after="0"/>
              <w:rPr>
                <w:sz w:val="12"/>
                <w:szCs w:val="12"/>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(4,050)</w:t>
            </w:r>
          </w:p>
        </w:tc>
      </w:tr>
      <w:tr>
        <w:trPr>
          <w:trHeight w:val="149"/>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senior convertible notes</w:t>
            </w:r>
          </w:p>
        </w:tc>
        <w:tc>
          <w:tcPr>
            <w:tcW w:w="8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(87,697)</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Mann Group convertible note</w:t>
            </w:r>
          </w:p>
        </w:tc>
        <w:tc>
          <w:tcPr>
            <w:tcW w:w="800" w:type="dxa"/>
            <w:vAlign w:val="bottom"/>
          </w:tcPr>
          <w:p>
            <w:pPr>
              <w:spacing w:after="0"/>
              <w:rPr>
                <w:sz w:val="12"/>
                <w:szCs w:val="12"/>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(8,854)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8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at-the-market offering</w:t>
            </w:r>
          </w:p>
        </w:tc>
        <w:tc>
          <w:tcPr>
            <w:tcW w:w="8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6,887</w:t>
            </w:r>
          </w:p>
        </w:tc>
        <w:tc>
          <w:tcPr>
            <w:tcW w:w="120" w:type="dxa"/>
            <w:vAlign w:val="bottom"/>
            <w:shd w:val="clear" w:color="auto" w:fill="CFF0FC"/>
          </w:tcPr>
          <w:p>
            <w:pPr>
              <w:spacing w:after="0"/>
              <w:rPr>
                <w:sz w:val="12"/>
                <w:szCs w:val="12"/>
                <w:color w:val="auto"/>
              </w:rPr>
            </w:pPr>
          </w:p>
        </w:tc>
      </w:tr>
      <w:tr>
        <w:trPr>
          <w:trHeight w:val="135"/>
        </w:trPr>
        <w:tc>
          <w:tcPr>
            <w:tcW w:w="66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Issuance costs associated with at-the-market offering</w:t>
            </w:r>
          </w:p>
        </w:tc>
        <w:tc>
          <w:tcPr>
            <w:tcW w:w="8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(108)</w:t>
            </w:r>
          </w:p>
        </w:tc>
      </w:tr>
      <w:tr>
        <w:trPr>
          <w:trHeight w:val="20"/>
        </w:trPr>
        <w:tc>
          <w:tcPr>
            <w:tcW w:w="6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680" w:type="dxa"/>
            <w:vAlign w:val="bottom"/>
            <w:tcBorders>
              <w:right w:val="single" w:sz="8" w:color="CFF0FC"/>
            </w:tcBorders>
            <w:shd w:val="clear" w:color="auto" w:fill="CFF0FC"/>
          </w:tcPr>
          <w:p>
            <w:pPr>
              <w:ind w:left="500"/>
              <w:spacing w:after="0" w:line="12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315,099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(137,266)</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136,607</w:t>
            </w:r>
          </w:p>
        </w:tc>
        <w:tc>
          <w:tcPr>
            <w:tcW w:w="120" w:type="dxa"/>
            <w:vAlign w:val="bottom"/>
            <w:shd w:val="clear" w:color="auto" w:fill="CFF0FC"/>
          </w:tcPr>
          <w:p>
            <w:pPr>
              <w:spacing w:after="0"/>
              <w:rPr>
                <w:sz w:val="11"/>
                <w:szCs w:val="11"/>
                <w:color w:val="auto"/>
              </w:rPr>
            </w:pPr>
          </w:p>
        </w:tc>
      </w:tr>
      <w:tr>
        <w:trPr>
          <w:trHeight w:val="20"/>
        </w:trPr>
        <w:tc>
          <w:tcPr>
            <w:tcW w:w="668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66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8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28,551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(191,404)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168,713</w:t>
            </w:r>
          </w:p>
        </w:tc>
        <w:tc>
          <w:tcPr>
            <w:tcW w:w="120" w:type="dxa"/>
            <w:vAlign w:val="bottom"/>
          </w:tcPr>
          <w:p>
            <w:pPr>
              <w:spacing w:after="0"/>
              <w:rPr>
                <w:sz w:val="11"/>
                <w:szCs w:val="11"/>
                <w:color w:val="auto"/>
              </w:rPr>
            </w:pPr>
          </w:p>
        </w:tc>
      </w:tr>
      <w:tr>
        <w:trPr>
          <w:trHeight w:val="129"/>
        </w:trPr>
        <w:tc>
          <w:tcPr>
            <w:tcW w:w="6680" w:type="dxa"/>
            <w:vAlign w:val="bottom"/>
            <w:tcBorders>
              <w:bottom w:val="single" w:sz="8" w:color="CFF0FC"/>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00" w:type="dxa"/>
            <w:vAlign w:val="bottom"/>
            <w:tcBorders>
              <w:top w:val="single" w:sz="8" w:color="auto"/>
              <w:bottom w:val="single" w:sz="8" w:color="auto"/>
            </w:tcBorders>
            <w:shd w:val="clear" w:color="auto" w:fill="CFF0FC"/>
          </w:tcPr>
          <w:p>
            <w:pPr>
              <w:spacing w:after="0"/>
              <w:rPr>
                <w:sz w:val="11"/>
                <w:szCs w:val="11"/>
                <w:color w:val="auto"/>
              </w:rPr>
            </w:pPr>
          </w:p>
        </w:tc>
        <w:tc>
          <w:tcPr>
            <w:tcW w:w="5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47,076</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238,480</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69,767</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66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75,627</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47,076</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238,480</w:t>
            </w:r>
          </w:p>
        </w:tc>
        <w:tc>
          <w:tcPr>
            <w:tcW w:w="120" w:type="dxa"/>
            <w:vAlign w:val="bottom"/>
          </w:tcPr>
          <w:p>
            <w:pPr>
              <w:spacing w:after="0"/>
              <w:rPr>
                <w:sz w:val="11"/>
                <w:szCs w:val="11"/>
                <w:color w:val="auto"/>
              </w:rPr>
            </w:pPr>
          </w:p>
        </w:tc>
      </w:tr>
      <w:tr>
        <w:trPr>
          <w:trHeight w:val="20"/>
        </w:trPr>
        <w:tc>
          <w:tcPr>
            <w:tcW w:w="6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-5875655</wp:posOffset>
            </wp:positionV>
            <wp:extent cx="93980" cy="1282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2">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-5875655</wp:posOffset>
            </wp:positionV>
            <wp:extent cx="93980" cy="1282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-5875655</wp:posOffset>
            </wp:positionV>
            <wp:extent cx="102870" cy="1282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-2853690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-2853690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-2853690</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-1910715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-1910715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-307975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-307975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-119380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-119380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6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Twelve Months Ended December 31,</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662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r>
      <w:tr>
        <w:trPr>
          <w:trHeight w:val="142"/>
        </w:trPr>
        <w:tc>
          <w:tcPr>
            <w:tcW w:w="6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6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5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FLOWS DISCLOSURES:</w:t>
            </w: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5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 in cash</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14,716</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17,506</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18,279</w:t>
            </w:r>
          </w:p>
        </w:tc>
        <w:tc>
          <w:tcPr>
            <w:tcW w:w="120" w:type="dxa"/>
            <w:vAlign w:val="bottom"/>
          </w:tcPr>
          <w:p>
            <w:pPr>
              <w:spacing w:after="0"/>
              <w:rPr>
                <w:sz w:val="12"/>
                <w:szCs w:val="12"/>
                <w:color w:val="auto"/>
              </w:rPr>
            </w:pPr>
          </w:p>
        </w:tc>
      </w:tr>
      <w:tr>
        <w:trPr>
          <w:trHeight w:val="148"/>
        </w:trPr>
        <w:tc>
          <w:tcPr>
            <w:tcW w:w="752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paid in cash</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4,262</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5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Non-cash contingent consideration from acquisition of scPharma</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25,217</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5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Debt forgiven as part of scPharma acquisition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5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Payments of senior convertible note principal through common stock issuances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116,439</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5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Amortization of liability for sale of future royalties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5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20" w:type="dxa"/>
            <w:vAlign w:val="bottom"/>
            <w:shd w:val="clear" w:color="auto" w:fill="CFF0FC"/>
          </w:tcPr>
          <w:p>
            <w:pPr>
              <w:spacing w:after="0"/>
              <w:rPr>
                <w:sz w:val="12"/>
                <w:szCs w:val="12"/>
                <w:color w:val="auto"/>
              </w:rPr>
            </w:pPr>
          </w:p>
        </w:tc>
      </w:tr>
      <w:tr>
        <w:trPr>
          <w:trHeight w:val="149"/>
        </w:trPr>
        <w:tc>
          <w:tcPr>
            <w:tcW w:w="75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Assumption of right-of-use-asset and operating lease liability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5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Non-cash acquisition of intangible asset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5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Payments of Mann Group principal and interest through common stock issuances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20" w:type="dxa"/>
            <w:vAlign w:val="bottom"/>
          </w:tcPr>
          <w:p>
            <w:pPr>
              <w:spacing w:after="0"/>
              <w:rPr>
                <w:sz w:val="12"/>
                <w:szCs w:val="12"/>
                <w:color w:val="auto"/>
              </w:rPr>
            </w:pPr>
          </w:p>
        </w:tc>
      </w:tr>
      <w:tr>
        <w:trPr>
          <w:trHeight w:val="148"/>
        </w:trPr>
        <w:tc>
          <w:tcPr>
            <w:tcW w:w="75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Non-cash acquisition of property and equipment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5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Right-of-use asset modification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20" w:type="dxa"/>
            <w:vAlign w:val="bottom"/>
          </w:tcPr>
          <w:p>
            <w:pPr>
              <w:spacing w:after="0"/>
              <w:rPr>
                <w:sz w:val="12"/>
                <w:szCs w:val="12"/>
                <w:color w:val="auto"/>
              </w:rPr>
            </w:pPr>
          </w:p>
        </w:tc>
      </w:tr>
      <w:tr>
        <w:trPr>
          <w:trHeight w:val="149"/>
        </w:trPr>
        <w:tc>
          <w:tcPr>
            <w:tcW w:w="75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Goodwill adjustment for a net reduction in liabilities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20" w:type="dxa"/>
            <w:vAlign w:val="bottom"/>
            <w:shd w:val="clear" w:color="auto" w:fill="CFF0FC"/>
          </w:tcPr>
          <w:p>
            <w:pPr>
              <w:spacing w:after="0"/>
              <w:rPr>
                <w:sz w:val="12"/>
                <w:szCs w:val="12"/>
                <w:color w:val="auto"/>
              </w:rPr>
            </w:pPr>
          </w:p>
        </w:tc>
      </w:tr>
      <w:tr>
        <w:trPr>
          <w:trHeight w:val="148"/>
        </w:trPr>
        <w:tc>
          <w:tcPr>
            <w:tcW w:w="75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Receivable for insurance claim on damaged equipment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20" w:type="dxa"/>
            <w:vAlign w:val="bottom"/>
          </w:tcPr>
          <w:p>
            <w:pPr>
              <w:spacing w:after="0"/>
              <w:rPr>
                <w:sz w:val="12"/>
                <w:szCs w:val="12"/>
                <w:color w:val="auto"/>
              </w:rPr>
            </w:pPr>
          </w:p>
        </w:tc>
      </w:tr>
      <w:tr>
        <w:trPr>
          <w:trHeight w:val="148"/>
        </w:trPr>
        <w:tc>
          <w:tcPr>
            <w:tcW w:w="75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Accrued issuance costs associated with liability for sale of future royalties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2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-1812290</wp:posOffset>
            </wp:positionV>
            <wp:extent cx="93980" cy="1282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-1812290</wp:posOffset>
            </wp:positionV>
            <wp:extent cx="93980" cy="1282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-1812290</wp:posOffset>
            </wp:positionV>
            <wp:extent cx="102870" cy="1282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102870" cy="1282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is a biopharmaceutical company focused on the development and commercialization of patient-centric therapies that address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unmet medical needs for those living with cardiometabolic and orphan lung diseases. The Company is currently commercializing three products: Afrezza (insulin human) Inhalation Powder, an ultra rapid-acting inhaled insulin indicated to improve glycemic control in adults with diabetes; Furoscix (furosemide injection), to treat fluid buildup in patients with chronic heart failure or chronic kidney disease; and the V-Go wearable insulin delivery device, which provides continuous subcutaneous infusion of insulin in adults that require insulin. The Company also developed Tyvaso DPI (treprostinil) inhalation powder, which is approved for the treatment of pulmonary arterial hypertension (“PAH”) and for the treatment of pulmonary hypertension associated with interstitial lung disease (“PH-ILD”). The Company receives a royalty on net sales and a margin on supplies of Tyvaso DPI that it manufactures for its development and marketing partner, United Therapeutics.</w:t>
      </w:r>
    </w:p>
    <w:p>
      <w:pPr>
        <w:spacing w:after="0" w:line="18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have been eliminated.</w:t>
      </w:r>
    </w:p>
    <w:p>
      <w:pPr>
        <w:spacing w:after="0" w:line="20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immaterial amounts reported in prior years statement of cash flows have been reclassified to conform with the current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within the cash flow from operating activities.</w:t>
      </w:r>
    </w:p>
    <w:p>
      <w:pPr>
        <w:spacing w:after="0" w:line="15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which engage in business activities that result in revenue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which separate discrete financial information is available for evaluation by the chief operating decision-maker (the “CODM”) in making decisions regarding resource allocation and assessing performance on a regular basis. The CODM is comprised of the Company's CEO and CFO. To date, the Company has viewed its operations and manages its business as a single reportable segment operating in the United States of America. The business and accounting policies of the Company's single reportable segment are further explained below. The measure of segment assets is reported as total assets in the consolidated balance sheets. No intra-entity sales or transfers are transacted within the Company.</w:t>
      </w:r>
    </w:p>
    <w:p>
      <w:pPr>
        <w:spacing w:after="0" w:line="1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key metric utilized by the CODM to assess resource allocation and performance is the Company’s segment net income, which is the same as the consolidated net income reported in the consolidated statements of operations. The CODM also analyzes the Company's consolidated net income to evaluate its return on segment assets and to establish budgets and forecasts. The table below shows the details of the Company’s segment revenues and significant expense categories regularly provided to and reviewed by the CODM as well as other significant segment items included in consolidated net income in the consolidated statements of operations: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1"/>
              <w:spacing w:after="0" w:line="196"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Afrezza</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74,587</w:t>
            </w:r>
          </w:p>
        </w:tc>
        <w:tc>
          <w:tcPr>
            <w:tcW w:w="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V-Go</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Furoscix</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128,116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significant segment expenses (income):</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 – commercial, excluding amortization of acquired intangible assets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66,348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(12,615)</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available-for-sale investment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(1,550)</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-1962150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-1962150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0" w:lineRule="exact"/>
        <w:rPr>
          <w:sz w:val="20"/>
          <w:szCs w:val="20"/>
          <w:color w:val="auto"/>
        </w:rPr>
      </w:pPr>
    </w:p>
    <w:p>
      <w:pPr>
        <w:ind w:left="1020" w:hanging="503"/>
        <w:spacing w:after="0"/>
        <w:tabs>
          <w:tab w:leader="none" w:pos="102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include revenue earned from Furoscix and expenses incurred by scPharma beginning on the acquisition date of October 7, 2025.</w:t>
      </w:r>
    </w:p>
    <w:p>
      <w:pPr>
        <w:spacing w:after="0" w:line="126" w:lineRule="exact"/>
        <w:rPr>
          <w:rFonts w:ascii="Times New Roman" w:cs="Times New Roman" w:eastAsia="Times New Roman" w:hAnsi="Times New Roman"/>
          <w:sz w:val="13"/>
          <w:szCs w:val="13"/>
          <w:color w:val="auto"/>
        </w:rPr>
      </w:pPr>
    </w:p>
    <w:p>
      <w:pPr>
        <w:ind w:left="1020" w:hanging="503"/>
        <w:spacing w:after="0"/>
        <w:tabs>
          <w:tab w:leader="none" w:pos="102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Includes primarily loss (gain) on foreign currency transaction, gain on bargain purchase and income tax (benefit) expense.</w:t>
      </w:r>
    </w:p>
    <w:p>
      <w:pPr>
        <w:spacing w:after="0" w:line="334"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consolidated financial statements. The more significant estimates include revenue recognition, including gross-to-net adjustments, stand-alone selling price considerations for recognition of collaboration revenue and measurement of progress related to recognition of deferred revenue for collaboration revenue, the fair value of developed technology and in process research and development ("IPR&amp;D"), assessing long-lived assets for impairment, the fair value of the contingent consideration liability, clinical trial expenses, inventory costing, interest expense on liability for sale of future royalties, stock-based compensation, the determination of the provision for income taxes and corresponding deferred tax assets and liabilities, the valuation allowance recorded against net deferred tax assets, and expected cash flows from royalties received in connection with UT's net revenue for the sale of Tyvaso DPI.</w:t>
      </w:r>
    </w:p>
    <w:p>
      <w:pPr>
        <w:spacing w:after="0" w:line="1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84" w:name="page85"/>
    <w:bookmarkEnd w:id="84"/>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Net Revenue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Commercial Product Sales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sells its products to a limited number of wholesale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and retail pharmacies, DMEs, specialty distributors and direct purchasers in the U.S. and India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The Company transfers control and recognizes revenue upon delivery of product to wholesale distributors and specialty pharmacies.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Reserves for Variable Consideration</w:t>
      </w:r>
      <w:r>
        <w:rPr>
          <w:rFonts w:ascii="Times New Roman" w:cs="Times New Roman" w:eastAsia="Times New Roman" w:hAnsi="Times New Roman"/>
          <w:sz w:val="18"/>
          <w:szCs w:val="18"/>
          <w:color w:val="auto"/>
        </w:rPr>
        <w:t xml:space="preserve"> below.</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spacing w:after="0" w:line="1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Customers with discounts which include incentives, such as prompt pay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are made when changes in the Company's assumptions result in revised estimates to the Company’s assumptions.</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85" w:name="page86"/>
    <w:bookmarkEnd w:id="85"/>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and Furoscix, the Company also estimates the number of patients in the initial and catastrophic phases of the Part D benefit for whom the Company will owe an additional liability under the Medicare Part D Manufacturer Discount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Collaborations and Services — </w:t>
      </w:r>
      <w:r>
        <w:rPr>
          <w:rFonts w:ascii="Times New Roman" w:cs="Times New Roman" w:eastAsia="Times New Roman" w:hAnsi="Times New Roman"/>
          <w:sz w:val="18"/>
          <w:szCs w:val="18"/>
          <w:color w:val="auto"/>
        </w:rPr>
        <w:t>The Company enters into licensing, research or other agreements under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which were recorded as deferred revenue.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and deferred revenue is recognized as product is delivered over the CSA term using an output method based on the estimate of the measurement of progress. See Note 11 – </w:t>
      </w:r>
      <w:r>
        <w:rPr>
          <w:rFonts w:ascii="Times New Roman" w:cs="Times New Roman" w:eastAsia="Times New Roman" w:hAnsi="Times New Roman"/>
          <w:sz w:val="18"/>
          <w:szCs w:val="18"/>
          <w:i w:val="1"/>
          <w:iCs w:val="1"/>
          <w:color w:val="auto"/>
        </w:rPr>
        <w:t>Collaborations, Licensing and Other Arrangements.</w:t>
      </w:r>
    </w:p>
    <w:p>
      <w:pPr>
        <w:spacing w:after="0" w:line="19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If an arrangement has multiple performance obligations, the allocation of the transaction price is determined from observable market inputs, if available,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 For further information, see Note 11 </w:t>
      </w:r>
      <w:r>
        <w:rPr>
          <w:rFonts w:ascii="Times New Roman" w:cs="Times New Roman" w:eastAsia="Times New Roman" w:hAnsi="Times New Roman"/>
          <w:sz w:val="18"/>
          <w:szCs w:val="18"/>
          <w:i w:val="1"/>
          <w:iCs w:val="1"/>
          <w:color w:val="auto"/>
        </w:rPr>
        <w:t>– Collaborations, Licensing and Other Arrangements.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6" w:name="page87"/>
    <w:bookmarkEnd w:id="86"/>
    <w:p>
      <w:pPr>
        <w:ind w:right="600"/>
        <w:spacing w:after="0" w:line="282" w:lineRule="auto"/>
        <w:rPr>
          <w:sz w:val="20"/>
          <w:szCs w:val="20"/>
          <w:color w:val="auto"/>
        </w:rPr>
      </w:pPr>
      <w:r>
        <w:rPr>
          <w:rFonts w:ascii="Times New Roman" w:cs="Times New Roman" w:eastAsia="Times New Roman" w:hAnsi="Times New Roman"/>
          <w:sz w:val="18"/>
          <w:szCs w:val="18"/>
          <w:color w:val="auto"/>
        </w:rPr>
        <w:t>performance obligation, then the estimated revenue is included in the transaction price for the contract, which is then allocated to each performance obligation based on the respective standalone selling prices.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including estimating future revenue to be earned over the CSA contract term to determine the amount of deferred revenue to be recognized in the period.</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based on measurement of progress.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 Any changes in transaction price is assessed by management as follows:</w:t>
      </w:r>
    </w:p>
    <w:p>
      <w:pPr>
        <w:spacing w:after="0" w:line="84" w:lineRule="exact"/>
        <w:rPr>
          <w:sz w:val="20"/>
          <w:szCs w:val="20"/>
          <w:color w:val="auto"/>
        </w:rPr>
      </w:pPr>
    </w:p>
    <w:p>
      <w:pPr>
        <w:ind w:left="1020" w:hanging="503"/>
        <w:spacing w:after="0" w:line="289"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change in estimated variable consideration relates to performance obligations that have been partially or fully satisfied, the effect of the change is recognized as an adjustment to revenue in the period of the change. This adjustment is recorded on a cumulative catch-up basis, reflecting the amount of revenue that would have been recognized if the revised estimate had been used since contract inception.</w:t>
      </w:r>
    </w:p>
    <w:p>
      <w:pPr>
        <w:spacing w:after="0" w:line="49"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change in estimated variable consideration relates to performance obligations that have not yet been satisfied, the effect of the change is recognized prospectively over the remaining performance period.</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Royalties — </w:t>
      </w:r>
      <w:r>
        <w:rPr>
          <w:rFonts w:ascii="Times New Roman" w:cs="Times New Roman" w:eastAsia="Times New Roman" w:hAnsi="Times New Roman"/>
          <w:sz w:val="18"/>
          <w:szCs w:val="18"/>
          <w:color w:val="auto"/>
        </w:rPr>
        <w:t>The Company recognizes royalty revenue for a sales-based or usage-based royalty if it is promised in exchange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intellectual property license. The royalty revenue is recognized as the subsequent sale of the product occurs or, if later and applicable, the satisfaction or partial satisfaction of the performance obligation to which the royalty has been allocated. The Company’s UT License Agreement (as defined in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Collaborations, Licensing and Other Arrangements</w:t>
      </w:r>
      <w:r>
        <w:rPr>
          <w:rFonts w:ascii="Times New Roman" w:cs="Times New Roman" w:eastAsia="Times New Roman" w:hAnsi="Times New Roman"/>
          <w:sz w:val="18"/>
          <w:szCs w:val="18"/>
          <w:color w:val="auto"/>
        </w:rPr>
        <w:t>) entitles it to receive a 10% royalty on net sales of Tyvaso DPI for the license of the Company’s IP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considered to be interdependent with the development activities that supported the approval of Tyvaso DPI. Although the Company recognizes a 10% royalty on net revenue from the sale of Tyvaso DPI as revenue, it only collects 9% of future royalties due to its sale in December 2023 of 1% of future royalties as detailed in Note 16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xml:space="preserve">. The First Amendment (as defined in Note 11 – </w:t>
      </w:r>
      <w:r>
        <w:rPr>
          <w:rFonts w:ascii="Times New Roman" w:cs="Times New Roman" w:eastAsia="Times New Roman" w:hAnsi="Times New Roman"/>
          <w:sz w:val="18"/>
          <w:szCs w:val="18"/>
          <w:i w:val="1"/>
          <w:iCs w:val="1"/>
          <w:color w:val="auto"/>
        </w:rPr>
        <w:t>Collaborations, Licensing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to the UT License Agreement also entitles the Company to receive a 10% royalty on net sales of MNKD-1501, if it is approved.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revenue and cost of revenue and goods sold as shown on the consolidated statement of operations is comprised of the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8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Product revenue </w:t>
            </w:r>
            <w:r>
              <w:rPr>
                <w:rFonts w:ascii="Times New Roman" w:cs="Times New Roman" w:eastAsia="Times New Roman" w:hAnsi="Times New Roman"/>
                <w:sz w:val="24"/>
                <w:szCs w:val="24"/>
                <w:color w:val="auto"/>
                <w:vertAlign w:val="superscript"/>
              </w:rPr>
              <w:t>(1)</w:t>
            </w:r>
          </w:p>
        </w:tc>
        <w:tc>
          <w:tcPr>
            <w:tcW w:w="28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216,522</w:t>
            </w:r>
          </w:p>
        </w:tc>
        <w:tc>
          <w:tcPr>
            <w:tcW w:w="5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178,557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4"/>
                <w:szCs w:val="24"/>
                <w:color w:val="auto"/>
                <w:vertAlign w:val="superscript"/>
              </w:rPr>
              <w:t>(2)</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080" w:type="dxa"/>
            <w:vAlign w:val="bottom"/>
          </w:tcPr>
          <w:p>
            <w:pPr>
              <w:ind w:left="120"/>
              <w:spacing w:after="0" w:line="267"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4"/>
                <w:szCs w:val="24"/>
                <w:color w:val="auto"/>
                <w:vertAlign w:val="superscript"/>
              </w:rPr>
              <w:t>(3)</w:t>
            </w:r>
          </w:p>
        </w:tc>
        <w:tc>
          <w:tcPr>
            <w:tcW w:w="25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128,116</w:t>
            </w:r>
          </w:p>
        </w:tc>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56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348,966</w:t>
            </w:r>
          </w:p>
        </w:tc>
        <w:tc>
          <w:tcPr>
            <w:tcW w:w="28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540" w:right="100" w:hanging="532"/>
        <w:spacing w:after="0" w:line="257" w:lineRule="auto"/>
        <w:tabs>
          <w:tab w:leader="none" w:pos="5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revenue from Afrezza, Furoscix and V-Go sales to wholesalers and specialty pharmacies and from the manufacture of Tyvaso DPI delivered to UT.</w:t>
      </w:r>
    </w:p>
    <w:p>
      <w:pPr>
        <w:ind w:left="540" w:right="20" w:hanging="532"/>
        <w:spacing w:after="0" w:line="264" w:lineRule="auto"/>
        <w:tabs>
          <w:tab w:leader="none" w:pos="5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Amounts represent revenue generated from the Company’s collaboration arrangements, including Next-Gen R&amp;D Services (as defined in Note 11) for UT as well as arrangements with other collaboration partners. See Note 11 – </w:t>
      </w:r>
      <w:r>
        <w:rPr>
          <w:rFonts w:ascii="Times New Roman" w:cs="Times New Roman" w:eastAsia="Times New Roman" w:hAnsi="Times New Roman"/>
          <w:sz w:val="16"/>
          <w:szCs w:val="16"/>
          <w:i w:val="1"/>
          <w:iCs w:val="1"/>
          <w:color w:val="auto"/>
        </w:rPr>
        <w:t>Collaborations, Licensing and Other Arrangements</w:t>
      </w:r>
      <w:r>
        <w:rPr>
          <w:rFonts w:ascii="Times New Roman" w:cs="Times New Roman" w:eastAsia="Times New Roman" w:hAnsi="Times New Roman"/>
          <w:sz w:val="16"/>
          <w:szCs w:val="16"/>
          <w:color w:val="auto"/>
        </w:rPr>
        <w:t>.</w:t>
      </w:r>
    </w:p>
    <w:p>
      <w:pPr>
        <w:ind w:left="540" w:hanging="532"/>
        <w:spacing w:after="0"/>
        <w:tabs>
          <w:tab w:leader="none" w:pos="5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royalties earned based on UT’s net revenue from Tyvaso DPI sales.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goods sold and cost of revenue:</w:t>
            </w: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800" w:type="dxa"/>
            <w:vAlign w:val="bottom"/>
            <w:gridSpan w:val="2"/>
          </w:tcPr>
          <w:p>
            <w:pPr>
              <w:jc w:val="right"/>
              <w:ind w:right="64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86,960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61,989</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 of goods sold and cost of revenue</w:t>
            </w:r>
          </w:p>
        </w:tc>
        <w:tc>
          <w:tcPr>
            <w:tcW w:w="800" w:type="dxa"/>
            <w:vAlign w:val="bottom"/>
            <w:gridSpan w:val="2"/>
          </w:tcPr>
          <w:p>
            <w:pPr>
              <w:jc w:val="right"/>
              <w:ind w:right="64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87,960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76,602</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62,771</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Certain judgments and estimates impact the amount and timing of revenue recognition. For example, in connection with its existing collaboration agreements, the Company has recorded short-term and long-term deferred revenue on its consolidated balance sheets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Commercial - </w:t>
      </w:r>
      <w:r>
        <w:rPr>
          <w:rFonts w:ascii="Times New Roman" w:cs="Times New Roman" w:eastAsia="Times New Roman" w:hAnsi="Times New Roman"/>
          <w:sz w:val="18"/>
          <w:szCs w:val="18"/>
          <w:color w:val="auto"/>
        </w:rPr>
        <w:t>Cost of goods sold- commercial is associated with the product revenue for Afrezza, Furoscix and V-Go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 labor costs and manufacturing overhead. Write-offs of inventory and certain other period costs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The Company incurs a quarterly capacity fee through its agreement with Amphastar which is included in cost of goods sold.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on this agreement. All insulin inventory on hand was written off and the full purchase commitment contract to purchase future insulin was accrued as a recognized loss on purchase commitments in prior years.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Revenues – Collaborations and Services </w:t>
      </w:r>
      <w:r>
        <w:rPr>
          <w:rFonts w:ascii="Times New Roman" w:cs="Times New Roman" w:eastAsia="Times New Roman" w:hAnsi="Times New Roman"/>
          <w:sz w:val="18"/>
          <w:szCs w:val="18"/>
          <w:color w:val="auto"/>
        </w:rPr>
        <w:t>— Cost of revenues for collaborations and services is primarily associated with product revenue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Tyvaso DPI and includes material, labor costs and manufacturing overhead. Write-offs of inventory and certain other period costs are recorded as expenses in the period in which they are incurred, rather than as a portion of inventory costs. Cost of revenues for collaborations and services also includes the cost of product development.</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 </w:t>
      </w:r>
      <w:r>
        <w:rPr>
          <w:rFonts w:ascii="Times New Roman" w:cs="Times New Roman" w:eastAsia="Times New Roman" w:hAnsi="Times New Roman"/>
          <w:sz w:val="18"/>
          <w:szCs w:val="18"/>
          <w:color w:val="auto"/>
        </w:rPr>
        <w:t>Clinical trial expenses result from obligations under contracts with vendors, consultants and clinical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 The Company considers all highly liquid investments with original or remaining maturities of</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ind w:right="180"/>
        <w:spacing w:after="0" w:line="266" w:lineRule="auto"/>
        <w:rPr>
          <w:sz w:val="20"/>
          <w:szCs w:val="20"/>
          <w:color w:val="auto"/>
        </w:rPr>
      </w:pPr>
      <w:r>
        <w:rPr>
          <w:rFonts w:ascii="Times New Roman" w:cs="Times New Roman" w:eastAsia="Times New Roman" w:hAnsi="Times New Roman"/>
          <w:sz w:val="18"/>
          <w:szCs w:val="18"/>
          <w:color w:val="auto"/>
        </w:rPr>
        <w:t>90 days or less at the time of purchase, that are readily convertible into cash to be cash equivalents. As of December 31, 2025 and 2024, cash equivalents were comprised of interest bearing money market funds, U.S. Treasury securities, corporate bonds and commercial paper with original maturities of 90 days or less from the date of purchase.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 See Note 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Business Combinations.</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 The Company's available-for-sale investments consist primarily of highly liquid money market funds, commercial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paper, and U.S. Treasury securities that are intended to facilitate liquidity and capital preservation. Additionally, the Company had two convertible promissory notes issued by Thirona Bio, Inc. ("Thirona") which were classified as an available-for-sale investment for the year ended December 31, 2024. In September 2025, the Company determined the Thirona investment to be fully impaired and recognized a $6.4 million impairment loss. See Note 4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Available-for-sale investments are measured at fair value with realized gains and losses and unrealized losses related to credit risk reported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income (expense) in the consolidated statements of operations. Unrealized holding gains and losses are excluded from earnings and reported in other comprehensive income until realized. These investments with maturities less than 12 months are included in short-term investments and investments with maturities in excess of 12 months are included in long-term investments in the consolidated balance sheets. The accretion of these investments, net of amortization, is recognized as interest income in the consolidated statements of operations. See Note 4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concentration of credit risk consisted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investments. Cash and cash equivalents are held in high credit quality institutions. Cash equivalents consisted of interest-bearing money market funds and U.S. Treasury securities with original or remaining maturities of 90 days or less at the time of purchase. Investments generally consisted of commercial paper, corporate notes or bonds and U.S. Treasury securities. Cash equivalents and investments are regularly monitored by management.</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and would instead recognize such costs as R&amp;D expense in the period incurred. See Note 6 </w:t>
      </w:r>
      <w:r>
        <w:rPr>
          <w:rFonts w:ascii="Times New Roman" w:cs="Times New Roman" w:eastAsia="Times New Roman" w:hAnsi="Times New Roman"/>
          <w:sz w:val="18"/>
          <w:szCs w:val="18"/>
          <w:i w:val="1"/>
          <w:iCs w:val="1"/>
          <w:color w:val="auto"/>
        </w:rPr>
        <w:t>– Inventories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contract manufacturing organizations ("CMOs") in the U.S. and outside the U.S. to produce its Furoscix inventory and a CMO outside of the U.S. for certain stages of V-Go inventory.</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9" w:name="page90"/>
    <w:bookmarkEnd w:id="89"/>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7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recorded at historical cost, net of accumulated depreciation. Depreciation expense is recorded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assets’ useful lives on a straight-line basis and included in cost of goods sold, research and development, and selling, general and administrative expense in the consolidated statements of operations. See Note 7 </w:t>
      </w:r>
      <w:r>
        <w:rPr>
          <w:rFonts w:ascii="Times New Roman" w:cs="Times New Roman" w:eastAsia="Times New Roman" w:hAnsi="Times New Roman"/>
          <w:sz w:val="18"/>
          <w:szCs w:val="18"/>
          <w:i w:val="1"/>
          <w:iCs w:val="1"/>
          <w:color w:val="auto"/>
        </w:rPr>
        <w:t>– Property and Equipment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Long-lived assets include property and equipment, operating lease right-of-use assets and other intangible assets.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long-lived assets for impairment whenever events or changes in circumstances indicate that the carrying value of an asset may not be recoverable. Assets are considered to be impaired if the carrying value is considered to be unrecoverable.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If the assets acquired do not constitute a business, the Company accounts for the transaction as an asset acquisition. Business combinations are accounted for by means of the acquisition method of accounting. Under the acquisition method, assets acquired, including developed technology and IPR&amp;D, and liabilities assumed are recorded at their respective fair values as of the acquisition date in the Company’s consolidated financial statements. Leases are recorded at the net present value of the remaining lease payments. The excess of the fair value of consideration transferred over the fair value of the net assets acquired is recorded as goodwill. A gain on bargain purchase is recorded if the fair value of the net assets acquired exceeds the fair value of the consideration transferred.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Measurement period adjustments related to acquired assets and liabilities may be recorded within one year of the acquisition date and are recognized in earnings in the period in which the adjustments are identified. The accompanying consolidated balance sheet as of December 31, 2025 includes certain assets acquired and liabilities assumed based on management’s preliminary estimates of their respective fair values such as valuation of acquired intangible assets, contingent liabilities and deferred tax assets and liabilities. The Company expects to finalize these fair value measurements as additional information becomes available, including completion of its review of acquired contractual arrangements and other relevant facts and circumstances. See Note 3 -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either a cost approach or an income approach.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approach establishes fair value based on the cost of reproducing or replacing the asset, less depreciation for functional or economic obsolescence. The income approach, referred to as the excess earnings method, utilizes Level 3 fair value inputs to determine the present value of future economic benefits to be derived from ownership of the intangible asset. Market participant valuations assume a global view considering all potential jurisdictions and indications based on discounted after-tax cash flow projections, risk adjusted for estimated probability of technical and regulatory success.</w:t>
      </w:r>
    </w:p>
    <w:p>
      <w:pPr>
        <w:spacing w:after="0" w:line="1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9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1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IPR&amp;D acquired in a business combination is considered an indefinite-lived intangible asset until the completion or abandonment of the associated R&amp;D efforts. During the R&amp;D period, the asset is not amortized but rather is tested for impairment annually, or when facts or circumstances suggest that the carrying value of the asset may not be recoverable. Once the R&amp;D efforts are completed, the Company accounts for the resulting asset as a finite-lived intangible asset. If the R&amp;D efforts are abandoned, the asset balance is written off to R&amp;D expense.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 </w:t>
      </w:r>
      <w:r>
        <w:rPr>
          <w:rFonts w:ascii="Times New Roman" w:cs="Times New Roman" w:eastAsia="Times New Roman" w:hAnsi="Times New Roman"/>
          <w:sz w:val="18"/>
          <w:szCs w:val="18"/>
          <w:color w:val="auto"/>
        </w:rPr>
        <w:t>The Company reviews the terms of the long-term supply agreements and assesses the need for any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estimated losses, such as lower of cost or net realizable value, that will not be recovered by future product sales. The recognized loss on purchase commitments is reduced as inventory items are received or as the liability is extinguished. See Note 16 – </w:t>
      </w:r>
      <w:r>
        <w:rPr>
          <w:rFonts w:ascii="Times New Roman" w:cs="Times New Roman" w:eastAsia="Times New Roman" w:hAnsi="Times New Roman"/>
          <w:sz w:val="18"/>
          <w:szCs w:val="18"/>
          <w:i w:val="1"/>
          <w:iCs w:val="1"/>
          <w:color w:val="auto"/>
        </w:rPr>
        <w:t>Commitments and Contingencies.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$45.0 million of which remains payable as of December 31, 2025,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rights and obligations of the Original Milestone Purchasers and are now entitled to all rights under the Milestone Rights Agreement. The Milestone Rights liability is reported at fair value at the date of the agreement which is periodically offset against payments. See Note 12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is remeasured as the specified milestone events are achieved. Specifically, as each milestone event is achieved, the portion of the initially recorded Milestone Rights liability that pertains to the milestone event being achieved, is remeasured to the amount of the specified related milestone payment. The resulting change in the balance of the Milestone Rights liability due to remeasurement is recorded in the Company’s consolidated statements of operations as interest expense. Furthermore, the Milestone Rights liability is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9 – </w:t>
      </w:r>
      <w:r>
        <w:rPr>
          <w:rFonts w:ascii="Times New Roman" w:cs="Times New Roman" w:eastAsia="Times New Roman" w:hAnsi="Times New Roman"/>
          <w:sz w:val="18"/>
          <w:szCs w:val="18"/>
          <w:i w:val="1"/>
          <w:iCs w:val="1"/>
          <w:color w:val="auto"/>
        </w:rPr>
        <w:t>Accrued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and Note 16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—The Company applies various valuation approaches in determining the fair value of its financial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1" w:name="page92"/>
    <w:bookmarkEnd w:id="91"/>
    <w:p>
      <w:pPr>
        <w:ind w:right="60"/>
        <w:spacing w:after="0" w:line="266" w:lineRule="auto"/>
        <w:rPr>
          <w:sz w:val="20"/>
          <w:szCs w:val="20"/>
          <w:color w:val="auto"/>
        </w:rPr>
      </w:pPr>
      <w:r>
        <w:rPr>
          <w:rFonts w:ascii="Times New Roman" w:cs="Times New Roman" w:eastAsia="Times New Roman" w:hAnsi="Times New Roman"/>
          <w:sz w:val="18"/>
          <w:szCs w:val="18"/>
          <w:color w:val="auto"/>
        </w:rPr>
        <w:t>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(“RSUs”), performance-based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units ("Performance RSUs"), performance-based non-qualified stock options awards (“PNQs”), restricted stock units with market conditions (“Market RSUs”), options and the compensatory elements of employee stock purchase plans, are recognized in the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 See Note 15 - </w:t>
      </w:r>
      <w:r>
        <w:rPr>
          <w:rFonts w:ascii="Times New Roman" w:cs="Times New Roman" w:eastAsia="Times New Roman" w:hAnsi="Times New Roman"/>
          <w:sz w:val="18"/>
          <w:szCs w:val="18"/>
          <w:i w:val="1"/>
          <w:iCs w:val="1"/>
          <w:color w:val="auto"/>
        </w:rPr>
        <w:t>Stock Award Plans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of Common Stock </w:t>
      </w:r>
      <w:r>
        <w:rPr>
          <w:rFonts w:ascii="Times New Roman" w:cs="Times New Roman" w:eastAsia="Times New Roman" w:hAnsi="Times New Roman"/>
          <w:sz w:val="18"/>
          <w:szCs w:val="18"/>
          <w:color w:val="auto"/>
        </w:rPr>
        <w:t>— Basic net income or loss per share ("EPS") is computed by dividing net income or loss by the weighted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number of common shares outstanding for the period. Diluted EPS reflects the effect of potential common stock issuances resulting from assumed stock option exercises and vesting of RSU's,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to require enhanced income tax disclosures to provide information to assess how an entity’s operations and related tax risks, tax planning, and operational opportunities affect its tax rate and prospects for future cash flows. The amendments in this update provide that a business entity disclose (1) a tabular income tax rate reconciliation, using both percentages and amounts, (2) separate disclosure of any individual reconciling items that are equal to or greater than 5% of the amount computed by multiplying the income (loss) from continuing operations before income taxes by the applicable statutory income tax rate, and disaggregation of certain items that are significant and (3) amount of income taxes paid (net of refunds received) disaggregated by federal, state and foreign jurisdictions, including separate disclosure of any individual jurisdictions greater than 5% of total income taxes paid. These amendments are effective for the Company beginning in the annual period ended December 31, 2025, applied prospectively, with early adoption and retrospective application permitted. The Company applied the amendments prospectively for the year ended December 31, 2025, and the impact of the adoption of the amendments in this update was not material to the Company’s consolidated financial position and results of operations for the year ended December 31, 2025, since the amendments require only enhancement of existing income tax disclosures in the footnotes to the Company’s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which amends ASC 220-40,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w:t>
      </w:r>
      <w:r>
        <w:rPr>
          <w:rFonts w:ascii="Times New Roman" w:cs="Times New Roman" w:eastAsia="Times New Roman" w:hAnsi="Times New Roman"/>
          <w:sz w:val="18"/>
          <w:szCs w:val="18"/>
          <w:color w:val="auto"/>
        </w:rPr>
        <w:t>, to require disaggregated disclosure of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public entities. This ASU does not change the expense captions an entity presents on the face of the income statement; rather, it requires disaggregation of certain expense captions into specified categories in disclosures within the footnotes to the financial statements. The objective of this ASU is to address requests from investors for more detailed information about the types of expenses included in commonly presented expense captions. This ASU is effective for all public entities for fiscal years beginning after December 15, 2026, and interim periods within fiscal years beginning after December 15, 2027. Early adoption is permitted. The Company does not anticipate that adoption of this ASU will have a material impact on its financial position, results of operations or cash flows.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This update provides all entities with a practical expedient and allows entities, other than public business entities, an accounting policy election when estimating expected credit losses for current accounts receivable and current contract assets arising from transactions accounted for under Topic 606. This ASU is to be applied prospectively and becomes effective for annual reporting periods beginning after December 15, 2025, and interim reporting periods within those annual reporting periods. Early adoption is permitted in both interim and annual reporting periods, provided that financial statements have not yet been issued or made available for issuance. The Company is currently evaluating the potential impact of this ASU on its financial position, results of operations or cash flows.</w:t>
      </w:r>
    </w:p>
    <w:p>
      <w:pPr>
        <w:spacing w:after="0" w:line="18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which modifies the accounting for software costs under Subtopic 350-40,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The objective of this ASU is to better align the accounting with how software is being developed by removing all references to prescriptive and sequential software development. Instead, an entity is required to start capitalizing software costs when both management has authorized and committed to funding the software project and it is probable that the project will be completed and the software will be used for its intended purpose. This ASU is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effective for all entities subject to the internal-use software guidance in Subtopic 350-40 for annual reporting periods beginning after December 15, 2027. Early adoption is permitted at the start of an annual period. The Company is currently evaluating the potential impact of this ASU on its financial position, results of operations or cash flows.</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scPharmaceuticals Inc.</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October 7, 2025 (the "Merger Date"), the Company completed its merger with scPharmaceuticals Inc. ("scPharma"), a publicly held pharmaceutical company focused on cardiovascular and renal care, at a price of $5.35 per share in cash plus one non-tradable contingent value right ("CVR") per share, which represents the right to receive up to an aggregate amount of $1.00 per CVR in cash upon the achievement of certain regulatory and net sales milestones on or prior to the applicable milestone outside dates, for total consideration of up to $6.35 per share in cash, representing a total equity value of approximately $303.8 million and representing a total deal value of up to approximately $363.5 million if the CVR milestones are achieved at the maximum payment amount. Upon the closing of the transaction, MannKind repaid and extinguished all outstanding indebtedness of scPharma under its credit facility with Perceptive Credit Holdings IV, LP (“Perceptive”) and bought out Perceptive’s rights to receive revenue payments pursuant to its revenue purchase and sale agreement, which equaled an aggregate repayment and buyout amount of $82.6 million.</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Through the merger, the Company acquired Furoscix, which was developed by scPharma and is a novel formulation of furosemide that delivers an 80 mg dose via an On-body infusor over a five-hour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merger with scPharma was accounted for as a business combination using the acquisition method of accounting, which requires the assets acquired and liabilities assumed to be recognized at their respective fair values as of the Merger Date. The excess of purchase price over the fair value of the net assets acquired this transaction was recorded as goodwill. See Note 8 –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reconciliation of cash flows included in investing activities on the consolidated statements of cash flows to total purchase price is reflected below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Amounts included in cash flows from investing activities:</w:t>
            </w:r>
          </w:p>
        </w:tc>
        <w:tc>
          <w:tcPr>
            <w:tcW w:w="17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scPharma, net of cash acquired</w:t>
            </w:r>
          </w:p>
        </w:tc>
        <w:tc>
          <w:tcPr>
            <w:tcW w:w="3680" w:type="dxa"/>
            <w:vAlign w:val="bottom"/>
            <w:gridSpan w:val="2"/>
          </w:tcPr>
          <w:p>
            <w:pPr>
              <w:jc w:val="right"/>
              <w:ind w:right="188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347,742</w:t>
            </w: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note receivable</w:t>
            </w:r>
          </w:p>
        </w:tc>
        <w:tc>
          <w:tcPr>
            <w:tcW w:w="1700" w:type="dxa"/>
            <w:vAlign w:val="bottom"/>
            <w:tcBorders>
              <w:bottom w:val="single" w:sz="8" w:color="CFF0FC"/>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spacing w:after="0"/>
              <w:rPr>
                <w:sz w:val="18"/>
                <w:szCs w:val="18"/>
                <w:color w:val="auto"/>
              </w:rPr>
            </w:pPr>
          </w:p>
        </w:tc>
        <w:tc>
          <w:tcPr>
            <w:tcW w:w="2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included in cash flows from investing activities</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357,742</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7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25,217</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 in acquisition of scPharma</w:t>
            </w:r>
          </w:p>
        </w:tc>
        <w:tc>
          <w:tcPr>
            <w:tcW w:w="1700" w:type="dxa"/>
            <w:vAlign w:val="bottom"/>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100" w:type="dxa"/>
            <w:vAlign w:val="bottom"/>
          </w:tcPr>
          <w:p>
            <w:pPr>
              <w:spacing w:after="0"/>
              <w:rPr>
                <w:sz w:val="18"/>
                <w:szCs w:val="18"/>
                <w:color w:val="auto"/>
              </w:rPr>
            </w:pPr>
          </w:p>
        </w:tc>
      </w:tr>
      <w:tr>
        <w:trPr>
          <w:trHeight w:val="25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3680" w:type="dxa"/>
            <w:vAlign w:val="bottom"/>
            <w:gridSpan w:val="2"/>
            <w:shd w:val="clear" w:color="auto" w:fill="CFF0FC"/>
          </w:tcPr>
          <w:p>
            <w:pPr>
              <w:jc w:val="right"/>
              <w:ind w:right="188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421,638</w:t>
            </w:r>
          </w:p>
        </w:tc>
        <w:tc>
          <w:tcPr>
            <w:tcW w:w="100" w:type="dxa"/>
            <w:vAlign w:val="bottom"/>
            <w:shd w:val="clear" w:color="auto" w:fill="CFF0FC"/>
          </w:tcPr>
          <w:p>
            <w:pPr>
              <w:spacing w:after="0"/>
              <w:rPr>
                <w:sz w:val="21"/>
                <w:szCs w:val="21"/>
                <w:color w:val="auto"/>
              </w:rPr>
            </w:pPr>
          </w:p>
        </w:tc>
      </w:tr>
      <w:tr>
        <w:trPr>
          <w:trHeight w:val="629"/>
        </w:trPr>
        <w:tc>
          <w:tcPr>
            <w:tcW w:w="4960" w:type="dxa"/>
            <w:vAlign w:val="bottom"/>
            <w:tcBorders>
              <w:top w:val="single" w:sz="8" w:color="CFF0FC"/>
            </w:tcBorders>
          </w:tcPr>
          <w:p>
            <w:pPr>
              <w:spacing w:after="0"/>
              <w:rPr>
                <w:sz w:val="24"/>
                <w:szCs w:val="24"/>
                <w:color w:val="auto"/>
              </w:rPr>
            </w:pPr>
          </w:p>
        </w:tc>
        <w:tc>
          <w:tcPr>
            <w:tcW w:w="1700" w:type="dxa"/>
            <w:vAlign w:val="bottom"/>
            <w:tcBorders>
              <w:top w:val="single" w:sz="8" w:color="CFF0FC"/>
            </w:tcBorders>
          </w:tcPr>
          <w:p>
            <w:pPr>
              <w:jc w:val="right"/>
              <w:ind w:right="850"/>
              <w:spacing w:after="0"/>
              <w:rPr>
                <w:sz w:val="20"/>
                <w:szCs w:val="20"/>
                <w:color w:val="auto"/>
              </w:rPr>
            </w:pPr>
            <w:r>
              <w:rPr>
                <w:rFonts w:ascii="Times New Roman" w:cs="Times New Roman" w:eastAsia="Times New Roman" w:hAnsi="Times New Roman"/>
                <w:sz w:val="18"/>
                <w:szCs w:val="18"/>
                <w:color w:val="auto"/>
              </w:rPr>
              <w:t>93</w:t>
            </w:r>
          </w:p>
        </w:tc>
        <w:tc>
          <w:tcPr>
            <w:tcW w:w="19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ind w:right="620"/>
        <w:spacing w:after="0" w:line="282" w:lineRule="auto"/>
        <w:rPr>
          <w:sz w:val="20"/>
          <w:szCs w:val="20"/>
          <w:color w:val="auto"/>
        </w:rPr>
      </w:pPr>
      <w:r>
        <w:rPr>
          <w:rFonts w:ascii="Times New Roman" w:cs="Times New Roman" w:eastAsia="Times New Roman" w:hAnsi="Times New Roman"/>
          <w:sz w:val="18"/>
          <w:szCs w:val="18"/>
          <w:color w:val="auto"/>
        </w:rPr>
        <w:t>The fair values of identifiable assets acquired and liabilities assumed by the Company from scPharma as of the Merger Date are reflected below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October 7, 2025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 (as</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(liability) – net</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 - on-body infusor</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IPR&amp;D - ReadyFlow Formulation</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401,532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(18,953)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(18,953)</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(20,456)</w:t>
            </w:r>
          </w:p>
        </w:tc>
        <w:tc>
          <w:tcPr>
            <w:tcW w:w="0" w:type="dxa"/>
            <w:vAlign w:val="bottom"/>
          </w:tcPr>
          <w:p>
            <w:pPr>
              <w:spacing w:after="0"/>
              <w:rPr>
                <w:sz w:val="1"/>
                <w:szCs w:val="1"/>
                <w:color w:val="auto"/>
              </w:rPr>
            </w:pPr>
          </w:p>
        </w:tc>
      </w:tr>
      <w:tr>
        <w:trPr>
          <w:trHeight w:val="216"/>
        </w:trPr>
        <w:tc>
          <w:tcPr>
            <w:tcW w:w="5380" w:type="dxa"/>
            <w:vAlign w:val="bottom"/>
            <w:shd w:val="clear" w:color="auto" w:fill="D0F0FC"/>
          </w:tcPr>
          <w:p>
            <w:pPr>
              <w:spacing w:after="0"/>
              <w:rPr>
                <w:sz w:val="20"/>
                <w:szCs w:val="20"/>
                <w:color w:val="auto"/>
              </w:rPr>
            </w:pPr>
            <w:r>
              <w:rPr>
                <w:rFonts w:ascii="Times New Roman" w:cs="Times New Roman" w:eastAsia="Times New Roman" w:hAnsi="Times New Roman"/>
                <w:sz w:val="18"/>
                <w:szCs w:val="18"/>
                <w:color w:val="auto"/>
              </w:rPr>
              <w:t>Right-of-use liability</w:t>
            </w:r>
          </w:p>
        </w:tc>
        <w:tc>
          <w:tcPr>
            <w:tcW w:w="220" w:type="dxa"/>
            <w:vAlign w:val="bottom"/>
            <w:shd w:val="clear" w:color="auto" w:fill="D0F0FC"/>
          </w:tcPr>
          <w:p>
            <w:pPr>
              <w:spacing w:after="0"/>
              <w:rPr>
                <w:sz w:val="18"/>
                <w:szCs w:val="18"/>
                <w:color w:val="auto"/>
              </w:rPr>
            </w:pPr>
          </w:p>
        </w:tc>
        <w:tc>
          <w:tcPr>
            <w:tcW w:w="1660" w:type="dxa"/>
            <w:vAlign w:val="bottom"/>
            <w:gridSpan w:val="2"/>
            <w:shd w:val="clear" w:color="auto" w:fill="D0F0FC"/>
          </w:tcPr>
          <w:p>
            <w:pPr>
              <w:jc w:val="right"/>
              <w:ind w:right="120"/>
              <w:spacing w:after="0"/>
              <w:rPr>
                <w:sz w:val="20"/>
                <w:szCs w:val="20"/>
                <w:color w:val="auto"/>
              </w:rPr>
            </w:pPr>
            <w:r>
              <w:rPr>
                <w:rFonts w:ascii="Times New Roman" w:cs="Times New Roman" w:eastAsia="Times New Roman" w:hAnsi="Times New Roman"/>
                <w:sz w:val="18"/>
                <w:szCs w:val="18"/>
                <w:color w:val="auto"/>
              </w:rPr>
              <w:t>(1,180)</w:t>
            </w:r>
          </w:p>
        </w:tc>
        <w:tc>
          <w:tcPr>
            <w:tcW w:w="140" w:type="dxa"/>
            <w:vAlign w:val="bottom"/>
            <w:shd w:val="clear" w:color="auto" w:fill="D0F0FC"/>
          </w:tcPr>
          <w:p>
            <w:pPr>
              <w:spacing w:after="0"/>
              <w:rPr>
                <w:sz w:val="18"/>
                <w:szCs w:val="18"/>
                <w:color w:val="auto"/>
              </w:rPr>
            </w:pPr>
          </w:p>
        </w:tc>
        <w:tc>
          <w:tcPr>
            <w:tcW w:w="140" w:type="dxa"/>
            <w:vAlign w:val="bottom"/>
            <w:shd w:val="clear" w:color="auto" w:fill="D0F0FC"/>
          </w:tcPr>
          <w:p>
            <w:pPr>
              <w:spacing w:after="0"/>
              <w:rPr>
                <w:sz w:val="18"/>
                <w:szCs w:val="18"/>
                <w:color w:val="auto"/>
              </w:rPr>
            </w:pPr>
          </w:p>
        </w:tc>
        <w:tc>
          <w:tcPr>
            <w:tcW w:w="1560" w:type="dxa"/>
            <w:vAlign w:val="bottom"/>
            <w:shd w:val="clear" w:color="auto" w:fill="D0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0F0FC"/>
          </w:tcPr>
          <w:p>
            <w:pPr>
              <w:spacing w:after="0"/>
              <w:rPr>
                <w:sz w:val="18"/>
                <w:szCs w:val="18"/>
                <w:color w:val="auto"/>
              </w:rPr>
            </w:pPr>
          </w:p>
        </w:tc>
        <w:tc>
          <w:tcPr>
            <w:tcW w:w="120" w:type="dxa"/>
            <w:vAlign w:val="bottom"/>
            <w:shd w:val="clear" w:color="auto" w:fill="D0F0FC"/>
          </w:tcPr>
          <w:p>
            <w:pPr>
              <w:spacing w:after="0"/>
              <w:rPr>
                <w:sz w:val="18"/>
                <w:szCs w:val="18"/>
                <w:color w:val="auto"/>
              </w:rPr>
            </w:pPr>
          </w:p>
        </w:tc>
        <w:tc>
          <w:tcPr>
            <w:tcW w:w="1700" w:type="dxa"/>
            <w:vAlign w:val="bottom"/>
            <w:gridSpan w:val="2"/>
            <w:shd w:val="clear" w:color="auto" w:fill="D0F0FC"/>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(45,558)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(45,558)</w:t>
            </w:r>
          </w:p>
        </w:tc>
        <w:tc>
          <w:tcPr>
            <w:tcW w:w="0" w:type="dxa"/>
            <w:vAlign w:val="bottom"/>
          </w:tcPr>
          <w:p>
            <w:pPr>
              <w:spacing w:after="0"/>
              <w:rPr>
                <w:sz w:val="1"/>
                <w:szCs w:val="1"/>
                <w:color w:val="auto"/>
              </w:rPr>
            </w:pPr>
          </w:p>
        </w:tc>
      </w:tr>
      <w:tr>
        <w:trPr>
          <w:trHeight w:val="209"/>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355,974</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355,974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421,638</w:t>
            </w:r>
          </w:p>
        </w:tc>
        <w:tc>
          <w:tcPr>
            <w:tcW w:w="18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-1282065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-1282065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-1282065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-441960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-441960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-441960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-159385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-159385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-13335</wp:posOffset>
            </wp:positionV>
            <wp:extent cx="36518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-79375</wp:posOffset>
            </wp:positionV>
            <wp:extent cx="36518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2">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 Includes $12.5 million related to employee stock compensation paid out as part of the acquisition.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Loan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23, 2025, a note receivable was issued to scPharma in the amount of $10.0 million bearing interest at the adjusted term SOFR rate plus</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4.75% which was 9.00% at that date. The interest rate was applicable until November 6, 2025. The note receivable, including the interest owed on it, was forgiven as part of the merger and the $10.0 million is included in the total purchase price in the table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measured the inventory acquired from scPharma at fair value in accordance with ASC 805. Finished goods and work-in-process (“WIP”) inventory were valued using a net realizable value approach, which reflects the estimated selling price of the inventory less the costs to complete, disposal costs, and a reasonable profit allowance for the selling effort. Raw materials were valued at the price a market participant would pay, which approximated their carrying value. As a result of this analysis, the fair value of acquired inventory was determined to be $11.2 million, representing a reduction from the $13.3 million carrying amount on scPharma's opening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acquired developed technology related to the on-body infusor and the IPR&amp;D related to the ReadyFlow Formulation were derived using an income approach, specifically a projected discounted cash flow method, adjusted for the probability of regulatory and commercial success. The projected discounted cash flow models used to estimate the Company’s Developed technology and IPR&amp;D reflect significant assumptions regarding the estimates a market participant would make in order to evaluate a commercial drug and a drug development asset, including the following:</w:t>
      </w:r>
    </w:p>
    <w:p>
      <w:pPr>
        <w:spacing w:after="0" w:line="180"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character and utility of the intangible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cost-savings attributes of the intangible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functional or economic obsolescence of each intangible asset,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risk and uncertainty associated with an investment in intangible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of the fair value of the developed technology and IPR&amp;D intangible assets as such, required management to make significant estimates and assumptions related to future cash flows and the discount rate. The discount rates used in the determination of fair value for developed technology and IPR&amp;D were both 23% and both used a royalty rate of 10%. The developed technology and IPR&amp;D are both level 3 in the fair value hierarchy described above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developed technology is amortized over its useful life of 11.2 years and the expense is recorded in amortization of acquired intangible assets on the Company's consolidated statements of operations for the year ended December 31, 2025. The IPR&amp;D intangible asset is not amortized, but rather is reviewed for impairment on an annual basis or more frequently if indicators of impairment are present, until the project is completed, abandoned, or transferred to a third party.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Value Right ("CVR")</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contingent consideration for the CVR is included in Contingent consideration - short term and Contingent consideration - long term in the table above and in the consolidated balance sheets and is achieved through the following milestones:</w:t>
      </w:r>
    </w:p>
    <w:p>
      <w:pPr>
        <w:spacing w:after="0" w:line="160" w:lineRule="exact"/>
        <w:rPr>
          <w:sz w:val="20"/>
          <w:szCs w:val="20"/>
          <w:color w:val="auto"/>
        </w:rPr>
      </w:pPr>
    </w:p>
    <w:p>
      <w:pPr>
        <w:ind w:left="1020" w:right="200" w:hanging="503"/>
        <w:spacing w:after="0" w:line="261" w:lineRule="auto"/>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Milestone 1: </w:t>
      </w:r>
      <w:r>
        <w:rPr>
          <w:rFonts w:ascii="Times New Roman" w:cs="Times New Roman" w:eastAsia="Times New Roman" w:hAnsi="Times New Roman"/>
          <w:sz w:val="18"/>
          <w:szCs w:val="18"/>
          <w:color w:val="auto"/>
        </w:rPr>
        <w:t>Receipt of FDA approval of a drug-device combination product comprising SCP-111 delivered either in an autoinjector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scPharma’s device supplier-developed Self-Dose injection delivery system (such product, an “Injection Product” and, such milestone, “Milestone 1”) with (a) $0.75 per CVR if Milestone 1 is achieved by September 30, 2026, (b) $0.50 per CVR if Milestone 1 is achieved by December 31, 2026 and (c) $0.25 per CVR if Milestone 1 is achieved by June 30, 2027.</w:t>
      </w:r>
    </w:p>
    <w:p>
      <w:pPr>
        <w:spacing w:after="0" w:line="71" w:lineRule="exact"/>
        <w:rPr>
          <w:rFonts w:ascii="Times New Roman" w:cs="Times New Roman" w:eastAsia="Times New Roman" w:hAnsi="Times New Roman"/>
          <w:sz w:val="18"/>
          <w:szCs w:val="18"/>
          <w:i w:val="1"/>
          <w:iCs w:val="1"/>
          <w:color w:val="auto"/>
        </w:rPr>
      </w:pPr>
    </w:p>
    <w:p>
      <w:pPr>
        <w:ind w:left="1020" w:right="20" w:hanging="503"/>
        <w:spacing w:after="0" w:line="255" w:lineRule="auto"/>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Milestone 2: </w:t>
      </w:r>
      <w:r>
        <w:rPr>
          <w:rFonts w:ascii="Times New Roman" w:cs="Times New Roman" w:eastAsia="Times New Roman" w:hAnsi="Times New Roman"/>
          <w:sz w:val="18"/>
          <w:szCs w:val="18"/>
          <w:color w:val="auto"/>
        </w:rPr>
        <w:t>Achievement in any trailing consecutive 12-month period ending prior to and including December 31, 2026 of at least $110.0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worldwide net sales of all Injection Products and Furoscix Infusors (collectively, the “Products”) in such 12-month period (“Milestone 2”) with (a) $0.25 per CVR upon the achievement of $120.0 million of worldwide net sales in such period and (b) between $0.10 and $0.25 per CVR if, as of December 31, 2026, the highest worldwide net sales in any trailing 12-month period were between $110.0 million and $120.0 million, which payment will be calculated on a straight-line basis such that the payment per CVR increases proportionally as worldwide net sales increase from $110.0 million to $120.0 million. Milestone 2 will not be achieved if trailing worldwide net sales are less than $110.0 million during this period. For the avoidance of doubt, no payment shall be made if the highest worldwide net sales in any trailing twelve-month period are less than $110.0 million.</w:t>
      </w:r>
    </w:p>
    <w:p>
      <w:pPr>
        <w:spacing w:after="0" w:line="2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CVR was valued using both a Scenario-Based Method for Milestone 1 and a Monte Carlo Simulation Method for Milestone 2 to estimate the probability of success. The probability adjusted cash flow included significant estimates and assumptions pertaining to commercialization events and net sales received by the Company during the term of the CVR Agreement (as discussed above). See Note 12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the key assumptions used in determining fair value.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contingent consideration liability is remeasured each subsequent reporting period until the related contingencies have been resolved. For the year ended December 31, 2025, the Company recorded $1.0 million to other expense as a result of the remeasurement of the fair value of the contingent consideration liability obtained from the acquisition of scPharma. The following table summarizes the activities within the account balance as of December 31, 2025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October 7, 2025</w:t>
            </w:r>
          </w:p>
        </w:tc>
        <w:tc>
          <w:tcPr>
            <w:tcW w:w="3880" w:type="dxa"/>
            <w:vAlign w:val="bottom"/>
            <w:gridSpan w:val="2"/>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25,217</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186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6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goodwill of $65.7 million is not tax deductible and represents the excess of the consideration paid over the fair value of assets acquired and liabilities assumed. Goodwill is attributable to the economic benefits arising from other assets acquired in the business combination that are not individually identified and separately recognized, including scPharma's assembled workforce and market participant synergies.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pro forma information (unaudited)</w:t>
      </w:r>
    </w:p>
    <w:p>
      <w:pPr>
        <w:spacing w:after="0" w:line="186" w:lineRule="exact"/>
        <w:rPr>
          <w:sz w:val="20"/>
          <w:szCs w:val="20"/>
          <w:color w:val="auto"/>
        </w:rPr>
      </w:pPr>
    </w:p>
    <w:p>
      <w:pPr>
        <w:ind w:right="60"/>
        <w:spacing w:after="0" w:line="236" w:lineRule="exact"/>
        <w:rPr>
          <w:sz w:val="20"/>
          <w:szCs w:val="20"/>
          <w:color w:val="auto"/>
        </w:rPr>
      </w:pPr>
      <w:r>
        <w:rPr>
          <w:rFonts w:ascii="Times New Roman" w:cs="Times New Roman" w:eastAsia="Times New Roman" w:hAnsi="Times New Roman"/>
          <w:sz w:val="18"/>
          <w:szCs w:val="18"/>
          <w:color w:val="auto"/>
        </w:rPr>
        <w:t>The Company filed the required pro forma financial information under Item 9.01 of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on December 15, 2025. The effects of the acquisition are reflected in the Company’s consolidated financial statements from the Merger Date forward. The Company's consolidated statement of operations included $23.2 million of net revenue and $9.9 million of net operating losses related to scPharma's operations for the year ended December 31, 2025.</w:t>
      </w:r>
    </w:p>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summary presents consolidated total revenue and net losses of MannKind as if the scPharma business combination had occurred on January 1, 2024 (in thousands). The unaudited supplemental pro forma information is presented for informational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spacing w:after="0" w:line="254" w:lineRule="auto"/>
        <w:rPr>
          <w:sz w:val="20"/>
          <w:szCs w:val="20"/>
          <w:color w:val="auto"/>
        </w:rPr>
      </w:pPr>
      <w:r>
        <w:rPr>
          <w:rFonts w:ascii="Times New Roman" w:cs="Times New Roman" w:eastAsia="Times New Roman" w:hAnsi="Times New Roman"/>
          <w:sz w:val="18"/>
          <w:szCs w:val="18"/>
          <w:color w:val="auto"/>
        </w:rPr>
        <w:t>purposes only and is not indicative of the actual results of operations that would have been achieved if the scPharma acquisition had taken place on January 1, 2024 or of future results. Such unaudited pro forma financial information is based on the historical financial statements of MannKind and the acquired scPharma’s operations. The unaudited pro forma financial information is based on estimates and assumptions that have been made solely for the purpose of developing such unaudited pro forma financial information, including, without limitation, purchase accounting adjustments, acquisition-related transaction costs, and debt financing adjustments together with their consequential tax effects. The pro forma adjustments were based upon information available at the time they were prepared and certain assumptions that the Company believes are reasonable under the circumstances. The unaudited pro forma financial information does not reflect any future anticipated synergies or operating cost reductions that may be achieved from integrating the acquired operations into the rest of the Company.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38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8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321,836</w:t>
            </w:r>
          </w:p>
        </w:tc>
        <w:tc>
          <w:tcPr>
            <w:tcW w:w="100" w:type="dxa"/>
            <w:vAlign w:val="bottom"/>
            <w:shd w:val="clear" w:color="auto" w:fill="CFF0FC"/>
          </w:tcPr>
          <w:p>
            <w:pPr>
              <w:spacing w:after="0"/>
              <w:rPr>
                <w:sz w:val="18"/>
                <w:szCs w:val="18"/>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(27,117)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5495925</wp:posOffset>
            </wp:positionH>
            <wp:positionV relativeFrom="paragraph">
              <wp:posOffset>-434975</wp:posOffset>
            </wp:positionV>
            <wp:extent cx="93980" cy="162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-434975</wp:posOffset>
            </wp:positionV>
            <wp:extent cx="93980" cy="162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8">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5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scPharma acquisition that were included in the pro forma information.</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Transaction costs totaling $9.7 million were expensed as incurred and reflected in the consolidated statements of operations within selling, general and administrative expense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Pulmatrix, Inc.</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May 28, 2024, the Company executed a bill of sale and assignment agreement with Pulmatrix, Inc. ("Pulmatrix") whereby the Company acquired from Pulmatrix certain lab assets and assumed certain liabilities, including the lease for an R&amp;D facility in Bedford, Massachusetts. Concurrently, the Company and Pulmatrix entered into a cross-license agreement (the "Cross License Agreement") and a master service agreement. The parties and the landlord also entered into an amendment to lease and consent to assignment of the lease. Each of these agreements became effective upon the closing of the collective transaction (the "Pulmatrix Transaction") on July 8, 2024 (the "Effective Date"). The Company also entered into employment agreements with 13 Pulmatrix R&amp;D employees who began employment with the Company on the Effective Date.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Cross License Agreement, the Company granted to Pulmatrix certain exclusive and non-exclusive rights to develop, use, manufacture, market, offer and sell its single-use disposable dry powder inhaler (the "Cricket Device") for the inhaled delivery of dihydroergotamine in any formulation whatsoever (including Pulmatrix's PUR3100 treatment of acute migraine), and the inhaled delivery of one or more active pharmaceutical ingredients formulated with iSPERSE for the treatment of neurological disease in humans (collectively, the “Cricket License”).</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return, Pulmatrix granted to the Company certain exclusive and non-exclusive rights to develop, use, manufacture, market, offer and sell iSPERSE formulations of clofazimine and insulin, and formulations of iSPERSE with one or more active pharmaceutical ingredients for the treatment of nontuberculous mycobacteria lung disease in humans, endocrine disease in humans, and interstitial lung diseases in humans (collectively, the “iSPERSE License”).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may also provide certain development services to Pulmatrix under the Master Services Agreement, including but not limited to, activities to develop a dry powder formulation of the active pharmaceutical ingredient that Pulmatrix provides to the Company for oral inhalation using iSPERSE.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Pulmatrix Transaction was accounted for as a business combination using the acquisition method of accounting, which requires, among other things, the assets acquired and liabilities assumed to be recognized at their respective fair values as of the Effective Date. The excess of the fair value of the net assets acquired over the purchase price in this non-cash transaction was recorded as a gain on bargain purchase.</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values of identifiable assets acquired and liabilities assumed by the Company from Pulmatrix as of the Effective Date are reflected below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iSPERSE License – IPR&amp;D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 – Bedford R&amp;D facility</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r>
      <w:tr>
        <w:trPr>
          <w:trHeight w:val="210"/>
        </w:trPr>
        <w:tc>
          <w:tcPr>
            <w:tcW w:w="94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 – Bedford R&amp;D facility</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Pr>
          <w:p>
            <w:pPr>
              <w:spacing w:after="0"/>
              <w:rPr>
                <w:sz w:val="18"/>
                <w:szCs w:val="18"/>
                <w:color w:val="auto"/>
              </w:rPr>
            </w:pPr>
          </w:p>
        </w:tc>
      </w:tr>
      <w:tr>
        <w:trPr>
          <w:trHeight w:val="249"/>
        </w:trPr>
        <w:tc>
          <w:tcPr>
            <w:tcW w:w="9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acquired – Gain on bargain purchase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Cricket License transferred to Pulmatrix was determined to be immaterial based on the current market availability of numerous third party single-dose dry powder inhalers and the significant time, cost, and risk required to potentially commercialize the Cricket Device. </w:t>
      </w:r>
      <w:r>
        <w:rPr>
          <w:rFonts w:ascii="Times New Roman" w:cs="Times New Roman" w:eastAsia="Times New Roman" w:hAnsi="Times New Roman"/>
          <w:sz w:val="18"/>
          <w:szCs w:val="18"/>
          <w:color w:val="212529"/>
        </w:rPr>
        <w:t>The transfer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Cricket License was within the scope of ASC 606 as a sale of functional intellectual property, however, since no value was attributed to the Cricket License, no revenue was recognized by the Company.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12529"/>
        </w:rPr>
        <w:t>The fair value of the iSPERSE License was determined by applying a cost approach, which assesses current replacement cost to acquire or construct a substitute asset of comparable utility as of the Effective Date. The iSPERSE License was deemed to have a fair value of $4.3 million based on the estimate of internal and external costs to recreate the underlying technology, which are inputs not observable in the market and therefore considered Level 3 measurements. The iSPERSE technology is being utilized in the Company's continuing R&amp;D efforts and accounted for as IPR&amp;D.</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fair values of the right-of-use asset and lease liability for the assumed R&amp;D facility operating lease were assessed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based on discounted cash flows from future lease payments, utilizing the Company’s incremental borrowing rate of 7.25%. In June 2024,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anticipation of the facility lease assumption on the Effective Date, the Company transferred $0.7 million to a depository account at a financial institution to collateralize a conditional stand-by letter of credit as required under the lease. This amount is reflected as long-term restricted cash as of December 31, 2025. The lease term extends from the Effective Date through November 30, 2033 with monthly payments of $0.1 million increasing 3% annually starting on December 1, 2024. See Note 16 – </w:t>
      </w:r>
      <w:r>
        <w:rPr>
          <w:rFonts w:ascii="Times New Roman" w:cs="Times New Roman" w:eastAsia="Times New Roman" w:hAnsi="Times New Roman"/>
          <w:sz w:val="18"/>
          <w:szCs w:val="18"/>
          <w:i w:val="1"/>
          <w:iCs w:val="1"/>
          <w:color w:val="auto"/>
        </w:rPr>
        <w:t>Commitments and Contingencies.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Property and equipment were assessed for monetary benefit, remaining economic life, and relative risk based on the Company's industry knowledge and analysis of sales of comparable equipment to arrive at fair value.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 forma results of operation for the Transaction have not been presented, as the effects of the Transaction were not material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or remaining maturities of 90 days or less at the time of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readily convertible into cash.</w:t>
      </w:r>
    </w:p>
    <w:p>
      <w:pPr>
        <w:spacing w:after="0" w:line="1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Portfolio </w:t>
      </w:r>
      <w:r>
        <w:rPr>
          <w:rFonts w:ascii="Times New Roman" w:cs="Times New Roman" w:eastAsia="Times New Roman" w:hAnsi="Times New Roman"/>
          <w:sz w:val="18"/>
          <w:szCs w:val="18"/>
          <w:color w:val="auto"/>
        </w:rPr>
        <w:t>—The Company's investments portfolio consists of highly liquid money market funds, commercial bonds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and U.S. Treasury securities (collectively, the "Investments") for which the Company historically accounted as held-to-maturity. Effective October 1, 2024, the Company has reclassified its held-to-maturity investments to available-for-sale to align with potential business needs. Cumulative unrealized gains were recorded in other comprehensive income.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The contractual maturities of the Investments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Due in one year or less</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132,732</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132,836</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165,466</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35"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investments due in one year or less include cash equivalents of $36.4 million as of December 31, 2025 and $14.7 million as of December 31,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Investments are disclosed below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40" w:type="dxa"/>
            <w:vAlign w:val="bottom"/>
            <w:gridSpan w:val="2"/>
            <w:vMerge w:val="restart"/>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2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gridSpan w:val="2"/>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60" w:type="dxa"/>
            <w:vAlign w:val="bottom"/>
          </w:tcPr>
          <w:p>
            <w:pPr>
              <w:spacing w:after="0"/>
              <w:rPr>
                <w:sz w:val="15"/>
                <w:szCs w:val="15"/>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4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(36,372)</w:t>
            </w:r>
          </w:p>
        </w:tc>
        <w:tc>
          <w:tcPr>
            <w:tcW w:w="1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(36,372)</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4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112,074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-2022475</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-2022475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-2022475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-1739265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-1739265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-1739265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-453390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-453390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-453390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768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accretion of the Investments, net of amortization, was recognized as interest income in the consolidated statements of operations and was approximately $2.7 million, $7.3 million, and $1.6 million for the years ended December 31, 2025, 2024, and 2023, respectively. As of December 31, 2025 and 2024, there was $0.7 million and $1.0 million, respectively, of accrued interest receivable on the Investments included in prepaid expense and other current assets in the Company's consolidated balance sheets. No allowance for credit losses on the Investments was required as of December 31, 2025 or 2024.</w:t>
      </w:r>
    </w:p>
    <w:p>
      <w:pPr>
        <w:spacing w:after="0" w:line="1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 Thirona — </w:t>
      </w:r>
      <w:r>
        <w:rPr>
          <w:rFonts w:ascii="Times New Roman" w:cs="Times New Roman" w:eastAsia="Times New Roman" w:hAnsi="Times New Roman"/>
          <w:sz w:val="18"/>
          <w:szCs w:val="18"/>
          <w:color w:val="auto"/>
        </w:rPr>
        <w:t>In June 2021, the Company purchased a $3.0 million convertible promissory note issued by Thirona.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2022, the Company purchased an additional $5.0 million convertible promissory note issued by Thirona (the "Thirona convertible notes"). The Thirona convertible notes are general unsecured obligations of Thirona and initially accrued interest at a rate of 6% per annum. Unless earlier converted into conversion shares pursuant to the note purchase agreement, the aggregate principal of $8.0 million and accrued interest shall be due and payable by Thirona on demand by the Company at any time after the maturity date. The Thirona convertible notes were amended in February 2023 to extend the maturity date from December 31, 2022 to June 30, 2024, and again on June 27, 2024 to extend the maturity date to June 30, 2026 and increase the interest rate to 10% per annum.</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Thirona convertible notes were included in prepaid expense and other current assets as of December 31, 2024 in the consolidated balance sheets. In September 2024, the Company recognized a loss of $1.6 million on its investment in Thirona as a result of modification of the Thirona convertible notes. As of December 31, 2024, the fair value of the Company's investment in Thirona was $6.3 million which was calculated using Level 3 inputs including assumptions on market yield. In September 2025, Thirona initiated a cessation of operations following recent clinical trial results. The Company deemed this to be other-than-temporary and determined its available-for-sale investment in Thirona to be fully impaired and recognized a $6.6 million impairment loss, inclusive of the write off of previously recorded unrealized gains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ind w:right="440"/>
        <w:spacing w:after="0" w:line="266" w:lineRule="auto"/>
        <w:rPr>
          <w:sz w:val="20"/>
          <w:szCs w:val="20"/>
          <w:color w:val="auto"/>
        </w:rPr>
      </w:pPr>
      <w:r>
        <w:rPr>
          <w:rFonts w:ascii="Times New Roman" w:cs="Times New Roman" w:eastAsia="Times New Roman" w:hAnsi="Times New Roman"/>
          <w:sz w:val="18"/>
          <w:szCs w:val="18"/>
          <w:color w:val="auto"/>
        </w:rPr>
        <w:t>of $1.3 million, representing the fair value at the time. The Company also wrote off approximately $1.1 million of interest receivable on the Thirona convertible notes. The impairment was recorded in other income (expense) in the Company's consolidated statements of operations for the year ended December 31,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18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44,274</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(4,186)</w:t>
            </w: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returns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(8,858)</w:t>
            </w:r>
          </w:p>
        </w:tc>
      </w:tr>
      <w:tr>
        <w:trPr>
          <w:trHeight w:val="216"/>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accounts receivable – commercial, net</w:t>
            </w:r>
          </w:p>
        </w:tc>
        <w:tc>
          <w:tcPr>
            <w:tcW w:w="18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30,673</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tcBorders>
              <w:top w:val="single" w:sz="8" w:color="CFF0FC"/>
            </w:tcBorders>
          </w:tcPr>
          <w:p>
            <w:pPr>
              <w:spacing w:after="0"/>
              <w:rPr>
                <w:sz w:val="18"/>
                <w:szCs w:val="18"/>
                <w:color w:val="auto"/>
              </w:rPr>
            </w:pPr>
          </w:p>
        </w:tc>
      </w:tr>
      <w:tr>
        <w:trPr>
          <w:trHeight w:val="216"/>
        </w:trPr>
        <w:tc>
          <w:tcPr>
            <w:tcW w:w="5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 collaborations and services</w:t>
            </w:r>
            <w:r>
              <w:rPr>
                <w:rFonts w:ascii="Times New Roman" w:cs="Times New Roman" w:eastAsia="Times New Roman" w:hAnsi="Times New Roman"/>
                <w:sz w:val="24"/>
                <w:szCs w:val="24"/>
                <w:color w:val="auto"/>
                <w:vertAlign w:val="superscript"/>
              </w:rPr>
              <w:t>(1)</w:t>
            </w:r>
          </w:p>
        </w:tc>
        <w:tc>
          <w:tcPr>
            <w:tcW w:w="18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FF0FC"/>
          </w:tcPr>
          <w:p>
            <w:pPr>
              <w:spacing w:after="0"/>
              <w:rPr>
                <w:sz w:val="18"/>
                <w:szCs w:val="18"/>
                <w:color w:val="auto"/>
              </w:rPr>
            </w:pPr>
          </w:p>
        </w:tc>
      </w:tr>
      <w:tr>
        <w:trPr>
          <w:trHeight w:val="228"/>
        </w:trPr>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-439420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-10795</wp:posOffset>
            </wp:positionV>
            <wp:extent cx="2168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-79375</wp:posOffset>
            </wp:positionV>
            <wp:extent cx="21685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9" w:lineRule="exact"/>
        <w:rPr>
          <w:sz w:val="20"/>
          <w:szCs w:val="20"/>
          <w:color w:val="auto"/>
        </w:rPr>
      </w:pPr>
    </w:p>
    <w:p>
      <w:pPr>
        <w:ind w:left="520" w:right="160" w:hanging="512"/>
        <w:spacing w:after="0" w:line="309" w:lineRule="auto"/>
        <w:tabs>
          <w:tab w:leader="none" w:pos="5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balance as of December 31, 2024 includes the $1.1 million regulatory milestone payment receivable from Cipla. See Note 11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Collaborations, Licensing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Other Arrangements – Cipla License and Distribution Agreement.</w:t>
      </w:r>
    </w:p>
    <w:p>
      <w:pPr>
        <w:spacing w:after="0" w:line="1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2025 , there was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allowance for credit losses and doubtful accounts for commercial accounts receivable. As of December 31, 2024, there was no allowance for credit losses and doubtful accounts for commercial accounts receivable. The Company had three wholesale distributors representing approximately 11%, 11% and 8% of total consolidated revenues in 2025, 13%, 13% and 9% of total consolidated revenues in 2024, and 17%, 13% and 16% of total consolidated revenues in 2023, respectively. As of December 31, 2025 and 2024, the Company had three wholesale distributors representing approximately 39% and 88%, respectively, of commercial accounts receivable.</w:t>
      </w:r>
    </w:p>
    <w:p>
      <w:pPr>
        <w:spacing w:after="0" w:line="18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there was no allowance for credit losses for accounts receivable for collaborations and services. The Company's collaboration partner, UT, comprised 94% of the collaboration and services net accounts receivable as of December 31, 2025. UT and Cipla comprised 50% each of the collaboration and services net accounts receivable as of December 31, 2024. Approximately 30% and 35% of consolidated revenues for the years ended December 31, 2025 and 2024, respectively, was attributable to UT.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revenue net of gross-to-net adjustments. The activities and ending reserve balance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77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Prompt Pay Discount Reserve, Allowance for Wholesale Distribution Fees</w:t>
            </w:r>
          </w:p>
        </w:tc>
        <w:tc>
          <w:tcPr>
            <w:tcW w:w="140" w:type="dxa"/>
            <w:vAlign w:val="bottom"/>
            <w:tcBorders>
              <w:top w:val="single" w:sz="8" w:color="auto"/>
            </w:tcBorders>
            <w:shd w:val="clear" w:color="auto" w:fill="CFF0FC"/>
          </w:tcPr>
          <w:p>
            <w:pPr>
              <w:spacing w:after="0"/>
              <w:rPr>
                <w:sz w:val="16"/>
                <w:szCs w:val="16"/>
                <w:color w:val="auto"/>
              </w:rPr>
            </w:pPr>
          </w:p>
        </w:tc>
        <w:tc>
          <w:tcPr>
            <w:tcW w:w="14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Reserves for Returns:</w:t>
            </w:r>
          </w:p>
        </w:tc>
        <w:tc>
          <w:tcPr>
            <w:tcW w:w="140" w:type="dxa"/>
            <w:vAlign w:val="bottom"/>
            <w:shd w:val="clear" w:color="auto" w:fill="CFF0FC"/>
          </w:tcPr>
          <w:p>
            <w:pPr>
              <w:spacing w:after="0"/>
              <w:rPr>
                <w:sz w:val="20"/>
                <w:szCs w:val="20"/>
                <w:color w:val="auto"/>
              </w:rPr>
            </w:pPr>
          </w:p>
        </w:tc>
        <w:tc>
          <w:tcPr>
            <w:tcW w:w="14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shd w:val="clear" w:color="auto" w:fill="CFF0FC"/>
          </w:tcPr>
          <w:p>
            <w:pPr>
              <w:spacing w:after="0"/>
              <w:rPr>
                <w:sz w:val="18"/>
                <w:szCs w:val="18"/>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Deductions</w:t>
            </w: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(16,133)</w:t>
            </w:r>
          </w:p>
        </w:tc>
      </w:tr>
      <w:tr>
        <w:trPr>
          <w:trHeight w:val="20"/>
        </w:trPr>
        <w:tc>
          <w:tcPr>
            <w:tcW w:w="7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shd w:val="clear" w:color="auto" w:fill="CFF0FC"/>
          </w:tcPr>
          <w:p>
            <w:pPr>
              <w:spacing w:after="0"/>
              <w:rPr>
                <w:sz w:val="21"/>
                <w:szCs w:val="21"/>
                <w:color w:val="auto"/>
              </w:rPr>
            </w:pPr>
          </w:p>
        </w:tc>
      </w:tr>
      <w:tr>
        <w:trPr>
          <w:trHeight w:val="588"/>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7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35,313</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-1430655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-1414145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Work-in-process and finished goods as of December 31, 2025 and 2024 include conversion costs and exclude the cost of insulin and furosemide. All insulin inventory on hand was written off and the projected loss on the purchase commitment contract to purchase future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ind w:right="340"/>
        <w:spacing w:after="0" w:line="282" w:lineRule="auto"/>
        <w:rPr>
          <w:sz w:val="20"/>
          <w:szCs w:val="20"/>
          <w:color w:val="auto"/>
        </w:rPr>
      </w:pPr>
      <w:r>
        <w:rPr>
          <w:rFonts w:ascii="Times New Roman" w:cs="Times New Roman" w:eastAsia="Times New Roman" w:hAnsi="Times New Roman"/>
          <w:sz w:val="18"/>
          <w:szCs w:val="18"/>
          <w:color w:val="auto"/>
        </w:rPr>
        <w:t>insulin was accrued in prior years. Raw materials inventory included $1.0 and $0.8 million of pre-launch inventory as of December 31, 2025 and 2024, respectively, which consisted of FDKP and furosemide.</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December 31, 2025 and 2024. Inventory that did not meet acceptable standards or was forecasted to become obsolete due to expiration is reserved for inventory obsolescence in the consolidated balance sheets and recorded in costs of goods sold in the consolidated statements of operations. As a result of these assessments, there were inventory write-offs of $10.4 million and $3.9 million for the years ended December 31, 2025 and 2024,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(dollars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(113,913)</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(106,676)</w:t>
            </w: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3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-454025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Depreciation expense related to property and equipment for the years ended December 31, 2025, 2024 and 2023 was $8.1 million, $7.3 million and $4.5 million, respectively. During the years ended December 31, 2025 and 2024, the Company retired $1.6 million and $2.2 million, respectively of manufacturing equipment, computer hardware and software, computer equipment, lab equipment, and building improvements, as it was no longer in service. The net book value for the disposed assets during the years ended December 31, 2025 and 2024 was $0.1 million and $0.1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arising from business combinations. Goodwill is tested at least annually for impairment by assessing qualitative factors in determining whether it is more likely than not that the fair value of net assets is below their carrying amounts. Because the Company operates as a single reporting segment, goodwill is tested at the consolidated reporting unit level. As of October 1, 2025, our annual impairment test date, we assessed goodwill and no impairment of goodwill was indicated. There was no impairment of goodwill in fiscal years 2025 and 2024. 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In 2022, the Company recorded additions of $1.9 million to Goodwill related to its acquisition of V-Go. In 2025, the Company recorded additions of $65.7 million to Goodwill related to its merger with scPharma. See Note 3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goodwill for the years ended December 31, 2025 and 2024 were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as of December 31, 2023</w:t>
            </w:r>
          </w:p>
        </w:tc>
        <w:tc>
          <w:tcPr>
            <w:tcW w:w="4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Goodwill arising from acquisitions and adjustments</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4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Goodwill as of December 31, 2024</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arising from acquisitions and adjustments</w:t>
            </w:r>
          </w:p>
        </w:tc>
        <w:tc>
          <w:tcPr>
            <w:tcW w:w="4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65,664</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as of December 31, 2025</w:t>
            </w:r>
          </w:p>
        </w:tc>
        <w:tc>
          <w:tcPr>
            <w:tcW w:w="4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67,595</w:t>
            </w:r>
          </w:p>
        </w:tc>
        <w:tc>
          <w:tcPr>
            <w:tcW w:w="100" w:type="dxa"/>
            <w:vAlign w:val="bottom"/>
            <w:shd w:val="clear" w:color="auto" w:fill="CFF0FC"/>
          </w:tcPr>
          <w:p>
            <w:pPr>
              <w:spacing w:after="0"/>
              <w:rPr>
                <w:sz w:val="18"/>
                <w:szCs w:val="18"/>
                <w:color w:val="auto"/>
              </w:rPr>
            </w:pPr>
          </w:p>
        </w:tc>
      </w:tr>
      <w:tr>
        <w:trPr>
          <w:trHeight w:val="648"/>
        </w:trPr>
        <w:tc>
          <w:tcPr>
            <w:tcW w:w="4620" w:type="dxa"/>
            <w:vAlign w:val="bottom"/>
          </w:tcPr>
          <w:p>
            <w:pPr>
              <w:spacing w:after="0"/>
              <w:rPr>
                <w:sz w:val="24"/>
                <w:szCs w:val="24"/>
                <w:color w:val="auto"/>
              </w:rPr>
            </w:pPr>
          </w:p>
        </w:tc>
        <w:tc>
          <w:tcPr>
            <w:tcW w:w="448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Intangible assets consisted of the following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40" w:type="dxa"/>
            <w:vAlign w:val="bottom"/>
          </w:tcPr>
          <w:p>
            <w:pPr>
              <w:spacing w:after="0"/>
              <w:rPr>
                <w:sz w:val="12"/>
                <w:szCs w:val="12"/>
                <w:color w:val="auto"/>
              </w:rPr>
            </w:pPr>
          </w:p>
        </w:tc>
        <w:tc>
          <w:tcPr>
            <w:tcW w:w="78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2"/>
                <w:szCs w:val="12"/>
                <w:color w:val="auto"/>
              </w:rPr>
            </w:pPr>
          </w:p>
        </w:tc>
        <w:tc>
          <w:tcPr>
            <w:tcW w:w="98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 - on-body infusor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1220" w:type="dxa"/>
            <w:vAlign w:val="bottom"/>
            <w:gridSpan w:val="3"/>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(3,973)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190,027</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ReadyFlow Formulation – IPR&amp;D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129,600</w:t>
            </w:r>
          </w:p>
        </w:tc>
        <w:tc>
          <w:tcPr>
            <w:tcW w:w="2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129,600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iSPERSE License – IPR&amp;D</w:t>
            </w:r>
            <w:r>
              <w:rPr>
                <w:rFonts w:ascii="Times New Roman" w:cs="Times New Roman" w:eastAsia="Times New Roman" w:hAnsi="Times New Roman"/>
                <w:sz w:val="24"/>
                <w:szCs w:val="24"/>
                <w:color w:val="auto"/>
                <w:vertAlign w:val="superscript"/>
              </w:rPr>
              <w:t>(1)</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Developed technology - V-Go</w:t>
            </w:r>
            <w:r>
              <w:rPr>
                <w:rFonts w:ascii="Times New Roman" w:cs="Times New Roman" w:eastAsia="Times New Roman" w:hAnsi="Times New Roman"/>
                <w:sz w:val="24"/>
                <w:szCs w:val="24"/>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(428)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  329,100</w:t>
            </w:r>
          </w:p>
        </w:tc>
        <w:tc>
          <w:tcPr>
            <w:tcW w:w="2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   (4,401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$ 324,699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   5,500</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5,265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3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Included within Other intangible assets on the consolidated balance sheets.</w:t>
      </w:r>
    </w:p>
    <w:p>
      <w:pPr>
        <w:spacing w:after="0" w:line="23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Amortization expense related to the Developed technology - V-Go was $0.2 million and $0.1 million for the years ended December 31, 2025 and 2024, respectively. Amortization expense related to the Developed technology - on-body infusor ("on-body infusor") was $4.0 million for the year ended December 31, 2025. The on-body infusor was acquired from scPharma in October 2025. See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amortization expense for the Company's developed technology is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80" w:type="dxa"/>
            <w:vAlign w:val="bottom"/>
          </w:tcPr>
          <w:p>
            <w:pPr>
              <w:spacing w:after="0"/>
              <w:rPr>
                <w:sz w:val="15"/>
                <w:szCs w:val="15"/>
                <w:color w:val="auto"/>
              </w:rPr>
            </w:pPr>
          </w:p>
        </w:tc>
        <w:tc>
          <w:tcPr>
            <w:tcW w:w="20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17,275</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103,651</w:t>
            </w:r>
          </w:p>
        </w:tc>
        <w:tc>
          <w:tcPr>
            <w:tcW w:w="100" w:type="dxa"/>
            <w:vAlign w:val="bottom"/>
          </w:tcPr>
          <w:p>
            <w:pPr>
              <w:spacing w:after="0"/>
              <w:rPr>
                <w:sz w:val="18"/>
                <w:szCs w:val="18"/>
                <w:color w:val="auto"/>
              </w:rPr>
            </w:pPr>
          </w:p>
        </w:tc>
      </w:tr>
      <w:tr>
        <w:trPr>
          <w:trHeight w:val="20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190,799</w:t>
            </w:r>
          </w:p>
        </w:tc>
        <w:tc>
          <w:tcPr>
            <w:tcW w:w="10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iSPERSE License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IPR&amp;D is an indefinite-lived intangible asset, and as such is not amortized but rather is tested for impairment annually, or when facts or circumstances indicate the carrying value of the asset may not be recoverable. Upon completion of the underlying R&amp;D efforts, the intangible asset will be accounted for as a finite-lived intangible asset. If the R&amp;D efforts are abandoned, the IPR&amp;D asset balance will be written off to R&amp;D expense. The iSPERSE License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IPR&amp;D was acquired from Pulmatrix in July 2024. See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ReadyFlow Formulation is an indefinite-lived intangible asset, and as such is not amortized but rather is tested for impairment when facts or circumstances indicate the carrying value of the asset may not be recoverable. Once available for use, the intangible asset will be accounted for as a finite-lived intangible asset. If the R&amp;D efforts are abandoned, the IPR&amp;D asset balance will be written off to R&amp;D expense. The ReadyFlow Formulation was acquired from scPharma in October 2025. See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assets for potential impairment when events or changes in circumstances indicate that the carrying amount of an asset or asset group may not be recoverable. </w:t>
      </w:r>
      <w:r>
        <w:rPr>
          <w:rFonts w:ascii="Times New Roman" w:cs="Times New Roman" w:eastAsia="Times New Roman" w:hAnsi="Times New Roman"/>
          <w:sz w:val="18"/>
          <w:szCs w:val="18"/>
          <w:i w:val="1"/>
          <w:iCs w:val="1"/>
          <w:color w:val="auto"/>
        </w:rPr>
        <w:t>See Note 2 – Summary of Significant Accounting Policies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contract research organization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manufacturing organization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royalty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r>
      <w:tr>
        <w:trPr>
          <w:trHeight w:val="164"/>
        </w:trPr>
        <w:tc>
          <w:tcPr>
            <w:tcW w:w="77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Operating lease liability - current</w:t>
            </w:r>
          </w:p>
        </w:tc>
        <w:tc>
          <w:tcPr>
            <w:tcW w:w="140" w:type="dxa"/>
            <w:vAlign w:val="bottom"/>
          </w:tcPr>
          <w:p>
            <w:pPr>
              <w:spacing w:after="0"/>
              <w:rPr>
                <w:sz w:val="14"/>
                <w:szCs w:val="14"/>
                <w:color w:val="auto"/>
              </w:rPr>
            </w:pPr>
          </w:p>
        </w:tc>
        <w:tc>
          <w:tcPr>
            <w:tcW w:w="1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2,110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4"/>
                <w:szCs w:val="14"/>
                <w:color w:val="auto"/>
              </w:rPr>
            </w:pPr>
          </w:p>
        </w:tc>
      </w:tr>
      <w:tr>
        <w:trPr>
          <w:trHeight w:val="268"/>
        </w:trPr>
        <w:tc>
          <w:tcPr>
            <w:tcW w:w="77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Current portion of milestone rights liability</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3"/>
                <w:szCs w:val="23"/>
                <w:color w:val="auto"/>
              </w:rPr>
            </w:pPr>
          </w:p>
        </w:tc>
      </w:tr>
      <w:tr>
        <w:trPr>
          <w:trHeight w:val="164"/>
        </w:trPr>
        <w:tc>
          <w:tcPr>
            <w:tcW w:w="77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4"/>
                <w:szCs w:val="14"/>
                <w:color w:val="auto"/>
              </w:rPr>
            </w:pPr>
          </w:p>
        </w:tc>
        <w:tc>
          <w:tcPr>
            <w:tcW w:w="1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1,852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4"/>
                <w:szCs w:val="14"/>
                <w:color w:val="auto"/>
              </w:rPr>
            </w:pPr>
          </w:p>
        </w:tc>
      </w:tr>
      <w:tr>
        <w:trPr>
          <w:trHeight w:val="268"/>
        </w:trPr>
        <w:tc>
          <w:tcPr>
            <w:tcW w:w="77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Returns reserve for acquired product</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3"/>
                <w:szCs w:val="23"/>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64,628</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29"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16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Milestone Rights.</w:t>
      </w:r>
    </w:p>
    <w:p>
      <w:pPr>
        <w:spacing w:after="0" w:line="61" w:lineRule="exact"/>
        <w:rPr>
          <w:rFonts w:ascii="Times New Roman" w:cs="Times New Roman" w:eastAsia="Times New Roman" w:hAnsi="Times New Roman"/>
          <w:sz w:val="13"/>
          <w:szCs w:val="13"/>
          <w:color w:val="auto"/>
        </w:rPr>
      </w:pPr>
    </w:p>
    <w:p>
      <w:pPr>
        <w:ind w:left="520" w:hanging="512"/>
        <w:spacing w:after="0"/>
        <w:tabs>
          <w:tab w:leader="none" w:pos="5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16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Loss Contingencies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Returns Reserve for Acquired Product.</w:t>
      </w:r>
    </w:p>
    <w:p>
      <w:pPr>
        <w:spacing w:after="0" w:line="2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provision for discounts and allowances for commercial product sales is reflected as a component of net revenues. The activities and ending balances consisted of the following (in thousands):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5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Pr>
          <w:p>
            <w:pPr>
              <w:spacing w:after="0"/>
              <w:rPr>
                <w:sz w:val="18"/>
                <w:szCs w:val="18"/>
                <w:color w:val="auto"/>
              </w:rPr>
            </w:pPr>
          </w:p>
        </w:tc>
        <w:tc>
          <w:tcPr>
            <w:tcW w:w="18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9,393</w:t>
            </w:r>
          </w:p>
        </w:tc>
        <w:tc>
          <w:tcPr>
            <w:tcW w:w="1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Pr>
          <w:p>
            <w:pPr>
              <w:spacing w:after="0"/>
              <w:rPr>
                <w:sz w:val="18"/>
                <w:szCs w:val="18"/>
                <w:color w:val="auto"/>
              </w:rPr>
            </w:pPr>
          </w:p>
        </w:tc>
      </w:tr>
      <w:tr>
        <w:trPr>
          <w:trHeight w:val="216"/>
        </w:trPr>
        <w:tc>
          <w:tcPr>
            <w:tcW w:w="652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Provisions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31,085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Deductions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(33,610)</w:t>
            </w:r>
          </w:p>
        </w:tc>
      </w:tr>
      <w:tr>
        <w:trPr>
          <w:trHeight w:val="20"/>
        </w:trPr>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5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18,338</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00" w:type="dxa"/>
            <w:vAlign w:val="bottom"/>
            <w:shd w:val="clear" w:color="auto" w:fill="CFF0FC"/>
          </w:tcPr>
          <w:p>
            <w:pPr>
              <w:spacing w:after="0"/>
              <w:rPr>
                <w:sz w:val="21"/>
                <w:szCs w:val="21"/>
                <w:color w:val="auto"/>
              </w:rPr>
            </w:pPr>
          </w:p>
        </w:tc>
      </w:tr>
      <w:tr>
        <w:trPr>
          <w:trHeight w:val="548"/>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10. Borrowings</w:t>
            </w:r>
          </w:p>
        </w:tc>
        <w:tc>
          <w:tcPr>
            <w:tcW w:w="2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the Company’s borrowings consisted of the following (in thousands):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r>
      <w:tr>
        <w:trPr>
          <w:trHeight w:val="210"/>
        </w:trPr>
        <w:tc>
          <w:tcPr>
            <w:tcW w:w="65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Blackstone term loan</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318,361</w:t>
            </w: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36,280</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100" w:type="dxa"/>
            <w:vAlign w:val="bottom"/>
          </w:tcPr>
          <w:p>
            <w:pPr>
              <w:spacing w:after="0"/>
              <w:rPr>
                <w:sz w:val="18"/>
                <w:szCs w:val="18"/>
                <w:color w:val="auto"/>
              </w:rPr>
            </w:pPr>
          </w:p>
        </w:tc>
      </w:tr>
      <w:tr>
        <w:trPr>
          <w:trHeight w:val="230"/>
        </w:trPr>
        <w:tc>
          <w:tcPr>
            <w:tcW w:w="65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debt – net carrying amount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354,641</w:t>
            </w: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100" w:type="dxa"/>
            <w:vAlign w:val="bottom"/>
            <w:shd w:val="clear" w:color="auto" w:fill="CFF0FC"/>
          </w:tcPr>
          <w:p>
            <w:pPr>
              <w:spacing w:after="0"/>
              <w:rPr>
                <w:sz w:val="19"/>
                <w:szCs w:val="19"/>
                <w:color w:val="auto"/>
              </w:rPr>
            </w:pPr>
          </w:p>
        </w:tc>
      </w:tr>
      <w:tr>
        <w:trPr>
          <w:trHeight w:val="20"/>
        </w:trPr>
        <w:tc>
          <w:tcPr>
            <w:tcW w:w="65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-1310640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-1293495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principal balance of debt and key terms: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31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2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Terms</w:t>
            </w: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0"/>
                <w:szCs w:val="10"/>
                <w:color w:val="auto"/>
              </w:rPr>
            </w:pPr>
          </w:p>
        </w:tc>
        <w:tc>
          <w:tcPr>
            <w:tcW w:w="1560" w:type="dxa"/>
            <w:vAlign w:val="bottom"/>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Annual Interest</w:t>
            </w:r>
          </w:p>
        </w:tc>
        <w:tc>
          <w:tcPr>
            <w:tcW w:w="16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8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Blackstone term loan</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$325.0 million</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right="391"/>
              <w:spacing w:after="0" w:line="210" w:lineRule="exact"/>
              <w:rPr>
                <w:sz w:val="20"/>
                <w:szCs w:val="20"/>
                <w:color w:val="auto"/>
              </w:rPr>
            </w:pPr>
            <w:r>
              <w:rPr>
                <w:rFonts w:ascii="Times New Roman" w:cs="Times New Roman" w:eastAsia="Times New Roman" w:hAnsi="Times New Roman"/>
                <w:sz w:val="18"/>
                <w:szCs w:val="18"/>
                <w:color w:val="auto"/>
              </w:rPr>
              <w:t>8.53%</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2030</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8"/>
        </w:trPr>
        <w:tc>
          <w:tcPr>
            <w:tcW w:w="278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$36.3 million</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$36.3 million</w:t>
            </w:r>
          </w:p>
        </w:tc>
        <w:tc>
          <w:tcPr>
            <w:tcW w:w="1840" w:type="dxa"/>
            <w:vAlign w:val="bottom"/>
            <w:gridSpan w:val="2"/>
          </w:tcPr>
          <w:p>
            <w:pPr>
              <w:jc w:val="right"/>
              <w:ind w:right="491"/>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8"/>
          <w:szCs w:val="18"/>
          <w:color w:val="auto"/>
        </w:rPr>
        <w:t>per share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91" w:lineRule="exact"/>
        <w:rPr>
          <w:sz w:val="20"/>
          <w:szCs w:val="20"/>
          <w:color w:val="auto"/>
        </w:rPr>
      </w:pPr>
    </w:p>
    <w:p>
      <w:pPr>
        <w:ind w:left="500" w:right="60" w:hanging="492"/>
        <w:spacing w:after="0" w:line="269" w:lineRule="auto"/>
        <w:tabs>
          <w:tab w:leader="none" w:pos="5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Represents the stated rate as of December 31, 2025. Term loans bear interest at a rate per annum equal to, (i) in the case of a Base Rate Loan (as defined below), the greatest of (a) the prime rate in effect on such day, (b) the federal funds rate in effect on such day plus 0.5%, (c) Adjusted Term SOFR (defined below) for a one-month’s tenor in effect on such day plus 1%, and (d) 3.0% plus a margin of 3.75%, or (ii) in the case of a SOFR Loan, the one, three or six month term SOFR (at the Company’s election), subject to a 2.00% floor (the “Adjusted Term SOFR”), plus a margin of 4.75%. In addition, upon the occurrence and continuation of an event of default under the Amended Credit Agreement, interest on the term loans accrues at the applicable rate plus 2.00% per annum. Interest is paid quarterly or, if the Company elects 1-month SOFR, monthly. The interest rate margin increases to 4.00% in the case of a Base Rate Loan and 5.00% in the case of a SOFR Loan at any time the Company’s ratio of indebtedness to adjusted EBITDA (measured 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2" w:name="page103"/>
    <w:bookmarkEnd w:id="102"/>
    <w:p>
      <w:pPr>
        <w:ind w:left="500" w:right="180"/>
        <w:spacing w:after="0" w:line="298" w:lineRule="auto"/>
        <w:rPr>
          <w:sz w:val="20"/>
          <w:szCs w:val="20"/>
          <w:color w:val="auto"/>
        </w:rPr>
      </w:pPr>
      <w:r>
        <w:rPr>
          <w:rFonts w:ascii="Times New Roman" w:cs="Times New Roman" w:eastAsia="Times New Roman" w:hAnsi="Times New Roman"/>
          <w:sz w:val="16"/>
          <w:szCs w:val="16"/>
          <w:color w:val="auto"/>
        </w:rPr>
        <w:t>a trailing four quarter basis) is greater than or equal to 5.00:1.00 as of the most recent fiscal quarter for which the Company has delivered financial statements. The term loans had an average stated interest rate of 8.79% for the year ended December 31, 2025.</w:t>
      </w:r>
    </w:p>
    <w:p>
      <w:pPr>
        <w:spacing w:after="0" w:line="56" w:lineRule="exact"/>
        <w:rPr>
          <w:sz w:val="20"/>
          <w:szCs w:val="20"/>
          <w:color w:val="auto"/>
        </w:rPr>
      </w:pPr>
    </w:p>
    <w:p>
      <w:pPr>
        <w:ind w:left="500" w:hanging="492"/>
        <w:spacing w:after="0"/>
        <w:tabs>
          <w:tab w:leader="none" w:pos="5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Partial exchange in December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borrowings as of December 31, 2025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0" w:type="dxa"/>
            <w:vAlign w:val="bottom"/>
          </w:tcPr>
          <w:p>
            <w:pPr>
              <w:spacing w:after="0"/>
              <w:rPr>
                <w:sz w:val="1"/>
                <w:szCs w:val="1"/>
                <w:color w:val="auto"/>
              </w:rPr>
            </w:pPr>
          </w:p>
        </w:tc>
      </w:tr>
      <w:tr>
        <w:trPr>
          <w:trHeight w:val="214"/>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Senior convertible notes</w:t>
            </w:r>
          </w:p>
        </w:tc>
        <w:tc>
          <w:tcPr>
            <w:tcW w:w="2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2030 Blackstone term loan</w:t>
            </w: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principal payments</w:t>
            </w:r>
          </w:p>
        </w:tc>
        <w:tc>
          <w:tcPr>
            <w:tcW w:w="2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0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Amortization of debt issuance costs and debt discounts related to the Company's borrowings were as follows (in thousands):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060" w:type="dxa"/>
            <w:vAlign w:val="bottom"/>
          </w:tcPr>
          <w:p>
            <w:pPr>
              <w:spacing w:after="0"/>
              <w:rPr>
                <w:sz w:val="12"/>
                <w:szCs w:val="12"/>
                <w:color w:val="auto"/>
              </w:rPr>
            </w:pPr>
          </w:p>
        </w:tc>
        <w:tc>
          <w:tcPr>
            <w:tcW w:w="9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80" w:type="dxa"/>
            <w:vAlign w:val="bottom"/>
            <w:vMerge w:val="continue"/>
          </w:tcPr>
          <w:p>
            <w:pPr>
              <w:spacing w:after="0"/>
              <w:rPr>
                <w:sz w:val="13"/>
                <w:szCs w:val="13"/>
                <w:color w:val="auto"/>
              </w:rPr>
            </w:pPr>
          </w:p>
        </w:tc>
        <w:tc>
          <w:tcPr>
            <w:tcW w:w="2960" w:type="dxa"/>
            <w:vAlign w:val="bottom"/>
            <w:gridSpan w:val="2"/>
          </w:tcPr>
          <w:p>
            <w:pPr>
              <w:jc w:val="right"/>
              <w:ind w:right="7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646</w:t>
            </w:r>
          </w:p>
        </w:tc>
        <w:tc>
          <w:tcPr>
            <w:tcW w:w="1120" w:type="dxa"/>
            <w:vAlign w:val="bottom"/>
            <w:gridSpan w:val="2"/>
          </w:tcPr>
          <w:p>
            <w:pPr>
              <w:jc w:val="right"/>
              <w:ind w:right="688"/>
              <w:spacing w:after="0" w:line="15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auto"/>
              </w:rPr>
              <w:t>1,352</w:t>
            </w:r>
          </w:p>
        </w:tc>
        <w:tc>
          <w:tcPr>
            <w:tcW w:w="26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580" w:type="dxa"/>
            <w:vAlign w:val="bottom"/>
          </w:tcPr>
          <w:p>
            <w:pPr>
              <w:spacing w:after="0" w:line="268" w:lineRule="exact"/>
              <w:rPr>
                <w:sz w:val="20"/>
                <w:szCs w:val="20"/>
                <w:color w:val="auto"/>
              </w:rPr>
            </w:pPr>
            <w:r>
              <w:rPr>
                <w:rFonts w:ascii="Times New Roman" w:cs="Times New Roman" w:eastAsia="Times New Roman" w:hAnsi="Times New Roman"/>
                <w:sz w:val="18"/>
                <w:szCs w:val="18"/>
                <w:color w:val="auto"/>
              </w:rPr>
              <w:t xml:space="preserve">Amortization of debt discount </w:t>
            </w:r>
            <w:r>
              <w:rPr>
                <w:rFonts w:ascii="Times New Roman" w:cs="Times New Roman" w:eastAsia="Times New Roman" w:hAnsi="Times New Roman"/>
                <w:sz w:val="25"/>
                <w:szCs w:val="25"/>
                <w:color w:val="auto"/>
                <w:vertAlign w:val="superscript"/>
              </w:rPr>
              <w:t>(1)</w:t>
            </w:r>
          </w:p>
        </w:tc>
        <w:tc>
          <w:tcPr>
            <w:tcW w:w="20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amortization of a debt discount related to the MidCap credit facility as further explained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Blackstone Credit Facility</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August 6, 2025 (the “Closing Date”), the Company entered into a senior secured term loan agreement (the “Credit Agreement”) with Blackstone Alternative Credit Advisors LP, as Blackstone Representative and Lead Arranger (in such capacity, “Blackstone”), the lenders party thereto from time to time, the subsidiary guarantors party thereto from time to time, and Wilmington Trust, National Association, as administrative agent and collateral agent for the lenders (in such capacity, the “Agent”). The Credit Agreement originally provided for up to $500 million in term loans, consisting of (i) a $75 million initial term loan, which was funded on the Closing Date, (ii) $125 million in delayed draw term loan commitments, which the Company may draw at its option during the 24 months immediately following the Closing Date, subject to customary conditions set forth in the Credit Agreement, and (iii) up to $300 million in the form of uncommitted delayed draw term loans, which the Company may borrow in the future subject to mutual agreement with Blackstone and the lenders under the Credit Agreement.</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on August 24, 2025, the Company entered into an amendment to the Credit Agreement (the “Credit Agreement Amendment”) with Blackstone, the lenders party thereto, the subsidiary guarantors party thereto, and the Agent, which amended the Credit Agreement (the Credit Agreement as amended by the Credit Agreement Amendment, the “Amended Credit Agreement”; and the credit facility provided for thereunder, the “Blackstone Credit Facility”). Pursuant to the Credit Agreement Amendment, among other things, the lenders party thereto agreed to provide an additional $175.0 million delayed draw term loan solely to finance a portion of the fees, premiums, expenses and other transaction costs incurred in connection with the transactions contemplated by the Merger Agreement (the “Transaction Funding”), subject to certain customary draw down conditions as set forth in the Credit Agreement Amendment. In addition, pursuant to the Credit Agreement Amendment, the lenders under the Amended Credit Agreement agreed to limit the conditions precedent to the Company’s borrowing of up to $75.0 million of delayed draw term loans (out of the aggregate $125.0 million in delayed draw term loan commitments available under the Credit Agreement) to certain customary draw down conditions as set forth in the Credit Agreement Amendment to the extent such loans are used solely for the Transaction Funding. In connection with the completion of the merger with scPharma, on October 7, 2025, the Company borrowed $250.0 million of delayed draw term loans. After giving effect to the transactions on October 7, 2025, the aggregate principal amount of outstanding term loans under the Amended Credit Agreement was $325.0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Blackstone Credit Facility will mature on August 6, 2030 (the “Maturity Date”). The term loans thereunder bear interest at a rate per annum equal to,</w:t>
      </w:r>
    </w:p>
    <w:p>
      <w:pPr>
        <w:spacing w:after="0" w:line="27" w:lineRule="exact"/>
        <w:rPr>
          <w:sz w:val="20"/>
          <w:szCs w:val="20"/>
          <w:color w:val="auto"/>
        </w:rPr>
      </w:pPr>
    </w:p>
    <w:p>
      <w:pPr>
        <w:ind w:right="160" w:firstLine="8"/>
        <w:spacing w:after="0" w:line="250"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Base Rate Loan, the greatest of (a) the prime rate in effect on such day, (b) the federal funds rate in effect on such day plus 0.5%, (c) Adjusted Term SOFR (defined below) for a one-month’s tenor in effect on such day plus 1%, and (d) 3.0% plus a margin of 3.75%, or (ii) in the case of a SOFR Loan, the one, three or six month term SOFR (at the Company’s election), subject to a 2.00% floor (the “Adjusted Term SOFR”), plus a margin of</w:t>
      </w:r>
    </w:p>
    <w:p>
      <w:pPr>
        <w:spacing w:after="0" w:line="1"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 In addition, upon the occurrence and continuation of an event of default under the Amended Credit Agreement, interest on the term loans accrues at the applicable rate plus 2.00% per annum. As of December 31, 2025, the effective interest rate is 9.35% per annum. Interest is paid quarterly or, if the Company elects 1-month SOFR, monthly. The interest rate margin increases to 4.00% in the case of a Base Rate Loan and 5.00% in the case of a SOFR Loan at any time the Company’s ratio of indebtedness to adjusted EBITDA (measured on a trailing four quarter basis) is greater than or equal to 5.00:1.00 as of the most recent fiscal quarter for which the Company has delivered financial statements. Term loans under the Amended Credit Agreement are funded net of an upfront fee payable by the Company. The Company shall pay the delayed draw term loan lenders a ticking fee at a rate per annum equal to 1.00% of the daily unused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03" w:name="page104"/>
    <w:bookmarkEnd w:id="103"/>
    <w:p>
      <w:pPr>
        <w:ind w:right="780"/>
        <w:spacing w:after="0" w:line="282" w:lineRule="auto"/>
        <w:rPr>
          <w:sz w:val="20"/>
          <w:szCs w:val="20"/>
          <w:color w:val="auto"/>
        </w:rPr>
      </w:pPr>
      <w:r>
        <w:rPr>
          <w:rFonts w:ascii="Times New Roman" w:cs="Times New Roman" w:eastAsia="Times New Roman" w:hAnsi="Times New Roman"/>
          <w:sz w:val="18"/>
          <w:szCs w:val="18"/>
          <w:color w:val="auto"/>
        </w:rPr>
        <w:t>portion of the delayed draw term loan commitments beginning on the one year anniversary of the agreement through the end of the delayed draw commitment period, payable quarterly in arrears.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term loans under the Blackstone Credit Facility, as well as any accrued and unpaid interest and fees, are repayable on the Maturity Date. The Company has the option to prepay the loans under the Blackstone Credit Facility in whole or in part, subject to early prepayment fees in an amount equal to (a) the greater of (i) the present value of the sum of (x) 3.00% of the principal amount to be prepaid as if that amount would otherwise be prepaid on the first anniversary of the Closing Date, and (y) the amount of all interest which would otherwise have accrued under the Amended Credit Agreement for the period from the date of such prepayment to the first anniversary of the Closing Date, assuming an interest rate for such period equal to the sum of the applicable margin for SOFR Loans plus Adjusted Term SOFR as of the date of determination, computed using a discount rate equal to the treasury rate as of such date plus 50 basis points (the “Make Whole Premium”) and (ii) 3.00% of the principal amount to be prepaid if prepayment occurs on or prior to the first anniversary of the Closing Date, (b) 3.00% of principal prepaid if prepayment occurs after the first anniversary of the Closing Date but on or prior to the second anniversary of the Closing Date, (c) 1.00% of principal prepaid if prepayment occurs after the second anniversary of the Closing Date and prior to or on the third anniversary of the Closing Date and (d) 0.00% after the date that is the third anniversary of the Closing Date. In addition, subject to the terms and conditions of the Amended Credit Agreement, the Company is required to make a mandatory prepayment of the term loans upon occurrence of certain events such as upon certain assets sales, events of loss, incurrence of debt not permitted to be incurred under the Amended Credit Agreement, or a change of control of our company.</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Blackstone Credit Facility are guaranteed by each of the Company’s subsidiaries and any future subsidiaries, subject to limited exceptions set forth in the Amended Credit Agreement, and are secured by a security interest on substantially all of the assets of the Company and the subsidiary guarantors, including intellectual property.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Amended Credit Agreement includes representations and warranties, affirmative covenants (including reporting obligations), negative covenants and events of default that are usual and customary for facilities of this type, in each case, subject to certain permitted exceptions as set forth therein. The Amended Credit Agreement also contains a financial covenant for the benefit of the lenders, which requires the Company to have liquidity of at least $40.0 million as of the last business day of each fiscal quarter ending after the Closing Date, with liquidity defined as our unrestricted cash and cash equivalents.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net proceeds from the Blackstone Credit Facility were approximately $317.7 million, after deducting the initial transaction costs payable by the Company. As of December 31, 2025, the unamortized debt issuance cost were $6.6 million. As of December 31, 2025, there were no events of default and the Company was in compliance with all covenants under the Amended Credit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convertible notes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2021, the Company issued $230.0 million aggregate principal amount of senior convertible notes (the “senior convertible notes”) in a private offering. The senior convertible notes were issued pursuant to an indenture, dated March 4, 2021 (the “Indenture”), between the Company and U.S. Bank National Association, as trustee. The senior convertible notes are general unsecured obligations of the Company and will mature on March 1, 2026, unless earlier converted, redeemed or repurchased by the Company. The senior convertible notes bear cash interest from March 4, 2021 at an annual rate of 2.50% payable semi-annually in arrears on March 1 and September 1 of each year, beginning on September 1, 2021.</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December 17, 2024, the Company entered into separate, privately negotiated exchange agreements (the "Exchange Agreements") with certain holders (the “Holders”) of the senior convertible notes. Under the terms of the Exchange Agreements, the Holders agreed to exchange an aggregate principal amount of approximately $193.7 million of the senior convertible notes in exchange for an aggregate of 26,749,559 shares of the Company’s common stock. In addition, pursuant to the exchange agreements, the Company made an aggregate cash payment of approximately $89.2 million to the Holders for additional exchange consideration. Immediately following the exchange, approximately $36.3 million in aggregate principal amount of the senior convertible notes remained outstanding.</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senior convertible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4" w:name="page105"/>
    <w:bookmarkEnd w:id="104"/>
    <w:p>
      <w:pPr>
        <w:ind w:right="180"/>
        <w:spacing w:after="0" w:line="261" w:lineRule="auto"/>
        <w:rPr>
          <w:sz w:val="20"/>
          <w:szCs w:val="20"/>
          <w:color w:val="auto"/>
        </w:rPr>
      </w:pPr>
      <w:r>
        <w:rPr>
          <w:rFonts w:ascii="Times New Roman" w:cs="Times New Roman" w:eastAsia="Times New Roman" w:hAnsi="Times New Roman"/>
          <w:sz w:val="18"/>
          <w:szCs w:val="18"/>
          <w:color w:val="auto"/>
        </w:rPr>
        <w:t>until the close of business on the business day immediately preceding the maturity date, holders may convert all or any portion of their senior convertible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senior convertible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senior convertible notes called for redemption during the related redemption period (as defined in the Indenture), as the case may be.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senior convertible notes at a fundamental change repurchase price equal to 100% of the principal amount of the senior convertible notes to be repurchased, plus accrued and unpaid interest to, but excluding, the fundamental change repurchase date.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Company’s net proceeds from the March 2021 offering were approximately $222.7 million, after deducting the initial purchasers’ discounts and commissions and the estimated offering expenses payable by the Company. As of December 31, 2025 and December 31, 2024, the unamortized debt issuance cost was less than $0.1 million and $0.3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MidCap credit facility</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August 2019, the Company entered into the MidCap credit facility and borrowed the first advance of $40.0 million (“Tranche 1”) in August 2019 and the second advance of $10.0 million (“Tranche 2”) in December 2020. In April 2021, $10.0 million was prepaid. During the three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5" w:name="page106"/>
    <w:bookmarkEnd w:id="105"/>
    <w:p>
      <w:pPr>
        <w:ind w:right="520"/>
        <w:spacing w:after="0" w:line="282" w:lineRule="auto"/>
        <w:rPr>
          <w:sz w:val="20"/>
          <w:szCs w:val="20"/>
          <w:color w:val="auto"/>
        </w:rPr>
      </w:pPr>
      <w:r>
        <w:rPr>
          <w:rFonts w:ascii="Times New Roman" w:cs="Times New Roman" w:eastAsia="Times New Roman" w:hAnsi="Times New Roman"/>
          <w:sz w:val="18"/>
          <w:szCs w:val="18"/>
          <w:color w:val="auto"/>
        </w:rPr>
        <w:t>months ended March 31, 2024, the Company made $5.0 million in principal payments on the MidCap credit facility. On April 1, 2024, the Company exercised its option to prepay in full all outstanding indebtedness.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Tranche 1 and Tranche 2 accrued interest at an annual rate equal to the lesser of (i) 8.25% and (ii) the one-month Secured Overnight Financing Rate ("SOFR") (subject to a one-month floor of 1.00%) plus 6.25%. Interest on each term loan advance was due and payable monthly in arrears. Principal on each term loan advance under Tranche 1 and Tranche 2 was payable in 24 equal monthly installments that began September 1, 2023.</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2024, the Company prepaid in full the remaining $28.3 million in principal and $0.2 million in accrued interest, and terminated all commitments and obligations under the MidCap credit facility that would have matured on August 1, 2025 in exchange for a payment of $31.6 million, including an exit fee of $2.8 million which is 7.00% of the initial Tranche 1 balance of $40.0 million, and a prepayment fee of $0.3 million which is 1.00% of principal prepaid. Additionally, unamortized debt discount and capitalized prepayment fees totaling $0.2 million were written off, resulting in a loss on early extinguishment of debt of $3.3 million included in loss on settlement of debt in the consolidated statements of operations. In connection with the repayment of outstanding indebtedness by the Company, all liens, mortgages and security interests in any assets or property securing the obligations under the MidCap credit facility were automatically terminated and released and the Company was automatically released from all guarantees.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Mann Group convertible note</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August 2019, the Company issued a $35.0 million note that was convertible into shares of the Company’s common stock at $2.50 per share (the “Mann Group convertible note”) as part of a restructuring of its then existing indebtedness to Mann Group. On April 2, 2024, the Company and Mann Group agreed to discharge and terminate the Mann Group convertible note.</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Mann Group convertible note accrued interest at the rate of 2.5% per year on the principal amount, payable quarterly in arrears on the first day of each calendar quarter, with a maturity date of December 31, 2025.</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April 2, 2024, the outstanding principal balance of the Mann Group convertible note plus accrued interest was $8.9 million and was convertible at Mann Group’s option into 3,554,198 shares of common stock of the Company. The Company and Mann Group agreed to terminate all outstanding indebtedness, rights and obligations under the Mann Group convertible note in exchange for (i) the Company’s issuance to Mann Group of 1,500,000 shares of the Company’s common stock converted at the contractual rate of $2.50 per share and (ii) the Company’s payment to Mann Group of $8.9 million, which represented the market value of 2,054,198 shares of common stock of the Company on April 2, 2024 to settle the remaining principal and interest of $5.1 million, after the conversion noted in (i) above. Termination of the Mann Group convertible note resulted in a loss on early extinguishment of debt of $3.7 million included in loss on settlement of debt in the consolidated statements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Collaborations, Licensing and Other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0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UT CSA</w:t>
            </w:r>
            <w:r>
              <w:rPr>
                <w:rFonts w:ascii="Times New Roman" w:cs="Times New Roman" w:eastAsia="Times New Roman" w:hAnsi="Times New Roman"/>
                <w:sz w:val="24"/>
                <w:szCs w:val="24"/>
                <w:color w:val="auto"/>
                <w:vertAlign w:val="superscript"/>
              </w:rPr>
              <w:t>(1)</w:t>
            </w: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Amphastar co-promotion agreement</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1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-156845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-156845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-10795</wp:posOffset>
            </wp:positionV>
            <wp:extent cx="2854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-79375</wp:posOffset>
            </wp:positionV>
            <wp:extent cx="28543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5"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Manufacturing Services to UT for the periods presented.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and ending deferred balance for collaborations and services revenue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5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3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Additions</w:t>
            </w:r>
          </w:p>
        </w:tc>
        <w:tc>
          <w:tcPr>
            <w:tcW w:w="3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Upfront and milestone payments</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Collaborations and services revenue</w:t>
            </w:r>
          </w:p>
        </w:tc>
        <w:tc>
          <w:tcPr>
            <w:tcW w:w="3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(106,713)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(100,840)</w:t>
            </w: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3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3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55,308</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5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from UT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from UT</w:t>
            </w:r>
          </w:p>
        </w:tc>
        <w:tc>
          <w:tcPr>
            <w:tcW w:w="2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2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2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Royalties</w:t>
            </w:r>
            <w:r>
              <w:rPr>
                <w:rFonts w:ascii="Times New Roman" w:cs="Times New Roman" w:eastAsia="Times New Roman" w:hAnsi="Times New Roman"/>
                <w:sz w:val="24"/>
                <w:szCs w:val="24"/>
                <w:color w:val="auto"/>
                <w:vertAlign w:val="superscript"/>
              </w:rPr>
              <w:t>(1)</w:t>
            </w:r>
          </w:p>
        </w:tc>
        <w:tc>
          <w:tcPr>
            <w:tcW w:w="27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128,116</w:t>
            </w:r>
          </w:p>
        </w:tc>
        <w:tc>
          <w:tcPr>
            <w:tcW w:w="5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 CSA</w:t>
            </w:r>
          </w:p>
        </w:tc>
        <w:tc>
          <w:tcPr>
            <w:tcW w:w="2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2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 from UT</w:t>
            </w:r>
          </w:p>
        </w:tc>
        <w:tc>
          <w:tcPr>
            <w:tcW w:w="24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231,501</w:t>
            </w:r>
          </w:p>
        </w:tc>
        <w:tc>
          <w:tcPr>
            <w:tcW w:w="28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201,428</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2"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royalties associated with the UT License Agreement. The contract asset related to the royalties receivable of $30.2 million, $24.3 million and</w:t>
      </w:r>
    </w:p>
    <w:p>
      <w:pPr>
        <w:spacing w:after="0" w:line="26" w:lineRule="exact"/>
        <w:rPr>
          <w:rFonts w:ascii="Times New Roman" w:cs="Times New Roman" w:eastAsia="Times New Roman" w:hAnsi="Times New Roman"/>
          <w:sz w:val="13"/>
          <w:szCs w:val="13"/>
          <w:color w:val="auto"/>
        </w:rPr>
      </w:pPr>
    </w:p>
    <w:p>
      <w:pPr>
        <w:ind w:left="520" w:right="20"/>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$21.7 million as of December 31, 2025, 2024 and 2023, respectively, was included in prepaid expense and other current assets in the consolidated balance sheets and collected in the following quarter.</w:t>
      </w:r>
    </w:p>
    <w:p>
      <w:pPr>
        <w:spacing w:after="0" w:line="16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Pursuant to the UT License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activities and deliverables under the CSA and UT License Agreement resulted in distinct performance obligations which include the: (1) R&amp;D Services and License, (2) Next-Gen R&amp;D Services, and (3) Manufacturing Services. The revenue recognized under the CSA for manufacturing services is comprised of the sale of product to UT, recognition of previously deferred revenue, as well as reimbursements from other agreements for individual performance obligations. The portion of revenue related to each deliverable included in UT CSA revenue (in thousands)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vMerge w:val="restart"/>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UT CSA Revenue</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Sale of product</w:t>
            </w:r>
            <w:r>
              <w:rPr>
                <w:rFonts w:ascii="Times New Roman" w:cs="Times New Roman" w:eastAsia="Times New Roman" w:hAnsi="Times New Roman"/>
                <w:sz w:val="24"/>
                <w:szCs w:val="24"/>
                <w:color w:val="auto"/>
                <w:vertAlign w:val="superscript"/>
              </w:rPr>
              <w:t>(1)</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previously deferred revenue</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agreements</w:t>
            </w: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UT CSA revenue</w:t>
            </w: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96,228</w:t>
            </w:r>
          </w:p>
        </w:tc>
        <w:tc>
          <w:tcPr>
            <w:tcW w:w="7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9" w:lineRule="exact"/>
        <w:rPr>
          <w:sz w:val="20"/>
          <w:szCs w:val="20"/>
          <w:color w:val="auto"/>
        </w:rPr>
      </w:pPr>
    </w:p>
    <w:p>
      <w:pPr>
        <w:ind w:left="380" w:right="60" w:hanging="372"/>
        <w:spacing w:after="0" w:line="298" w:lineRule="auto"/>
        <w:tabs>
          <w:tab w:leader="none" w:pos="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Sale of product included revenue related to fully reimbursable costs associated with product sales and other miscellaneous charges of $0.9 million and $9.4 million for the years ended December 31, 2025 and 2024, respectively.</w:t>
      </w:r>
    </w:p>
    <w:p>
      <w:pPr>
        <w:spacing w:after="0" w:line="16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There have been various amendments to the CSA since inception. As amended,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2024, the Company also entered into additional agreements for individual performance obligations which are accounted for separately as they are distinct from Manufacturing Services and offered at a standalone selling price, for which we recognized revenue of $1.6 million and $7.1 million for the years ended December 31, 2025 and 2024, respectively. There was no revenue recognized from additional agreements for the year ended December 31, 2023. Revenue is recognized at a point in time as services are rendered.</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Also during 2024, the Company fully recognized the Next-Gen R&amp;D Services performance obligation. The pre-production activities under the CSA, such as facility expansion services that were bundled services under the Manufacturing Services performance obligation were completed in 2024 and are being amortized over the CSA contractual term. Historically, the Company has also fully recognized revenue related to R&amp;D Services and License performance obligation, except for royalties which is recognized on a sales-based or usage-based royalty method.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Under the terms of the UT License Agreement, UT has an option to develop additional dry powder inhalation therapies. In August 2025, UT exercised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which was memorialized in an amendment to the UT License Agreement (the "First Amendment"), and is treated as a separate contract for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purposes under ASC 606. Under the First Amendment, the Company will formulate MNKD-1501, an investigational molecule using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Technosphere platform, and United Therapeutics will conduct preclinical and clinical development. Per the First Amendment,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an upfront payment of $5.0 million in 2025 and is eligible to receive up to $35.0 million in development milestones, of which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is probable of being earned based on the current stage of development and achievement criteria. The remaining $30.0 million in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milestones is considered constrained due to the inherent uncertainty in the timing and likelihood of achieving the associated milestones. The Company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eligible to receive 10% royalties on net sales of any resulting product. As of December 31, 2025, $1.0 million of the initial upfront payment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as revenue, based on the input measure of progress, and the remaining $4.0 million is included within deferred revenue - short term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2025, deferred revenue from UT consisted of $55.3 million, of which $15.3 million was classified as current and $40.0 million was classified as long-term on the consolidated balance sheet. As of December 31, 2024, deferred revenue consisted of $62.4 million, of which $12.3 million was classified as current and $50.1 million was classified as long-term on the consolidated balance sheet. The deferred revenue balance included $52.2 million and $61.3 million of UT funded pre-production activities under the CSA, such as facility expansion services and other administrative services as of December 31, 2025 and December 31, 2024, respectively. The Company determined that the deferred revenue should be combined with the Manufacturing Services performance obligation and relates solely to a single partially satisfied performance obligation pursuant to the CSA which will be recognized using an output method based on an estimate of measurement of progress as units of product are delivered over the CSA term.</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Thirona’s compound for the treatment of fibrotic pulmonary diseases. If initial studies had proven promising, the Company would have had the rights to seek a full license to the compound for clinical development and commercialization. The parties performed their respective obligations and provided reasonable support for research, clinical development and regulatory strategy. The collaboration agreement was accounted for under ASC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however, no consideration was exchanged between the parties. The costs incurred by the Company were expensed as R&amp;D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statements of operations. In September 2025, Thirona initiated a cessation of operations following recent clinical trial results. The Company does not anticipate additional work to be performed or expenses to be incurred related to this agreement.</w:t>
      </w:r>
    </w:p>
    <w:p>
      <w:pPr>
        <w:spacing w:after="0" w:line="18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and began recording commercial product sales from this agreement in the fourth quarter of 2025. The Company is entitled to an additional regulatory milestone payment, minimum purchase commitment revenue and royalties on Afrezza sales in India once cumulative gross sales have reached a specified threshold. In December 2024, the Central Drugs Standard Control Organisation ("CDSCO") in India approved Afrezza for adults and, accordingly, the Company was entitled to the regulatory milestone payment from Cipla totaling $1.1 million, which was recognized as revenue from collaborations and services in the year ended December 31, 2024.</w:t>
      </w:r>
    </w:p>
    <w:p>
      <w:pPr>
        <w:spacing w:after="0" w:line="17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December 31, 2024, the deferred revenue balance related to the $2.2 million nonrefundable license fee was $1.2 million, of which $0.1 million was classified as current and $1.1 million was classified as long term in the consolidated balance sheets. The $1.2 million remaining balance was fully recognized in net revenue – collaborations as of December 31, 2025, since the performance obligation was deemed to have been met. The Company recorded $0.6 million of revenue from commercial product sales to Cipla in India for the year ended December 31, 2025. There were no commercial product sales to India in 2024 or 2023.</w:t>
      </w:r>
    </w:p>
    <w:p>
      <w:pPr>
        <w:spacing w:after="0" w:line="18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Amphastar </w:t>
      </w:r>
      <w:r>
        <w:rPr>
          <w:rFonts w:ascii="Times New Roman" w:cs="Times New Roman" w:eastAsia="Times New Roman" w:hAnsi="Times New Roman"/>
          <w:sz w:val="18"/>
          <w:szCs w:val="18"/>
          <w:color w:val="auto"/>
        </w:rPr>
        <w:t>— In November 2024, the Company entered into a co-promotion agreement which provides the terms and conditions upon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sales force shall promote Baqsimi (glucagon) nasal powder to designated health care professionals where the Company currently promotes Afrezza. Per the terms of the co-promotion agreement, Amphastar was obligated to pay fixed quarterly payments to the Company through December 2025. Either party could terminate the agreement or suspend performance upon written notice to the other party at any time during the contract term. The co-promotion agreement may be renewed or extended only upon the mutual written agreement of both parties. In December 2025, the first amendment to the co-promotion agreement was executed which extends the term to December 31, 2026. All other terms of the agreement remain in effect and unchanged.</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identified a single performance obligation that the Company will satisfy over time. The total transaction price of $2.5 million is considered fixed consideration of which $2.0 million and $0.5 million was recognized as revenue from collaborations and services in our consolidated statement of operations for the years ended December 31,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Instruments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8" w:name="page109"/>
    <w:bookmarkEnd w:id="108"/>
    <w:p>
      <w:pPr>
        <w:ind w:right="40"/>
        <w:spacing w:after="0" w:line="256"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225"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carrying amounts reported in the consolidated financial statements for cash, accounts receivable, accounts payable, and accrued expenses and other current liabilities (excluding the Milestone Rights liability) approximate their fair value due to their relatively short maturities. As the Blackstone term loan is subject to variable interest rates that are based on market rates which regularly reset, the Company believes that the carrying value of the term loan approximates its fair value. The fair value of the senior convertible notes, Milestone Rights liability, Financing liability, Liability for sale of future royalties and Contingent consideration liability are disclosed below.</w:t>
      </w:r>
    </w:p>
    <w:p>
      <w:pPr>
        <w:spacing w:after="0" w:line="181"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(Level 3 in the fair value hierarchy)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ind w:right="119"/>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(3)</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6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Contingent consideration liability</w:t>
            </w:r>
            <w:r>
              <w:rPr>
                <w:rFonts w:ascii="Times New Roman" w:cs="Times New Roman" w:eastAsia="Times New Roman" w:hAnsi="Times New Roman"/>
                <w:sz w:val="24"/>
                <w:szCs w:val="24"/>
                <w:color w:val="auto"/>
                <w:vertAlign w:val="superscript"/>
              </w:rPr>
              <w:t>(5)</w:t>
            </w:r>
          </w:p>
        </w:tc>
        <w:tc>
          <w:tcPr>
            <w:tcW w:w="2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0" w:lineRule="exact"/>
        <w:rPr>
          <w:sz w:val="20"/>
          <w:szCs w:val="20"/>
          <w:color w:val="auto"/>
        </w:rPr>
      </w:pPr>
    </w:p>
    <w:p>
      <w:pPr>
        <w:ind w:left="380" w:right="240" w:hanging="372"/>
        <w:spacing w:after="0" w:line="290" w:lineRule="auto"/>
        <w:tabs>
          <w:tab w:leader="none" w:pos="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5.0%, volatility of 40.3% and a Monte Carlo simulation for the value of the conversion feature. A change in yield of + or – 2% would result in a fair value of $39.0 million and $39.5 million, respectively.</w:t>
      </w:r>
    </w:p>
    <w:p>
      <w:pPr>
        <w:jc w:val="both"/>
        <w:ind w:left="380" w:right="80" w:hanging="372"/>
        <w:spacing w:after="0" w:line="281" w:lineRule="auto"/>
        <w:tabs>
          <w:tab w:leader="none" w:pos="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3.94%, dividend yield of 0%, volatility of 43.0%, period of 7 years and credit risk of 10%.</w:t>
      </w:r>
    </w:p>
    <w:p>
      <w:pPr>
        <w:spacing w:after="0" w:line="1" w:lineRule="exact"/>
        <w:rPr>
          <w:rFonts w:ascii="Times New Roman" w:cs="Times New Roman" w:eastAsia="Times New Roman" w:hAnsi="Times New Roman"/>
          <w:sz w:val="13"/>
          <w:szCs w:val="13"/>
          <w:color w:val="auto"/>
        </w:rPr>
      </w:pPr>
    </w:p>
    <w:p>
      <w:pPr>
        <w:ind w:left="380" w:hanging="372"/>
        <w:spacing w:after="0" w:line="281" w:lineRule="auto"/>
        <w:tabs>
          <w:tab w:leader="none" w:pos="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7.0%. A change in yield of + or – 2% would result in a fair value of $106.7 million and $140.6 million, respectively.</w:t>
      </w:r>
    </w:p>
    <w:p>
      <w:pPr>
        <w:spacing w:after="0" w:line="1" w:lineRule="exact"/>
        <w:rPr>
          <w:rFonts w:ascii="Times New Roman" w:cs="Times New Roman" w:eastAsia="Times New Roman" w:hAnsi="Times New Roman"/>
          <w:sz w:val="13"/>
          <w:szCs w:val="13"/>
          <w:color w:val="auto"/>
        </w:rPr>
      </w:pPr>
    </w:p>
    <w:p>
      <w:pPr>
        <w:ind w:left="380" w:right="120" w:hanging="372"/>
        <w:spacing w:after="0" w:line="290" w:lineRule="auto"/>
        <w:tabs>
          <w:tab w:leader="none" w:pos="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 A change in yield of + or – 2% would result in a fair value of $148.3 million and $192.3 million, respectively.</w:t>
      </w:r>
    </w:p>
    <w:p>
      <w:pPr>
        <w:ind w:left="380" w:right="80" w:hanging="372"/>
        <w:spacing w:after="0" w:line="272" w:lineRule="auto"/>
        <w:tabs>
          <w:tab w:leader="none" w:pos="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to be $23.7 million for Milestone 1 using a probability weighted expected return methodology based on the Company's estimate of probability of achievement of regulatory approval which was 85% across various timepoints and a discount rate of 10%. A change in estimate of probability and discount rate for Milestone 1 of + or – 2% would result in a fair value of $24.7 million and $22.7 million, respectively. Fair value was determined to be $2.6 million for Milestone 2 using a Monte Carlo simulation method based on a 25.2% volatility and 10% discount rate. Market based inputs and other Level 3 inputs were used to forecast future revenue. A change in discount rate on Milestone 2 of + or – 2% would result in a fair value of $2.6 million and $2.7 million,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(3)</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140"/>
              <w:spacing w:after="0" w:line="214"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39" w:lineRule="exact"/>
        <w:rPr>
          <w:sz w:val="20"/>
          <w:szCs w:val="20"/>
          <w:color w:val="auto"/>
        </w:rPr>
      </w:pPr>
    </w:p>
    <w:p>
      <w:pPr>
        <w:ind w:left="380" w:right="240" w:hanging="372"/>
        <w:spacing w:after="0" w:line="281" w:lineRule="auto"/>
        <w:tabs>
          <w:tab w:leader="none" w:pos="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7.5%, volatility of 49.5% and a Monte Carlo simulation for the value of the conversion feature. A change in yield of + or – 2% would result in a fair value of $46.2 million and $47.6 million, respectively.</w:t>
      </w:r>
    </w:p>
    <w:p>
      <w:pPr>
        <w:spacing w:after="0" w:line="1" w:lineRule="exact"/>
        <w:rPr>
          <w:rFonts w:ascii="Times New Roman" w:cs="Times New Roman" w:eastAsia="Times New Roman" w:hAnsi="Times New Roman"/>
          <w:sz w:val="13"/>
          <w:szCs w:val="13"/>
          <w:color w:val="auto"/>
        </w:rPr>
      </w:pPr>
    </w:p>
    <w:p>
      <w:pPr>
        <w:jc w:val="both"/>
        <w:ind w:left="380" w:right="80" w:hanging="372"/>
        <w:spacing w:after="0" w:line="281" w:lineRule="auto"/>
        <w:tabs>
          <w:tab w:leader="none" w:pos="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4.5%, dividend yield of 0%, volatility of 45.0%, period of 7 years and credit risk of 11.0%.</w:t>
      </w:r>
    </w:p>
    <w:p>
      <w:pPr>
        <w:spacing w:after="0" w:line="1" w:lineRule="exact"/>
        <w:rPr>
          <w:rFonts w:ascii="Times New Roman" w:cs="Times New Roman" w:eastAsia="Times New Roman" w:hAnsi="Times New Roman"/>
          <w:sz w:val="13"/>
          <w:szCs w:val="13"/>
          <w:color w:val="auto"/>
        </w:rPr>
      </w:pPr>
    </w:p>
    <w:p>
      <w:pPr>
        <w:ind w:left="380" w:hanging="372"/>
        <w:spacing w:after="0" w:line="290" w:lineRule="auto"/>
        <w:tabs>
          <w:tab w:leader="none" w:pos="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8.0%. A change in yield of + or – 2% would result in a fair value of $103.1 million and $135.2 million, respectively.</w:t>
      </w:r>
    </w:p>
    <w:p>
      <w:pPr>
        <w:ind w:left="380" w:hanging="372"/>
        <w:spacing w:after="0" w:line="298" w:lineRule="auto"/>
        <w:tabs>
          <w:tab w:leader="none" w:pos="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9.0%. A change in yield of + or – 2% would result in a fair value of $137.9 million and $180.0 million, respectively.</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Milestone Rights liability is sensitive to the discount rate and the timing of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See Note 16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 </w:t>
      </w:r>
      <w:r>
        <w:rPr>
          <w:rFonts w:ascii="Times New Roman" w:cs="Times New Roman" w:eastAsia="Times New Roman" w:hAnsi="Times New Roman"/>
          <w:sz w:val="18"/>
          <w:szCs w:val="18"/>
          <w:color w:val="auto"/>
        </w:rPr>
        <w:t>The sale of a portion of our royalty rights in December 2023 resulted in a liability for sale of future royalties.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16 – </w:t>
      </w:r>
      <w:r>
        <w:rPr>
          <w:rFonts w:ascii="Times New Roman" w:cs="Times New Roman" w:eastAsia="Times New Roman" w:hAnsi="Times New Roman"/>
          <w:sz w:val="18"/>
          <w:szCs w:val="18"/>
          <w:i w:val="1"/>
          <w:iCs w:val="1"/>
          <w:color w:val="auto"/>
        </w:rPr>
        <w:t>Commitments and Contingencies.</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Liability </w:t>
      </w:r>
      <w:r>
        <w:rPr>
          <w:rFonts w:ascii="Times New Roman" w:cs="Times New Roman" w:eastAsia="Times New Roman" w:hAnsi="Times New Roman"/>
          <w:sz w:val="18"/>
          <w:szCs w:val="18"/>
          <w:color w:val="auto"/>
        </w:rPr>
        <w:t>— The acquisition of scPharma in October 2025 resulted in a contingent consideration liability. See Note 3 –</w:t>
      </w:r>
      <w:r>
        <w:rPr>
          <w:rFonts w:ascii="Times New Roman" w:cs="Times New Roman" w:eastAsia="Times New Roman" w:hAnsi="Times New Roman"/>
          <w:sz w:val="18"/>
          <w:szCs w:val="18"/>
          <w:i w:val="1"/>
          <w:iCs w:val="1"/>
          <w:color w:val="auto"/>
        </w:rPr>
        <w:t xml:space="preserve"> Business Combinations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and Preferred Stock</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December 31, 2025 and 2024, 307,832,587 and 302,959,782 shares of common stock, respectively, were issued and outstanding and no shares of preferred stock were outstanding.</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with Cantor Fitzgerald &amp; Co. (“Cantor Fitzgerald”), as sales agent, pursuant to which the Company may offer and sell, from time to time, through Cantor Fitzgerald, shares of the Company’s common stock, which was amended and restated in February 2025 (as amended, the “CF Sales Agreement”). Under the Sales Agreement, Cantor Fitzgerald may sell shares by any method deemed to be an “at-the-market offering” as defined in Rule 415 under the Securities Act of 1933, as amended. In February 2022, the Company filed a sales agreement prospectus under a registration statement on Form S-3 covering the sale of up to $50.0 million of common stock through Cantor Fitzgerald under the CF Sales Agreement, which registration statement expired on February 24, 2025. On February 26, 2025, the Company filed a sales agreement prospectus under a registration statement on Form S-3, which became effective upon filing, covering the sale of up to $200.0 million of our common stock through Cantor Fitzgerald under the CF Sales Agreement. There were no sales under the CF Sales Agreement during the years ended December 31, 2025 and 2024. During the year ended December 31, 2023, the Company sold 1,478,090 shares of common stock at a weighted average purchase price of $4.66 per share for gross proceeds of approximately $6.9 million pursuant to the CF Sales Agreement.</w:t>
      </w:r>
    </w:p>
    <w:p>
      <w:pPr>
        <w:spacing w:after="0" w:line="1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During the year ended December 31, 2023, the Company paid interest on the Mann Group convertible note by issuing 50,844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10" w:name="page111"/>
    <w:bookmarkEnd w:id="110"/>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$0.2 million from the market price stock purchase plan ("MPSPP") for 36,004 shares of common stock.</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Mann Group converted $3.8 million of principal into 1,500,000 shares of common stock. In addition, the Company paid interest by issuing Mann Group 15,285 shares of common stock.</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exchanged an aggregate principal amount of approximately $116.4 million of the senior convertible notes for the issuance of 26,749,559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received $1.4 million from the MPSPP for 416,099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received $0.4 million from the MPSPP for 86,684 shares of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shares of common stock issued pursuant to the Company's 2004 employee stock purchase plan ("ESPP"), see Note 15 – </w:t>
      </w:r>
      <w:r>
        <w:rPr>
          <w:rFonts w:ascii="Times New Roman" w:cs="Times New Roman" w:eastAsia="Times New Roman" w:hAnsi="Times New Roman"/>
          <w:sz w:val="18"/>
          <w:szCs w:val="18"/>
          <w:i w:val="1"/>
          <w:iCs w:val="1"/>
          <w:color w:val="auto"/>
        </w:rPr>
        <w:t>Stock Award Plans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EPS – basic:</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 (numerator)</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305,639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274,415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97"/>
        </w:trPr>
        <w:tc>
          <w:tcPr>
            <w:tcW w:w="6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EPS – diluted:</w:t>
            </w: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 (numerator)</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197"/>
        </w:trPr>
        <w:tc>
          <w:tcPr>
            <w:tcW w:w="66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305,639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274,415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 – common shares issuable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weighted average common shares (denominator)</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314,112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283,844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5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-1071245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-1053465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-1071245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-770890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-753745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-770890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-753745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diluted net income per share excluded the weighted average effect of 3.2 million shares of common stock underlying RSUs and Market RSUs, 0.2 million shares of common stock underlying options and PNQs, and 7.0 million shares of common stock issuable upon conversion of the senior convertible notes, as they were antidilutive.</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diluted net income per share excluded the weighted average effect of 9.9 million shares of common stock underlying RSUs and Market RSUs, 0.6 million shares of common stock underlying options and PNQs, and 7.0 million shares of common stock issuable upon conversion of the senior convertible notes, as they were antidilutive.</w:t>
      </w:r>
    </w:p>
    <w:p>
      <w:pPr>
        <w:spacing w:after="0" w:line="6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Common shares issuable for the year ended December 31, 2023 represent incremental shares of common stock which consist of RSUs, stock options, warrants, and shares that could be issued upon conversion of the senior convertible notes and the Mann Group convertible notes. Potentially dilutive securities outstanding which were considered antidilutive due to net losses are summarized as follows (in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8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48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RSUs and Market RSUs </w:t>
            </w:r>
            <w:r>
              <w:rPr>
                <w:rFonts w:ascii="Times New Roman" w:cs="Times New Roman" w:eastAsia="Times New Roman" w:hAnsi="Times New Roman"/>
                <w:sz w:val="24"/>
                <w:szCs w:val="24"/>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7,855,144</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and PNQs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8,400,611</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Mann Group convertible notes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3,370,000</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94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shares</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63,746,218</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wp:posOffset>
            </wp:positionV>
            <wp:extent cx="10541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2">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-79375</wp:posOffset>
            </wp:positionV>
            <wp:extent cx="10541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500" w:right="540" w:hanging="492"/>
        <w:spacing w:after="0" w:line="205" w:lineRule="auto"/>
        <w:tabs>
          <w:tab w:leader="none" w:pos="500" w:val="left"/>
        </w:tabs>
        <w:numPr>
          <w:ilvl w:val="0"/>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Market RSUs issued in 2021, 2022 and 2023 are included at the share delivery of 0%, 140% and 0%, respectively, in accordance with a valuation assessment obtained as of December 31, 2023.</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15. Stock Award Plans</w:t>
      </w:r>
    </w:p>
    <w:p>
      <w:pPr>
        <w:spacing w:after="0" w:line="121"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In May 2023, the Company’s stockholders, upon recommendation of the Company’s board of directors, approved an amendment to the Company’s 2018 Equity Incentive Plan (the "2018 Plan") to increase the number of shares of common stock that may be issued under the 2018 Plan by 25,000,000 shares.</w:t>
      </w:r>
    </w:p>
    <w:p>
      <w:pPr>
        <w:spacing w:after="0" w:line="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upon the approval of the 2018 Plan by the Company’s stockholders in May 2018, no additional awards have been or may be granted under the 2013 Equity Incentive Plan (the "2013 Plan"). Any Prior Plans’ (as defined below) returning shares will increase the number of shares issuable under the 2018 Plan. The Prior Plans’ returning shares are shares subject to outstanding stock awards granted under the 2013 Plan or the 2004 Equity Incentive Plan (collectively, “Prior Plans”) that, from and after the effective date of the 2018 Plan, (i) expire or terminate for any reason prior to exercise or settlement, (ii) are forfeited, cancelled or otherwise returned to the Company because of the failure to meet a contingency or condition required for the vesting of such shares, or (iii) other than with respect to outstanding stock options and stock appreciation rights granted under the Prior Plans with an exercise or strike price of at least 100% of the fair market value of the underlying common stock on the date of grant, are reacquired or withheld (or not issued) by the Company to satisfy a tax withholding obligation in connection with a stock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2018 Plan provides for the granting of stock awards including stock options and RSU's to employees, directors and consultants.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board of directors or its compensation committee determines eligibility, vesting schedules and criteria, and exercise prices for stock awards granted under the 2018 Plan. Options and RSU awards under the 2018 Plan, or the Prior Plans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The Company also issues PNQ awards with performance conditions. For PNQs, the Company evaluates the probability that the performance conditions will be met and estimates the service period for recognition of the associated expense. RSUs with time-based vesting generally vest at a rate of 25% per year over four years with consideration satisfied by service to the Company. Certain RSUs issued to non-employee directors vest immediately upon grant, but the underlying shares of common stock will not be delivered until there is a separation of service such as resignation, retirement or death. The Company also issues Market RSUs. The grant date fair value and the effect of the market conditions are estimated using a Monte Carlo valuation.</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Market RSUs issued during the year ended December 31, 2025 had a grant date fair value of $10.84 per share and will vest on July 15, 2028. The fair value of the Market RSUs was determined using a share price of $4.72, risk-free interest rate of 3.96%, volatility of 52.12%, and a dividend yield of 0%. The number of shares delivered on the vesting date is determined by the percentile ranking of MannKind total shareholder return ("TSR") over the period from July 1, 2025 until June 30, 2028 relative to the TSR of the Russell 3000 Pharmaceutical &amp; Biotechnology Index over the same period, as follows: less than 25th percentile=0% of target, 25th percentile=50% of target, 50th percentile=100% of target, 75th percentile=200% of target, 90th percentile or higher=300% maximum. Payout values will be interpolated between the percentile rankings above. The resulting stock-based compensation expense will be recognized over the service period regardless of whether the market conditions are achieved, as long as the service condition is satisfied.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the Company’s stock-based award plans as of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50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Available</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2013 Equity Incentive Plan</w:t>
            </w:r>
          </w:p>
        </w:tc>
        <w:tc>
          <w:tcPr>
            <w:tcW w:w="3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1,484,716</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2018 Equity Incentive Plan</w:t>
            </w:r>
          </w:p>
        </w:tc>
        <w:tc>
          <w:tcPr>
            <w:tcW w:w="24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3,885,504</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16,485,829</w:t>
            </w: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5,370,220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16,485,829</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3740" w:type="dxa"/>
            <w:vAlign w:val="bottom"/>
            <w:tcBorders>
              <w:top w:val="single" w:sz="8" w:color="CFF0FC"/>
            </w:tcBorders>
          </w:tcPr>
          <w:p>
            <w:pPr>
              <w:spacing w:after="0"/>
              <w:rPr>
                <w:sz w:val="24"/>
                <w:szCs w:val="24"/>
                <w:color w:val="auto"/>
              </w:rPr>
            </w:pPr>
          </w:p>
        </w:tc>
        <w:tc>
          <w:tcPr>
            <w:tcW w:w="2400" w:type="dxa"/>
            <w:vAlign w:val="bottom"/>
            <w:tcBorders>
              <w:top w:val="single" w:sz="8" w:color="CFF0FC"/>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112</w:t>
            </w:r>
          </w:p>
        </w:tc>
        <w:tc>
          <w:tcPr>
            <w:tcW w:w="15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-933450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-916940</wp:posOffset>
            </wp:positionV>
            <wp:extent cx="77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2" w:name="page113"/>
    <w:bookmarkEnd w:id="112"/>
    <w:p>
      <w:pPr>
        <w:ind w:right="40"/>
        <w:spacing w:after="0" w:line="255" w:lineRule="auto"/>
        <w:rPr>
          <w:sz w:val="20"/>
          <w:szCs w:val="20"/>
          <w:color w:val="auto"/>
        </w:rPr>
      </w:pPr>
      <w:r>
        <w:rPr>
          <w:rFonts w:ascii="Times New Roman" w:cs="Times New Roman" w:eastAsia="Times New Roman" w:hAnsi="Times New Roman"/>
          <w:sz w:val="18"/>
          <w:szCs w:val="18"/>
          <w:color w:val="auto"/>
        </w:rPr>
        <w:t>Share-based payment transactions are recognized as compensation cost based on the fair value of the instrument on the date of grant. 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 The Company recognizes forfeitures as they occur. During the years ended December 31, 2025, 2024 and 2023, the Company recorded RSU and option-based stock compensation expense of $23.6 million, $20.6 million and $17.0 million, respectively, and ESPP compensation of $0.6 million, $0.7 million and $0.6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consolidated statements of operations is included in the following categories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2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relating to stock options:</w:t>
            </w:r>
          </w:p>
        </w:tc>
        <w:tc>
          <w:tcPr>
            <w:tcW w:w="8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2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0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 ($000)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7,275,256</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2.12</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(1,709,361)</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2.72</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(82,125)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2.44</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(113,550)</w:t>
            </w:r>
          </w:p>
        </w:tc>
        <w:tc>
          <w:tcPr>
            <w:tcW w:w="11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14.86</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5,370,220</w:t>
            </w:r>
          </w:p>
        </w:tc>
        <w:tc>
          <w:tcPr>
            <w:tcW w:w="12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1.66</w:t>
            </w:r>
          </w:p>
        </w:tc>
        <w:tc>
          <w:tcPr>
            <w:tcW w:w="2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11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5,049,252</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gridSpan w:val="2"/>
            <w:shd w:val="clear" w:color="auto" w:fill="CFF0FC"/>
          </w:tcPr>
          <w:p>
            <w:pPr>
              <w:jc w:val="right"/>
              <w:ind w:right="5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5"/>
              </w:rPr>
              <w:t>1.62</w:t>
            </w: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20,433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-2030730</wp:posOffset>
            </wp:positionV>
            <wp:extent cx="77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-2013585</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-2030730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-2013585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-333375</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There were no options granted in the years ended December 31, 2025 and 2024. There were no stock options that vested during the year ended December 31, 2025. Total fair value of stock options vested during the year ended December 31, 2024 and 2023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and $2.8 million, respectively. The total intrinsic value of options exercised during the years ended December 31, 2025, 2024 and 2023 was $4.7 million, $3.5 million and $1.3 million, respectively. Intrinsic value is measured using the fair market value at the date of exercise for options exercised or as of December 31 for outstanding options, less the applicable exercise price.</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received from the exercise of options during the years ended December 31, 2025, 2024 and 2023 was approximately $6.4 million, $2.9 million and $1.2 million, respectively.</w:t>
      </w:r>
    </w:p>
    <w:p>
      <w:pPr>
        <w:spacing w:after="0" w:line="16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compensation costs related to PNQs for the years ended December 31, 2025 and 2024, respectively, and $0.3 million for the year ended December 31, 2023. As of December 31, 2025 and 2024, there were no unrecognized compensation costs related to PNQs subject to performance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relating to RSUs: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3880" w:type="dxa"/>
            <w:vAlign w:val="bottom"/>
          </w:tcPr>
          <w:p>
            <w:pPr>
              <w:spacing w:after="0"/>
              <w:rPr>
                <w:sz w:val="15"/>
                <w:szCs w:val="15"/>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388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14,128,954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5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8,672,870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5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(4,348,988)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38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(1,967,007)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3880" w:type="dxa"/>
            <w:vAlign w:val="bottom"/>
            <w:tcBorders>
              <w:top w:val="single" w:sz="8" w:color="CFF0F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16,485,829</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88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113</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3" w:name="page114"/>
    <w:bookmarkEnd w:id="113"/>
    <w:p>
      <w:pPr>
        <w:ind w:right="440"/>
        <w:spacing w:after="0" w:line="266" w:lineRule="auto"/>
        <w:rPr>
          <w:sz w:val="20"/>
          <w:szCs w:val="20"/>
          <w:color w:val="auto"/>
        </w:rPr>
      </w:pPr>
      <w:r>
        <w:rPr>
          <w:rFonts w:ascii="Times New Roman" w:cs="Times New Roman" w:eastAsia="Times New Roman" w:hAnsi="Times New Roman"/>
          <w:sz w:val="18"/>
          <w:szCs w:val="18"/>
          <w:color w:val="auto"/>
        </w:rPr>
        <w:t>Total fair value of RSUs vested during the years ended December 31, 2025, 2024 and 2023 was $21.8 million, $23.0 million and $20.6 million, respectively. The total grant date fair value of RSUs outstanding as of December 31, 2025, 2024 and 2023 was $95.9 million, $77.6 million and $57.0 million, respectively.</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there was no unrecognized compensation expense related to options and PNQs and $56.5 million of unrecognized compensation expense related to RSUs, Market RSUs and Performance RSUs, which are expected to be recognized over the weighted average period of 2.12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4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spacing w:after="0" w:line="1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May 2023, the Company’s stockholders, upon recommendation of the Company’s board of directors, approved an amendment to the Company’s ESPP to increase the number of shares of common stock authorized for issuance under the ESPP by an additional 3,000,000 shares.</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Company issued 0.5 million, 0.5 million and 0.5 million shares of common stock pursuant to the ESPP for the years ended December 31, 2025, 2024 and 2023, respectively. There were approximately 1.9 million shares of common stock available for issuance under the ESPP as of December 31,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consolidated balance sheets.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The Company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Milestone Rights </w:t>
      </w:r>
      <w:r>
        <w:rPr>
          <w:rFonts w:ascii="Times New Roman" w:cs="Times New Roman" w:eastAsia="Times New Roman" w:hAnsi="Times New Roman"/>
          <w:sz w:val="18"/>
          <w:szCs w:val="18"/>
          <w:color w:val="auto"/>
        </w:rPr>
        <w:t>— In July 2013, the Company entered into the Milestone Rights Agreement with the Original Milestone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Company granted the Milestone Rights to receive payments up to $90.0 million upon the occurrence of specified strategic and sales milestones, of which $45.0 million remains payable to the Milestone Purchasers as of December 31, 2025.</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achieved an Afrezza net sales milestone as specified by the Milestone Rights, and recognized approximately $0.6 million and $0.8 million, respectively, of the $5.0 million payment as a reduction to the Milestone Rights liability on our consolidated balance sheets, which represents the fair value as determined in 2013 (the most recent measurement date).</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the remaining Milestone Rights liability balance was $2.5 million and consisted of $0.5 million of current liability, which was presented as accrued expenses and other current liabilities, and $2.0 million of long-term liability, which was presented as milestone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4" w:name="page115"/>
    <w:bookmarkEnd w:id="114"/>
    <w:p>
      <w:pPr>
        <w:ind w:right="80"/>
        <w:spacing w:after="0" w:line="261" w:lineRule="auto"/>
        <w:rPr>
          <w:sz w:val="20"/>
          <w:szCs w:val="20"/>
          <w:color w:val="auto"/>
        </w:rPr>
      </w:pPr>
      <w:r>
        <w:rPr>
          <w:rFonts w:ascii="Times New Roman" w:cs="Times New Roman" w:eastAsia="Times New Roman" w:hAnsi="Times New Roman"/>
          <w:sz w:val="18"/>
          <w:szCs w:val="18"/>
          <w:color w:val="auto"/>
        </w:rPr>
        <w:t>liabilities in our consolidated balance sheets. As of December 31, 2024, the remaining Milestone Rights liability balance was $3.2 million and consisted of $0.7 million of current liability, which was presented as accrued expenses and other current liabilities, and $2.5 million of long-term liability, which was presented as milestone liabilities in the consolidated balance sheets. The value of the Milestone Rights liability was based on initial fair value estimates calculated using the income approach and reduced by milestone achievement payments made.</w:t>
      </w:r>
    </w:p>
    <w:p>
      <w:pPr>
        <w:spacing w:after="0" w:line="1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Contingencies – Returns Reserve for Acquired Product — </w:t>
      </w:r>
      <w:r>
        <w:rPr>
          <w:rFonts w:ascii="Times New Roman" w:cs="Times New Roman" w:eastAsia="Times New Roman" w:hAnsi="Times New Roman"/>
          <w:sz w:val="18"/>
          <w:szCs w:val="18"/>
          <w:color w:val="auto"/>
        </w:rPr>
        <w:t>During the year ended December 31, 2024, the Company reassessed its previously-determined estimate for product returns associated with sales of V-Go that pre-date the Company's acquisition of the product and recorded an additional $1.4 million, which was recorded in accrued expenses and other current liabilities in the consolidated balance sheet. The return accrual is being reduced as product returns are received. Related losses on estimated returns of acquired product were recorded in selling, general and administrative expenses in the consolidated statements of operations.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In December 2023, the Company executed a Purchase and Sale Agreement (the “PSA”) with Sagard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12 consecutive months on or prior to December 31, 2026 (“Net Sales Threshold A”), or a milestone of $45.0 million if net Sales Threshold A is not met and net sales of Tyvaso DPI meet or exceed $2.3 billion for any 12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consolidated statements of operations over the life of the PSA using the effective interest method. Unamortized transaction costs totaled $3.9 million and $4.1 million at December 31, 2025 and 2024, respectively.</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will continue to recognize the full 10% of future royalty revenues in its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spacing w:after="0" w:line="18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Royalty Liability account as well as the effective interest rate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7012940</wp:posOffset>
            </wp:positionH>
            <wp:positionV relativeFrom="paragraph">
              <wp:posOffset>141605</wp:posOffset>
            </wp:positionV>
            <wp:extent cx="137160"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25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145,810</w:t>
            </w:r>
          </w:p>
        </w:tc>
        <w:tc>
          <w:tcPr>
            <w:tcW w:w="180" w:type="dxa"/>
            <w:vAlign w:val="bottom"/>
            <w:shd w:val="clear" w:color="auto" w:fill="CFF0FC"/>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transaction costs</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r>
      <w:tr>
        <w:trPr>
          <w:trHeight w:val="216"/>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interest expense on liability for sale of future royalties</w:t>
            </w:r>
          </w:p>
        </w:tc>
        <w:tc>
          <w:tcPr>
            <w:tcW w:w="2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80" w:type="dxa"/>
            <w:vAlign w:val="bottom"/>
            <w:shd w:val="clear" w:color="auto" w:fill="CFF0FC"/>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revenue earned by or payable to Sagard</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(12,337)</w:t>
            </w:r>
          </w:p>
        </w:tc>
      </w:tr>
      <w:tr>
        <w:trPr>
          <w:trHeight w:val="20"/>
        </w:trPr>
        <w:tc>
          <w:tcPr>
            <w:tcW w:w="6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5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149,645</w:t>
            </w:r>
          </w:p>
        </w:tc>
        <w:tc>
          <w:tcPr>
            <w:tcW w:w="180" w:type="dxa"/>
            <w:vAlign w:val="bottom"/>
            <w:shd w:val="clear" w:color="auto" w:fill="CFF0FC"/>
          </w:tcPr>
          <w:p>
            <w:pPr>
              <w:spacing w:after="0"/>
              <w:rPr>
                <w:sz w:val="21"/>
                <w:szCs w:val="21"/>
                <w:color w:val="auto"/>
              </w:rPr>
            </w:pPr>
          </w:p>
        </w:tc>
      </w:tr>
      <w:tr>
        <w:trPr>
          <w:trHeight w:val="196"/>
        </w:trPr>
        <w:tc>
          <w:tcPr>
            <w:tcW w:w="6840" w:type="dxa"/>
            <w:vAlign w:val="bottom"/>
            <w:tcBorders>
              <w:top w:val="single" w:sz="8" w:color="CFF0FC"/>
            </w:tcBorders>
          </w:tcPr>
          <w:p>
            <w:pPr>
              <w:ind w:left="180"/>
              <w:spacing w:after="0" w:line="196" w:lineRule="exact"/>
              <w:rPr>
                <w:sz w:val="20"/>
                <w:szCs w:val="20"/>
                <w:color w:val="auto"/>
              </w:rPr>
            </w:pPr>
            <w:r>
              <w:rPr>
                <w:rFonts w:ascii="Times New Roman" w:cs="Times New Roman" w:eastAsia="Times New Roman" w:hAnsi="Times New Roman"/>
                <w:sz w:val="18"/>
                <w:szCs w:val="18"/>
                <w:color w:val="auto"/>
              </w:rPr>
              <w:t>Amortization of deferred transaction costs</w:t>
            </w:r>
          </w:p>
        </w:tc>
        <w:tc>
          <w:tcPr>
            <w:tcW w:w="204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top w:val="single" w:sz="8" w:color="CFF0FC"/>
            </w:tcBorders>
          </w:tcPr>
          <w:p>
            <w:pPr>
              <w:spacing w:after="0"/>
              <w:rPr>
                <w:sz w:val="17"/>
                <w:szCs w:val="17"/>
                <w:color w:val="auto"/>
              </w:rPr>
            </w:pPr>
          </w:p>
        </w:tc>
      </w:tr>
      <w:tr>
        <w:trPr>
          <w:trHeight w:val="216"/>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interest expense on liability for sale of future royalties</w:t>
            </w:r>
          </w:p>
        </w:tc>
        <w:tc>
          <w:tcPr>
            <w:tcW w:w="2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80" w:type="dxa"/>
            <w:vAlign w:val="bottom"/>
            <w:shd w:val="clear" w:color="auto" w:fill="CFF0FC"/>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revenue earned by or payable to Sagard</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(12,812)</w:t>
            </w:r>
          </w:p>
        </w:tc>
      </w:tr>
      <w:tr>
        <w:trPr>
          <w:trHeight w:val="20"/>
        </w:trPr>
        <w:tc>
          <w:tcPr>
            <w:tcW w:w="6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25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151,283</w:t>
            </w:r>
          </w:p>
        </w:tc>
        <w:tc>
          <w:tcPr>
            <w:tcW w:w="180" w:type="dxa"/>
            <w:vAlign w:val="bottom"/>
            <w:shd w:val="clear" w:color="auto" w:fill="CFF0FC"/>
          </w:tcPr>
          <w:p>
            <w:pPr>
              <w:spacing w:after="0"/>
              <w:rPr>
                <w:sz w:val="21"/>
                <w:szCs w:val="21"/>
                <w:color w:val="auto"/>
              </w:rPr>
            </w:pPr>
          </w:p>
        </w:tc>
      </w:tr>
      <w:tr>
        <w:trPr>
          <w:trHeight w:val="197"/>
        </w:trPr>
        <w:tc>
          <w:tcPr>
            <w:tcW w:w="6840" w:type="dxa"/>
            <w:vAlign w:val="bottom"/>
            <w:tcBorders>
              <w:top w:val="single" w:sz="8" w:color="CFF0FC"/>
            </w:tcBorders>
          </w:tcPr>
          <w:p>
            <w:pPr>
              <w:spacing w:after="0"/>
              <w:rPr>
                <w:sz w:val="17"/>
                <w:szCs w:val="17"/>
                <w:color w:val="auto"/>
              </w:rPr>
            </w:pPr>
          </w:p>
        </w:tc>
        <w:tc>
          <w:tcPr>
            <w:tcW w:w="204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2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-882015</wp:posOffset>
            </wp:positionV>
            <wp:extent cx="1117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-864870</wp:posOffset>
            </wp:positionV>
            <wp:extent cx="1117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-299720</wp:posOffset>
            </wp:positionV>
            <wp:extent cx="1117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-281940</wp:posOffset>
            </wp:positionV>
            <wp:extent cx="1117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In November 2021, the Company sold certain land, building and improvements located in Danbury, CT (the "Property")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of Creative Manufacturing Properties (the "Purchaser") for a sales price of $102.3 million, subject to terms and the conditions contained in a purchase and sale agreement.</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utilizing a weighted average discount rate of 9.0%.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or (ii) the fair market value of the Property.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2025, the related financing liability was $103.4 million, which was recognized in the Company’s consolidated balance sheet and of which $93.1 million was long-term and $10.3 million was current. As of December 31, 2024, the related financing liability was $103.9 million, of which $93.9 million was long-term and $10.1 million was current.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was as follows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400"/>
        </w:trPr>
        <w:tc>
          <w:tcPr>
            <w:tcW w:w="4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9,619</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r>
      <w:tr>
        <w:trPr>
          <w:trHeight w:val="25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9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9,828</w:t>
            </w:r>
          </w:p>
        </w:tc>
        <w:tc>
          <w:tcPr>
            <w:tcW w:w="1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9,825</w:t>
            </w:r>
          </w:p>
        </w:tc>
        <w:tc>
          <w:tcPr>
            <w:tcW w:w="120" w:type="dxa"/>
            <w:vAlign w:val="bottom"/>
            <w:shd w:val="clear" w:color="auto" w:fill="CFF0FC"/>
          </w:tcPr>
          <w:p>
            <w:pPr>
              <w:spacing w:after="0"/>
              <w:rPr>
                <w:sz w:val="21"/>
                <w:szCs w:val="21"/>
                <w:color w:val="auto"/>
              </w:rPr>
            </w:pPr>
          </w:p>
        </w:tc>
      </w:tr>
      <w:tr>
        <w:trPr>
          <w:trHeight w:val="628"/>
        </w:trPr>
        <w:tc>
          <w:tcPr>
            <w:tcW w:w="4540" w:type="dxa"/>
            <w:vAlign w:val="bottom"/>
            <w:tcBorders>
              <w:top w:val="single" w:sz="8" w:color="CFF0FC"/>
            </w:tcBorders>
          </w:tcPr>
          <w:p>
            <w:pPr>
              <w:spacing w:after="0"/>
              <w:rPr>
                <w:sz w:val="24"/>
                <w:szCs w:val="24"/>
                <w:color w:val="auto"/>
              </w:rPr>
            </w:pPr>
          </w:p>
        </w:tc>
        <w:tc>
          <w:tcPr>
            <w:tcW w:w="2060" w:type="dxa"/>
            <w:vAlign w:val="bottom"/>
            <w:tcBorders>
              <w:top w:val="single" w:sz="8" w:color="CFF0FC"/>
            </w:tcBorders>
          </w:tcPr>
          <w:p>
            <w:pPr>
              <w:jc w:val="right"/>
              <w:ind w:right="750"/>
              <w:spacing w:after="0"/>
              <w:rPr>
                <w:sz w:val="20"/>
                <w:szCs w:val="20"/>
                <w:color w:val="auto"/>
              </w:rPr>
            </w:pPr>
            <w:r>
              <w:rPr>
                <w:rFonts w:ascii="Times New Roman" w:cs="Times New Roman" w:eastAsia="Times New Roman" w:hAnsi="Times New Roman"/>
                <w:sz w:val="18"/>
                <w:szCs w:val="18"/>
                <w:color w:val="auto"/>
              </w:rPr>
              <w:t>116</w:t>
            </w: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-933450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-916940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-916940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The Company's remaining financing liability payments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153,913</w:t>
            </w:r>
          </w:p>
        </w:tc>
        <w:tc>
          <w:tcPr>
            <w:tcW w:w="100" w:type="dxa"/>
            <w:vAlign w:val="bottom"/>
          </w:tcPr>
          <w:p>
            <w:pPr>
              <w:spacing w:after="0"/>
              <w:rPr>
                <w:sz w:val="18"/>
                <w:szCs w:val="18"/>
                <w:color w:val="auto"/>
              </w:rPr>
            </w:pPr>
          </w:p>
        </w:tc>
      </w:tr>
      <w:tr>
        <w:trPr>
          <w:trHeight w:val="210"/>
        </w:trPr>
        <w:tc>
          <w:tcPr>
            <w:tcW w:w="9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209,834</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(104,155)</w:t>
            </w: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(2,259)</w:t>
            </w:r>
          </w:p>
        </w:tc>
      </w:tr>
      <w:tr>
        <w:trPr>
          <w:trHeight w:val="210"/>
        </w:trPr>
        <w:tc>
          <w:tcPr>
            <w:tcW w:w="9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financing liability</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103,420</w:t>
            </w:r>
          </w:p>
        </w:tc>
        <w:tc>
          <w:tcPr>
            <w:tcW w:w="100" w:type="dxa"/>
            <w:vAlign w:val="bottom"/>
            <w:tcBorders>
              <w:top w:val="single" w:sz="8" w:color="CFF0FC"/>
            </w:tcBorders>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pursuant to which Amphastar manufactures for and supplies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December 31, 2025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146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2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 Purchase</w:t>
            </w:r>
          </w:p>
        </w:tc>
        <w:tc>
          <w:tcPr>
            <w:tcW w:w="260" w:type="dxa"/>
            <w:vAlign w:val="bottom"/>
          </w:tcPr>
          <w:p>
            <w:pPr>
              <w:spacing w:after="0"/>
              <w:rPr>
                <w:sz w:val="10"/>
                <w:szCs w:val="10"/>
                <w:color w:val="auto"/>
              </w:rPr>
            </w:pPr>
          </w:p>
        </w:tc>
        <w:tc>
          <w:tcPr>
            <w:tcW w:w="2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 Capacity Fees</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48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2032</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2033</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2034</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2035</w:t>
            </w:r>
          </w:p>
        </w:tc>
        <w:tc>
          <w:tcPr>
            <w:tcW w:w="1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 w:lineRule="exact"/>
        <w:rPr>
          <w:sz w:val="20"/>
          <w:szCs w:val="20"/>
          <w:color w:val="auto"/>
        </w:rPr>
      </w:pPr>
    </w:p>
    <w:p>
      <w:pPr>
        <w:ind w:left="1020" w:right="60" w:hanging="503"/>
        <w:spacing w:after="0" w:line="269" w:lineRule="auto"/>
        <w:tabs>
          <w:tab w:leader="none" w:pos="102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During the year ended December 31, 2025, the Company incurred a capacity fee of €1.5 million, or $1.8 million which was recognized as cost of goods sold for commercial sales in our consolidated statement of operations. For each quarter that the Company decides to delay purchases beyond the first quarter of 2026, the Company is subject to an additional capacity fee of €750,000 per quarter.</w:t>
      </w:r>
    </w:p>
    <w:p>
      <w:pPr>
        <w:spacing w:after="0" w:line="18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the later of December 31, 2034 or until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$66.0 million and $58.2 million is included in our consolidated balance sheets as of December 31, 2025 and 2024, respectively, and is reduced as inventory items are received or such liability is extinguished.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17" w:name="page118"/>
    <w:bookmarkEnd w:id="117"/>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of the increase in future cash outflows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spacing w:after="0" w:line="17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Vehicle Leases </w:t>
      </w:r>
      <w:r>
        <w:rPr>
          <w:rFonts w:ascii="Times New Roman" w:cs="Times New Roman" w:eastAsia="Times New Roman" w:hAnsi="Times New Roman"/>
          <w:sz w:val="18"/>
          <w:szCs w:val="18"/>
          <w:color w:val="auto"/>
        </w:rPr>
        <w:t>— During the second quarter of 2018, the Company entered into a master lease agreement with Enterprise Fleet Management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payment inclusive of maintenance fees, insurance and taxes is approximately $0.1 million. The lease expense is included in selling, general and administrative expenses in the consolidated statements of operations.</w:t>
      </w:r>
    </w:p>
    <w:p>
      <w:pPr>
        <w:spacing w:after="0" w:line="17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was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July 2024, the Company assumed certain leased real property (the "Bedford Lease") in connection with the Pulmatrix Transaction. The Bedford Lease pertains to certain premises in a building located in Bedford, Massachusetts.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October 2025, the Company assumed a 9,342 square foot facility in Burlington, Massachusetts in connection with the merger with scPharma which was previously entered into as a sublease in August 2023 and extends through August 2029. The monthly lease payments are $28,805 and are subject to fixed annual increases of $779.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information was as follows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250"/>
        </w:trPr>
        <w:tc>
          <w:tcPr>
            <w:tcW w:w="560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24"/>
                <w:szCs w:val="24"/>
                <w:color w:val="auto"/>
                <w:vertAlign w:val="superscript"/>
              </w:rPr>
              <w:t>(1)</w:t>
            </w:r>
          </w:p>
        </w:tc>
        <w:tc>
          <w:tcPr>
            <w:tcW w:w="20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41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liability-current</w:t>
            </w:r>
            <w:r>
              <w:rPr>
                <w:rFonts w:ascii="Times New Roman" w:cs="Times New Roman" w:eastAsia="Times New Roman" w:hAnsi="Times New Roman"/>
                <w:sz w:val="24"/>
                <w:szCs w:val="24"/>
                <w:color w:val="auto"/>
                <w:vertAlign w:val="superscript"/>
              </w:rPr>
              <w:t>(2)</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tcPr>
          <w:p>
            <w:pPr>
              <w:spacing w:after="0"/>
              <w:rPr>
                <w:sz w:val="24"/>
                <w:szCs w:val="24"/>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liability-long-term</w:t>
            </w:r>
          </w:p>
        </w:tc>
        <w:tc>
          <w:tcPr>
            <w:tcW w:w="2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80" w:type="dxa"/>
            <w:vAlign w:val="bottom"/>
          </w:tcPr>
          <w:p>
            <w:pPr>
              <w:spacing w:after="0"/>
              <w:rPr>
                <w:sz w:val="18"/>
                <w:szCs w:val="18"/>
                <w:color w:val="auto"/>
              </w:rPr>
            </w:pPr>
          </w:p>
        </w:tc>
      </w:tr>
      <w:tr>
        <w:trPr>
          <w:trHeight w:val="250"/>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80" w:type="dxa"/>
            <w:vAlign w:val="bottom"/>
            <w:shd w:val="clear" w:color="auto" w:fill="CFF0FC"/>
          </w:tcPr>
          <w:p>
            <w:pPr>
              <w:spacing w:after="0"/>
              <w:rPr>
                <w:sz w:val="21"/>
                <w:szCs w:val="21"/>
                <w:color w:val="auto"/>
              </w:rPr>
            </w:pPr>
          </w:p>
        </w:tc>
      </w:tr>
      <w:tr>
        <w:trPr>
          <w:trHeight w:val="129"/>
        </w:trPr>
        <w:tc>
          <w:tcPr>
            <w:tcW w:w="5600" w:type="dxa"/>
            <w:vAlign w:val="bottom"/>
            <w:tcBorders>
              <w:top w:val="single" w:sz="8" w:color="CFF0FC"/>
            </w:tcBorders>
          </w:tcPr>
          <w:p>
            <w:pPr>
              <w:spacing w:after="0"/>
              <w:rPr>
                <w:sz w:val="11"/>
                <w:szCs w:val="11"/>
                <w:color w:val="auto"/>
              </w:rPr>
            </w:pPr>
          </w:p>
        </w:tc>
        <w:tc>
          <w:tcPr>
            <w:tcW w:w="20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3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8"/>
                <w:szCs w:val="18"/>
                <w:color w:val="auto"/>
              </w:rPr>
            </w:pPr>
          </w:p>
        </w:tc>
      </w:tr>
      <w:tr>
        <w:trPr>
          <w:trHeight w:val="202"/>
        </w:trPr>
        <w:tc>
          <w:tcPr>
            <w:tcW w:w="5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139"/>
        </w:trPr>
        <w:tc>
          <w:tcPr>
            <w:tcW w:w="56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w:t>
            </w: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-893445</wp:posOffset>
            </wp:positionV>
            <wp:extent cx="7132320" cy="1371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-1056640</wp:posOffset>
            </wp:positionV>
            <wp:extent cx="1111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-1039495</wp:posOffset>
            </wp:positionV>
            <wp:extent cx="1111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-1056640</wp:posOffset>
            </wp:positionV>
            <wp:extent cx="1117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-1039495</wp:posOffset>
            </wp:positionV>
            <wp:extent cx="1117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-473710</wp:posOffset>
            </wp:positionV>
            <wp:extent cx="11112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-456565</wp:posOffset>
            </wp:positionV>
            <wp:extent cx="1111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-473710</wp:posOffset>
            </wp:positionV>
            <wp:extent cx="1117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-456565</wp:posOffset>
            </wp:positionV>
            <wp:extent cx="1117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520" w:hanging="512"/>
        <w:spacing w:after="0"/>
        <w:tabs>
          <w:tab w:leader="none" w:pos="52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right-of-use assets related to vehicles, offices and the manufacturing facility for V-Go are included in other assets in the consolidated balance sheets.</w:t>
      </w:r>
    </w:p>
    <w:p>
      <w:pPr>
        <w:spacing w:after="0" w:line="8" w:lineRule="exact"/>
        <w:rPr>
          <w:rFonts w:ascii="Times New Roman" w:cs="Times New Roman" w:eastAsia="Times New Roman" w:hAnsi="Times New Roman"/>
          <w:sz w:val="13"/>
          <w:szCs w:val="13"/>
          <w:color w:val="auto"/>
        </w:rPr>
      </w:pPr>
    </w:p>
    <w:p>
      <w:pPr>
        <w:ind w:left="520" w:hanging="512"/>
        <w:spacing w:after="0"/>
        <w:tabs>
          <w:tab w:leader="none" w:pos="52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lease liability–current is included in accrued expenses and other current liabilities in the 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FF0FC"/>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3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w:t>
            </w:r>
          </w:p>
        </w:tc>
        <w:tc>
          <w:tcPr>
            <w:tcW w:w="3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FF0FC"/>
          </w:tcPr>
          <w:p>
            <w:pPr>
              <w:spacing w:after="0"/>
              <w:rPr>
                <w:sz w:val="18"/>
                <w:szCs w:val="18"/>
                <w:color w:val="auto"/>
              </w:rPr>
            </w:pPr>
          </w:p>
        </w:tc>
      </w:tr>
      <w:tr>
        <w:trPr>
          <w:trHeight w:val="648"/>
        </w:trPr>
        <w:tc>
          <w:tcPr>
            <w:tcW w:w="3520" w:type="dxa"/>
            <w:vAlign w:val="bottom"/>
          </w:tcPr>
          <w:p>
            <w:pPr>
              <w:spacing w:after="0"/>
              <w:rPr>
                <w:sz w:val="24"/>
                <w:szCs w:val="24"/>
                <w:color w:val="auto"/>
              </w:rPr>
            </w:pPr>
          </w:p>
        </w:tc>
        <w:tc>
          <w:tcPr>
            <w:tcW w:w="3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118</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-1469390</wp:posOffset>
            </wp:positionV>
            <wp:extent cx="93980" cy="1625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-1469390</wp:posOffset>
            </wp:positionV>
            <wp:extent cx="93980" cy="1625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-1469390</wp:posOffset>
            </wp:positionV>
            <wp:extent cx="93980" cy="1625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5">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Company's future minimum office and vehicle lease payments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Pr>
          <w:p>
            <w:pPr>
              <w:spacing w:after="0"/>
              <w:rPr>
                <w:sz w:val="18"/>
                <w:szCs w:val="18"/>
                <w:color w:val="auto"/>
              </w:rPr>
            </w:pP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(3,338)</w:t>
            </w:r>
          </w:p>
        </w:tc>
      </w:tr>
      <w:tr>
        <w:trPr>
          <w:trHeight w:val="24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Company administers a defined contribution 401(k) savings retirement plan for its employees. The Company may make discretionary matching contributions. For the years ended December 31, 2025, 2024 and 2023, the Company matched each participant’s deferral at the rate of 50% of each participant’s deferral up to the first 10% of compensation. Participants hired after March 31, 2021 became vested in Company contributions at 100% after two years of service. Participants are vested in Company contributions at 50% after one year of service and are 100% vested after two years of service.</w:t>
      </w:r>
    </w:p>
    <w:p>
      <w:pPr>
        <w:spacing w:after="0" w:line="1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total discretionary matching contributions were $2.6 million, $2.4 million and $2.9 million for the years ended December 31, 2025,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Income (loss) from continuing operations before provision for income taxes for the Company’s domestic and international operations was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11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(10,377)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(10,377)</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concluded that it is more likely than not that the Company may not realize the benefit of its deferred tax assets due to its history of losses. Accordingly, the net deferred tax assets have been fully reserved. The provision for income taxes consists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1080" w:type="dxa"/>
            <w:vAlign w:val="bottom"/>
            <w:shd w:val="clear" w:color="auto" w:fill="CFF0FC"/>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state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0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10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10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(12,583)</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state</w:t>
            </w:r>
          </w:p>
        </w:tc>
        <w:tc>
          <w:tcPr>
            <w:tcW w:w="10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(6,884)</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(11,428)</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10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(19,467)</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w:t>
            </w:r>
          </w:p>
        </w:tc>
        <w:tc>
          <w:tcPr>
            <w:tcW w:w="10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(4,949)</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tax (benefit) expense</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(4,456)</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8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80" w:type="dxa"/>
            <w:vAlign w:val="bottom"/>
          </w:tcPr>
          <w:p>
            <w:pPr>
              <w:spacing w:after="0"/>
              <w:rPr>
                <w:sz w:val="24"/>
                <w:szCs w:val="24"/>
                <w:color w:val="auto"/>
              </w:rPr>
            </w:pPr>
          </w:p>
        </w:tc>
        <w:tc>
          <w:tcPr>
            <w:tcW w:w="108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119</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-2211070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-2211070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-1079500</wp:posOffset>
            </wp:positionV>
            <wp:extent cx="768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-1079500</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9" w:name="page120"/>
    <w:bookmarkEnd w:id="119"/>
    <w:p>
      <w:pPr>
        <w:ind w:right="30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after the adoption of ASU 2023-09 is as follows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at U.S. statutory rate</w:t>
            </w:r>
          </w:p>
        </w:tc>
        <w:tc>
          <w:tcPr>
            <w:tcW w:w="16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4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20" w:type="dxa"/>
            <w:vAlign w:val="bottom"/>
            <w:vMerge w:val="continue"/>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3"/>
                <w:szCs w:val="13"/>
                <w:color w:val="auto"/>
              </w:rPr>
            </w:pPr>
          </w:p>
        </w:tc>
        <w:tc>
          <w:tcPr>
            <w:tcW w:w="2520" w:type="dxa"/>
            <w:vAlign w:val="bottom"/>
            <w:gridSpan w:val="3"/>
          </w:tcPr>
          <w:p>
            <w:pPr>
              <w:jc w:val="right"/>
              <w:ind w:right="20"/>
              <w:spacing w:after="0" w:line="15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652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State income taxes, net of federal benefit</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3"/>
                <w:szCs w:val="23"/>
                <w:color w:val="auto"/>
              </w:rPr>
            </w:pP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8"/>
                <w:szCs w:val="18"/>
                <w:color w:val="auto"/>
              </w:rPr>
            </w:pP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Meals and Entertainment</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Officer's Compensation</w:t>
            </w:r>
          </w:p>
        </w:tc>
        <w:tc>
          <w:tcPr>
            <w:tcW w:w="1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shd w:val="clear" w:color="auto" w:fill="CFF0FC"/>
          </w:tcPr>
          <w:p>
            <w:pPr>
              <w:spacing w:after="0"/>
              <w:rPr>
                <w:sz w:val="18"/>
                <w:szCs w:val="18"/>
                <w:color w:val="auto"/>
              </w:rPr>
            </w:pPr>
          </w:p>
        </w:tc>
        <w:tc>
          <w:tcPr>
            <w:tcW w:w="2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162m Stock Compensation DTA Haircut</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8"/>
                <w:szCs w:val="18"/>
                <w:color w:val="auto"/>
              </w:rPr>
            </w:pP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FF0FC"/>
          </w:tcPr>
          <w:p>
            <w:pPr>
              <w:spacing w:after="0"/>
              <w:rPr>
                <w:sz w:val="18"/>
                <w:szCs w:val="18"/>
                <w:color w:val="auto"/>
              </w:rPr>
            </w:pPr>
          </w:p>
        </w:tc>
        <w:tc>
          <w:tcPr>
            <w:tcW w:w="2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8"/>
                <w:szCs w:val="18"/>
                <w:color w:val="auto"/>
              </w:rPr>
            </w:pP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Liability</w:t>
            </w:r>
          </w:p>
        </w:tc>
        <w:tc>
          <w:tcPr>
            <w:tcW w:w="1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FF0FC"/>
          </w:tcPr>
          <w:p>
            <w:pPr>
              <w:spacing w:after="0"/>
              <w:rPr>
                <w:sz w:val="18"/>
                <w:szCs w:val="18"/>
                <w:color w:val="auto"/>
              </w:rPr>
            </w:pPr>
          </w:p>
        </w:tc>
        <w:tc>
          <w:tcPr>
            <w:tcW w:w="2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(10,884)</w:t>
            </w:r>
          </w:p>
        </w:tc>
        <w:tc>
          <w:tcPr>
            <w:tcW w:w="2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-2077085</wp:posOffset>
            </wp:positionV>
            <wp:extent cx="7132320" cy="1371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During the year ended December 31, 2025, the state and local jurisdiction of Minnesota comprised the majority (greater than 50%) of the tax effect in this category.</w:t>
      </w:r>
    </w:p>
    <w:p>
      <w:pPr>
        <w:spacing w:after="0" w:line="21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for years prior to the adoption of ASU 2023-09 is as follows:</w:t>
      </w:r>
    </w:p>
    <w:p>
      <w:pPr>
        <w:spacing w:after="0" w:line="15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2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120" w:type="dxa"/>
            <w:vAlign w:val="bottom"/>
            <w:tcBorders>
              <w:top w:val="single" w:sz="8" w:color="auto"/>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tax benefit rate</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Officers compensation</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attribute expirations</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-42.2%</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deferred adjustments</w:t>
            </w:r>
          </w:p>
        </w:tc>
        <w:tc>
          <w:tcPr>
            <w:tcW w:w="148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4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of cash income taxes paid by the Company were as follows (in thousands):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Taxes Paid, Net of Refunds Received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9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State &amp; Local: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Connecticut</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Minnesota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New York</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-1851025</wp:posOffset>
            </wp:positionV>
            <wp:extent cx="1111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-1851025</wp:posOffset>
            </wp:positionV>
            <wp:extent cx="1117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2025 and 2024 are approximately as follows (in thousands):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3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20" w:type="dxa"/>
            <w:vAlign w:val="bottom"/>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558,934</w:t>
            </w:r>
          </w:p>
        </w:tc>
        <w:tc>
          <w:tcPr>
            <w:tcW w:w="34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480,008</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82,395</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75,730</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1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30,654</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26,872</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Milestone rights</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purchase commitment</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stock option expense</w:t>
            </w:r>
          </w:p>
        </w:tc>
        <w:tc>
          <w:tcPr>
            <w:tcW w:w="1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20,463</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product revenue and costs</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w:t>
            </w:r>
          </w:p>
        </w:tc>
        <w:tc>
          <w:tcPr>
            <w:tcW w:w="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100" w:type="dxa"/>
            <w:vAlign w:val="bottom"/>
          </w:tcPr>
          <w:p>
            <w:pPr>
              <w:spacing w:after="0"/>
              <w:rPr>
                <w:sz w:val="18"/>
                <w:szCs w:val="18"/>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786,885</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697,886</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(708,887)</w:t>
            </w:r>
          </w:p>
        </w:tc>
        <w:tc>
          <w:tcPr>
            <w:tcW w:w="5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(694,369)</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320" w:type="dxa"/>
            <w:vAlign w:val="bottom"/>
            <w:tcBorders>
              <w:top w:val="single" w:sz="8" w:color="auto"/>
            </w:tcBorders>
            <w:shd w:val="clear" w:color="auto" w:fill="CFF0FC"/>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77,998</w:t>
            </w:r>
          </w:p>
        </w:tc>
        <w:tc>
          <w:tcPr>
            <w:tcW w:w="3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use asset</w:t>
            </w:r>
          </w:p>
        </w:tc>
        <w:tc>
          <w:tcPr>
            <w:tcW w:w="1320" w:type="dxa"/>
            <w:vAlign w:val="bottom"/>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(2,985)</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(3,334)</w:t>
            </w: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(74,793)</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prepaids</w:t>
            </w:r>
          </w:p>
        </w:tc>
        <w:tc>
          <w:tcPr>
            <w:tcW w:w="13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w:t>
            </w:r>
          </w:p>
        </w:tc>
        <w:tc>
          <w:tcPr>
            <w:tcW w:w="5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6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(78,039)</w:t>
            </w:r>
          </w:p>
        </w:tc>
        <w:tc>
          <w:tcPr>
            <w:tcW w:w="5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(3,538)</w:t>
            </w:r>
          </w:p>
        </w:tc>
      </w:tr>
      <w:tr>
        <w:trPr>
          <w:trHeight w:val="20"/>
        </w:trPr>
        <w:tc>
          <w:tcPr>
            <w:tcW w:w="65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320" w:type="dxa"/>
            <w:vAlign w:val="bottom"/>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65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management assessed the realizability of deferred tax assets. Management evaluated the need for an amount of any valuation allowance for deferred tax assets on a jurisdictional basis. This evaluation utilizes the framework contained in ASC 740, Income Taxes, wherein management analyzes all positive and negative evidence available at the balance sheet date to determine whether all or some portion of our deferred tax assets will not be realized. Under this guidance, a valuation allowance must be established for deferred tax assets when it is more likely than not (a probability level of more than 50%) that they will not be realized.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concluding on the evaluation, management placed significant emphasis on guidance in ASC 740. As of December 31, 2024 and prior to the acquisition of scPharma, the Company maintained a full valuation allowance on its U.S. deferred tax assets due to cumulative losses. Upon the acquisition of scPharma in October 2025, it recognized $323.6 million of deferred tax liabilities (primarily on differences between the fair value and tax basis of scPharma's identifiable intangible assets). These deferred tax liabilities will generate future taxable income, which strengthened the Company's evidence for the realizability of a portion of its existing NOL and credit carryforwards. Accordingly, the Company reversed $5.0 million of its valuation allowance, resulting in a $5.0 million income tax benefit. After this release, its remaining valuation allowance is $708.9 million, related to net operating loss carryforwards and research and development credits. During the year ended December 31, 2025 the valuation allowance increased by $14.5 million and during the year ended December 31, 2024 the valuation allowance decreased by $3.9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beginning and ending amounts of the Company's valuation allowance for deferred tax assets was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106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694,369</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698,228</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(deductions) charged to expenses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Year</w:t>
            </w:r>
          </w:p>
        </w:tc>
        <w:tc>
          <w:tcPr>
            <w:tcW w:w="106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708,887</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694,369</w:t>
            </w:r>
          </w:p>
        </w:tc>
        <w:tc>
          <w:tcPr>
            <w:tcW w:w="1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3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rPr>
              <w:t>121</w:t>
            </w: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-933450</wp:posOffset>
            </wp:positionV>
            <wp:extent cx="768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-916305</wp:posOffset>
            </wp:positionV>
            <wp:extent cx="768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-933450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21" w:name="page122"/>
    <w:bookmarkEnd w:id="121"/>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carryforwards of approximately $2.2 billion and $1.5 billion available, respectively, to reduce future taxable income. $520.5 million of the federal losses do not expire and the remaining federal losses have started expiring, beginning in 2026 through various future dates.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IRC Sections 382 and 383, annual use of the Company’s federal and certain state net operating losses and research and development credit carryforwards may be limited in the event that a cumulative change in ownership of more than 50% occurs within a three-year period. As a result of the Company's initial public offering, an ownership change within the meaning of IRC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All of these attributes are now available for use for the tax year ended December 31, 2024 under Section 382. The Company is in the process of completing a Section 382 analysis beginning from the date of our initial public offering through December 31, 2025, to determine whether additional limitations may be placed on the net operating loss carryforwards and other tax attributes and does not anticipate any additional changes in ownership that meet Section 382 study ownership change threshold. There is a risk that changes in ownership may occur in tax years after December 31, 2025.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$59.5 million of U.S. federal research and development credits which expire beginning in 2026, and $24.5 million of state research and development credits.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tax laws. The Company's tax years since 2022 and 2021 remain subject to examination by federal and state tax authorities.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beginning and ending amounts of unrecognized tax benefits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increases for tax positions of prior years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decreases for tax positions of prior years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increases for tax positions of current year</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Settlements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End of Year</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270,578</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268,902</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768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years ended December 31, 2025, 2024 and 2023, the Company did not recognize any interest and/or penalties.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which includes a broad range of tax reform provisions, was signed into law in the United States, which includes a new Internal Revenue Code ("IRC") Section 174A. Under Section 174A, commencing with tax years beginning after December 31, 2024, domestic research or experimental expenditures may be deducted in the current period rather than capitalized and amortized over multiple years, as previously required under IRC Section 174. As a result of this legislation, we are deducting our domestic Section 174A expenditures beginning in our 2025 taxable year. OBBBA does not have a material impact on our effective tax rate, financial condition, or results of operations in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2" w:name="page123"/>
    <w:bookmarkEnd w:id="122"/>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10.27</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AND COLLABORATION AGREEMENT</w:t>
      </w:r>
    </w:p>
    <w:p>
      <w:pPr>
        <w:spacing w:after="0" w:line="24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icense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as of September 3, 2018 (the “</w:t>
      </w:r>
      <w:r>
        <w:rPr>
          <w:rFonts w:ascii="Times New Roman" w:cs="Times New Roman" w:eastAsia="Times New Roman" w:hAnsi="Times New Roman"/>
          <w:sz w:val="22"/>
          <w:szCs w:val="22"/>
          <w:b w:val="1"/>
          <w:bCs w:val="1"/>
          <w:i w:val="1"/>
          <w:iCs w:val="1"/>
          <w:color w:val="auto"/>
        </w:rPr>
        <w:t>Execution Date</w:t>
      </w:r>
      <w:r>
        <w:rPr>
          <w:rFonts w:ascii="Times New Roman" w:cs="Times New Roman" w:eastAsia="Times New Roman" w:hAnsi="Times New Roman"/>
          <w:sz w:val="22"/>
          <w:szCs w:val="22"/>
          <w:color w:val="auto"/>
        </w:rPr>
        <w:t xml:space="preserve">”) between </w:t>
      </w: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ann</w:t>
      </w: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4"/>
          <w:szCs w:val="14"/>
          <w:b w:val="1"/>
          <w:bCs w:val="1"/>
          <w:color w:val="auto"/>
        </w:rPr>
        <w:t>ind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orporation</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i w:val="1"/>
          <w:iCs w:val="1"/>
          <w:color w:val="auto"/>
        </w:rPr>
        <w:t>MannKind</w:t>
      </w:r>
      <w:r>
        <w:rPr>
          <w:rFonts w:ascii="Times New Roman" w:cs="Times New Roman" w:eastAsia="Times New Roman" w:hAnsi="Times New Roman"/>
          <w:sz w:val="22"/>
          <w:szCs w:val="22"/>
          <w:color w:val="auto"/>
        </w:rPr>
        <w:t xml:space="preserve">”), having a principal place of business at 30930 Russell Ranch Road, Suite 301, Westlake Village, California 91362, and </w:t>
      </w: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nited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orporation</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i w:val="1"/>
          <w:iCs w:val="1"/>
          <w:color w:val="auto"/>
        </w:rPr>
        <w:t>United Therapeutics</w:t>
      </w:r>
      <w:r>
        <w:rPr>
          <w:rFonts w:ascii="Times New Roman" w:cs="Times New Roman" w:eastAsia="Times New Roman" w:hAnsi="Times New Roman"/>
          <w:sz w:val="22"/>
          <w:szCs w:val="22"/>
          <w:color w:val="auto"/>
        </w:rPr>
        <w:t>”), having a principal place of business at 1040 Spring Street, Silver Spring, Maryland 20910.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is developing Product (as defined below) in the Territory (as defined below) for the treatment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pulmonary arterial hypertension and owns or controls certain patents, know-how and other intellectual property related to Product;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is engaged in the development and commercialization of pharmaceutical products; and</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desires to obtain from MannKind, and MannKind desires to grant to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certain exclusive rights and licenses to develop Product in the Territory in collaboration with MannKind and to commercialize Product in the Territory subject to the terms and conditions of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the foregoing premises and the mutual covenants herein contained,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sufficiency of which are hereby acknowledged, MannKind and United Therapeutics hereby agree as follows: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used in this Agreement, the following terms shall have the meanings set out in this Article I unless otherwise specifically provided herein.</w:t>
      </w:r>
    </w:p>
    <w:p>
      <w:pPr>
        <w:spacing w:after="0" w:line="15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Accessory Apparatus</w:t>
      </w:r>
      <w:r>
        <w:rPr>
          <w:rFonts w:ascii="Times New Roman" w:cs="Times New Roman" w:eastAsia="Times New Roman" w:hAnsi="Times New Roman"/>
          <w:sz w:val="22"/>
          <w:szCs w:val="22"/>
          <w:color w:val="auto"/>
        </w:rPr>
        <w:t>” shall mean an interactive apparatus that contains one or more sensors for real-time profiling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etc.) through a Device, such as the Bluhale</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apparatus.</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b w:val="1"/>
          <w:bCs w:val="1"/>
          <w:color w:val="auto"/>
        </w:rPr>
        <w:t>1.2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of a Person shall mean any Person that, directly or indirectly, through one or more intermediaries,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controls, is controlled by, or is under common control with such Person, as the case may be, but for only so long as such control exists. As used in this Section 1.2, “control” shall mean direct or indirect beneficial ownership of at least 50% (or such lesser</w:t>
      </w: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3" w:name="page124"/>
    <w:bookmarkEnd w:id="123"/>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percentage which is the maximum allowed to be owned by a foreign corporation in a particular jurisdiction) of the voting share capital or other equity interest in such Person.</w:t>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4" w:name="page125"/>
    <w:bookmarkEnd w:id="124"/>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Antitrust Laws</w:t>
      </w:r>
      <w:r>
        <w:rPr>
          <w:rFonts w:ascii="Times New Roman" w:cs="Times New Roman" w:eastAsia="Times New Roman" w:hAnsi="Times New Roman"/>
          <w:sz w:val="22"/>
          <w:szCs w:val="22"/>
          <w:color w:val="auto"/>
        </w:rPr>
        <w:t>” shall mean the Clayton Act, as amended, the HSR Act, and all other applicable laws and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by a Governmental Authority, whether domestic or foreign, that are designed or intended to prohibit, restrict or regulate actions having the purpose or effect of monopolization or restraint of trade or lessening of competition.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API</w:t>
      </w:r>
      <w:r>
        <w:rPr>
          <w:rFonts w:ascii="Times New Roman" w:cs="Times New Roman" w:eastAsia="Times New Roman" w:hAnsi="Times New Roman"/>
          <w:sz w:val="22"/>
          <w:szCs w:val="22"/>
          <w:color w:val="auto"/>
        </w:rPr>
        <w:t>” shall mean treprostinil.</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Laws</w:t>
      </w:r>
      <w:r>
        <w:rPr>
          <w:rFonts w:ascii="Times New Roman" w:cs="Times New Roman" w:eastAsia="Times New Roman" w:hAnsi="Times New Roman"/>
          <w:sz w:val="22"/>
          <w:szCs w:val="22"/>
          <w:color w:val="auto"/>
        </w:rPr>
        <w:t>” shall mean the applicable provisions of any and all national, supranational, regional, territorial,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provincial, state and local laws, treaties, statutes, rules, regulations, administrative codes, guidance, ordinances, judgments, decrees, directives, injunctions, orders, permits (including Marketing Approvals) of or from any court, arbitrator, Regulatory Authority or governmental agency or authority having jurisdiction over or related to the subject item.</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Approved Suppliers</w:t>
      </w:r>
      <w:r>
        <w:rPr>
          <w:rFonts w:ascii="Times New Roman" w:cs="Times New Roman" w:eastAsia="Times New Roman" w:hAnsi="Times New Roman"/>
          <w:sz w:val="22"/>
          <w:szCs w:val="22"/>
          <w:color w:val="auto"/>
        </w:rPr>
        <w:t>” shall have the meaning provided in Section 4.6.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Auditor</w:t>
      </w:r>
      <w:r>
        <w:rPr>
          <w:rFonts w:ascii="Times New Roman" w:cs="Times New Roman" w:eastAsia="Times New Roman" w:hAnsi="Times New Roman"/>
          <w:sz w:val="22"/>
          <w:szCs w:val="22"/>
          <w:color w:val="auto"/>
        </w:rPr>
        <w:t>” shall have the meaning set forth in Section 7.6.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Bankruptcy Laws</w:t>
      </w:r>
      <w:r>
        <w:rPr>
          <w:rFonts w:ascii="Times New Roman" w:cs="Times New Roman" w:eastAsia="Times New Roman" w:hAnsi="Times New Roman"/>
          <w:sz w:val="22"/>
          <w:szCs w:val="22"/>
          <w:color w:val="auto"/>
        </w:rPr>
        <w:t>” shall have the meaning set forth in Section 13.4.</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Budget</w:t>
      </w:r>
      <w:r>
        <w:rPr>
          <w:rFonts w:ascii="Times New Roman" w:cs="Times New Roman" w:eastAsia="Times New Roman" w:hAnsi="Times New Roman"/>
          <w:sz w:val="22"/>
          <w:szCs w:val="22"/>
          <w:color w:val="auto"/>
        </w:rPr>
        <w:t>” shall mean with respect to a particular Development Plan, the budget included in such Development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setting forth the maximum amount of reimbursement that MannKind is eligible to receive with respect to the Development Expenses it has incurred in performance of the various activities it is required to perform under such Development Plan and for which United Therapeutics has expressly agreed to provide reimbursement under such Development Plan.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Bulk FDKP</w:t>
      </w:r>
      <w:r>
        <w:rPr>
          <w:rFonts w:ascii="Times New Roman" w:cs="Times New Roman" w:eastAsia="Times New Roman" w:hAnsi="Times New Roman"/>
          <w:sz w:val="22"/>
          <w:szCs w:val="22"/>
          <w:color w:val="auto"/>
        </w:rPr>
        <w:t>” means fumaryl diketopiperazine in bulk form.</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shall mean a day other than a Saturday or Sunday or any public holiday in the United States.</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Calendar Quarter</w:t>
      </w:r>
      <w:r>
        <w:rPr>
          <w:rFonts w:ascii="Times New Roman" w:cs="Times New Roman" w:eastAsia="Times New Roman" w:hAnsi="Times New Roman"/>
          <w:sz w:val="22"/>
          <w:szCs w:val="22"/>
          <w:color w:val="auto"/>
        </w:rPr>
        <w:t>” shall mean a period of three consecutive months during a Calendar Year beginning 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April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July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or October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Calendar Year</w:t>
      </w:r>
      <w:r>
        <w:rPr>
          <w:rFonts w:ascii="Times New Roman" w:cs="Times New Roman" w:eastAsia="Times New Roman" w:hAnsi="Times New Roman"/>
          <w:sz w:val="22"/>
          <w:szCs w:val="22"/>
          <w:color w:val="auto"/>
        </w:rPr>
        <w:t>” shall mean a period of 12 consecutive months beginning on and including January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1.14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means, with respect to a Party: (a) completion of a merger, reorganization, amalgamation,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share exchange, consolidation, tender or exchange offer, private purchase, business combination, recapitalization or other transaction involving the Party as a result of which either (1) the stockholders of the Party immediately preceding such transaction hold less than 50% of the outstanding shares, or less than 50% of the outstanding voting power, respectively, of the ultimate company or entity resulting from such transaction immediately after consummation thereof (including a company or entity which as a result of such transaction owns the then-outstanding securities of the Party or all or substantially all of the Party’s assets, including Party’s assets related to Product, either directly or through one or more subsidiaries), or</w:t>
      </w:r>
    </w:p>
    <w:p>
      <w:pPr>
        <w:spacing w:after="0" w:line="200" w:lineRule="exact"/>
        <w:rPr>
          <w:sz w:val="20"/>
          <w:szCs w:val="20"/>
          <w:color w:val="auto"/>
        </w:rPr>
      </w:pP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5" w:name="page126"/>
    <w:bookmarkEnd w:id="125"/>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CMC</w:t>
      </w:r>
      <w:r>
        <w:rPr>
          <w:rFonts w:ascii="Times New Roman" w:cs="Times New Roman" w:eastAsia="Times New Roman" w:hAnsi="Times New Roman"/>
          <w:sz w:val="22"/>
          <w:szCs w:val="22"/>
          <w:color w:val="auto"/>
        </w:rPr>
        <w:t>” shall mean chemistry, manufacturing and controls.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Commercialization Plan</w:t>
      </w:r>
      <w:r>
        <w:rPr>
          <w:rFonts w:ascii="Times New Roman" w:cs="Times New Roman" w:eastAsia="Times New Roman" w:hAnsi="Times New Roman"/>
          <w:sz w:val="22"/>
          <w:szCs w:val="22"/>
          <w:color w:val="auto"/>
        </w:rPr>
        <w:t>” shall have the meaning set forth in Section 5.1(b).</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1.17</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Commercially Reasonable Efforts</w:t>
      </w:r>
      <w:r>
        <w:rPr>
          <w:rFonts w:ascii="Times New Roman" w:cs="Times New Roman" w:eastAsia="Times New Roman" w:hAnsi="Times New Roman"/>
          <w:sz w:val="21"/>
          <w:szCs w:val="21"/>
          <w:color w:val="auto"/>
        </w:rPr>
        <w:t>” shall mean, with respect to the efforts to be expended by a Party with respect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any objective, those reasonable, good faith efforts to accomplish such objective as such Party would normally use to accomplish a similar objective under similar circumstances. With respect to United Therapeutics’ efforts with respect to the development of, or obtaining Marketing Approval for, the Product, “Commercially Reasonable Efforts” means the carrying out of such activities using the efforts and resources that a similarly situated company in the pharmaceutical industry would use for its own pharmaceutical product with similar market potential at a similar stage of its development, taking into consideration all scientific, commercial, and other factors that a similarly situated company within the pharmaceutical industry would reasonably take into account including issues of safety and efficacy, expected and actual cost and time to develop, expected and actual or potential competitiveness of alternative products (including alternative products being developed or commercialized by or on behalf of United Therapeutics and its Affiliates), the nature, breadth, duration and extent of their expected and actual market exclusivity (including patent coverage and regulatory exclusivity), expected likelihood of regulatory approval, their expected and actual likelihood of reimbursement, expected and actual pricing, expected and actual profitability, including royalties and other payments required to be made, the expected and actual amounts of marketing and promotional expenditures required with respect to such product and all other relevant factors, including comparative technical, legal, scientific and/or medical factors. Further, to the extent that the performance of a Party’s obligations hereunder is adversely affected by the other Party’s failure to perform its obligations hereunder, the impact of such other Party’s failure to perform will be taken into account in determining whether the initial Party has used Commercially Reasonable Efforts with respect to the performance of such affected obligations. For clarity, “Commercially Reasonable Efforts” does not require United Therapeutics to disadvantage any currently marketed products (such as Remodulin®, Tyvaso® or Orenitram®) or products currently under development or which may in the future enter development (including without limitation RemoPro™, RemUnity™, esuberaprost, the Implantable System for Remodulin® and Trevyent™ and any additional delivery devices and formulations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6" w:name="page127"/>
    <w:bookmarkEnd w:id="126"/>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 Strategy</w:t>
      </w:r>
      <w:r>
        <w:rPr>
          <w:rFonts w:ascii="Times New Roman" w:cs="Times New Roman" w:eastAsia="Times New Roman" w:hAnsi="Times New Roman"/>
          <w:sz w:val="22"/>
          <w:szCs w:val="22"/>
          <w:color w:val="auto"/>
        </w:rPr>
        <w:t>” shall have the meaning set forth in Section 5.1(a).</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1.19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Competing Product</w:t>
      </w:r>
      <w:r>
        <w:rPr>
          <w:rFonts w:ascii="Times New Roman" w:cs="Times New Roman" w:eastAsia="Times New Roman" w:hAnsi="Times New Roman"/>
          <w:sz w:val="22"/>
          <w:szCs w:val="22"/>
          <w:color w:val="auto"/>
        </w:rPr>
        <w:t>” shall mean a product other than Product that (a) contains a Prostacyclin as an active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ingredient or (b) contains an active ingredient other than a Prostacyclin and that is indicated for use (or being developed for use) in the treatment of Pulmonary Hypertension (or is being developed with the objective of seeking approval for the treatment of Pulmonary Hypertension).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1.20</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Component Parts</w:t>
      </w:r>
      <w:r>
        <w:rPr>
          <w:rFonts w:ascii="Times New Roman" w:cs="Times New Roman" w:eastAsia="Times New Roman" w:hAnsi="Times New Roman"/>
          <w:sz w:val="22"/>
          <w:szCs w:val="22"/>
          <w:color w:val="auto"/>
        </w:rPr>
        <w:t>” means injection-molded component parts for the Device (including cartridges).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shall have the meaning set forth in Section 8.1.</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1.23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 shall mean that certain confidentiality agreement, dated July 27, 2018,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and United Therapeutics.</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1.24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(including any variations such as “</w:t>
      </w:r>
      <w:r>
        <w:rPr>
          <w:rFonts w:ascii="Times New Roman" w:cs="Times New Roman" w:eastAsia="Times New Roman" w:hAnsi="Times New Roman"/>
          <w:sz w:val="22"/>
          <w:szCs w:val="22"/>
          <w:b w:val="1"/>
          <w:bCs w:val="1"/>
          <w:i w:val="1"/>
          <w:iCs w:val="1"/>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Controlling</w:t>
      </w:r>
      <w:r>
        <w:rPr>
          <w:rFonts w:ascii="Times New Roman" w:cs="Times New Roman" w:eastAsia="Times New Roman" w:hAnsi="Times New Roman"/>
          <w:sz w:val="22"/>
          <w:szCs w:val="22"/>
          <w:color w:val="auto"/>
        </w:rPr>
        <w:t>”), in the context of 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and Information, shall mean possession by a party (whether by ownership or license, other than pursuant to this Agreement) of the ability to grant the applicable license or right to use under this Agreement, without violating the terms of an agreement with a Third Party.</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shall mean any and all raw scientific, technical or test data pertaining to Product that is generated by or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of a Party, its Affiliates (and to the extent Controlled by a Party or its Affiliates, the licensees or sublicensees of a Party or its Affiliates), including research data, clinical pharmacology data, CMC data (including analytical and quality control data and stability data), pre-clinical data, clinical data and pharmacoeconomic data and all data in publications, presentations or submissions made in association with a Regulatory Filing with respect to Product. Data presented in graphical format should be accompanied by the tables used to generate such graphics. All Data should be accompanied by the methodology used to derive such Data.</w:t>
      </w:r>
    </w:p>
    <w:p>
      <w:pPr>
        <w:spacing w:after="0" w:line="17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1.26</w:t>
      </w:r>
      <w:r>
        <w:rPr>
          <w:rFonts w:ascii="Times New Roman" w:cs="Times New Roman" w:eastAsia="Times New Roman" w:hAnsi="Times New Roman"/>
          <w:sz w:val="22"/>
          <w:szCs w:val="22"/>
          <w:b w:val="1"/>
          <w:bCs w:val="1"/>
          <w:i w:val="1"/>
          <w:iCs w:val="1"/>
          <w:color w:val="auto"/>
        </w:rPr>
        <w:t>“Deerfield</w:t>
      </w:r>
      <w:r>
        <w:rPr>
          <w:rFonts w:ascii="Times New Roman" w:cs="Times New Roman" w:eastAsia="Times New Roman" w:hAnsi="Times New Roman"/>
          <w:sz w:val="22"/>
          <w:szCs w:val="22"/>
          <w:color w:val="auto"/>
        </w:rPr>
        <w:t>” shall mean Deerfield Private Design Fund II, L.P., Deerfield Private Design International II, L.P.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Horizon Santé FLML, SARL.</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1.27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Development Expenses</w:t>
      </w:r>
      <w:r>
        <w:rPr>
          <w:rFonts w:ascii="Times New Roman" w:cs="Times New Roman" w:eastAsia="Times New Roman" w:hAnsi="Times New Roman"/>
          <w:sz w:val="22"/>
          <w:szCs w:val="22"/>
          <w:color w:val="auto"/>
        </w:rPr>
        <w:t>” shall mean out-of-pocket costs incurred by MannKind or any of its Affiliates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conducting or performing its activities under a Development Plan. For clarity, Development Expenses shall not include labor costs incurred by MannKind in performing its obligations under the Initial Development Plan, which costs shall be the sole responsibility of MannKind.</w:t>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7" w:name="page128"/>
    <w:bookmarkEnd w:id="127"/>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1.28</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Development Plan</w:t>
      </w:r>
      <w:r>
        <w:rPr>
          <w:rFonts w:ascii="Times New Roman" w:cs="Times New Roman" w:eastAsia="Times New Roman" w:hAnsi="Times New Roman"/>
          <w:sz w:val="21"/>
          <w:szCs w:val="21"/>
          <w:color w:val="auto"/>
        </w:rPr>
        <w:t>” shall mean the Initial Development Plan, as the same may be subsequently amended from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time in accordance with this Agreement, as well as any additional written plan mutually agreed by the Parties setting forth studies and other activities outside the scope of the Initial Development Plan that United Therapeutics requests that MannKind undertake in connection with United Therapeutics’ development of Products other than the Initial Product in the Field in the Territory (each such plan, an “</w:t>
      </w:r>
      <w:r>
        <w:rPr>
          <w:rFonts w:ascii="Times New Roman" w:cs="Times New Roman" w:eastAsia="Times New Roman" w:hAnsi="Times New Roman"/>
          <w:sz w:val="21"/>
          <w:szCs w:val="21"/>
          <w:b w:val="1"/>
          <w:bCs w:val="1"/>
          <w:i w:val="1"/>
          <w:iCs w:val="1"/>
          <w:color w:val="auto"/>
        </w:rPr>
        <w:t>Additional Development Plan</w:t>
      </w:r>
      <w:r>
        <w:rPr>
          <w:rFonts w:ascii="Times New Roman" w:cs="Times New Roman" w:eastAsia="Times New Roman" w:hAnsi="Times New Roman"/>
          <w:sz w:val="21"/>
          <w:szCs w:val="21"/>
          <w:color w:val="auto"/>
        </w:rPr>
        <w:t>”). For example, in the event that United Therapeutics elects to develop a Product configuration that utilizes a Cricket inhaler and desires MannKind’s assistance in such undertaking, the Parties would need to prepare an Additional Development Plan that outlines the various development activities with respect to which MannKind’s assistance was needed and establishes a mutually agreeable budget for such activities. Once the Parties have agreed on an Additional Development Plan, any changes to such Development Plan shall require the written approval of the ESC.</w:t>
      </w:r>
    </w:p>
    <w:p>
      <w:pPr>
        <w:spacing w:after="0" w:line="17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1.29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Development Term</w:t>
      </w:r>
      <w:r>
        <w:rPr>
          <w:rFonts w:ascii="Times New Roman" w:cs="Times New Roman" w:eastAsia="Times New Roman" w:hAnsi="Times New Roman"/>
          <w:sz w:val="22"/>
          <w:szCs w:val="22"/>
          <w:color w:val="auto"/>
        </w:rPr>
        <w:t>” shall mean the period during which MannKind is conducting activities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Plan, commencing on the Effective Date and ending upon the completion of all activities specified in the Development Plan or earlier termination of this Agreement.</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1.30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Device</w:t>
      </w:r>
      <w:r>
        <w:rPr>
          <w:rFonts w:ascii="Times New Roman" w:cs="Times New Roman" w:eastAsia="Times New Roman" w:hAnsi="Times New Roman"/>
          <w:sz w:val="22"/>
          <w:szCs w:val="22"/>
          <w:color w:val="auto"/>
        </w:rPr>
        <w:t>” shall mean any device Controlled by MannKind through which a Formulation may be administered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inhalation, such as the Dreamboat</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inhaler and Cricket</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inhaler.</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Disclosing Party</w:t>
      </w:r>
      <w:r>
        <w:rPr>
          <w:rFonts w:ascii="Times New Roman" w:cs="Times New Roman" w:eastAsia="Times New Roman" w:hAnsi="Times New Roman"/>
          <w:sz w:val="22"/>
          <w:szCs w:val="22"/>
          <w:color w:val="auto"/>
        </w:rPr>
        <w:t>” shall have the meaning set forth in Section 8.1.</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1.32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DMF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shall mean the Drug Master File 028677 (including any amendments thereto) and any other drug master file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filed by MannKind with the FDA to provide confidential detailed information about facilities, processes, analytical methods, or articles used in the manufacturing, processing, packaging and storing of one or more human drugs, or design and manufacture of any devices, including Product and/or Device. The term “DMF” shall also include within its meaning throughout this agreement any device master file or MAF filed by MannKind for the same purpose.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shall have the meaning set forth in Section 15.16.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ESC</w:t>
      </w:r>
      <w:r>
        <w:rPr>
          <w:rFonts w:ascii="Times New Roman" w:cs="Times New Roman" w:eastAsia="Times New Roman" w:hAnsi="Times New Roman"/>
          <w:sz w:val="22"/>
          <w:szCs w:val="22"/>
          <w:color w:val="auto"/>
        </w:rPr>
        <w:t>” shall have the meaning set forth in Section 3.1(a).</w:t>
      </w:r>
    </w:p>
    <w:p>
      <w:pPr>
        <w:spacing w:after="0" w:line="20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1.35</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Export Control Laws</w:t>
      </w:r>
      <w:r>
        <w:rPr>
          <w:rFonts w:ascii="Times New Roman" w:cs="Times New Roman" w:eastAsia="Times New Roman" w:hAnsi="Times New Roman"/>
          <w:sz w:val="21"/>
          <w:szCs w:val="21"/>
          <w:color w:val="auto"/>
        </w:rPr>
        <w:t>” shall mean all applicable U.S. laws and regulations relating to (a) sanctions and embargoes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imposed by the Office of Foreign Assets Control of the U.S. Department of Treasury or (b) the export or re-export of commodities, technologies, or services, including, but not limited to, the Export Administration Act of 1979, 24 U.S.C. §§ 2401-2420, the International Emergency Economic Powers Act, 50 U.S.C. §§ 1701-1706, the Trading with the Enemy Act, 50 U.S.C.</w:t>
      </w:r>
    </w:p>
    <w:p>
      <w:pPr>
        <w:spacing w:after="0" w:line="4" w:lineRule="exact"/>
        <w:rPr>
          <w:sz w:val="20"/>
          <w:szCs w:val="20"/>
          <w:color w:val="auto"/>
        </w:rPr>
      </w:pPr>
    </w:p>
    <w:p>
      <w:pPr>
        <w:ind w:firstLine="8"/>
        <w:spacing w:after="0" w:line="237" w:lineRule="auto"/>
        <w:tabs>
          <w:tab w:leader="none" w:pos="27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et. seq., the Arms Export Control Act, 22 U.S.C. §§ 2778 and 2779, and the International Boycott Provisions of Section 999 of the U.S. Internal Revenue Code of 1986 (as amended).</w:t>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8" w:name="page129"/>
    <w:bookmarkEnd w:id="128"/>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FCPA</w:t>
      </w:r>
      <w:r>
        <w:rPr>
          <w:rFonts w:ascii="Times New Roman" w:cs="Times New Roman" w:eastAsia="Times New Roman" w:hAnsi="Times New Roman"/>
          <w:sz w:val="22"/>
          <w:szCs w:val="22"/>
          <w:color w:val="auto"/>
        </w:rPr>
        <w:t>” shall mean the U.S. Foreign Corrupt Practices Act (15 U.S.C. Section 78dd-1, et. seq.) as amended.</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1.37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FDA</w:t>
      </w:r>
      <w:r>
        <w:rPr>
          <w:rFonts w:ascii="Times New Roman" w:cs="Times New Roman" w:eastAsia="Times New Roman" w:hAnsi="Times New Roman"/>
          <w:sz w:val="22"/>
          <w:szCs w:val="22"/>
          <w:color w:val="auto"/>
        </w:rPr>
        <w:t>” shall mean the United States Food and Drug Administration, or any agency that is responsible for approving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sale of medical devices and/or pharmaceutical products in the United States.</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1.38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Field</w:t>
      </w:r>
      <w:r>
        <w:rPr>
          <w:rFonts w:ascii="Times New Roman" w:cs="Times New Roman" w:eastAsia="Times New Roman" w:hAnsi="Times New Roman"/>
          <w:sz w:val="22"/>
          <w:szCs w:val="22"/>
          <w:color w:val="auto"/>
        </w:rPr>
        <w:t>” shall mean, with respect to a Prostacyclin, the administration to human beings for the prevention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treatment of diseases and other conditions in all indications and, with respect to any Other Agent, the administration to human beings for the prevention or treatment of Pulmonary Hypertension.</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Filings</w:t>
      </w:r>
      <w:r>
        <w:rPr>
          <w:rFonts w:ascii="Times New Roman" w:cs="Times New Roman" w:eastAsia="Times New Roman" w:hAnsi="Times New Roman"/>
          <w:sz w:val="22"/>
          <w:szCs w:val="22"/>
          <w:color w:val="auto"/>
        </w:rPr>
        <w:t>” shall have the meaning set forth in Section 15.16.</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1.40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First Commercial Sale</w:t>
      </w:r>
      <w:r>
        <w:rPr>
          <w:rFonts w:ascii="Times New Roman" w:cs="Times New Roman" w:eastAsia="Times New Roman" w:hAnsi="Times New Roman"/>
          <w:sz w:val="22"/>
          <w:szCs w:val="22"/>
          <w:color w:val="auto"/>
        </w:rPr>
        <w:t>” shall mean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arm’s length sale of Product in a country following receipt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Marketing Approval in such country. Sales of Product for registration samples, compassionate use, named patient use and inter-company transfers to Affiliates of a Party will not constitute a First Commercial Sale.</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1.41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Formulation</w:t>
      </w:r>
      <w:r>
        <w:rPr>
          <w:rFonts w:ascii="Times New Roman" w:cs="Times New Roman" w:eastAsia="Times New Roman" w:hAnsi="Times New Roman"/>
          <w:sz w:val="22"/>
          <w:szCs w:val="22"/>
          <w:color w:val="auto"/>
        </w:rPr>
        <w:t>” shall mean a formulation of an active pharmaceutical ingredient suitable for pulmonary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administration based upon or incorporating the drug delivery technology Controlled by MannKind involving diketopiperazine as a carrier.</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1.42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shall mean generally accepted accounting principles in the United States, or internationally, as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consistently applied.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Governing Body</w:t>
      </w:r>
      <w:r>
        <w:rPr>
          <w:rFonts w:ascii="Times New Roman" w:cs="Times New Roman" w:eastAsia="Times New Roman" w:hAnsi="Times New Roman"/>
          <w:sz w:val="22"/>
          <w:szCs w:val="22"/>
          <w:color w:val="auto"/>
        </w:rPr>
        <w:t>” shall mean the ESC or any working group of the ESC.</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1.44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Authority</w:t>
      </w:r>
      <w:r>
        <w:rPr>
          <w:rFonts w:ascii="Times New Roman" w:cs="Times New Roman" w:eastAsia="Times New Roman" w:hAnsi="Times New Roman"/>
          <w:sz w:val="22"/>
          <w:szCs w:val="22"/>
          <w:color w:val="auto"/>
        </w:rPr>
        <w:t>” shall mean any national, international, federal, state, provincial or local government,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b w:val="1"/>
          <w:bCs w:val="1"/>
          <w:color w:val="auto"/>
        </w:rPr>
        <w:t>1.45</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Government Health Care Program</w:t>
      </w:r>
      <w:r>
        <w:rPr>
          <w:rFonts w:ascii="Times New Roman" w:cs="Times New Roman" w:eastAsia="Times New Roman" w:hAnsi="Times New Roman"/>
          <w:sz w:val="21"/>
          <w:szCs w:val="21"/>
          <w:color w:val="auto"/>
        </w:rPr>
        <w:t>” shall mean the Medicare program (Title XVIII of the Social Security Act),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Medicaid program (Title XIX of the Social Security Act), the Department of Veterans Affairs FSS Program, TRICARE, and the Public Health Service 340B Program, and any similar federal, state, and local governmental health care plans and programs.</w:t>
      </w:r>
    </w:p>
    <w:p>
      <w:pPr>
        <w:spacing w:after="0" w:line="14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1.46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 Health Care Program Contract</w:t>
      </w:r>
      <w:r>
        <w:rPr>
          <w:rFonts w:ascii="Times New Roman" w:cs="Times New Roman" w:eastAsia="Times New Roman" w:hAnsi="Times New Roman"/>
          <w:sz w:val="22"/>
          <w:szCs w:val="22"/>
          <w:color w:val="auto"/>
        </w:rPr>
        <w:t>’ shall mean, with respect to Product, any agreements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to give effect to any Government Health Care Program (whether or not such agreements constitute “government contracts” as such term is used in connection with government procurement, e.g. 340B Pharmaceutical Pricing Agreements and Medicaid Drug Rebate Agreements).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HIPAA</w:t>
      </w:r>
      <w:r>
        <w:rPr>
          <w:rFonts w:ascii="Times New Roman" w:cs="Times New Roman" w:eastAsia="Times New Roman" w:hAnsi="Times New Roman"/>
          <w:sz w:val="22"/>
          <w:szCs w:val="22"/>
          <w:color w:val="auto"/>
        </w:rPr>
        <w:t>” shall have the meaning set forth in Section 16.4.</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9" w:name="page130"/>
    <w:bookmarkEnd w:id="129"/>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HSR Act</w:t>
      </w:r>
      <w:r>
        <w:rPr>
          <w:rFonts w:ascii="Times New Roman" w:cs="Times New Roman" w:eastAsia="Times New Roman" w:hAnsi="Times New Roman"/>
          <w:sz w:val="22"/>
          <w:szCs w:val="22"/>
          <w:color w:val="auto"/>
        </w:rPr>
        <w:t>” shall have the meaning set forth in Section 15.16.</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HSR Filing Date</w:t>
      </w:r>
      <w:r>
        <w:rPr>
          <w:rFonts w:ascii="Times New Roman" w:cs="Times New Roman" w:eastAsia="Times New Roman" w:hAnsi="Times New Roman"/>
          <w:sz w:val="22"/>
          <w:szCs w:val="22"/>
          <w:color w:val="auto"/>
        </w:rPr>
        <w:t>” shall have the meaning set forth in Section 15.16.</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1.50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w:t>
      </w:r>
      <w:r>
        <w:rPr>
          <w:rFonts w:ascii="Times New Roman" w:cs="Times New Roman" w:eastAsia="Times New Roman" w:hAnsi="Times New Roman"/>
          <w:sz w:val="22"/>
          <w:szCs w:val="22"/>
          <w:color w:val="auto"/>
        </w:rPr>
        <w:t>” shall mean the Investigational New Drug Application 134582 (including any amendments thereto) filed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with the FDA before commencement of clinical trials of Product.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Indemnitee</w:t>
      </w:r>
      <w:r>
        <w:rPr>
          <w:rFonts w:ascii="Times New Roman" w:cs="Times New Roman" w:eastAsia="Times New Roman" w:hAnsi="Times New Roman"/>
          <w:sz w:val="22"/>
          <w:szCs w:val="22"/>
          <w:color w:val="auto"/>
        </w:rPr>
        <w:t>” shall have the meaning set forth in Section 11.3.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Indemnitor</w:t>
      </w:r>
      <w:r>
        <w:rPr>
          <w:rFonts w:ascii="Times New Roman" w:cs="Times New Roman" w:eastAsia="Times New Roman" w:hAnsi="Times New Roman"/>
          <w:sz w:val="22"/>
          <w:szCs w:val="22"/>
          <w:color w:val="auto"/>
        </w:rPr>
        <w:t>” shall have the meaning set forth in Section 11.3.</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1.53</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Information</w:t>
      </w:r>
      <w:r>
        <w:rPr>
          <w:rFonts w:ascii="Times New Roman" w:cs="Times New Roman" w:eastAsia="Times New Roman" w:hAnsi="Times New Roman"/>
          <w:sz w:val="21"/>
          <w:szCs w:val="21"/>
          <w:color w:val="auto"/>
        </w:rPr>
        <w:t>” shall mean all technical, scientific, marketing, financial, commercial and other know-how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trade secrets, knowledge, technology, means, methods, processes, practices, formulae, instructions, skills, techniques, procedures, experiences, ideas, discoveries, inventions, technical assistance, designs, drawings, assembly procedures, computer programs, apparatuses, prototypes, specifications, data, results, customer lists, marketing materials, and other material, including: drug discovery and development technology; biological, chemical, pharmacological, toxicological, pharmaceutical, physical and analytical, pre-clinical, clinical, safety, manufacturing and quality control data and information, including study designs and protocols; assays and biological methodology; manufacturing and quality control procedures and data, including test procedures; and synthesis, purification and isolation techniques, in each case (whether or not confidential, proprietary, patented or patentable, of commercial advantage or not) in written, electronic or any other form now known or hereafter developed.</w:t>
      </w:r>
    </w:p>
    <w:p>
      <w:pPr>
        <w:spacing w:after="0" w:line="16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1.54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Device</w:t>
      </w:r>
      <w:r>
        <w:rPr>
          <w:rFonts w:ascii="Times New Roman" w:cs="Times New Roman" w:eastAsia="Times New Roman" w:hAnsi="Times New Roman"/>
          <w:sz w:val="22"/>
          <w:szCs w:val="22"/>
          <w:color w:val="auto"/>
        </w:rPr>
        <w:t>” shall mean the reusable Dreamboat</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inhaler and associated cartridges that is intended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utilized in the Initial Product.</w:t>
      </w:r>
    </w:p>
    <w:p>
      <w:pPr>
        <w:spacing w:after="0" w:line="14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1.55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Development Plan</w:t>
      </w:r>
      <w:r>
        <w:rPr>
          <w:rFonts w:ascii="Times New Roman" w:cs="Times New Roman" w:eastAsia="Times New Roman" w:hAnsi="Times New Roman"/>
          <w:sz w:val="22"/>
          <w:szCs w:val="22"/>
          <w:color w:val="auto"/>
        </w:rPr>
        <w:t>” shall mean the written plan attached to a separate letter delivered by MannKind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and agreed to in writing by United Therapeutics on the Execution Date setting forth the activities to be performed by MannKind (or by the Parties jointly) with respect to the CMC development of the Initial Product and the Accessory Apparatus as well as the transfer to United Therapeutics of the manufacturing technology required to manufacture the Initial Product. The Initial Development Plan shall be subject to the terms and conditions of this Agreement. To the extent any terms or provisions of the Initial Development Plan conflict with the terms and provisions of this Agreement, the terms and provisions of this Agreement shall control.</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1.56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Product</w:t>
      </w:r>
      <w:r>
        <w:rPr>
          <w:rFonts w:ascii="Times New Roman" w:cs="Times New Roman" w:eastAsia="Times New Roman" w:hAnsi="Times New Roman"/>
          <w:sz w:val="22"/>
          <w:szCs w:val="22"/>
          <w:color w:val="auto"/>
        </w:rPr>
        <w:t>” shall mean the Product (which shall utilize the Initial Device) that is intended to be the subject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initial Regulatory Approval of Product.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Intervening Event</w:t>
      </w:r>
      <w:r>
        <w:rPr>
          <w:rFonts w:ascii="Times New Roman" w:cs="Times New Roman" w:eastAsia="Times New Roman" w:hAnsi="Times New Roman"/>
          <w:sz w:val="22"/>
          <w:szCs w:val="22"/>
          <w:color w:val="auto"/>
        </w:rPr>
        <w:t>” shall have the meaning set forth in Section 15.1.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shall have the meaning set forth in Section 9.1(b).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Joint Inventions</w:t>
      </w:r>
      <w:r>
        <w:rPr>
          <w:rFonts w:ascii="Times New Roman" w:cs="Times New Roman" w:eastAsia="Times New Roman" w:hAnsi="Times New Roman"/>
          <w:sz w:val="22"/>
          <w:szCs w:val="22"/>
          <w:color w:val="auto"/>
        </w:rPr>
        <w:t>” shall have the meaning set forth in Section 9.1(b).</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0" w:name="page131"/>
    <w:bookmarkEnd w:id="130"/>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Joint Patents</w:t>
      </w:r>
      <w:r>
        <w:rPr>
          <w:rFonts w:ascii="Times New Roman" w:cs="Times New Roman" w:eastAsia="Times New Roman" w:hAnsi="Times New Roman"/>
          <w:sz w:val="22"/>
          <w:szCs w:val="22"/>
          <w:color w:val="auto"/>
        </w:rPr>
        <w:t>” shall mean all Patents claiming any Joint Invention.</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1.61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Loss of Market Exclusivity</w:t>
      </w:r>
      <w:r>
        <w:rPr>
          <w:rFonts w:ascii="Times New Roman" w:cs="Times New Roman" w:eastAsia="Times New Roman" w:hAnsi="Times New Roman"/>
          <w:sz w:val="21"/>
          <w:szCs w:val="21"/>
          <w:color w:val="auto"/>
        </w:rPr>
        <w:t>” shall mean with respect to a specified country in the Territory, the reduction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or more in any 12-month period in Net Sales of Product due to the sale in such country of any interchangeable pharmaceutical product containing a fumaryl diketopiperazine-based formulation of the same active ingredient as Product, which are marketed by any entity or entities other than United Therapeutics or any of its Affiliates or sublicensees in such country, as compared with the 12-month period immediately prior to the 12-month period in which the sale of any such pharmaceutical product first occurred (as measured by reputable published data, e.g. by reference to market share data collected by IMS).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Losses</w:t>
      </w:r>
      <w:r>
        <w:rPr>
          <w:rFonts w:ascii="Times New Roman" w:cs="Times New Roman" w:eastAsia="Times New Roman" w:hAnsi="Times New Roman"/>
          <w:sz w:val="22"/>
          <w:szCs w:val="22"/>
          <w:color w:val="auto"/>
        </w:rPr>
        <w:t>” shall have the meaning set forth in Section 11.1.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Major Market Country</w:t>
      </w:r>
      <w:r>
        <w:rPr>
          <w:rFonts w:ascii="Times New Roman" w:cs="Times New Roman" w:eastAsia="Times New Roman" w:hAnsi="Times New Roman"/>
          <w:sz w:val="22"/>
          <w:szCs w:val="22"/>
          <w:color w:val="auto"/>
        </w:rPr>
        <w:t>” shall mean each of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MannKind Indemnitees</w:t>
      </w:r>
      <w:r>
        <w:rPr>
          <w:rFonts w:ascii="Times New Roman" w:cs="Times New Roman" w:eastAsia="Times New Roman" w:hAnsi="Times New Roman"/>
          <w:sz w:val="22"/>
          <w:szCs w:val="22"/>
          <w:color w:val="auto"/>
        </w:rPr>
        <w:t>” shall have the meaning set forth in Section 11.1.</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1.65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MannKind Know-How</w:t>
      </w:r>
      <w:r>
        <w:rPr>
          <w:rFonts w:ascii="Times New Roman" w:cs="Times New Roman" w:eastAsia="Times New Roman" w:hAnsi="Times New Roman"/>
          <w:sz w:val="22"/>
          <w:szCs w:val="22"/>
          <w:color w:val="auto"/>
        </w:rPr>
        <w:t>” shall mean all Information not included in the MannKind Patents that is Controlled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or any of its Affiliates (subject to Section 15.9) as of the Effective Date or during the Term that is necessary or reasonably useful for the development, manufacture, use, import, offer for sale or sale of Product in the Field, including all such Information related to the design and utility of the Device and to the creation of a Formulation, and any replication or any part of such Information.</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color w:val="auto"/>
        </w:rPr>
        <w:t>1.66</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MannKind Patents</w:t>
      </w:r>
      <w:r>
        <w:rPr>
          <w:rFonts w:ascii="Times New Roman" w:cs="Times New Roman" w:eastAsia="Times New Roman" w:hAnsi="Times New Roman"/>
          <w:sz w:val="21"/>
          <w:szCs w:val="21"/>
          <w:color w:val="auto"/>
        </w:rPr>
        <w:t>” shall mean all Patents Controlled by MannKind or any of its Affiliates (subject to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15.9) as of the Effective Date or during the Term that claim or disclose Product or its components, or are necessary or reasonably useful for the development, manufacture, use, import, offer for sale, or sale of Product in the Field in the Territory, including all such Patents claiming or covering the design or utility of a Device or a Formulation, but excluding any Joint Patents.</w:t>
      </w:r>
    </w:p>
    <w:p>
      <w:pPr>
        <w:spacing w:after="0" w:line="15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1.67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MannKind Technology</w:t>
      </w:r>
      <w:r>
        <w:rPr>
          <w:rFonts w:ascii="Times New Roman" w:cs="Times New Roman" w:eastAsia="Times New Roman" w:hAnsi="Times New Roman"/>
          <w:sz w:val="22"/>
          <w:szCs w:val="22"/>
          <w:color w:val="auto"/>
        </w:rPr>
        <w:t>” shall mean all MannKind Know-How, MannKind Patents and MannKind’s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interest in Joint Patents and Joint Inventions.</w:t>
      </w:r>
    </w:p>
    <w:p>
      <w:pPr>
        <w:spacing w:after="0" w:line="14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1.68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Manufacturing Information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all Information within the MannKind Know-How and MannKind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that is necessary or useful for the manufacture, assembly, test, operation and service of Product, including (a) such Information contained in the CMC section of any applicable Regulatory Filing, (b) any Information that MannKind has provided to its Approved Suppliers in relation to the Component Parts and Bulk FDKP supplied by them, (c) all processes and procedures for the manufacture of the Processed FDKP, and all necessary or useful specifications for any specialized equipment used in MannKind’s facility to so manufacture the Processed FDKP, (d) all assembly procedures for Devices and all necessary or useful specifications for any specialized equipment used in the Danbury facility to assemble Devices, and (e) all batch record procedures for manufacture of Product.</w:t>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1" w:name="page132"/>
    <w:bookmarkEnd w:id="131"/>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1.69</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Marketing Approval</w:t>
      </w:r>
      <w:r>
        <w:rPr>
          <w:rFonts w:ascii="Times New Roman" w:cs="Times New Roman" w:eastAsia="Times New Roman" w:hAnsi="Times New Roman"/>
          <w:sz w:val="21"/>
          <w:szCs w:val="21"/>
          <w:color w:val="auto"/>
        </w:rPr>
        <w:t>” shall mean all clearances, approvals, licenses, registrations or authorizations of Regulatory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Authorities in a country necessary for the manufacture, use, storage, import, export, distribution, promotion, marketing, offer for sale and sale of a pharmaceutical product and/or medical device in such country. For countries where governmental approval is required for pricing or reimbursement for a pharmaceutical product to be reimbursed by national health insurance (or its local equivalent), “Marketing Approval” shall not be deemed to occur until such pricing or reimbursement approval is obtained.</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NDC</w:t>
      </w:r>
      <w:r>
        <w:rPr>
          <w:rFonts w:ascii="Times New Roman" w:cs="Times New Roman" w:eastAsia="Times New Roman" w:hAnsi="Times New Roman"/>
          <w:sz w:val="22"/>
          <w:szCs w:val="22"/>
          <w:color w:val="auto"/>
        </w:rPr>
        <w:t>” shall have the meaning set forth in Section 13.2(c).</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Sales</w:t>
      </w:r>
      <w:r>
        <w:rPr>
          <w:rFonts w:ascii="Times New Roman" w:cs="Times New Roman" w:eastAsia="Times New Roman" w:hAnsi="Times New Roman"/>
          <w:sz w:val="22"/>
          <w:szCs w:val="22"/>
          <w:color w:val="auto"/>
        </w:rPr>
        <w:t>” shall mean the net sales recorded by United Therapeutics or its Affiliates or sublicensees for the sale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disposition of Product to Third Parties (other than sublicensees) in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arm’s length transactions, as determined in accordance with GAAP and as reported in United Therapeutics’ audited financial statements. The recorded net sales shall be equal to gross sales minus appropriate deductions, each to the extent actually incurred, allowed, taken or paid and not otherwise recovered, which shall be booked on an accrual basis by United Therapeutics and its Affiliates and sublicensees under GAAP, such as:</w:t>
      </w:r>
    </w:p>
    <w:p>
      <w:pPr>
        <w:spacing w:after="0" w:line="181" w:lineRule="exact"/>
        <w:rPr>
          <w:sz w:val="20"/>
          <w:szCs w:val="20"/>
          <w:color w:val="auto"/>
        </w:rPr>
      </w:pPr>
    </w:p>
    <w:p>
      <w:pPr>
        <w:ind w:left="2040" w:hanging="535"/>
        <w:spacing w:after="0"/>
        <w:tabs>
          <w:tab w:leader="none" w:pos="20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trade, quantity and cash discounts;</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rebates, chargebacks, reimbursements, fees or similar payments to wholesalers and other distributors, pharmacies and other retailers, buying groups (including group purchasing organizations), health care insurance carriers, pharmacy benefit management companies, health maintenance organizations, Governmental Authorities, or other institutions or health care organizations, including Medicare, Medicaid, Managed Healthcare and similar types of rebates;</w:t>
      </w:r>
    </w:p>
    <w:p>
      <w:pPr>
        <w:spacing w:after="0" w:line="180"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amounts repaid or credited by reasons of defects, rejections, recalls or returns of Product;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amounts provided or credited to customers through coupons and other discount programs;</w:t>
      </w:r>
    </w:p>
    <w:p>
      <w:pPr>
        <w:spacing w:after="0" w:line="206"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costs of freight, insurance, import/export, and other transportation charges directly related to the distribution of Product, to the extent included in gross sales;</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portion of the annual fee on prescription drug manufacturers imposed by the Patient Protection and Affordable Care Act, Pub. L. No. 111-148 (as amended) and reasonably allocable to sales of the Product;</w:t>
      </w:r>
    </w:p>
    <w:p>
      <w:pPr>
        <w:spacing w:after="0" w:line="158"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bad debts and uncollectable invoiced amounts, provided that any such amounts subsequently collected will be included in Net Sales;</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taxes, duties or other governmental charges (including any tax such as a value added or similar tax or government charge other than an income tax) levied on or measured by the billing amount for Product, as adjusted for rebates and refunds;</w:t>
      </w: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2" w:name="page133"/>
    <w:bookmarkEnd w:id="132"/>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right="20" w:firstLine="1505"/>
        <w:spacing w:after="0" w:line="237" w:lineRule="auto"/>
        <w:tabs>
          <w:tab w:leader="none" w:pos="2036"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delayed ship order credits, discounts or payments related to the impact of price increases between purchase and shipping dates; and</w:t>
      </w:r>
    </w:p>
    <w:p>
      <w:pPr>
        <w:spacing w:after="0" w:line="17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other customary deductions that are consistent with GAAP, but which may not be duplicative of the deductions specified in (a) – (i) above.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no event will any particular amount identified above be deducted more than once in calculating Net Sales (i.e., no “double counting” of reductions). Sales of Product between United Therapeutics and its Affiliates and sublicensees for resale shall be excluded from the computation of Net Sales, but the subsequent resale of such Product to a Third Party (other than a sublicensee) shall be included within the computation of Net Sales. Neither United Therapeutics nor any of its Affiliates or sublicensees shall sell any Product for any non-monetary consideration. Notwithstanding anything to the contrary herein, disposal or use of Product for, marketing, regulatory or development purposes, such as clinical trials, compassionate use or indigent patient programs, without direct or indirect consideration, shall not be deemed a sale for purposes of this Net Sales definition.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shall have the meaning set forth in Section 2.6(a).</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1.73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Optioned Agent</w:t>
      </w:r>
      <w:r>
        <w:rPr>
          <w:rFonts w:ascii="Times New Roman" w:cs="Times New Roman" w:eastAsia="Times New Roman" w:hAnsi="Times New Roman"/>
          <w:sz w:val="22"/>
          <w:szCs w:val="22"/>
          <w:color w:val="auto"/>
        </w:rPr>
        <w:t>” shall mean (a) [***] or (b) any Other Agent that is indicated for use (or being developed for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treatment of Pulmonary Hypertension or is being developed with the objective of seeking approval for the treatment of Pulmonary Hypertension.</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Exercise Fee</w:t>
      </w:r>
      <w:r>
        <w:rPr>
          <w:rFonts w:ascii="Times New Roman" w:cs="Times New Roman" w:eastAsia="Times New Roman" w:hAnsi="Times New Roman"/>
          <w:sz w:val="22"/>
          <w:szCs w:val="22"/>
          <w:color w:val="auto"/>
        </w:rPr>
        <w:t>” shall mean, with respect to each Optioned Agent, a non-refundable, non-creditable fee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Agent</w:t>
      </w:r>
      <w:r>
        <w:rPr>
          <w:rFonts w:ascii="Times New Roman" w:cs="Times New Roman" w:eastAsia="Times New Roman" w:hAnsi="Times New Roman"/>
          <w:sz w:val="22"/>
          <w:szCs w:val="22"/>
          <w:color w:val="auto"/>
        </w:rPr>
        <w:t>” shall mean an active pharmaceutical ingredient that is not a Prostacyclin, a [***] or an [***].</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1.76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shall mean MannKind or United Therapeutics individually, and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shall mean MannKind and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collectively.</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1.77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Patent(s)</w:t>
      </w:r>
      <w:r>
        <w:rPr>
          <w:rFonts w:ascii="Times New Roman" w:cs="Times New Roman" w:eastAsia="Times New Roman" w:hAnsi="Times New Roman"/>
          <w:sz w:val="22"/>
          <w:szCs w:val="22"/>
          <w:color w:val="auto"/>
        </w:rPr>
        <w:t>” shall mean (a) all patents, certificates of invention, applications for certificates of invention, priority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filings and patent applications, and (b) any renewal, division, continuation (in whole or in part), or request for continued examination of any of such patents, certificates of invention and patent applications, and any all patents or certificates of invention issuing thereon, and any and all reissues, reexaminations, extensions, divisions, renewals, substitutions, confirmations, registrations, revalidations, revisions, and additions of or to any of the foregoing.</w:t>
      </w:r>
    </w:p>
    <w:p>
      <w:pPr>
        <w:spacing w:after="0" w:line="171"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1.78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shall mean any individual, corporation, partnership, limited liability company, trust, governmental entity,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 legal entity of any nature whatsoever.</w:t>
      </w:r>
    </w:p>
    <w:p>
      <w:pPr>
        <w:spacing w:after="0" w:line="14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1.79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Processed FDKP</w:t>
      </w:r>
      <w:r>
        <w:rPr>
          <w:rFonts w:ascii="Times New Roman" w:cs="Times New Roman" w:eastAsia="Times New Roman" w:hAnsi="Times New Roman"/>
          <w:sz w:val="22"/>
          <w:szCs w:val="22"/>
          <w:color w:val="auto"/>
        </w:rPr>
        <w:t>” means a suspension or dried preparation of fumaryl diketopiperazine that is a component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Formulation.</w:t>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3" w:name="page134"/>
    <w:bookmarkEnd w:id="133"/>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34"/>
        <w:spacing w:after="0" w:line="232" w:lineRule="auto"/>
        <w:rPr>
          <w:sz w:val="20"/>
          <w:szCs w:val="20"/>
          <w:color w:val="auto"/>
        </w:rPr>
      </w:pPr>
      <w:r>
        <w:rPr>
          <w:rFonts w:ascii="Times New Roman" w:cs="Times New Roman" w:eastAsia="Times New Roman" w:hAnsi="Times New Roman"/>
          <w:sz w:val="22"/>
          <w:szCs w:val="22"/>
          <w:b w:val="1"/>
          <w:bCs w:val="1"/>
          <w:color w:val="auto"/>
        </w:rPr>
        <w:t>1.80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Product</w:t>
      </w:r>
      <w:r>
        <w:rPr>
          <w:rFonts w:ascii="Times New Roman" w:cs="Times New Roman" w:eastAsia="Times New Roman" w:hAnsi="Times New Roman"/>
          <w:sz w:val="22"/>
          <w:szCs w:val="22"/>
          <w:color w:val="auto"/>
        </w:rPr>
        <w:t>” shall mean a product in a form suitable for human applications consisting of (a) a Formulation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contains API for use in an inhalation device or a Device, (b) a Device, but only to the extent that it is sold (or intended to be sold) for use with such a Formulation described in clause (a), (c) both a Device and such a Formulation described in clause (a) for use together, or (d) an Accessory Apparatus for use with the Product configuration described in (c), in each case, including all improvements incorporated therein. For clarification, Product shall not include a Device to the extent that it is sold (or intended to be sold) for administration of a Formulation that contains an active pharmaceutical ingredient other than API unless such active pharmaceutical ingredient is an Optioned Agent that has been added to this Agreement pursuant to Section 2.6.</w:t>
      </w:r>
    </w:p>
    <w:p>
      <w:pPr>
        <w:spacing w:after="0" w:line="17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1.81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Prostacyclin</w:t>
      </w:r>
      <w:r>
        <w:rPr>
          <w:rFonts w:ascii="Times New Roman" w:cs="Times New Roman" w:eastAsia="Times New Roman" w:hAnsi="Times New Roman"/>
          <w:sz w:val="22"/>
          <w:szCs w:val="22"/>
          <w:color w:val="auto"/>
        </w:rPr>
        <w:t>” shall mean a prostacyclin, a prostacyclin analog and a prostacyclin receptor agonist. For clarity,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API is a Prostacyclin.</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1.82</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Public Official or Entity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 any officer, employee (including physicians, hospital administrators,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healthcare professionals), agent, representative, department, agency, de facto official, representative, corporate entity, instrumentality or subdivision of any government, military or international organization, including, but not limited to, any ministry or department of health or any state-owned or affiliated company or hospital, or (b) any candidate for political office, any political party or any official of a political party.</w:t>
      </w:r>
    </w:p>
    <w:p>
      <w:pPr>
        <w:spacing w:after="0" w:line="17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1.83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Pulmonary Hypertension</w:t>
      </w:r>
      <w:r>
        <w:rPr>
          <w:rFonts w:ascii="Times New Roman" w:cs="Times New Roman" w:eastAsia="Times New Roman" w:hAnsi="Times New Roman"/>
          <w:sz w:val="22"/>
          <w:szCs w:val="22"/>
          <w:color w:val="auto"/>
        </w:rPr>
        <w:t>” a medical condition that encompasses all WHO classifications of pulmonary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hypertension identified in the Nice 2013 Revised Classification system, including pulmonary arterial hypertension.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Receiving Party</w:t>
      </w:r>
      <w:r>
        <w:rPr>
          <w:rFonts w:ascii="Times New Roman" w:cs="Times New Roman" w:eastAsia="Times New Roman" w:hAnsi="Times New Roman"/>
          <w:sz w:val="22"/>
          <w:szCs w:val="22"/>
          <w:color w:val="auto"/>
        </w:rPr>
        <w:t>” shall have the meaning set forth in Section 8.1.</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1.85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Regulatory Authority</w:t>
      </w:r>
      <w:r>
        <w:rPr>
          <w:rFonts w:ascii="Times New Roman" w:cs="Times New Roman" w:eastAsia="Times New Roman" w:hAnsi="Times New Roman"/>
          <w:sz w:val="22"/>
          <w:szCs w:val="22"/>
          <w:color w:val="auto"/>
        </w:rPr>
        <w:t>” shall mean any Governmental Authority whose review or approval is necessary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design, manufacture, packaging, use, storage, import, export, distribution, promotion, marketing, offer for sale and sale of Product. Where governmental approval is required for pricing or reimbursement for Product to be reimbursed by national health insurance (or its local equivalent), “Regulatory Authority” shall also include any Governmental Authority whose review or approval of pricing or reimbursement is required.</w:t>
      </w:r>
    </w:p>
    <w:p>
      <w:pPr>
        <w:spacing w:after="0" w:line="17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1.86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Regulatory Exclusivity</w:t>
      </w:r>
      <w:r>
        <w:rPr>
          <w:rFonts w:ascii="Times New Roman" w:cs="Times New Roman" w:eastAsia="Times New Roman" w:hAnsi="Times New Roman"/>
          <w:sz w:val="22"/>
          <w:szCs w:val="22"/>
          <w:color w:val="auto"/>
        </w:rPr>
        <w:t>” shall mean the ability to exclude any other Person from manufacturing or commercializing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product that could compete with Product in a specified country in the Territory, either through data exclusivity rights, orphan drug designation, or such other rights conferred by a Regulatory Authority in such country.</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1.87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Regulatory Filing</w:t>
      </w:r>
      <w:r>
        <w:rPr>
          <w:rFonts w:ascii="Times New Roman" w:cs="Times New Roman" w:eastAsia="Times New Roman" w:hAnsi="Times New Roman"/>
          <w:sz w:val="22"/>
          <w:szCs w:val="22"/>
          <w:color w:val="auto"/>
        </w:rPr>
        <w:t>” shall mean all approvals, clearances, licenses, registrations, submissions and authorizations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to or received from a Regulatory Authority necessary for the development, manufacture or commercialization of a medical device and/or pharmaceutical product, including any investigational new drug applications, clinical trial applications, drug master files, device master files and Marketing Approvals.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Royalty Report</w:t>
      </w:r>
      <w:r>
        <w:rPr>
          <w:rFonts w:ascii="Times New Roman" w:cs="Times New Roman" w:eastAsia="Times New Roman" w:hAnsi="Times New Roman"/>
          <w:sz w:val="22"/>
          <w:szCs w:val="22"/>
          <w:color w:val="auto"/>
        </w:rPr>
        <w:t>” shall have the meaning set forth in Section 7.1.</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4" w:name="page135"/>
    <w:bookmarkEnd w:id="134"/>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shall mean the U.S. Securities and Exchange Commission, or any successor agency.</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1.90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Segregate</w:t>
      </w:r>
      <w:r>
        <w:rPr>
          <w:rFonts w:ascii="Times New Roman" w:cs="Times New Roman" w:eastAsia="Times New Roman" w:hAnsi="Times New Roman"/>
          <w:sz w:val="22"/>
          <w:szCs w:val="22"/>
          <w:color w:val="auto"/>
        </w:rPr>
        <w:t>” shall mean with respect to a product or program, to use Commercially Reasonable Efforts to segregate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development and commercialization activities relating to such product or program from development and commercialization with respect to Product under this Agreement, including using Commercially Reasonable Efforts to ensure that: (i) no personnel involved in performing the development or commercialization of such product or program have access to non-public plans or information relating to the development or commercialization of Product (provided that management personnel may review and evaluate plans and information regarding the development and commercialization of Product in connection with portfolio decision-making or other company-wide responsibilities); and (ii) no personnel involved in performing the development or commercialization of Product have access to non-public plans or information relating to the development or commercialization of such product or program (provided that management personnel may review and evaluate plans and information regarding the development and commercialization of such product or program in connection with portfolio decision-making or other company-wide responsibilities).</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1.91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Matters</w:t>
      </w:r>
      <w:r>
        <w:rPr>
          <w:rFonts w:ascii="Times New Roman" w:cs="Times New Roman" w:eastAsia="Times New Roman" w:hAnsi="Times New Roman"/>
          <w:sz w:val="22"/>
          <w:szCs w:val="22"/>
          <w:color w:val="auto"/>
        </w:rPr>
        <w:t>” shall mean the subject matter described in the separate letter delivered by MannKind to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and confirmed in writing by United Therapeutics on the Execution Date.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1.92</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shall have the meaning set forth in Section 12.1.</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1.93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Territory</w:t>
      </w:r>
      <w:r>
        <w:rPr>
          <w:rFonts w:ascii="Times New Roman" w:cs="Times New Roman" w:eastAsia="Times New Roman" w:hAnsi="Times New Roman"/>
          <w:sz w:val="22"/>
          <w:szCs w:val="22"/>
          <w:color w:val="auto"/>
        </w:rPr>
        <w:t>” shall mean everywhere.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w:t>
      </w:r>
      <w:r>
        <w:rPr>
          <w:rFonts w:ascii="Times New Roman" w:cs="Times New Roman" w:eastAsia="Times New Roman" w:hAnsi="Times New Roman"/>
          <w:sz w:val="22"/>
          <w:szCs w:val="22"/>
          <w:color w:val="auto"/>
        </w:rPr>
        <w:t>” shall mean any Person other than MannKind, United Therapeutics and their respective Affiliates.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 Claims</w:t>
      </w:r>
      <w:r>
        <w:rPr>
          <w:rFonts w:ascii="Times New Roman" w:cs="Times New Roman" w:eastAsia="Times New Roman" w:hAnsi="Times New Roman"/>
          <w:sz w:val="22"/>
          <w:szCs w:val="22"/>
          <w:color w:val="auto"/>
        </w:rPr>
        <w:t>” shall have the meaning set forth in Section 11.1.</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1.96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U.S.</w:t>
      </w:r>
      <w:r>
        <w:rPr>
          <w:rFonts w:ascii="Times New Roman" w:cs="Times New Roman" w:eastAsia="Times New Roman" w:hAnsi="Times New Roman"/>
          <w:sz w:val="22"/>
          <w:szCs w:val="22"/>
          <w:color w:val="auto"/>
        </w:rPr>
        <w:t>” shall mean the United States of America, including its territories and possessions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District of Columbia.</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United Therapeutics Indemnitees</w:t>
      </w:r>
      <w:r>
        <w:rPr>
          <w:rFonts w:ascii="Times New Roman" w:cs="Times New Roman" w:eastAsia="Times New Roman" w:hAnsi="Times New Roman"/>
          <w:sz w:val="22"/>
          <w:szCs w:val="22"/>
          <w:color w:val="auto"/>
        </w:rPr>
        <w:t>” shall have the meaning set forth in Section 11.2.</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1.98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United Therapeutics Know-How</w:t>
      </w:r>
      <w:r>
        <w:rPr>
          <w:rFonts w:ascii="Times New Roman" w:cs="Times New Roman" w:eastAsia="Times New Roman" w:hAnsi="Times New Roman"/>
          <w:sz w:val="22"/>
          <w:szCs w:val="22"/>
          <w:color w:val="auto"/>
        </w:rPr>
        <w:t>” shall mean all Information that (a) is Controlled by United Therapeutics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Affiliates as of the Effective Date or during the Term and (b) is necessary for the development, manufacture, use, import, offer for sale or sale of Product in the Field.</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1.99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United Therapeutics Patents</w:t>
      </w:r>
      <w:r>
        <w:rPr>
          <w:rFonts w:ascii="Times New Roman" w:cs="Times New Roman" w:eastAsia="Times New Roman" w:hAnsi="Times New Roman"/>
          <w:sz w:val="22"/>
          <w:szCs w:val="22"/>
          <w:color w:val="auto"/>
        </w:rPr>
        <w:t>” shall mean all Patents Controlled by United Therapeutics or any of its Affiliates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Effective Date or during the Term that are necessary for the development, manufacture, use, import, offer for sale, or sale of Product in the Field, but excluding any Joint Patents.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5" w:name="page136"/>
    <w:bookmarkEnd w:id="135"/>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1.100</w:t>
      </w:r>
      <w:r>
        <w:rPr>
          <w:rFonts w:ascii="Times New Roman" w:cs="Times New Roman" w:eastAsia="Times New Roman" w:hAnsi="Times New Roman"/>
          <w:sz w:val="22"/>
          <w:szCs w:val="22"/>
          <w:b w:val="1"/>
          <w:bCs w:val="1"/>
          <w:i w:val="1"/>
          <w:iCs w:val="1"/>
          <w:color w:val="auto"/>
        </w:rPr>
        <w:t>“United Therapeutics Technology</w:t>
      </w:r>
      <w:r>
        <w:rPr>
          <w:rFonts w:ascii="Times New Roman" w:cs="Times New Roman" w:eastAsia="Times New Roman" w:hAnsi="Times New Roman"/>
          <w:sz w:val="22"/>
          <w:szCs w:val="22"/>
          <w:color w:val="auto"/>
        </w:rPr>
        <w:t>” shall mean all United Therapeutics Know-How, United Therapeutics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United Therapeutics’ or its Affiliate’s interest in Joint Patents and Joint Inventions.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1.101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Valid Claim</w:t>
      </w:r>
      <w:r>
        <w:rPr>
          <w:rFonts w:ascii="Times New Roman" w:cs="Times New Roman" w:eastAsia="Times New Roman" w:hAnsi="Times New Roman"/>
          <w:sz w:val="22"/>
          <w:szCs w:val="22"/>
          <w:color w:val="auto"/>
        </w:rPr>
        <w:t>” shall mean a claim of an issued and unexpired Patent included within the MannKind Patents or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in the Territory that (a) has not been held unenforceable, unpatentable or invalid by a decision of a court or other governmental agency of competent jurisdiction, unappealable or unappealed within the time allowed for appeal, and (b) has not been admitted to be invalid or unenforceable through reissue, disclaimer or otherwise.</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1.102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Wind-down Period</w:t>
      </w:r>
      <w:r>
        <w:rPr>
          <w:rFonts w:ascii="Times New Roman" w:cs="Times New Roman" w:eastAsia="Times New Roman" w:hAnsi="Times New Roman"/>
          <w:sz w:val="22"/>
          <w:szCs w:val="22"/>
          <w:color w:val="auto"/>
        </w:rPr>
        <w:t>” shall mean any period after the date of termination of this Agreement during which,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Section 13.2(a), United Therapeutics is required to continue to perform certain activities.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LICENSE</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2.1Development Licenses. </w:t>
      </w:r>
      <w:r>
        <w:rPr>
          <w:rFonts w:ascii="Times New Roman" w:cs="Times New Roman" w:eastAsia="Times New Roman" w:hAnsi="Times New Roman"/>
          <w:sz w:val="21"/>
          <w:szCs w:val="21"/>
          <w:color w:val="auto"/>
        </w:rPr>
        <w:t>Subject to the terms and conditions of this Agreement, (a) MannKind hereby grants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United Therapeutics an exclusive (except as to MannKind which shall retain during the Development Term such rights as are necessary to fulfil its obligations under the Development Plan), royalty-free license, with the right to grant sublicenses as provided in Section 2.3, under the MannKind Technology to develop and seek Marketing Approval for Product (including to conduct non-clinical research and clinical studies, and to make and have made Product for purposes thereof) in the Field in the Territory, and (b) United Therapeutics hereby grants to MannKind a non-exclusive, worldwide, royalty-free license, with the right to grant sublicenses to Affiliates, under United Therapeutics Technology as is necessary for MannKind to perform activities to be performed by MannKind under the Development Plan, solely to perform such activities during the Development Term.</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2.2License to United Therapeutics. </w:t>
      </w:r>
      <w:r>
        <w:rPr>
          <w:rFonts w:ascii="Times New Roman" w:cs="Times New Roman" w:eastAsia="Times New Roman" w:hAnsi="Times New Roman"/>
          <w:sz w:val="22"/>
          <w:szCs w:val="22"/>
          <w:color w:val="auto"/>
        </w:rPr>
        <w:t>Subject to the terms and conditions of this Agreement, MannKind hereby grants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an exclusive, royalty-bearing license, with the right to grant sublicenses as provided in Section 2.3, under the MannKind Technology to make and have made, use, sell, offer for sale, have sold and import Product in the Field in the Territory. The license granted in this Section 2.2 shall be exclusive even as to MannKind, subject to Section 5.2 and the rights reserved by MannKind pursuant to Section 2.4.</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2.3Sublicenses</w:t>
      </w:r>
      <w:r>
        <w:rPr>
          <w:rFonts w:ascii="Times New Roman" w:cs="Times New Roman" w:eastAsia="Times New Roman" w:hAnsi="Times New Roman"/>
          <w:sz w:val="22"/>
          <w:szCs w:val="22"/>
          <w:color w:val="auto"/>
        </w:rPr>
        <w:t>. United Therapeutics shall have the right to grant sublicenses through one or more tiers within the scope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rights granted to it under Sections 2.1 and 2.2. Any sublicense shall be in writing and shall be consistent with the terms and conditions of this Agreement. Within 10 days after execution or receipt thereof, as applicable, United Therapeutics shall provide MannKind with a full and complete copy of each sublicense granted to any sublicensee (provided that United Therapeutics may redact any confidential information contained therein that is not necessary to disclose to ensure compliance with this Agreement). United Therapeutics shall be responsible for the acts or omissions of its sublicensees in exercising rights under the sublicense that would constitute a breach hereunder. For the avoidance of doubt, any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6" w:name="page137"/>
    <w:bookmarkEnd w:id="136"/>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2.4Reserved Rights; No Implied Licenses. </w:t>
      </w:r>
      <w:r>
        <w:rPr>
          <w:rFonts w:ascii="Times New Roman" w:cs="Times New Roman" w:eastAsia="Times New Roman" w:hAnsi="Times New Roman"/>
          <w:sz w:val="22"/>
          <w:szCs w:val="22"/>
          <w:color w:val="auto"/>
        </w:rPr>
        <w:t>Except for the rights and licenses expressly granted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retains all rights under its intellectual property, including the MannKind Technology, and United Therapeutics retains all rights under its intellectual property, including the United Therapeutics Technology, and no rights shall be deemed granted by one Party to the other Party by implication, estoppel or otherwise. United Therapeutics agrees, on behalf of itself and its Affiliates, not to practice MannKind Technology except pursuant to the licenses expressly granted to United Therapeutics in this Agreement or any other written agreement between the Parties. MannKind agrees, on behalf of itself and its Affiliates and sublicensees, not to practice United Therapeutics Technology except pursuant to the licenses expressly granted to MannKind in this Agreement or any other written agreement between the Parties.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2.5Exclusivity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MannKind</w:t>
      </w:r>
      <w:r>
        <w:rPr>
          <w:rFonts w:ascii="Times New Roman" w:cs="Times New Roman" w:eastAsia="Times New Roman" w:hAnsi="Times New Roman"/>
          <w:sz w:val="22"/>
          <w:szCs w:val="22"/>
          <w:color w:val="auto"/>
        </w:rPr>
        <w:t>. During the Term, neither MannKind nor any of its Affiliates (subject to Section 15.9)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manufacture or commercialize, or authorize any Third Party to develop, manufacture or commercialize a Competing Product, provided that the foregoing shall not prevent MannKind from fulfilling its development obligations under the Development Plan or its manufacturing and supply obligations or performing any activities under any other written agreement between MannKind and United Therapeutics.</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United Therapeutics</w:t>
      </w:r>
      <w:r>
        <w:rPr>
          <w:rFonts w:ascii="Times New Roman" w:cs="Times New Roman" w:eastAsia="Times New Roman" w:hAnsi="Times New Roman"/>
          <w:sz w:val="22"/>
          <w:szCs w:val="22"/>
          <w:color w:val="auto"/>
        </w:rPr>
        <w:t>. During the Term, neither United Therapeutics nor any of its Affiliates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15.10) shall develop, manufacture or commercialize, or authorize any Third Party to develop, manufacture or commercialize any product (other than Product) containing or comprising any dry powder formulation of API that is or is intended to be primarily administered in or through the lungs.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2.6Option to Add Additional Products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1" w:lineRule="auto"/>
        <w:tabs>
          <w:tab w:leader="none" w:pos="2036"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Subject to the terms and conditions set forth in this Agreement, MannKind hereby grants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an option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include as an “API” for purposes of this Agreement an Optioned Agent (with any Product containing such Optioned Agent, an “</w:t>
      </w:r>
      <w:r>
        <w:rPr>
          <w:rFonts w:ascii="Times New Roman" w:cs="Times New Roman" w:eastAsia="Times New Roman" w:hAnsi="Times New Roman"/>
          <w:sz w:val="22"/>
          <w:szCs w:val="22"/>
          <w:b w:val="1"/>
          <w:bCs w:val="1"/>
          <w:i w:val="1"/>
          <w:iCs w:val="1"/>
          <w:color w:val="auto"/>
        </w:rPr>
        <w:t>Optioned Product</w:t>
      </w:r>
      <w:r>
        <w:rPr>
          <w:rFonts w:ascii="Times New Roman" w:cs="Times New Roman" w:eastAsia="Times New Roman" w:hAnsi="Times New Roman"/>
          <w:sz w:val="22"/>
          <w:szCs w:val="22"/>
          <w:color w:val="auto"/>
        </w:rPr>
        <w:t>”). The Option may be exercised by United Therapeutics pursuant to the procedures set forth in this Section 2.6 at any time during the Term (“</w:t>
      </w:r>
      <w:r>
        <w:rPr>
          <w:rFonts w:ascii="Times New Roman" w:cs="Times New Roman" w:eastAsia="Times New Roman" w:hAnsi="Times New Roman"/>
          <w:sz w:val="22"/>
          <w:szCs w:val="22"/>
          <w:b w:val="1"/>
          <w:bCs w:val="1"/>
          <w:i w:val="1"/>
          <w:iCs w:val="1"/>
          <w:color w:val="auto"/>
        </w:rPr>
        <w:t>Option Period</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w:t>
      </w:r>
      <w:r>
        <w:rPr>
          <w:rFonts w:ascii="Times New Roman" w:cs="Times New Roman" w:eastAsia="Times New Roman" w:hAnsi="Times New Roman"/>
          <w:sz w:val="22"/>
          <w:szCs w:val="22"/>
          <w:color w:val="auto"/>
        </w:rPr>
        <w:t>. To exercise the Option with respect to a particular Optioned Agent,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shall give MannKind written notice during the Option Period identifying the applicable Optioned Agent and stating that United Therapeutics desires that Optioned Product containing such Optioned Agent be included as “Product” under this Agreement (the “</w:t>
      </w:r>
      <w:r>
        <w:rPr>
          <w:rFonts w:ascii="Times New Roman" w:cs="Times New Roman" w:eastAsia="Times New Roman" w:hAnsi="Times New Roman"/>
          <w:sz w:val="22"/>
          <w:szCs w:val="22"/>
          <w:b w:val="1"/>
          <w:bCs w:val="1"/>
          <w:i w:val="1"/>
          <w:iCs w:val="1"/>
          <w:color w:val="auto"/>
        </w:rPr>
        <w:t>Exercise Notice</w:t>
      </w:r>
      <w:r>
        <w:rPr>
          <w:rFonts w:ascii="Times New Roman" w:cs="Times New Roman" w:eastAsia="Times New Roman" w:hAnsi="Times New Roman"/>
          <w:sz w:val="22"/>
          <w:szCs w:val="22"/>
          <w:color w:val="auto"/>
        </w:rPr>
        <w:t>”). United Therapeutics’ exercise of the Option shall be effective upon timely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7" w:name="page138"/>
    <w:bookmarkEnd w:id="137"/>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both"/>
        <w:ind w:firstLine="1505"/>
        <w:spacing w:after="0" w:line="237" w:lineRule="auto"/>
        <w:tabs>
          <w:tab w:leader="none" w:pos="2036"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of Agreement</w:t>
      </w:r>
      <w:r>
        <w:rPr>
          <w:rFonts w:ascii="Times New Roman" w:cs="Times New Roman" w:eastAsia="Times New Roman" w:hAnsi="Times New Roman"/>
          <w:sz w:val="22"/>
          <w:szCs w:val="22"/>
          <w:color w:val="auto"/>
        </w:rPr>
        <w:t>. As soon as practicable (and within ten (10) days) after United Therapeutics’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the Option with respect to a particular Optioned Agent in accordance with Section 2.6(b) above, United Therapeutics and MannKind shall amend the definition of “API” in this Agreement to include the Optioned Agent. In the event additional development work is requested of MannKind in connection with the Optioned Agent, the Parties will negotiate the scope of such efforts (and the financial responsibility of the Parties therefor) as an additional Development Plan to be executed by both Parties as soon as practicable thereafter.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3.1Executive Steering Committee.</w:t>
      </w:r>
    </w:p>
    <w:p>
      <w:pPr>
        <w:spacing w:after="0" w:line="206" w:lineRule="exact"/>
        <w:rPr>
          <w:sz w:val="20"/>
          <w:szCs w:val="20"/>
          <w:color w:val="auto"/>
        </w:rPr>
      </w:pPr>
    </w:p>
    <w:p>
      <w:pPr>
        <w:ind w:firstLine="1505"/>
        <w:spacing w:after="0" w:line="262" w:lineRule="auto"/>
        <w:tabs>
          <w:tab w:leader="none" w:pos="203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Establishment. </w:t>
      </w:r>
      <w:r>
        <w:rPr>
          <w:rFonts w:ascii="Times New Roman" w:cs="Times New Roman" w:eastAsia="Times New Roman" w:hAnsi="Times New Roman"/>
          <w:sz w:val="22"/>
          <w:szCs w:val="22"/>
          <w:color w:val="auto"/>
        </w:rPr>
        <w:t>Within 30 days following the Effective Date, MannKind and United Therapeutics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 an Executive Steering Committee (the “</w:t>
      </w:r>
      <w:r>
        <w:rPr>
          <w:rFonts w:ascii="Times New Roman" w:cs="Times New Roman" w:eastAsia="Times New Roman" w:hAnsi="Times New Roman"/>
          <w:sz w:val="22"/>
          <w:szCs w:val="22"/>
          <w:b w:val="1"/>
          <w:bCs w:val="1"/>
          <w:i w:val="1"/>
          <w:iCs w:val="1"/>
          <w:color w:val="auto"/>
        </w:rPr>
        <w:t>ESC</w:t>
      </w:r>
      <w:r>
        <w:rPr>
          <w:rFonts w:ascii="Times New Roman" w:cs="Times New Roman" w:eastAsia="Times New Roman" w:hAnsi="Times New Roman"/>
          <w:sz w:val="22"/>
          <w:szCs w:val="22"/>
          <w:color w:val="auto"/>
        </w:rPr>
        <w:t>”) to oversee the activities of the Parties under this Agreement.</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Membership. </w:t>
      </w:r>
      <w:r>
        <w:rPr>
          <w:rFonts w:ascii="Times New Roman" w:cs="Times New Roman" w:eastAsia="Times New Roman" w:hAnsi="Times New Roman"/>
          <w:sz w:val="22"/>
          <w:szCs w:val="22"/>
          <w:color w:val="auto"/>
        </w:rPr>
        <w:t>The ESC shall be composed of six members, three of whom shall be nominated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and three of whom shall be nominated by United Therapeutics, which members shall be employees of the applicable Party with the requisite experience and seniority to make decisions on behalf of the Parties with respect to issues within the jurisdiction of the ESC. MannKind and United Therapeutics shall designate their respective initial members of the ESC within 30 days after the Effective Date. Each Party may change its ESC members at any time by written notice to the other Party. United Therapeutics shall have the right to designate the chair of the ESC.</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Meetings. </w:t>
      </w:r>
      <w:r>
        <w:rPr>
          <w:rFonts w:ascii="Times New Roman" w:cs="Times New Roman" w:eastAsia="Times New Roman" w:hAnsi="Times New Roman"/>
          <w:sz w:val="22"/>
          <w:szCs w:val="22"/>
          <w:color w:val="auto"/>
        </w:rPr>
        <w:t>The ESC will hold meetings at such frequency as determined by the ESC members, but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less than once per Calendar Quarter until receipt of Marketing Approval for the Initial Product. Such meetings may be conducted by videoconference, teleconference or in person, as agreed by the Parties; provided, that at least one ESC meeting per year shall be held in person and the location of such in-person meeting shall alternate between MannKind’s and United Therapeutics’ offices, unless the Parties otherwise agree. Each Party may invite a reasonable number of non-member, non-voting representatives of such Party to attend meetings of the ESC. Minutes will be kept of all ESC meetings and will reflect material decisions made at such meetings. The responsibility to prepare minutes of ESC meetings will alternate between MannKind and United Therapeutics. Meeting minutes will be sent to each member of the ESC for review and approval promptly following each meeting. Minutes will be deemed approved unless a member of the ESC objects to the accuracy of such minutes within 15 days of receipt. Any costs and expenses incurred by a Party related to a ESC meeting, including, if applicable, travel and/or telecommunication expenses, shall be borne by such Party.</w:t>
      </w:r>
    </w:p>
    <w:p>
      <w:pPr>
        <w:spacing w:after="0" w:line="200" w:lineRule="exact"/>
        <w:rPr>
          <w:sz w:val="20"/>
          <w:szCs w:val="20"/>
          <w:color w:val="auto"/>
        </w:rPr>
      </w:pP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8" w:name="page139"/>
    <w:bookmarkEnd w:id="138"/>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left="2040" w:hanging="535"/>
        <w:spacing w:after="0"/>
        <w:tabs>
          <w:tab w:leader="none" w:pos="20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Responsibilities. </w:t>
      </w:r>
      <w:r>
        <w:rPr>
          <w:rFonts w:ascii="Times New Roman" w:cs="Times New Roman" w:eastAsia="Times New Roman" w:hAnsi="Times New Roman"/>
          <w:sz w:val="22"/>
          <w:szCs w:val="22"/>
          <w:color w:val="auto"/>
        </w:rPr>
        <w:t>The ESC shall have the following responsibilities:</w:t>
      </w:r>
    </w:p>
    <w:p>
      <w:pPr>
        <w:spacing w:after="0" w:line="182"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reviewing and approving any material changes to a Development Plan;</w:t>
      </w:r>
    </w:p>
    <w:p>
      <w:pPr>
        <w:spacing w:after="0" w:line="206"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providing a forum for the Parties to exchange Data and information and to coordinate their respective activities with respect to development, regulatory and manufacturing matters pertaining to Product;</w:t>
      </w:r>
    </w:p>
    <w:p>
      <w:pPr>
        <w:spacing w:after="0" w:line="154" w:lineRule="exact"/>
        <w:rPr>
          <w:sz w:val="20"/>
          <w:szCs w:val="20"/>
          <w:color w:val="auto"/>
        </w:rPr>
      </w:pPr>
    </w:p>
    <w:p>
      <w:pPr>
        <w:ind w:right="2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receiving periodic updates on material development and regulatory activities conducted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Product in the Territory, including the submission and prosecution of applications for Marketing Approval;</w:t>
      </w:r>
    </w:p>
    <w:p>
      <w:pPr>
        <w:spacing w:after="0" w:line="150" w:lineRule="exact"/>
        <w:rPr>
          <w:sz w:val="20"/>
          <w:szCs w:val="20"/>
          <w:color w:val="auto"/>
        </w:rPr>
      </w:pPr>
    </w:p>
    <w:p>
      <w:pPr>
        <w:ind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providing a forum for the Parties to discuss and coordinate regarding the forecasting, manufacture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supply of Product, and any regulatory activities with respect thereto;</w:t>
      </w:r>
    </w:p>
    <w:p>
      <w:pPr>
        <w:spacing w:after="0" w:line="154" w:lineRule="exact"/>
        <w:rPr>
          <w:sz w:val="20"/>
          <w:szCs w:val="20"/>
          <w:color w:val="auto"/>
        </w:rPr>
      </w:pPr>
    </w:p>
    <w:p>
      <w:pPr>
        <w:ind w:right="20" w:firstLine="2254"/>
        <w:spacing w:after="0" w:line="258" w:lineRule="auto"/>
        <w:tabs>
          <w:tab w:leader="none" w:pos="254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providing a forum for coordinating the Parties’ activities in response to crises with respect to Product, including unexpected disruptions to the supply of Product, safety issues, and recalls or withdrawals of Product;</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resolving all disputes referred to the ESC by working groups responsible for the sub-plans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Development Plan; and</w:t>
      </w:r>
    </w:p>
    <w:p>
      <w:pPr>
        <w:spacing w:after="0" w:line="178" w:lineRule="exact"/>
        <w:rPr>
          <w:sz w:val="20"/>
          <w:szCs w:val="20"/>
          <w:color w:val="auto"/>
        </w:rPr>
      </w:pPr>
    </w:p>
    <w:p>
      <w:pPr>
        <w:jc w:val="both"/>
        <w:ind w:firstLine="1505"/>
        <w:spacing w:after="0" w:line="232" w:lineRule="auto"/>
        <w:tabs>
          <w:tab w:leader="none" w:pos="203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Decision-Making and Dispute Resolution. </w:t>
      </w:r>
      <w:r>
        <w:rPr>
          <w:rFonts w:ascii="Times New Roman" w:cs="Times New Roman" w:eastAsia="Times New Roman" w:hAnsi="Times New Roman"/>
          <w:sz w:val="22"/>
          <w:szCs w:val="22"/>
          <w:color w:val="auto"/>
        </w:rPr>
        <w:t>For clarity, the ESC is intended primarily to be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consultative body with its decision making authority limited to the approval of material changes to the Development Plan (including the constituent development sub-plans). All decisions within the authority of the ESC shall be made by unanimous vote or written consent, with the MannKind members of the ESC collectively having one vote and the United Therapeutics members of the ESC collectively having one vote in all decisions of the ESC. The members of the ESC shall use reasonable efforts to reach agreement on all matters. If, despite such efforts, agreement on a particular matter cannot be reached by the ESC within 10 days after the ESC first considers such matter (or such shorter or longer time as may be agreed by the Parties), then either Party may, by written notice to the other Party, have such matter referred to, on behalf of MannKind, the Chief Executive Officer of MannKind and, on behalf of United Therapeutics, the Chief Executive Officer of United Therapeutics. Such executives shall use reasonable efforts to resolve the matter referred to them within 10 days after such referral. If, despite such efforts, such executives are unable to resolve such matter within 10 days after such referral (or such shorter or longer time as may be agreed by the Parties), then, the chair of the ESC shall have the right to make the final decision with regard to the disputed matter following good faith consideration of MannKind’s comments, provided that the chair of the ESC shall not have power to resolve a dispute: (i) in a manner that would require MannKind to perform activities which materially exceed the scope of, or are materially different in nature with respect to, the activities MannKind has agreed to perform under the Development Plan or has otherwise agreed in writing to perform; (ii) by overriding MannKind’s rights under this Agreement; or (iii) by unilaterally determining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9" w:name="page140"/>
    <w:bookmarkEnd w:id="139"/>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both"/>
        <w:ind w:firstLine="1505"/>
        <w:spacing w:after="0" w:line="233" w:lineRule="auto"/>
        <w:tabs>
          <w:tab w:leader="none" w:pos="203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Working Groups of the ESC. </w:t>
      </w:r>
      <w:r>
        <w:rPr>
          <w:rFonts w:ascii="Times New Roman" w:cs="Times New Roman" w:eastAsia="Times New Roman" w:hAnsi="Times New Roman"/>
          <w:sz w:val="22"/>
          <w:szCs w:val="22"/>
          <w:color w:val="auto"/>
        </w:rPr>
        <w:t>Promptly following its establishment, the ESC shall establish two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working groups, one to oversee the performance of the CMC development activities (“</w:t>
      </w:r>
      <w:r>
        <w:rPr>
          <w:rFonts w:ascii="Times New Roman" w:cs="Times New Roman" w:eastAsia="Times New Roman" w:hAnsi="Times New Roman"/>
          <w:sz w:val="22"/>
          <w:szCs w:val="22"/>
          <w:b w:val="1"/>
          <w:bCs w:val="1"/>
          <w:i w:val="1"/>
          <w:iCs w:val="1"/>
          <w:color w:val="auto"/>
        </w:rPr>
        <w:t>CMC Working Group</w:t>
      </w:r>
      <w:r>
        <w:rPr>
          <w:rFonts w:ascii="Times New Roman" w:cs="Times New Roman" w:eastAsia="Times New Roman" w:hAnsi="Times New Roman"/>
          <w:sz w:val="22"/>
          <w:szCs w:val="22"/>
          <w:color w:val="auto"/>
        </w:rPr>
        <w:t>”) and one to oversee the performance of the manufacturing technology transfer (“</w:t>
      </w:r>
      <w:r>
        <w:rPr>
          <w:rFonts w:ascii="Times New Roman" w:cs="Times New Roman" w:eastAsia="Times New Roman" w:hAnsi="Times New Roman"/>
          <w:sz w:val="22"/>
          <w:szCs w:val="22"/>
          <w:b w:val="1"/>
          <w:bCs w:val="1"/>
          <w:i w:val="1"/>
          <w:iCs w:val="1"/>
          <w:color w:val="auto"/>
        </w:rPr>
        <w:t>Mfg Technology Transfer Working Group</w:t>
      </w:r>
      <w:r>
        <w:rPr>
          <w:rFonts w:ascii="Times New Roman" w:cs="Times New Roman" w:eastAsia="Times New Roman" w:hAnsi="Times New Roman"/>
          <w:sz w:val="22"/>
          <w:szCs w:val="22"/>
          <w:color w:val="auto"/>
        </w:rPr>
        <w:t>”). These working groups shall periodically review their applicable activities within the Initial Development Plan and develop detailed and specific sub-plan updates as needed, which shall be submitted to the ESC for review and approval. In addition, each Party may submit requested modifications to such sub-plans to the ESC, which the ESC will reasonably consider. From time to time, the ESC may establish additional working groups as necessary to oversee particular projects or activities added to the Development Plan, as it deems necessary or advisable. Each working group shall consist of such number of representatives of each Party as the ESC determines is appropriate from time to time and shall meet with such frequency as the ESC shall determine. All decisions of each working group shall be made by unanimous vote or written consent, with the MannKind members of the working group collectively having one vote and the United Therapeutics members of the working group collectively having one vote in all decisions of the working group. If, with respect to a matter that is subject to a working group’s decision-making authority, the working group cannot reach agreement, the matter shall be referred to the ESC, which shall resolve such matter in accordance with Section 3.1(e).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3.2Scope of Governance. </w:t>
      </w:r>
      <w:r>
        <w:rPr>
          <w:rFonts w:ascii="Times New Roman" w:cs="Times New Roman" w:eastAsia="Times New Roman" w:hAnsi="Times New Roman"/>
          <w:sz w:val="22"/>
          <w:szCs w:val="22"/>
          <w:color w:val="auto"/>
        </w:rPr>
        <w:t>Notwithstanding the creation of the ESC, each Party shall retain the rights, powers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granted to it hereunder, and the ESC shall not be delegated or vested with rights, powers or discretion unless such delegation or vesting is expressly provided herein, or the Parties expressly agree in writing. The ESC shall not have the power to amend or modify this Agreement, and no decision of the ESC shall be in contravention of any terms and conditions of this Agreement. It is understood and agreed that issues to be formally decided by the ESC are only those specific issues that are expressly provided in this Agreement to be decided by the ESC. Notwithstanding anything to the contrary in Sections 3.1(e), any dispute regarding the interpretation of this Agreement or any alleged breach of this Agreement will be resolved in accordance with the terms of Article 14.</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ind w:left="760" w:right="3040" w:firstLine="2296"/>
        <w:spacing w:after="0" w:line="435" w:lineRule="auto"/>
        <w:rPr>
          <w:sz w:val="20"/>
          <w:szCs w:val="20"/>
          <w:color w:val="auto"/>
        </w:rPr>
      </w:pPr>
      <w:r>
        <w:rPr>
          <w:rFonts w:ascii="Times New Roman" w:cs="Times New Roman" w:eastAsia="Times New Roman" w:hAnsi="Times New Roman"/>
          <w:sz w:val="22"/>
          <w:szCs w:val="22"/>
          <w:b w:val="1"/>
          <w:bCs w:val="1"/>
          <w:color w:val="auto"/>
        </w:rPr>
        <w:t>DEVELOPMENT AND REGULATORY ACTIVITIES 4.1Development Activities.</w:t>
      </w:r>
    </w:p>
    <w:p>
      <w:pPr>
        <w:spacing w:after="0" w:line="1" w:lineRule="exact"/>
        <w:rPr>
          <w:sz w:val="20"/>
          <w:szCs w:val="20"/>
          <w:color w:val="auto"/>
        </w:rPr>
      </w:pPr>
    </w:p>
    <w:p>
      <w:pPr>
        <w:ind w:left="2040" w:hanging="535"/>
        <w:spacing w:after="0"/>
        <w:tabs>
          <w:tab w:leader="none" w:pos="204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United Therapeutics’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546" w:val="left"/>
        </w:tabs>
        <w:numPr>
          <w:ilvl w:val="1"/>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Except as provided in Section 4.1(b) below, as between the Parties, United Therapeutics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solely responsible for the development of Product(s), including the conduct of clinical trials, and shall bear all of the costs and expenses that it (or its Affiliates or sublicensees) incur in the course of such activities.</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0" w:name="page141"/>
    <w:bookmarkEnd w:id="140"/>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ind w:left="2560" w:hanging="306"/>
        <w:spacing w:after="0" w:line="231" w:lineRule="auto"/>
        <w:tabs>
          <w:tab w:leader="none" w:pos="256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United Therapeutics Diligence</w:t>
      </w:r>
      <w:r>
        <w:rPr>
          <w:rFonts w:ascii="Times New Roman" w:cs="Times New Roman" w:eastAsia="Times New Roman" w:hAnsi="Times New Roman"/>
          <w:sz w:val="22"/>
          <w:szCs w:val="22"/>
          <w:color w:val="auto"/>
        </w:rPr>
        <w:t>.  United Therapeutics shall use Commercially Reasonable Efforts</w:t>
      </w:r>
    </w:p>
    <w:p>
      <w:pPr>
        <w:jc w:val="both"/>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to: (A) carry out such development activities with respect to the Initial Product as may be necessary to support filing for Marketing Approval for the Initial Product in the United States, and (B) upon successful completion of such development activities, to file for, and obtain Marketing Approval for, the Initial Product in the United States. Notwithstanding the foregoing:</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30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United Therapeutics has expended at least [***] U.S. Dollars (USD $[***]) on the development of the Initial Product in any Calendar Year (at least $[***] of which shall be out-of-pocket expenditures), such expenditure shall constitute conclusive evidence of United Therapeutics having used Commercially Reasonable Efforts with respect to the development of the Initial Product in such Calendar Year, and (2) United Therapeutics’ receipt of Marketing Approval for the Initial Product in the United States shall constitute conclusive evidence that United Therapeutics has fulfilled in full its diligence obligations under this Section 4.1(a)(ii).</w:t>
      </w:r>
    </w:p>
    <w:p>
      <w:pPr>
        <w:spacing w:after="0" w:line="179"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(iii)Reports</w:t>
      </w:r>
      <w:r>
        <w:rPr>
          <w:rFonts w:ascii="Times New Roman" w:cs="Times New Roman" w:eastAsia="Times New Roman" w:hAnsi="Times New Roman"/>
          <w:sz w:val="22"/>
          <w:szCs w:val="22"/>
          <w:color w:val="auto"/>
        </w:rPr>
        <w:t>. Up until the First Commercial Sale of the Initial Product, United Therapeutics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MannKind with annual written summary reports detailing the progress and results of development activities with respect to the Initial Product. After the First Commercial Sale of the Initial Product, United Therapeutics shall provide MannKind with royalty reports as provided in Section 7.1 below.</w:t>
      </w:r>
    </w:p>
    <w:p>
      <w:pPr>
        <w:spacing w:after="0" w:line="172" w:lineRule="exact"/>
        <w:rPr>
          <w:sz w:val="20"/>
          <w:szCs w:val="20"/>
          <w:color w:val="auto"/>
        </w:rPr>
      </w:pPr>
    </w:p>
    <w:p>
      <w:pPr>
        <w:ind w:left="2040" w:hanging="535"/>
        <w:spacing w:after="0"/>
        <w:tabs>
          <w:tab w:leader="none" w:pos="20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MannKind’s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MannKind shall be responsible for performing those tasks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of the Initial Product that are set forth in the Initial Development Plan and those tasks with respect to the development of any additional Product(s) that are set forth in any Additional Development Plans mutually agreed by the Parties. Except as provided in Section 6.4, MannKind shall be responsible for the costs associated with the performance of its obligations under the Development Plan. Notwithstanding the foregoing, in the event that MannKind is required to have its personnel visit United Therapeutics’ facilities in connection with the manufacturing technology transfer activities contemplated in the Initial Development Plan, United Therapeutics agrees to reimburse MannKind for the reasonable travel and lodging expenses incurred in connection therewith.</w:t>
      </w:r>
    </w:p>
    <w:p>
      <w:pPr>
        <w:spacing w:after="0" w:line="178" w:lineRule="exact"/>
        <w:rPr>
          <w:rFonts w:ascii="Times New Roman" w:cs="Times New Roman" w:eastAsia="Times New Roman" w:hAnsi="Times New Roman"/>
          <w:sz w:val="22"/>
          <w:szCs w:val="22"/>
          <w:b w:val="1"/>
          <w:bCs w:val="1"/>
          <w:color w:val="auto"/>
        </w:rPr>
      </w:pPr>
    </w:p>
    <w:p>
      <w:pPr>
        <w:jc w:val="both"/>
        <w:ind w:firstLine="2254"/>
        <w:spacing w:after="0" w:line="237" w:lineRule="auto"/>
        <w:tabs>
          <w:tab w:leader="none" w:pos="2546"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MannKind Diligence. </w:t>
      </w:r>
      <w:r>
        <w:rPr>
          <w:rFonts w:ascii="Times New Roman" w:cs="Times New Roman" w:eastAsia="Times New Roman" w:hAnsi="Times New Roman"/>
          <w:sz w:val="22"/>
          <w:szCs w:val="22"/>
          <w:color w:val="auto"/>
        </w:rPr>
        <w:t>MannKind shall use Commercially Reasonable Efforts to conduct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the activities assigned to it in the Development Plan in accordance with the timelines specified therein. Without limiting the foregoing, MannKind shall proceed diligently and in a timely manner with the activities assigned to it under the Development Plan by using its good faith efforts to allocate sufficient time, effort, equipment and facilities to such development activities and to use personnel with sufficient skills and experience as are required to accomplish such activities in accordance with the terms of the Development Plan and this Agreement.</w:t>
      </w:r>
    </w:p>
    <w:p>
      <w:pPr>
        <w:spacing w:after="0" w:line="175"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Mutual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firstLine="2254"/>
        <w:spacing w:after="0" w:line="262" w:lineRule="auto"/>
        <w:tabs>
          <w:tab w:leader="none" w:pos="2546"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Development Plan and Applicable Laws. </w:t>
      </w:r>
      <w:r>
        <w:rPr>
          <w:rFonts w:ascii="Times New Roman" w:cs="Times New Roman" w:eastAsia="Times New Roman" w:hAnsi="Times New Roman"/>
          <w:sz w:val="22"/>
          <w:szCs w:val="22"/>
          <w:color w:val="auto"/>
        </w:rPr>
        <w:t>Each Party shall conduct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activities assigned to it under the Development Plan in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1" w:name="page142"/>
    <w:bookmarkEnd w:id="141"/>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both"/>
        <w:ind w:firstLine="2254"/>
        <w:spacing w:after="0" w:line="236" w:lineRule="auto"/>
        <w:tabs>
          <w:tab w:leader="none" w:pos="2546"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Information Regarding Development Activities Under the Development Plan</w:t>
      </w:r>
      <w:r>
        <w:rPr>
          <w:rFonts w:ascii="Times New Roman" w:cs="Times New Roman" w:eastAsia="Times New Roman" w:hAnsi="Times New Roman"/>
          <w:sz w:val="22"/>
          <w:szCs w:val="22"/>
          <w:color w:val="auto"/>
        </w:rPr>
        <w:t>. Each Party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records, in sufficient detail and in good scientific manner appropriate for Patent and regulatory purposes, which shall fully and properly reflect all work done and results achieved by or on behalf of such Party in the performance of the activities assigned to it under the Development Plan. MannKind shall keep the ESC appropriately informed of the status of its activities conducted under the Development Plan. Upon request by the ESC, without limiting the foregoing, each Party shall promptly provide the ESC with summaries in reasonable detail of all Data and results generated or obtained in the course of such Party’s performance of its activities under the Development Plan.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4.2Regulatory Activities.</w:t>
      </w:r>
    </w:p>
    <w:p>
      <w:pPr>
        <w:spacing w:after="0" w:line="206" w:lineRule="exact"/>
        <w:rPr>
          <w:sz w:val="20"/>
          <w:szCs w:val="20"/>
          <w:color w:val="auto"/>
        </w:rPr>
      </w:pPr>
    </w:p>
    <w:p>
      <w:pPr>
        <w:ind w:firstLine="1505"/>
        <w:spacing w:after="0" w:line="262" w:lineRule="auto"/>
        <w:tabs>
          <w:tab w:leader="none" w:pos="203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Regulatory Strategy. </w:t>
      </w:r>
      <w:r>
        <w:rPr>
          <w:rFonts w:ascii="Times New Roman" w:cs="Times New Roman" w:eastAsia="Times New Roman" w:hAnsi="Times New Roman"/>
          <w:sz w:val="22"/>
          <w:szCs w:val="22"/>
          <w:color w:val="auto"/>
        </w:rPr>
        <w:t>United Therapeutics shall develop and be solely responsible for the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strategy for Product in the Field in the Territory.</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Regulatory Submissions and Marketing Approvals. </w:t>
      </w:r>
      <w:r>
        <w:rPr>
          <w:rFonts w:ascii="Times New Roman" w:cs="Times New Roman" w:eastAsia="Times New Roman" w:hAnsi="Times New Roman"/>
          <w:sz w:val="22"/>
          <w:szCs w:val="22"/>
          <w:color w:val="auto"/>
        </w:rPr>
        <w:t>At its sole expense, United Therapeutics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shall be responsible for filing and attempting to obtain Marketing Approval for the Product in the Field in the Territory and as between the Parties, shall own, all Regulatory Filings for the Product in the Territory, including all investigational new drug applications, investigational device exemptions and filings for Marketing Approvals.</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of IND</w:t>
      </w:r>
      <w:r>
        <w:rPr>
          <w:rFonts w:ascii="Times New Roman" w:cs="Times New Roman" w:eastAsia="Times New Roman" w:hAnsi="Times New Roman"/>
          <w:sz w:val="22"/>
          <w:szCs w:val="22"/>
          <w:color w:val="auto"/>
        </w:rPr>
        <w:t>. As soon as practicable, but in any event within 30 days after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will transfer the IND to United Therapeutics. Following the Effective Date, MannKind shall not initiate any interaction with any Regulatory Authority regarding the Product, nor engage in any correspondence with any Regulatory Authority regarding the Product, in each case except at the direction of United Therapeutics. In the event that MannKind receives any communications from a Regulatory Authority with respect to the Product, MannKind will promptly notify United Therapeutics and collaborate with United Therapeutics in drafting such response as United Therapeutics may reasonably deem appropriate. For clarity, commencing on the Effective Date, United Therapeutics shall have ultimate decision-making authority with respect to any communications with any competent Governmental Authority, Regulatory Authority or other administrative body with respect to the Product, including without limitation, the FDA. MannKind shall promptly provide to United Therapeutics copies of all Regulatory Filings for the Product made by or on behalf of MannKind or its Affiliates, together with copies of any correspondence with Regulatory Authorities or other government agencies relating to such Regulatory Filings and/or Product. Without limiting the foregoing, MannKind will ensure that it has transferred to United Therapeutics all Information that MannKind was required by Applicable Laws to maintain as the holder of the IND or that is necessary or useful to prepare and defend any inquiries from Regulatory Authorities.</w:t>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2" w:name="page143"/>
    <w:bookmarkEnd w:id="142"/>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1505"/>
        <w:spacing w:after="0" w:line="235" w:lineRule="auto"/>
        <w:tabs>
          <w:tab w:leader="none" w:pos="2036"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Upon request by United Therapeutics, MannKind shall provide reasonable assistance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in relation to the regulatory activities described in this Section 4.2, including without limitation assisting United Therapeutics in the preparation of Regulatory Filings for Product in the Territory.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4.3Right of Reference.</w:t>
      </w:r>
    </w:p>
    <w:p>
      <w:pPr>
        <w:spacing w:after="0" w:line="206" w:lineRule="exact"/>
        <w:rPr>
          <w:sz w:val="20"/>
          <w:szCs w:val="20"/>
          <w:color w:val="auto"/>
        </w:rPr>
      </w:pPr>
    </w:p>
    <w:p>
      <w:pPr>
        <w:jc w:val="both"/>
        <w:ind w:firstLine="1505"/>
        <w:spacing w:after="0" w:line="235" w:lineRule="auto"/>
        <w:tabs>
          <w:tab w:leader="none" w:pos="2036"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By MannKind</w:t>
      </w:r>
      <w:r>
        <w:rPr>
          <w:rFonts w:ascii="Times New Roman" w:cs="Times New Roman" w:eastAsia="Times New Roman" w:hAnsi="Times New Roman"/>
          <w:sz w:val="22"/>
          <w:szCs w:val="22"/>
          <w:color w:val="auto"/>
        </w:rPr>
        <w:t>. MannKind shall grant to United Therapeutics: (a) a right of reference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DMF as well as to all other Regulatory Filings (including Data contained therein) of MannKind or its Affiliates related to Product, and (b) the right to access such Regulatory Filings and any data therein and use such data in connection with the performance of its obligations and exercise of its rights under this Agreement, including inclusion of such data in its own Regulatory Filings for Product, which rights United Therapeutics may extend to its Affiliates and sublicensees of such Products. Upon request from United Therapeutics, MannKind shall provide a signed statement to this effect, if United Therapeutics, in accordance with 21 C.F.R. § 314.50(g)(3) or the equivalent as required in any country or region or otherwise provide appropriate notification of such right of United Therapeutics to the applicable Regulatory Authority. MannKind will provide, and cause its Affiliates to provide, cooperation to United Therapeutics to effect the foregoing.</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3" w:lineRule="auto"/>
        <w:tabs>
          <w:tab w:leader="none" w:pos="2036"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By United Therapeutics</w:t>
      </w:r>
      <w:r>
        <w:rPr>
          <w:rFonts w:ascii="Times New Roman" w:cs="Times New Roman" w:eastAsia="Times New Roman" w:hAnsi="Times New Roman"/>
          <w:sz w:val="22"/>
          <w:szCs w:val="22"/>
          <w:color w:val="auto"/>
        </w:rPr>
        <w:t>. United Therapeutics shall grant to MannKind: (a) a right of reference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Regulatory Filings (including Data contained therein) of United Therapeutics or its Affiliates related to Product, and</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33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access such Regulatory Filings and any data therein and use such data in connection with its own Regulatory Filings for products other than Product, which rights MannKind may extend to its Affiliates and licensees of such products. Upon request from MannKind, United Therapeutics shall provide a signed statement to this effect, if MannKind, in accordance with 21 C.F.R. § 314.50(g)(3) or the equivalent as required in any country or region or otherwise provide appropriate notification of such right of MannKind to the applicable Regulatory Authority. United Therapeutics will provide, and cause its Affiliates to provide, cooperation to MannKind to effect the foregoing</w:t>
      </w:r>
    </w:p>
    <w:p>
      <w:pPr>
        <w:spacing w:after="0" w:line="148" w:lineRule="exact"/>
        <w:rPr>
          <w:sz w:val="20"/>
          <w:szCs w:val="20"/>
          <w:color w:val="auto"/>
        </w:rPr>
      </w:pPr>
    </w:p>
    <w:p>
      <w:pPr>
        <w:jc w:val="both"/>
        <w:ind w:firstLine="749"/>
        <w:spacing w:after="0" w:line="252" w:lineRule="exact"/>
        <w:rPr>
          <w:sz w:val="20"/>
          <w:szCs w:val="20"/>
          <w:color w:val="auto"/>
        </w:rPr>
      </w:pPr>
      <w:r>
        <w:rPr>
          <w:rFonts w:ascii="Times New Roman" w:cs="Times New Roman" w:eastAsia="Times New Roman" w:hAnsi="Times New Roman"/>
          <w:sz w:val="22"/>
          <w:szCs w:val="22"/>
          <w:b w:val="1"/>
          <w:bCs w:val="1"/>
          <w:color w:val="auto"/>
        </w:rPr>
        <w:t>4.4Provision of Know</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How. </w:t>
      </w:r>
      <w:r>
        <w:rPr>
          <w:rFonts w:ascii="Times New Roman" w:cs="Times New Roman" w:eastAsia="Times New Roman" w:hAnsi="Times New Roman"/>
          <w:sz w:val="22"/>
          <w:szCs w:val="22"/>
          <w:color w:val="auto"/>
        </w:rPr>
        <w:t>Promptly following the Effective Date, at no additional cost or expense to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MannKind will transfer to United Therapeutics Data generated by or on behalf of MannKind or its Affiliates, including all pre-clinical and clinical records generated by or on behalf of MannKind with respect to the Initial Product, and provide to United Therapeutics the MannKind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How that exists as of the Effective Date. During the Term, MannKind shall provide to United Therapeutics, at no additional cost or expense to United Therapeutics, all MannKind Know-How that has not previously been provided hereunder promptly upon such MannKind Know-How being obtained or generated by MannKind. MannKind further agrees to make its employees (or the employees of its applicable Affiliate) reasonably available and without charge to answer questions with respect to: (a) the MannKind Know-How (including Data generated by or on behalf of MannKind or its Affiliates), (b) MannKind’s Regulatory Filings and related regulatory Information provided or required to be provided under Section 4.2(c), and (c) the Manufacturing Information provided or required to be provided under Section 5.2(c). For clarity, MannKind’s transfer obligations under this Section 4.4, the transfer of which are</w:t>
      </w:r>
    </w:p>
    <w:p>
      <w:pPr>
        <w:spacing w:after="0" w:line="200" w:lineRule="exact"/>
        <w:rPr>
          <w:sz w:val="20"/>
          <w:szCs w:val="20"/>
          <w:color w:val="auto"/>
        </w:rPr>
      </w:pPr>
    </w:p>
    <w:p>
      <w:pPr>
        <w:spacing w:after="0" w:line="2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3" w:name="page144"/>
    <w:bookmarkEnd w:id="143"/>
    <w:p>
      <w:pPr>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specifically addressed elsewhere (e.g., transfer of Regulatory Filings under Section 4.2(c)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144" w:name="page145"/>
    <w:bookmarkEnd w:id="144"/>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4.5Regulatory Updates</w:t>
      </w:r>
      <w:r>
        <w:rPr>
          <w:rFonts w:ascii="Times New Roman" w:cs="Times New Roman" w:eastAsia="Times New Roman" w:hAnsi="Times New Roman"/>
          <w:sz w:val="22"/>
          <w:szCs w:val="22"/>
          <w:color w:val="auto"/>
        </w:rPr>
        <w:t>. United Therapeutics agrees to keep MannKind reasonably informed as to the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strategy and regulatory activities carried out by or on behalf of United Therapeutics, its Affiliates and sublicensees relating to Product, including its material correspondence and meetings with Regulatory Authorities, by way of updates to the ESC at its meetings and as otherwise reasonably requested by MannKind.</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4.6Use of Subcontractors. </w:t>
      </w:r>
      <w:r>
        <w:rPr>
          <w:rFonts w:ascii="Times New Roman" w:cs="Times New Roman" w:eastAsia="Times New Roman" w:hAnsi="Times New Roman"/>
          <w:sz w:val="21"/>
          <w:szCs w:val="21"/>
          <w:color w:val="auto"/>
        </w:rPr>
        <w:t>MannKind shall not assign, delegate, or subcontract to a Third Party any of the development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regulatory activities assigned to it under the Development Plan without the prior written approval of United Therapeutics, provided that the Parties agree that the subcontractors listed in the Initial Development Plan (“</w:t>
      </w:r>
      <w:r>
        <w:rPr>
          <w:rFonts w:ascii="Times New Roman" w:cs="Times New Roman" w:eastAsia="Times New Roman" w:hAnsi="Times New Roman"/>
          <w:sz w:val="21"/>
          <w:szCs w:val="21"/>
          <w:b w:val="1"/>
          <w:bCs w:val="1"/>
          <w:i w:val="1"/>
          <w:iCs w:val="1"/>
          <w:color w:val="auto"/>
        </w:rPr>
        <w:t>Approved Suppliers</w:t>
      </w:r>
      <w:r>
        <w:rPr>
          <w:rFonts w:ascii="Times New Roman" w:cs="Times New Roman" w:eastAsia="Times New Roman" w:hAnsi="Times New Roman"/>
          <w:sz w:val="21"/>
          <w:szCs w:val="21"/>
          <w:color w:val="auto"/>
        </w:rPr>
        <w:t>”) shall be deemed pre-approved for the tasks indicated therein. United Therapeutics shall be free to perform its development or regulatory activities under this Agreement through one or more subcontractors. In the event that either Party elects to use subcontractors as permitted in this Section 4.6, such Party shall ensure that (a) none of the other Party’s rights hereunder are diminished or otherwise adversely affected as a result of such subcontracting, and (b) the subcontractor undertakes in writing obligations of confidentiality and non-use regarding Confidential Information which are substantially the same as those undertaken by the Parties pursuant to Article 8. In the event a Party performs any of its development or regulatory activities hereunder through a subcontractor, then such Party will at all times be fully responsible for the performance and payment of such subcontractor.</w:t>
      </w:r>
    </w:p>
    <w:p>
      <w:pPr>
        <w:spacing w:after="0" w:line="17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4.7DMF. </w:t>
      </w:r>
      <w:r>
        <w:rPr>
          <w:rFonts w:ascii="Times New Roman" w:cs="Times New Roman" w:eastAsia="Times New Roman" w:hAnsi="Times New Roman"/>
          <w:sz w:val="22"/>
          <w:szCs w:val="22"/>
          <w:color w:val="auto"/>
        </w:rPr>
        <w:t>The Parties acknowledge that MannKind has included certain CMC Information required to be included in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 for Marketing Approval of the Initial Product in a drug master file filed with the FDA and referred to as the DMF. MannKind agrees to file additional drug master file(s) and/or device master file(s) with other Regulatory Authority(ies) as reasonably requested by United Therapeutics, and provide the appropriate authorizations to such Regulatory Authority(ies) allowing the right to review and reference such drug master file(s) and/or device master file(s) in support of applications for Marketing Approval for Product submitted by United Therapeutics (or its permitted designee). To the extent practicable, MannKind shall file such drug master file(s) and/or device master file(s) in coordination with United Therapeutics’ efforts to file and prosecute the applicable Regulatory Filings to such Regulatory Authority and shall be responsible, at its sole expense or as otherwise specified in the Development Plan, for providing the applicable Regulatory Authorities with such additional data as they may request (provided, however, that any additional studies that must be conducted to provide such additional data shall be at United Therapeutics’ expense under Section 6.4 to the extent such studies relate solely or substantially to Product), and for correcting any deficiencies of such drug master file(s) and/or device master file(s) identified by such Regulatory Authority, in each case in a reasonably prompt and efficient manner so as to prevent any delay in obtaining Marketing Approvals based on such drug master file(s) and/or device master file(s). MannKind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5" w:name="page146"/>
    <w:bookmarkEnd w:id="145"/>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4.8Pharmacovigilance</w:t>
      </w:r>
      <w:r>
        <w:rPr>
          <w:rFonts w:ascii="Times New Roman" w:cs="Times New Roman" w:eastAsia="Times New Roman" w:hAnsi="Times New Roman"/>
          <w:sz w:val="22"/>
          <w:szCs w:val="22"/>
          <w:color w:val="auto"/>
        </w:rPr>
        <w:t>. Upon United Therapeutics’ request, the Parties shall negotiate in good faith and enter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agreeable safety data exchange agreement (“</w:t>
      </w:r>
      <w:r>
        <w:rPr>
          <w:rFonts w:ascii="Times New Roman" w:cs="Times New Roman" w:eastAsia="Times New Roman" w:hAnsi="Times New Roman"/>
          <w:sz w:val="22"/>
          <w:szCs w:val="22"/>
          <w:b w:val="1"/>
          <w:bCs w:val="1"/>
          <w:i w:val="1"/>
          <w:iCs w:val="1"/>
          <w:color w:val="auto"/>
        </w:rPr>
        <w:t>Pharmacovigilance Agreement</w:t>
      </w:r>
      <w:r>
        <w:rPr>
          <w:rFonts w:ascii="Times New Roman" w:cs="Times New Roman" w:eastAsia="Times New Roman" w:hAnsi="Times New Roman"/>
          <w:sz w:val="22"/>
          <w:szCs w:val="22"/>
          <w:color w:val="auto"/>
        </w:rPr>
        <w:t>”). Each Party shall comply or procure compliance with the terms and conditions of such Pharmacovigilance Agreement once it has been agreed and executed between the Parties. In the absence of a Pharmacovigilance Agreement, the following terms shall govern with respect to Adverse Events (as defined below).</w:t>
      </w:r>
    </w:p>
    <w:p>
      <w:pPr>
        <w:spacing w:after="0" w:line="181" w:lineRule="exact"/>
        <w:rPr>
          <w:sz w:val="20"/>
          <w:szCs w:val="20"/>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Party shall, and shall require its respective Affiliates to:</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notify the other Party promptly of all information coming into its possession concerning any untoward medical occurrence, whether or not considered Product-related, associated with clinical or commercial uses of a Product or any component thereof (including the Device or Processed FDKP utilized in a Product) (an “</w:t>
      </w:r>
      <w:r>
        <w:rPr>
          <w:rFonts w:ascii="Times New Roman" w:cs="Times New Roman" w:eastAsia="Times New Roman" w:hAnsi="Times New Roman"/>
          <w:sz w:val="22"/>
          <w:szCs w:val="22"/>
          <w:b w:val="1"/>
          <w:bCs w:val="1"/>
          <w:i w:val="1"/>
          <w:iCs w:val="1"/>
          <w:color w:val="auto"/>
        </w:rPr>
        <w:t>Adverse Event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1"/>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 to the other Party a copy of any written submission made by such Party to a Regulatory Authority regarding Adverse Events no later than five (5) days following finalization of such written submission (and, to the extent permissible under time constraints and reporting requirements, in advance of submission to the applicable Regulatory Authority); and</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adhere to all requirements of Applicable Laws that relate to the reporting and investigation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Adverse Events.</w:t>
      </w:r>
    </w:p>
    <w:p>
      <w:pPr>
        <w:spacing w:after="0" w:line="182" w:lineRule="exact"/>
        <w:rPr>
          <w:sz w:val="20"/>
          <w:szCs w:val="20"/>
          <w:color w:val="auto"/>
        </w:rPr>
      </w:pPr>
    </w:p>
    <w:p>
      <w:pPr>
        <w:jc w:val="both"/>
        <w:ind w:right="20" w:firstLine="1505"/>
        <w:spacing w:after="0" w:line="244" w:lineRule="auto"/>
        <w:tabs>
          <w:tab w:leader="none" w:pos="203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Party contracts with a Third Party for research to be performed by such Third Party on the Product, that Party shall require such Third Party to report to the contracting Party the information set forth above; and both Parties shall be furnished a copy of said report.</w:t>
      </w:r>
    </w:p>
    <w:p>
      <w:pPr>
        <w:spacing w:after="0" w:line="16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4.9Information Sharing. </w:t>
      </w:r>
      <w:r>
        <w:rPr>
          <w:rFonts w:ascii="Times New Roman" w:cs="Times New Roman" w:eastAsia="Times New Roman" w:hAnsi="Times New Roman"/>
          <w:sz w:val="22"/>
          <w:szCs w:val="22"/>
          <w:color w:val="auto"/>
        </w:rPr>
        <w:t>The Parties acknowledge that development and registration of a Device in one country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potential to impact the development and registration of a similar Device in the same country as well as in other countries. Similarly the development of a Formulation for pulmonary administration of a particular active pharmaceutical ingredient in one country has the potential to impact the development and registration of the same Formulation for pulmonary administration of a different active pharmaceutical ingredient in the same country as well as in other countries. Accordingly, each Party shall provide the other Party with the following information in the disclosing Party’s possession (and subject to any confidentiality obligations) relating to (i) any drug device combination utilizing the Dreamboat</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inhaler or any other Device that is the same or substantially similar to the Device employed in a Product, and (ii) any drug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6" w:name="page147"/>
    <w:bookmarkEnd w:id="146"/>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1505"/>
        <w:spacing w:after="0" w:line="252" w:lineRule="auto"/>
        <w:tabs>
          <w:tab w:leader="none" w:pos="2036"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Regulatory Actions</w:t>
      </w:r>
      <w:r>
        <w:rPr>
          <w:rFonts w:ascii="Times New Roman" w:cs="Times New Roman" w:eastAsia="Times New Roman" w:hAnsi="Times New Roman"/>
          <w:sz w:val="21"/>
          <w:szCs w:val="21"/>
          <w:color w:val="auto"/>
        </w:rPr>
        <w:t>. All material information pertaining to actions taken by Regulatory Authorities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products described in (i) and (ii) above, including without limitation, any notice, audit notice, notice of initiation by Regulatory Authorities of investigations, inspections, detentions, seizures or injunctions concerning such products, notice of violation letter (i.e., untitled letter), warning letter, service of process or other inquiry, but only to the extent in each case that such action pertains specifically to the Device component or the Processed FDKP component of the applicable product;</w:t>
      </w:r>
    </w:p>
    <w:p>
      <w:pPr>
        <w:spacing w:after="0" w:line="163" w:lineRule="exact"/>
        <w:rPr>
          <w:rFonts w:ascii="Times New Roman" w:cs="Times New Roman" w:eastAsia="Times New Roman" w:hAnsi="Times New Roman"/>
          <w:sz w:val="21"/>
          <w:szCs w:val="21"/>
          <w:b w:val="1"/>
          <w:bCs w:val="1"/>
          <w:color w:val="auto"/>
        </w:rPr>
      </w:pPr>
    </w:p>
    <w:p>
      <w:pPr>
        <w:jc w:val="both"/>
        <w:ind w:firstLine="1505"/>
        <w:spacing w:after="0" w:line="238" w:lineRule="auto"/>
        <w:tabs>
          <w:tab w:leader="none" w:pos="2036"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Regulatory Non-Compliance</w:t>
      </w:r>
      <w:r>
        <w:rPr>
          <w:rFonts w:ascii="Times New Roman" w:cs="Times New Roman" w:eastAsia="Times New Roman" w:hAnsi="Times New Roman"/>
          <w:sz w:val="22"/>
          <w:szCs w:val="22"/>
          <w:color w:val="auto"/>
        </w:rPr>
        <w:t>. All material information pertaining to notices from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Authorities of non-compliance with Applicable Laws in connection with products described in (i) and (ii) above, including without limitation, receipt of a warning letter or other notice of alleged non-compliance from any Regulatory Authority relating to such products, but only to the extent in each case that such non-compliance pertains specifically to the Device component or the Processed FDKP component of the applicable product;</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Safety Data</w:t>
      </w:r>
      <w:r>
        <w:rPr>
          <w:rFonts w:ascii="Times New Roman" w:cs="Times New Roman" w:eastAsia="Times New Roman" w:hAnsi="Times New Roman"/>
          <w:sz w:val="22"/>
          <w:szCs w:val="22"/>
          <w:color w:val="auto"/>
        </w:rPr>
        <w:t>. Any information relating to products of the type described in (i) and (ii) above,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information learned by the Party from its licensees or sublicensees, as applicable, that suggests a hazard, contraindication, side effect or precaution or other potential safety issue with such products, but only to the extent in each case that such hazard, contraindication, side effect or precaution or other potential safety issue is attributable to the Device component or the Processed FDKP component of the applicable product.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ind w:left="760" w:right="2740" w:firstLine="1984"/>
        <w:spacing w:after="0" w:line="435" w:lineRule="auto"/>
        <w:rPr>
          <w:sz w:val="20"/>
          <w:szCs w:val="20"/>
          <w:color w:val="auto"/>
        </w:rPr>
      </w:pPr>
      <w:r>
        <w:rPr>
          <w:rFonts w:ascii="Times New Roman" w:cs="Times New Roman" w:eastAsia="Times New Roman" w:hAnsi="Times New Roman"/>
          <w:sz w:val="22"/>
          <w:szCs w:val="22"/>
          <w:b w:val="1"/>
          <w:bCs w:val="1"/>
          <w:color w:val="auto"/>
        </w:rPr>
        <w:t>COMMERCIALIZATION; MANUFACTURE AND SUPPLY 5.1Commercialization of Product.</w:t>
      </w:r>
    </w:p>
    <w:p>
      <w:pPr>
        <w:spacing w:after="0" w:line="1" w:lineRule="exact"/>
        <w:rPr>
          <w:sz w:val="20"/>
          <w:szCs w:val="20"/>
          <w:color w:val="auto"/>
        </w:rPr>
      </w:pPr>
    </w:p>
    <w:p>
      <w:pPr>
        <w:jc w:val="both"/>
        <w:ind w:firstLine="1505"/>
        <w:spacing w:after="0" w:line="241" w:lineRule="auto"/>
        <w:tabs>
          <w:tab w:leader="none" w:pos="2036"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United Therapeutics Responsibilities. </w:t>
      </w:r>
      <w:r>
        <w:rPr>
          <w:rFonts w:ascii="Times New Roman" w:cs="Times New Roman" w:eastAsia="Times New Roman" w:hAnsi="Times New Roman"/>
          <w:sz w:val="22"/>
          <w:szCs w:val="22"/>
          <w:color w:val="auto"/>
        </w:rPr>
        <w:t>United Therapeutics shall have the exclusive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commercialize Product in the Territory during the Term, subject to the terms and conditions of this Agreement. Without limiting the foregoing, during the Term, United Therapeutics will have the exclusive right and responsibility, at United Therapeutics’ sole expense, for the following with respect to Product in the Territory:</w:t>
      </w:r>
    </w:p>
    <w:p>
      <w:pPr>
        <w:spacing w:after="0" w:line="169"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the commercialization and marketing strategy and tactics (the “</w:t>
      </w:r>
      <w:r>
        <w:rPr>
          <w:rFonts w:ascii="Times New Roman" w:cs="Times New Roman" w:eastAsia="Times New Roman" w:hAnsi="Times New Roman"/>
          <w:sz w:val="22"/>
          <w:szCs w:val="22"/>
          <w:b w:val="1"/>
          <w:bCs w:val="1"/>
          <w:i w:val="1"/>
          <w:iCs w:val="1"/>
          <w:color w:val="auto"/>
        </w:rPr>
        <w:t>Commercial Strategy</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establishing pricing and reimbursement, including payment of applicable rebates and chargebacks;</w:t>
      </w:r>
    </w:p>
    <w:p>
      <w:pPr>
        <w:spacing w:after="0" w:line="214" w:lineRule="exact"/>
        <w:rPr>
          <w:sz w:val="20"/>
          <w:szCs w:val="20"/>
          <w:color w:val="auto"/>
        </w:rPr>
      </w:pPr>
    </w:p>
    <w:p>
      <w:pPr>
        <w:ind w:right="2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managed care and government contracting (including contracting for Product to be available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Government Health Care Programs);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receiving, accepting and filling orders;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7" w:name="page148"/>
    <w:bookmarkEnd w:id="147"/>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left="2560" w:hanging="306"/>
        <w:spacing w:after="0"/>
        <w:tabs>
          <w:tab w:leader="none" w:pos="25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distribution to customers;</w:t>
      </w:r>
    </w:p>
    <w:p>
      <w:pPr>
        <w:spacing w:after="0" w:line="178" w:lineRule="exact"/>
        <w:rPr>
          <w:sz w:val="20"/>
          <w:szCs w:val="20"/>
          <w:color w:val="auto"/>
        </w:rPr>
      </w:pPr>
    </w:p>
    <w:p>
      <w:pPr>
        <w:ind w:left="2260" w:right="1460"/>
        <w:spacing w:after="0" w:line="435"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controlling invoicing, order processing and collecting accounts receivable for sales;</w:t>
      </w:r>
      <w:r>
        <w:rPr>
          <w:rFonts w:ascii="Times New Roman" w:cs="Times New Roman" w:eastAsia="Times New Roman" w:hAnsi="Times New Roman"/>
          <w:sz w:val="22"/>
          <w:szCs w:val="22"/>
          <w:b w:val="1"/>
          <w:bCs w:val="1"/>
          <w:color w:val="auto"/>
        </w:rPr>
        <w:t xml:space="preserve"> (vii)</w:t>
      </w:r>
      <w:r>
        <w:rPr>
          <w:rFonts w:ascii="Times New Roman" w:cs="Times New Roman" w:eastAsia="Times New Roman" w:hAnsi="Times New Roman"/>
          <w:sz w:val="22"/>
          <w:szCs w:val="22"/>
          <w:color w:val="auto"/>
        </w:rPr>
        <w:t>recording sales in its books of account for sales; and</w:t>
      </w:r>
    </w:p>
    <w:p>
      <w:pPr>
        <w:spacing w:after="0" w:line="1" w:lineRule="exact"/>
        <w:rPr>
          <w:sz w:val="20"/>
          <w:szCs w:val="20"/>
          <w:color w:val="auto"/>
        </w:rPr>
      </w:pPr>
    </w:p>
    <w:p>
      <w:pPr>
        <w:ind w:right="2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22"/>
          <w:szCs w:val="22"/>
          <w:color w:val="auto"/>
        </w:rPr>
        <w:t>tracking and reporting transfers of value in connection with Product under applicable state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“aggregate spend”/“sunshine” reporting laws).</w:t>
      </w:r>
    </w:p>
    <w:p>
      <w:pPr>
        <w:spacing w:after="0" w:line="150" w:lineRule="exact"/>
        <w:rPr>
          <w:sz w:val="20"/>
          <w:szCs w:val="20"/>
          <w:color w:val="auto"/>
        </w:rPr>
      </w:pPr>
    </w:p>
    <w:p>
      <w:pPr>
        <w:jc w:val="both"/>
        <w:ind w:firstLine="1505"/>
        <w:spacing w:after="0" w:line="233" w:lineRule="auto"/>
        <w:tabs>
          <w:tab w:leader="none" w:pos="2036"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Commercialization Plan. </w:t>
      </w:r>
      <w:r>
        <w:rPr>
          <w:rFonts w:ascii="Times New Roman" w:cs="Times New Roman" w:eastAsia="Times New Roman" w:hAnsi="Times New Roman"/>
          <w:sz w:val="22"/>
          <w:szCs w:val="22"/>
          <w:color w:val="auto"/>
        </w:rPr>
        <w:t>At least six (6) months prior to anticipated launch of Product,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shall prepare a three-year, non-binding high-level plan for the marketing, promotion and pricing of Product in the Field in the United States as well as a more detailed, non-binding one-year plan that shall contain the commercialization objectives to be achieved during the applicable Calendar Year, the launch, promotion, distribution, detailing and marketing activities to be performed in pursuit of such objectives in such Calendar Year, and a budget setting out the amounts anticipated to be expended in the performance of such activities during such Calendar Year (such three-year high level plan and more detailed one-year plan, collectively the “</w:t>
      </w:r>
      <w:r>
        <w:rPr>
          <w:rFonts w:ascii="Times New Roman" w:cs="Times New Roman" w:eastAsia="Times New Roman" w:hAnsi="Times New Roman"/>
          <w:sz w:val="22"/>
          <w:szCs w:val="22"/>
          <w:b w:val="1"/>
          <w:bCs w:val="1"/>
          <w:i w:val="1"/>
          <w:iCs w:val="1"/>
          <w:color w:val="auto"/>
        </w:rPr>
        <w:t>Commercialization Plan</w:t>
      </w:r>
      <w:r>
        <w:rPr>
          <w:rFonts w:ascii="Times New Roman" w:cs="Times New Roman" w:eastAsia="Times New Roman" w:hAnsi="Times New Roman"/>
          <w:sz w:val="22"/>
          <w:szCs w:val="22"/>
          <w:color w:val="auto"/>
        </w:rPr>
        <w:t>”). Thereafter, United Therapeutics shall provide an updated Commercialization Plan to MannKind on an annual basis and shall additionally modify each such Commercialization Plan throughout the Calendar Year as it deems necessary in its sole discretion to accurately reflect United Therapeutics’ then current plans for the Product, provided that any material amendments to the Commercialization Plan shall be promptly provided to MannKind. Without limiting the provisions of this Section 5.1, at MannKind’s reasonable request, United Therapeutics shall periodically consult with and provide updates to MannKind regarding the Commercial Strategy and commercialization of Product in the Territory.</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United Therapeutics Obligations. </w:t>
      </w:r>
      <w:r>
        <w:rPr>
          <w:rFonts w:ascii="Times New Roman" w:cs="Times New Roman" w:eastAsia="Times New Roman" w:hAnsi="Times New Roman"/>
          <w:sz w:val="22"/>
          <w:szCs w:val="22"/>
          <w:color w:val="auto"/>
        </w:rPr>
        <w:t>United Therapeutics shall endeavor in good faith to market, promote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commercialize Product in the Field in the Territory in accordance with the provisions of this Agreement and the then-current Commercialization Plan. It is acknowledged that the intent of Sections 5.1(b) and Section 5.1(c) is to provide MannKind with an accurate understanding of United Therapeutics plans for the commercialization of the Product in the Territory and that so long as United Therapeutics (i) has endeavored in good faith to ensure that the Commercialization Plan accurately reflects United Therapeutics’ plans for the commercialization of the Product and (ii) attempts in good faith to carry out the activities described in the current Commercialization Plan, it shall have complied with its obligations under this Section 5.1. Failure to comply in any material respect with the obligations of this Section 5.1(c) as described in the preceding sentence shall be deemed a material breach of this Agreement, subject to all of the terms and conditions applicable to a material breach.</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Commercialization Outside the United States</w:t>
      </w:r>
      <w:r>
        <w:rPr>
          <w:rFonts w:ascii="Times New Roman" w:cs="Times New Roman" w:eastAsia="Times New Roman" w:hAnsi="Times New Roman"/>
          <w:sz w:val="22"/>
          <w:szCs w:val="22"/>
          <w:color w:val="auto"/>
        </w:rPr>
        <w:t>. In the event that United Therapeutics determines that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make no commercialization efforts with respect to Product in one or more Major Market Countries outside of the United States, either through its own endeavors or through those of its Affiliates and sublicensees, MannKind shall have the option, exercisable by written notice to United Therapeutics during the Term, to exclude one or more of such Major Market Countries (the “</w:t>
      </w:r>
      <w:r>
        <w:rPr>
          <w:rFonts w:ascii="Times New Roman" w:cs="Times New Roman" w:eastAsia="Times New Roman" w:hAnsi="Times New Roman"/>
          <w:sz w:val="22"/>
          <w:szCs w:val="22"/>
          <w:b w:val="1"/>
          <w:bCs w:val="1"/>
          <w:i w:val="1"/>
          <w:iCs w:val="1"/>
          <w:color w:val="auto"/>
        </w:rPr>
        <w:t>Excluded Countries</w:t>
      </w:r>
      <w:r>
        <w:rPr>
          <w:rFonts w:ascii="Times New Roman" w:cs="Times New Roman" w:eastAsia="Times New Roman" w:hAnsi="Times New Roman"/>
          <w:sz w:val="22"/>
          <w:szCs w:val="22"/>
          <w:color w:val="auto"/>
        </w:rPr>
        <w:t>”) from the Territory. Such exercise shall be effective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8" w:name="page149"/>
    <w:bookmarkEnd w:id="148"/>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5.2Manufacture and Supply.</w:t>
      </w:r>
    </w:p>
    <w:p>
      <w:pPr>
        <w:spacing w:after="0" w:line="206" w:lineRule="exact"/>
        <w:rPr>
          <w:sz w:val="20"/>
          <w:szCs w:val="20"/>
          <w:color w:val="auto"/>
        </w:rPr>
      </w:pPr>
    </w:p>
    <w:p>
      <w:pPr>
        <w:jc w:val="both"/>
        <w:ind w:firstLine="1505"/>
        <w:spacing w:after="0" w:line="247" w:lineRule="auto"/>
        <w:tabs>
          <w:tab w:leader="none" w:pos="2036"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Initial Clinical Supply and Clinical Supply for Pivotal Study and Product Launch</w:t>
      </w:r>
      <w:r>
        <w:rPr>
          <w:rFonts w:ascii="Times New Roman" w:cs="Times New Roman" w:eastAsia="Times New Roman" w:hAnsi="Times New Roman"/>
          <w:sz w:val="21"/>
          <w:szCs w:val="21"/>
          <w:color w:val="auto"/>
        </w:rPr>
        <w:t>. The Parties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establish as soon as practicable following the Effective Date procedures for the supply of Initial Product to United Therapeutics for use by United Therapeutics in continuing the development of the Initial Product, and the Parties shall enter into a clinical supply agreement within three (3) months of the Effective Date pursuant to which MannKind shall supply United Therapeutics with (i) finished Initial Product suitable for use by United Therapeutics in clinical trials, and (ii) semi-finished Product (unkitted, unlabeled Devices and packaged cartridges for Initial Product) for use in the planned pivotal trial for the Initial Product and for subsequent commercial launch, the key terms of which agreement are set forth on an exhibit attached to a separate letter delivered by MannKind to United Therapeutics and agreed to in writing by United Therapeutics as of the Execution Date.</w:t>
      </w:r>
    </w:p>
    <w:p>
      <w:pPr>
        <w:spacing w:after="0" w:line="171" w:lineRule="exact"/>
        <w:rPr>
          <w:rFonts w:ascii="Times New Roman" w:cs="Times New Roman" w:eastAsia="Times New Roman" w:hAnsi="Times New Roman"/>
          <w:sz w:val="21"/>
          <w:szCs w:val="21"/>
          <w:b w:val="1"/>
          <w:bCs w:val="1"/>
          <w:color w:val="auto"/>
        </w:rPr>
      </w:pPr>
    </w:p>
    <w:p>
      <w:pPr>
        <w:jc w:val="both"/>
        <w:ind w:firstLine="1505"/>
        <w:spacing w:after="0" w:line="236" w:lineRule="auto"/>
        <w:tabs>
          <w:tab w:leader="none" w:pos="2036"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Long Term Commercial Supply</w:t>
      </w:r>
      <w:r>
        <w:rPr>
          <w:rFonts w:ascii="Times New Roman" w:cs="Times New Roman" w:eastAsia="Times New Roman" w:hAnsi="Times New Roman"/>
          <w:sz w:val="22"/>
          <w:szCs w:val="22"/>
          <w:color w:val="auto"/>
        </w:rPr>
        <w:t>. At United Therapeutics’ request, the Parties shall enter into long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 supply agreement pursuant to which MannKind shall supply United Therapeutics with assembled Devices (unfilled), unassembled cartridges (lids and cups) and Processed FDKP, which United Therapeutics would then use to manufacture fully packaged, kitted and labeled Initial Product, the key terms of which agreement are set forth on an exhibit attached to a separate letter delivered by MannKind to United Therapeutics and agreed to in writing by United Therapeutics as of the Execution Date. If desired by the Parties, the supply of Accessory Apparatuses may also be included in the long-term commercial supply agreement.</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Manufacturing Information</w:t>
      </w:r>
      <w:r>
        <w:rPr>
          <w:rFonts w:ascii="Times New Roman" w:cs="Times New Roman" w:eastAsia="Times New Roman" w:hAnsi="Times New Roman"/>
          <w:sz w:val="22"/>
          <w:szCs w:val="22"/>
          <w:color w:val="auto"/>
        </w:rPr>
        <w:t>. On United Therapeutics request, MannKind shall deliver to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at no additional cost or expense to United Therapeutics, all Manufacturing Information that exists as of the Effective Date. Upon United Therapeutics’ request at any time, MannKind shall also deliver to United Therapeutics, at no additional cost or expense to United Therapeutics, all Manufacturing Information that has not previously been provided under this Agreement, promptly upon such Manufacturing Information being obtained or generated by MannKind. The Manufacturing Information will be of sufficient detail to enable a reasonably experienced manufacturer to manufacture, assemble, test, operate, and service the Initial Product.</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 United Therapeutics Purchases</w:t>
      </w:r>
      <w:r>
        <w:rPr>
          <w:rFonts w:ascii="Times New Roman" w:cs="Times New Roman" w:eastAsia="Times New Roman" w:hAnsi="Times New Roman"/>
          <w:sz w:val="22"/>
          <w:szCs w:val="22"/>
          <w:color w:val="auto"/>
        </w:rPr>
        <w:t>. The Parties agree that United Therapeutics has the right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2.2 to source all raw materials for the manufacture of Product from the suppliers of its choice. In the event that MannKind enters into a new supply agreement or amends an existing supply agreement with an Approved Supplier for Bulk FDKP 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9" w:name="page150"/>
    <w:bookmarkEnd w:id="149"/>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-11430</wp:posOffset>
            </wp:positionV>
            <wp:extent cx="342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CONSIDERATION</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6.1Initial Payment. </w:t>
      </w:r>
      <w:r>
        <w:rPr>
          <w:rFonts w:ascii="Times New Roman" w:cs="Times New Roman" w:eastAsia="Times New Roman" w:hAnsi="Times New Roman"/>
          <w:sz w:val="22"/>
          <w:szCs w:val="22"/>
          <w:color w:val="auto"/>
        </w:rPr>
        <w:t>In partial consideration for the licenses and rights granted to United Therapeutics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shall pay to MannKind a non-refundable, non-creditable payment in the amount of $45,000,000 within 10 Business Days following the Effective Date.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6.2Milestone Payments.</w:t>
      </w:r>
    </w:p>
    <w:p>
      <w:pPr>
        <w:spacing w:after="0" w:line="206" w:lineRule="exact"/>
        <w:rPr>
          <w:sz w:val="20"/>
          <w:szCs w:val="20"/>
          <w:color w:val="auto"/>
        </w:rPr>
      </w:pPr>
    </w:p>
    <w:p>
      <w:pPr>
        <w:jc w:val="both"/>
        <w:ind w:firstLine="1505"/>
        <w:spacing w:after="0" w:line="238" w:lineRule="auto"/>
        <w:tabs>
          <w:tab w:leader="none" w:pos="2036"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In partial consideration for the licenses and rights granted to United Therapeutics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 the terms and subject to the conditions set forth herein, United Therapeutics shall pay to MannKind the following non-refundable, non-creditable milestone payments set out below (the “</w:t>
      </w:r>
      <w:r>
        <w:rPr>
          <w:rFonts w:ascii="Times New Roman" w:cs="Times New Roman" w:eastAsia="Times New Roman" w:hAnsi="Times New Roman"/>
          <w:sz w:val="22"/>
          <w:szCs w:val="22"/>
          <w:b w:val="1"/>
          <w:bCs w:val="1"/>
          <w:i w:val="1"/>
          <w:iCs w:val="1"/>
          <w:color w:val="auto"/>
        </w:rPr>
        <w:t>Milestone Payments</w:t>
      </w:r>
      <w:r>
        <w:rPr>
          <w:rFonts w:ascii="Times New Roman" w:cs="Times New Roman" w:eastAsia="Times New Roman" w:hAnsi="Times New Roman"/>
          <w:sz w:val="22"/>
          <w:szCs w:val="22"/>
          <w:color w:val="auto"/>
        </w:rPr>
        <w:t>”) following the achievement of the corresponding milestone events (each, a “</w:t>
      </w:r>
      <w:r>
        <w:rPr>
          <w:rFonts w:ascii="Times New Roman" w:cs="Times New Roman" w:eastAsia="Times New Roman" w:hAnsi="Times New Roman"/>
          <w:sz w:val="22"/>
          <w:szCs w:val="22"/>
          <w:b w:val="1"/>
          <w:bCs w:val="1"/>
          <w:i w:val="1"/>
          <w:iCs w:val="1"/>
          <w:color w:val="auto"/>
        </w:rPr>
        <w:t>Milestone</w:t>
      </w:r>
      <w:r>
        <w:rPr>
          <w:rFonts w:ascii="Times New Roman" w:cs="Times New Roman" w:eastAsia="Times New Roman" w:hAnsi="Times New Roman"/>
          <w:sz w:val="22"/>
          <w:szCs w:val="22"/>
          <w:color w:val="auto"/>
        </w:rPr>
        <w:t>”). Such payment shall be made within 10 Business Days of the achievement of the applicable milestone event by United Therapeutics.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8540" w:type="dxa"/>
            <w:vAlign w:val="bottom"/>
            <w:tcBorders>
              <w:top w:val="single" w:sz="8" w:color="auto"/>
              <w:left w:val="single" w:sz="8" w:color="auto"/>
              <w:bottom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270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66"/>
        </w:trPr>
        <w:tc>
          <w:tcPr>
            <w:tcW w:w="8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w:t>
            </w:r>
          </w:p>
        </w:tc>
        <w:tc>
          <w:tcPr>
            <w:tcW w:w="27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$12,500,000</w:t>
            </w:r>
          </w:p>
        </w:tc>
      </w:tr>
      <w:tr>
        <w:trPr>
          <w:trHeight w:val="169"/>
        </w:trPr>
        <w:tc>
          <w:tcPr>
            <w:tcW w:w="8540" w:type="dxa"/>
            <w:vAlign w:val="bottom"/>
            <w:tcBorders>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r>
      <w:tr>
        <w:trPr>
          <w:trHeight w:val="280"/>
        </w:trPr>
        <w:tc>
          <w:tcPr>
            <w:tcW w:w="8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w:t>
            </w:r>
          </w:p>
        </w:tc>
        <w:tc>
          <w:tcPr>
            <w:tcW w:w="27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$12,500,000</w:t>
            </w:r>
          </w:p>
        </w:tc>
      </w:tr>
      <w:tr>
        <w:trPr>
          <w:trHeight w:val="173"/>
        </w:trPr>
        <w:tc>
          <w:tcPr>
            <w:tcW w:w="8540" w:type="dxa"/>
            <w:vAlign w:val="bottom"/>
            <w:tcBorders>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r>
      <w:tr>
        <w:trPr>
          <w:trHeight w:val="280"/>
        </w:trPr>
        <w:tc>
          <w:tcPr>
            <w:tcW w:w="8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w:t>
            </w:r>
          </w:p>
        </w:tc>
        <w:tc>
          <w:tcPr>
            <w:tcW w:w="27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$12,500,000</w:t>
            </w:r>
          </w:p>
        </w:tc>
      </w:tr>
      <w:tr>
        <w:trPr>
          <w:trHeight w:val="173"/>
        </w:trPr>
        <w:tc>
          <w:tcPr>
            <w:tcW w:w="8540" w:type="dxa"/>
            <w:vAlign w:val="bottom"/>
            <w:tcBorders>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r>
      <w:tr>
        <w:trPr>
          <w:trHeight w:val="518"/>
        </w:trPr>
        <w:tc>
          <w:tcPr>
            <w:tcW w:w="85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17"/>
                <w:szCs w:val="17"/>
                <w:color w:val="auto"/>
              </w:rPr>
              <w:t>.</w:t>
            </w:r>
          </w:p>
        </w:tc>
        <w:tc>
          <w:tcPr>
            <w:tcW w:w="2700" w:type="dxa"/>
            <w:vAlign w:val="bottom"/>
          </w:tcPr>
          <w:p>
            <w:pPr>
              <w:spacing w:after="0"/>
              <w:rPr>
                <w:sz w:val="24"/>
                <w:szCs w:val="24"/>
                <w:color w:val="auto"/>
              </w:rPr>
            </w:pPr>
          </w:p>
        </w:tc>
      </w:tr>
      <w:tr>
        <w:trPr>
          <w:trHeight w:val="630"/>
        </w:trPr>
        <w:tc>
          <w:tcPr>
            <w:tcW w:w="85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0" w:name="page151"/>
    <w:bookmarkEnd w:id="150"/>
    <w:p>
      <w:pPr>
        <w:ind w:right="40"/>
        <w:spacing w:after="0" w:line="262"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4225" cy="910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2">
                      <a:extLst>
                        <a:ext uri="{28A0092B-C50C-407E-A947-70E740481C1C}"/>
                      </a:extLst>
                    </a:blip>
                    <a:srcRect/>
                    <a:stretch>
                      <a:fillRect/>
                    </a:stretch>
                  </pic:blipFill>
                  <pic:spPr bwMode="auto">
                    <a:xfrm>
                      <a:off x="0" y="0"/>
                      <a:ext cx="7134225" cy="91059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p>
      <w:pPr>
        <w:ind w:left="480" w:hanging="361"/>
        <w:spacing w:after="0"/>
        <w:tabs>
          <w:tab w:leader="none" w:pos="48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b w:val="1"/>
          <w:bCs w:val="1"/>
          <w:color w:val="auto"/>
        </w:rPr>
      </w:pPr>
    </w:p>
    <w:p>
      <w:pPr>
        <w:ind w:left="460" w:hanging="341"/>
        <w:spacing w:after="0"/>
        <w:tabs>
          <w:tab w:leader="none" w:pos="4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ind w:left="560" w:hanging="441"/>
        <w:spacing w:after="0"/>
        <w:tabs>
          <w:tab w:leader="none" w:pos="56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$12,500,000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$15,000,000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$15,000,000</w:t>
      </w:r>
    </w:p>
    <w:p>
      <w:pPr>
        <w:spacing w:after="0" w:line="200" w:lineRule="exact"/>
        <w:rPr>
          <w:sz w:val="20"/>
          <w:szCs w:val="20"/>
          <w:color w:val="auto"/>
        </w:rPr>
      </w:pPr>
    </w:p>
    <w:p>
      <w:pPr>
        <w:sectPr>
          <w:pgSz w:w="11900" w:h="16838" w:orient="portrait"/>
          <w:cols w:equalWidth="0" w:num="2">
            <w:col w:w="9320" w:space="720"/>
            <w:col w:w="1200"/>
          </w:cols>
          <w:pgMar w:left="320" w:top="1151" w:right="339" w:bottom="1440" w:gutter="0" w:footer="0" w:header="0"/>
          <w:type w:val="continuous"/>
        </w:sectPr>
      </w:pPr>
    </w:p>
    <w:p>
      <w:pPr>
        <w:spacing w:after="0" w:line="270" w:lineRule="exact"/>
        <w:rPr>
          <w:sz w:val="20"/>
          <w:szCs w:val="20"/>
          <w:color w:val="auto"/>
        </w:rPr>
      </w:pPr>
    </w:p>
    <w:p>
      <w:pPr>
        <w:jc w:val="both"/>
        <w:ind w:left="1500"/>
        <w:spacing w:after="0"/>
        <w:tabs>
          <w:tab w:leader="none" w:pos="2020" w:val="left"/>
          <w:tab w:leader="none" w:pos="4840" w:val="left"/>
        </w:tabs>
        <w:rPr>
          <w:sz w:val="20"/>
          <w:szCs w:val="20"/>
          <w:color w:val="auto"/>
        </w:rPr>
      </w:pPr>
      <w:r>
        <w:rPr>
          <w:rFonts w:ascii="Times New Roman" w:cs="Times New Roman" w:eastAsia="Times New Roman" w:hAnsi="Times New Roman"/>
          <w:sz w:val="22"/>
          <w:szCs w:val="22"/>
          <w:b w:val="1"/>
          <w:bCs w:val="1"/>
          <w:color w:val="auto"/>
        </w:rPr>
        <w:t>(b)</w:t>
        <w:tab/>
        <w:t>Certain Additional Terms.</w:t>
      </w:r>
      <w:r>
        <w:rPr>
          <w:sz w:val="20"/>
          <w:szCs w:val="20"/>
          <w:color w:val="auto"/>
        </w:rPr>
        <w:tab/>
      </w:r>
      <w:r>
        <w:rPr>
          <w:rFonts w:ascii="Times New Roman" w:cs="Times New Roman" w:eastAsia="Times New Roman" w:hAnsi="Times New Roman"/>
          <w:sz w:val="22"/>
          <w:szCs w:val="22"/>
          <w:color w:val="auto"/>
        </w:rPr>
        <w:t>For the avoidance of doubt, the following shall apply to Milestone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Payments:</w:t>
      </w:r>
    </w:p>
    <w:p>
      <w:pPr>
        <w:spacing w:after="0" w:line="182" w:lineRule="exact"/>
        <w:rPr>
          <w:sz w:val="20"/>
          <w:szCs w:val="20"/>
          <w:color w:val="auto"/>
        </w:rPr>
      </w:pPr>
    </w:p>
    <w:p>
      <w:pPr>
        <w:jc w:val="both"/>
        <w:ind w:firstLine="2254"/>
        <w:spacing w:after="0" w:line="239" w:lineRule="auto"/>
        <w:tabs>
          <w:tab w:leader="none" w:pos="2546"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Milestone Payments (A) through (D) above shall be made no more than once (and each only upon the first achievement of the corresponding milestone), irrespective of how many Products achieve the corresponding milestone. Milestone Payments (E) and (F) above may be paid more than once (i.e., if there are multiple Optioned Agents), but each shall be paid only once for the first Optioned Product for each Optioned Agent that reaches the corresponding milestone.</w:t>
      </w:r>
    </w:p>
    <w:p>
      <w:pPr>
        <w:spacing w:after="0" w:line="180"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unachieved Milestone Payments shall accrue and be due once notice has been given by United Therapeutics for termination of this Agreement in its entirety under Article 12.</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6.3Royalty Payments.</w:t>
      </w:r>
    </w:p>
    <w:p>
      <w:pPr>
        <w:spacing w:after="0" w:line="206" w:lineRule="exact"/>
        <w:rPr>
          <w:sz w:val="20"/>
          <w:szCs w:val="20"/>
          <w:color w:val="auto"/>
        </w:rPr>
      </w:pPr>
    </w:p>
    <w:p>
      <w:pPr>
        <w:jc w:val="both"/>
        <w:ind w:firstLine="1505"/>
        <w:spacing w:after="0" w:line="246" w:lineRule="auto"/>
        <w:tabs>
          <w:tab w:leader="none" w:pos="203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Royalty Rate. </w:t>
      </w:r>
      <w:r>
        <w:rPr>
          <w:rFonts w:ascii="Times New Roman" w:cs="Times New Roman" w:eastAsia="Times New Roman" w:hAnsi="Times New Roman"/>
          <w:sz w:val="22"/>
          <w:szCs w:val="22"/>
          <w:color w:val="auto"/>
        </w:rPr>
        <w:t>Subject to the terms and conditions of this Agreement, in partial consideration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licenses and rights granted to United Therapeutics under this Agreement, United Therapeutics shall pay to MannKind a royalty of 10% on aggregate Net Sales of Product in the Territory.</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8" w:lineRule="auto"/>
        <w:tabs>
          <w:tab w:leader="none" w:pos="2036"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Third Party Licenses. </w:t>
      </w:r>
      <w:r>
        <w:rPr>
          <w:rFonts w:ascii="Times New Roman" w:cs="Times New Roman" w:eastAsia="Times New Roman" w:hAnsi="Times New Roman"/>
          <w:sz w:val="21"/>
          <w:szCs w:val="21"/>
          <w:color w:val="auto"/>
        </w:rPr>
        <w:t>Without limiting MannKind’s indemnification obligations to United Therapeutics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this Agreement, if, during the Term, United Therapeutics determines in good faith that it is necessary or useful to obtain a license from any Third Party to any Patent in connection with the practice of the MannKind Technology in order to manufacture, use, sell or offer for sale Product in the Field in the Territory, 100% of any royalties paid to such Third Party under the license for such Patent in respect of Product in the Territory may be deducted from royalties otherwise due to MannKind with respect to Product in the Territory under this Agreement; provided in no event shall such deduction reduce the royalties otherwise payable to MannKind in respect of such Product in such country by more than 50% in any Calendar Quarter;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51" w:name="page152"/>
    <w:bookmarkEnd w:id="151"/>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both"/>
        <w:ind w:firstLine="1505"/>
        <w:spacing w:after="0" w:line="235" w:lineRule="auto"/>
        <w:tabs>
          <w:tab w:leader="none" w:pos="2036"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Royalty Term. </w:t>
      </w:r>
      <w:r>
        <w:rPr>
          <w:rFonts w:ascii="Times New Roman" w:cs="Times New Roman" w:eastAsia="Times New Roman" w:hAnsi="Times New Roman"/>
          <w:sz w:val="22"/>
          <w:szCs w:val="22"/>
          <w:color w:val="auto"/>
        </w:rPr>
        <w:t>On a Product-by-Product and country-by-country basis, United Therapeutics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to make royalty payments pursuant to this Section 6.3 beginning upon the First Commercial Sale of Product in such country and continuing until the later of (i) the expiration of the last-to-expire Valid Claim covering Product (or the Formulation or Device included in Product) or its manufacture or use in such country and (ii) the expiration of Regulatory Exclusivity in such country. After the later date described in Section 6.3(c)(i) and (ii), in consideration of the continuing license of MannKind Know-How and Joint Inventions, royalties shall continue to be payable with respect to Net Sales of Product in such country, but the amount of periodic Net Sales shall be reduced by [***]%for purposes of calculating royalties payable in accordance with Section 6.3(a).</w:t>
      </w:r>
    </w:p>
    <w:p>
      <w:pPr>
        <w:spacing w:after="0" w:line="178"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Loss of Market Exclusivity</w:t>
      </w:r>
      <w:r>
        <w:rPr>
          <w:rFonts w:ascii="Times New Roman" w:cs="Times New Roman" w:eastAsia="Times New Roman" w:hAnsi="Times New Roman"/>
          <w:sz w:val="22"/>
          <w:szCs w:val="22"/>
          <w:color w:val="auto"/>
        </w:rPr>
        <w:t>. On a Product-by-Product and country-by-country basis, in the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Loss of Market Exclusivity, the royalty payment due to United Therapeutics for Net Sales of Product in such country shall be reduced to [***]%.</w:t>
      </w:r>
    </w:p>
    <w:p>
      <w:pPr>
        <w:spacing w:after="0" w:line="167"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Aggregate Floor for Royalty Reductions</w:t>
      </w:r>
      <w:r>
        <w:rPr>
          <w:rFonts w:ascii="Times New Roman" w:cs="Times New Roman" w:eastAsia="Times New Roman" w:hAnsi="Times New Roman"/>
          <w:sz w:val="22"/>
          <w:szCs w:val="22"/>
          <w:color w:val="auto"/>
        </w:rPr>
        <w:t>. Notwithstanding Sections 6.3(b), (c) and (d), the royalty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to MannKind shall not be reduced in any Calendar Quarter to less than [***]%.</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6.4Reimbursement of Development Expenses. </w:t>
      </w:r>
      <w:r>
        <w:rPr>
          <w:rFonts w:ascii="Times New Roman" w:cs="Times New Roman" w:eastAsia="Times New Roman" w:hAnsi="Times New Roman"/>
          <w:sz w:val="22"/>
          <w:szCs w:val="22"/>
          <w:color w:val="auto"/>
        </w:rPr>
        <w:t>Subject to the terms of this Section 6.4, (i) United Therapeutics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reimburse MannKind for the Development Expenses it incurs in carrying out those obligations under a Development Plan which are expressly designated as being subject to reimbursement by United Therapeutics;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United Therapeutics shall not be responsible for reimbursing MannKind for Development Expenses that exceed the amount budgeted for such activities in the applicable Budget by more than [***]% unless otherwise approved by the ESC.</w:t>
      </w:r>
    </w:p>
    <w:p>
      <w:pPr>
        <w:spacing w:after="0" w:line="177" w:lineRule="exact"/>
        <w:rPr>
          <w:sz w:val="20"/>
          <w:szCs w:val="20"/>
          <w:color w:val="auto"/>
        </w:rPr>
      </w:pPr>
    </w:p>
    <w:p>
      <w:pPr>
        <w:jc w:val="both"/>
        <w:ind w:firstLine="1505"/>
        <w:spacing w:after="0" w:line="238" w:lineRule="auto"/>
        <w:tabs>
          <w:tab w:leader="none" w:pos="203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w:t>
      </w:r>
      <w:r>
        <w:rPr>
          <w:rFonts w:ascii="Times New Roman" w:cs="Times New Roman" w:eastAsia="Times New Roman" w:hAnsi="Times New Roman"/>
          <w:sz w:val="22"/>
          <w:szCs w:val="22"/>
          <w:color w:val="auto"/>
        </w:rPr>
        <w:t>Within 30 days after the end of each Calendar Quarter, MannKind will provide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a written report (each, a “</w:t>
      </w:r>
      <w:r>
        <w:rPr>
          <w:rFonts w:ascii="Times New Roman" w:cs="Times New Roman" w:eastAsia="Times New Roman" w:hAnsi="Times New Roman"/>
          <w:sz w:val="22"/>
          <w:szCs w:val="22"/>
          <w:b w:val="1"/>
          <w:bCs w:val="1"/>
          <w:i w:val="1"/>
          <w:iCs w:val="1"/>
          <w:color w:val="auto"/>
        </w:rPr>
        <w:t>Quarterly Report</w:t>
      </w:r>
      <w:r>
        <w:rPr>
          <w:rFonts w:ascii="Times New Roman" w:cs="Times New Roman" w:eastAsia="Times New Roman" w:hAnsi="Times New Roman"/>
          <w:sz w:val="22"/>
          <w:szCs w:val="22"/>
          <w:color w:val="auto"/>
        </w:rPr>
        <w:t>”) setting forth in reasonable detail the Development Expenses for such Calendar Quarter that are reimbursable by United Therapeutics to MannKind in accordance with Section 6.4(a). United Therapeutics shall pay the amount due to MannKind as set forth in the applicable Quarterly Report within 30 days after receipt of such Quarterly Report.</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Audit. </w:t>
      </w:r>
      <w:r>
        <w:rPr>
          <w:rFonts w:ascii="Times New Roman" w:cs="Times New Roman" w:eastAsia="Times New Roman" w:hAnsi="Times New Roman"/>
          <w:sz w:val="22"/>
          <w:szCs w:val="22"/>
          <w:color w:val="auto"/>
        </w:rPr>
        <w:t>United Therapeutics shall have the right to cause an independent, certified public accounting firm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acceptable to MannKind to audit MannKind’s records relating to Development Expenses to confirm the amount of such expenses reflected in the Quarterly Reports. Such audit right may be exercised during normal business hours upon reasonable prior written notice to MannKind; provided that such audit right may be exercised no more than once in any 12 month period and no more than once with regard to any given Calendar Quarter. As appropriate, prompt adjustments to payments made pursuant to this Section 6.4 shall be made by the Parties to reflect the results of such audit. United Therapeutics shall bear the full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30</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2" w:name="page153"/>
    <w:bookmarkEnd w:id="152"/>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PAYMENTS, BOOKS AND RECORDS</w:t>
      </w:r>
    </w:p>
    <w:p>
      <w:pPr>
        <w:spacing w:after="0" w:line="20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7.1Royalty Report and Payment. </w:t>
      </w:r>
      <w:r>
        <w:rPr>
          <w:rFonts w:ascii="Times New Roman" w:cs="Times New Roman" w:eastAsia="Times New Roman" w:hAnsi="Times New Roman"/>
          <w:sz w:val="21"/>
          <w:szCs w:val="21"/>
          <w:color w:val="auto"/>
        </w:rPr>
        <w:t>During the Term, within [***] days after the end of each Calendar Quarter, United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Therapeutics shall deliver to MannKind a report setting forth the gross sales of Product and Net Sales in the relevant Calendar Quarter and a calculation of the payments due under Section 6.3 (a “</w:t>
      </w:r>
      <w:r>
        <w:rPr>
          <w:rFonts w:ascii="Times New Roman" w:cs="Times New Roman" w:eastAsia="Times New Roman" w:hAnsi="Times New Roman"/>
          <w:sz w:val="21"/>
          <w:szCs w:val="21"/>
          <w:b w:val="1"/>
          <w:bCs w:val="1"/>
          <w:i w:val="1"/>
          <w:iCs w:val="1"/>
          <w:color w:val="auto"/>
        </w:rPr>
        <w:t>Royalty Report</w:t>
      </w:r>
      <w:r>
        <w:rPr>
          <w:rFonts w:ascii="Times New Roman" w:cs="Times New Roman" w:eastAsia="Times New Roman" w:hAnsi="Times New Roman"/>
          <w:sz w:val="21"/>
          <w:szCs w:val="21"/>
          <w:color w:val="auto"/>
        </w:rPr>
        <w:t>”). Following receipt of any Royalty Report, MannKind shall issue an invoice for the amount stated by United Therapeutics to be payable to MannKind in such Royalty Report, and payment shall be due to MannKind by United Therapeutics within [***] days of its receipt of such invoice.</w:t>
      </w:r>
    </w:p>
    <w:p>
      <w:pPr>
        <w:spacing w:after="0" w:line="16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7.2Payment Method. </w:t>
      </w:r>
      <w:r>
        <w:rPr>
          <w:rFonts w:ascii="Times New Roman" w:cs="Times New Roman" w:eastAsia="Times New Roman" w:hAnsi="Times New Roman"/>
          <w:sz w:val="22"/>
          <w:szCs w:val="22"/>
          <w:color w:val="auto"/>
        </w:rPr>
        <w:t>All payments under this Agreement shall be made by bank wire transfer in immediately available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funds to an account in the name of MannKind designated in writing by MannKind. Payments hereunder will be considered to be made as of the day on which they are received by MannKind’s designated bank.</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7.3Payment Currency. </w:t>
      </w:r>
      <w:r>
        <w:rPr>
          <w:rFonts w:ascii="Times New Roman" w:cs="Times New Roman" w:eastAsia="Times New Roman" w:hAnsi="Times New Roman"/>
          <w:sz w:val="22"/>
          <w:szCs w:val="22"/>
          <w:color w:val="auto"/>
        </w:rPr>
        <w:t>Unless otherwise expressly stated in this Agreement, all amounts specified to be payable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are in United States Dollars and shall be paid in United States Dollars. Net Sales in the Territory invoiced in currency other than United States Dollars, as appropriate, shall be translated to United States Dollars using the exchange rate utilized by United Therapeutics in calculating its own revenues for financial reporting purposes.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7.4Taxes.</w:t>
      </w:r>
    </w:p>
    <w:p>
      <w:pPr>
        <w:spacing w:after="0" w:line="206" w:lineRule="exact"/>
        <w:rPr>
          <w:sz w:val="20"/>
          <w:szCs w:val="20"/>
          <w:color w:val="auto"/>
        </w:rPr>
      </w:pPr>
    </w:p>
    <w:p>
      <w:pPr>
        <w:jc w:val="both"/>
        <w:ind w:firstLine="1505"/>
        <w:spacing w:after="0" w:line="252" w:lineRule="auto"/>
        <w:tabs>
          <w:tab w:leader="none" w:pos="2036"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Cooperation and Coordination. </w:t>
      </w:r>
      <w:r>
        <w:rPr>
          <w:rFonts w:ascii="Times New Roman" w:cs="Times New Roman" w:eastAsia="Times New Roman" w:hAnsi="Times New Roman"/>
          <w:sz w:val="21"/>
          <w:szCs w:val="21"/>
          <w:color w:val="auto"/>
        </w:rPr>
        <w:t>The Parties acknowledge and agree that it is their mutual objective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intent to minimize, to the extent feasible, taxes payable with respect to their collaborative efforts under this Agreement and that they shall use their reasonable efforts to cooperate and coordinate with each other to achieve such objective. For the avoidance of doubt, the Parties expect that only United Therapeutics shall be responsible for the annual fee on prescription drug manufacturers imposed by the Patient Protection and Affordable Care Act, Pub. L. No. 111-148 (as amended) as a result of the sale of Products.</w:t>
      </w:r>
    </w:p>
    <w:p>
      <w:pPr>
        <w:spacing w:after="0" w:line="163" w:lineRule="exact"/>
        <w:rPr>
          <w:rFonts w:ascii="Times New Roman" w:cs="Times New Roman" w:eastAsia="Times New Roman" w:hAnsi="Times New Roman"/>
          <w:sz w:val="21"/>
          <w:szCs w:val="21"/>
          <w:b w:val="1"/>
          <w:bCs w:val="1"/>
          <w:color w:val="auto"/>
        </w:rPr>
      </w:pPr>
    </w:p>
    <w:p>
      <w:pPr>
        <w:jc w:val="both"/>
        <w:ind w:firstLine="1505"/>
        <w:spacing w:after="0" w:line="241" w:lineRule="auto"/>
        <w:tabs>
          <w:tab w:leader="none" w:pos="2036"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of Tax. </w:t>
      </w:r>
      <w:r>
        <w:rPr>
          <w:rFonts w:ascii="Times New Roman" w:cs="Times New Roman" w:eastAsia="Times New Roman" w:hAnsi="Times New Roman"/>
          <w:sz w:val="22"/>
          <w:szCs w:val="22"/>
          <w:color w:val="auto"/>
        </w:rPr>
        <w:t>A Party receiving a payment shall pay any and all taxes levied on such payment.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Laws require that taxes be deducted and withheld from a payment, the remitting Party shall (i) deduct those taxes from the payment; (ii) pay the taxes to the proper taxing authority; and (iii) send evidence of the obligation together with proof of payment to the other Party within 60 days following that payment.</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7.5Records. </w:t>
      </w:r>
      <w:r>
        <w:rPr>
          <w:rFonts w:ascii="Times New Roman" w:cs="Times New Roman" w:eastAsia="Times New Roman" w:hAnsi="Times New Roman"/>
          <w:sz w:val="22"/>
          <w:szCs w:val="22"/>
          <w:color w:val="auto"/>
        </w:rPr>
        <w:t>United Therapeutics shall keep, and require its Affiliates to keep, complete, true and accurate books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and records for the purpose of determining the amounts payable to MannKind pursuant to this Agreement. Such books and records shall be kept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3" w:name="page154"/>
    <w:bookmarkEnd w:id="153"/>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7.6Audits. </w:t>
      </w:r>
      <w:r>
        <w:rPr>
          <w:rFonts w:ascii="Times New Roman" w:cs="Times New Roman" w:eastAsia="Times New Roman" w:hAnsi="Times New Roman"/>
          <w:sz w:val="21"/>
          <w:szCs w:val="21"/>
          <w:color w:val="auto"/>
        </w:rPr>
        <w:t>Upon not less than 60 days’ prior written notice, United Therapeutics shall permit an independent, certified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public accountant selected by MannKind and reasonably acceptable to United Therapeutics, which acceptance will not be unreasonably withheld or delayed (for the purposes of this Section 7.6, the “</w:t>
      </w:r>
      <w:r>
        <w:rPr>
          <w:rFonts w:ascii="Times New Roman" w:cs="Times New Roman" w:eastAsia="Times New Roman" w:hAnsi="Times New Roman"/>
          <w:sz w:val="21"/>
          <w:szCs w:val="21"/>
          <w:b w:val="1"/>
          <w:bCs w:val="1"/>
          <w:i w:val="1"/>
          <w:iCs w:val="1"/>
          <w:color w:val="auto"/>
        </w:rPr>
        <w:t>Auditor</w:t>
      </w:r>
      <w:r>
        <w:rPr>
          <w:rFonts w:ascii="Times New Roman" w:cs="Times New Roman" w:eastAsia="Times New Roman" w:hAnsi="Times New Roman"/>
          <w:sz w:val="21"/>
          <w:szCs w:val="21"/>
          <w:color w:val="auto"/>
        </w:rPr>
        <w:t>”), to audit or inspect those books or records of United Therapeutics and its Affiliates and sublicensees (to the extent United Therapeutics has the contractual right to audit and inspect the books and records of sublicensees) that relate to Net Sales and Royalty Reports for the sole purpose of verifying the:</w:t>
      </w:r>
    </w:p>
    <w:p>
      <w:pPr>
        <w:jc w:val="both"/>
        <w:ind w:firstLine="8"/>
        <w:spacing w:after="0" w:line="231" w:lineRule="auto"/>
        <w:tabs>
          <w:tab w:leader="none" w:pos="31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royalties payable hereunder in respect of Net Sales; and (b) withholding taxes, if any, required by Applicable Laws to be deducted as a payment by United Therapeutics in respect of such Net Sales. The Auditor will disclose to MannKind only the amount and accuracy of payments reported and actually paid or otherwise payable under this Agreement. The Auditor will send a copy of the report to United Therapeutics at the same time it is sent to MannKind. Such inspections may be made no more than once each Calendar Year and during normal business hours. Such records for any particular Calendar Quarter shall be subject to no more than one inspection. The Auditor shall be obligated to execute a reasonable confidentiality agreement prior to commencing any such inspection. Inspections conducted under this Section 7.6 shall be at the expense of MannKind, unless a variation or error producing an underpayment in amounts payable exceeding 5% of the amount paid for a period covered by the inspection is established, in which case all reasonable costs relating to the inspection for such period and any unpaid amounts that are discovered shall be paid by United Therapeutics. The Parties will endeavor in such inspection to minimize disruption of United Therapeutics’ normal business activities to the extent reasonably practicable.</w:t>
      </w:r>
    </w:p>
    <w:p>
      <w:pPr>
        <w:spacing w:after="0" w:line="18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7.7Late Payments. </w:t>
      </w:r>
      <w:r>
        <w:rPr>
          <w:rFonts w:ascii="Times New Roman" w:cs="Times New Roman" w:eastAsia="Times New Roman" w:hAnsi="Times New Roman"/>
          <w:sz w:val="22"/>
          <w:szCs w:val="22"/>
          <w:color w:val="auto"/>
        </w:rPr>
        <w:t>In the event that any payment due under this Agreement is not made when due, the payment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accrue interest from the date due at a rate per annum equal to the U.S. Prime Rate (as set forth in the Wall Street Journal, Eastern Edition) for the date on which payment was due, calculated daily on the basis of a 365-day year, or similar reputable data source; provided that, in no event shall such rate exceed the maximum legal annual interest rate. The payment of such interest shall not limit the Party entitled to receive such payment from exercising any other rights it may have as a consequence of the lateness of any payment.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8.1Confidential Information.</w:t>
      </w:r>
    </w:p>
    <w:p>
      <w:pPr>
        <w:spacing w:after="0" w:line="206" w:lineRule="exact"/>
        <w:rPr>
          <w:sz w:val="20"/>
          <w:szCs w:val="20"/>
          <w:color w:val="auto"/>
        </w:rPr>
      </w:pPr>
    </w:p>
    <w:p>
      <w:pPr>
        <w:jc w:val="both"/>
        <w:ind w:firstLine="1505"/>
        <w:spacing w:after="0" w:line="238" w:lineRule="auto"/>
        <w:tabs>
          <w:tab w:leader="none" w:pos="2036"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Except to the extent expressly authorized by this Agreement or otherwise agreed in writing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the Parties agree that the receiving Party (the “</w:t>
      </w:r>
      <w:r>
        <w:rPr>
          <w:rFonts w:ascii="Times New Roman" w:cs="Times New Roman" w:eastAsia="Times New Roman" w:hAnsi="Times New Roman"/>
          <w:sz w:val="22"/>
          <w:szCs w:val="22"/>
          <w:b w:val="1"/>
          <w:bCs w:val="1"/>
          <w:i w:val="1"/>
          <w:iCs w:val="1"/>
          <w:color w:val="auto"/>
        </w:rPr>
        <w:t>Receiving Party</w:t>
      </w:r>
      <w:r>
        <w:rPr>
          <w:rFonts w:ascii="Times New Roman" w:cs="Times New Roman" w:eastAsia="Times New Roman" w:hAnsi="Times New Roman"/>
          <w:sz w:val="22"/>
          <w:szCs w:val="22"/>
          <w:color w:val="auto"/>
        </w:rPr>
        <w:t>”) shall keep confidential and shall not publish or otherwise disclose or use for any purpose other than as provided for in this Agreement or any other written agreement between the Parties any confidential or proprietary information and materials, patentable or otherwise, in any form (written, oral, photographic, electronic, magnetic, or otherwise) which is disclosed to it by or 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4" w:name="page155"/>
    <w:bookmarkEnd w:id="154"/>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5" w:lineRule="exact"/>
        <w:rPr>
          <w:sz w:val="20"/>
          <w:szCs w:val="20"/>
          <w:color w:val="auto"/>
        </w:rPr>
      </w:pPr>
    </w:p>
    <w:p>
      <w:pPr>
        <w:ind w:left="760"/>
        <w:spacing w:after="0" w:line="253" w:lineRule="exact"/>
        <w:tabs>
          <w:tab w:leader="none" w:pos="2320" w:val="left"/>
        </w:tabs>
        <w:rPr>
          <w:sz w:val="20"/>
          <w:szCs w:val="20"/>
          <w:color w:val="auto"/>
        </w:rPr>
      </w:pPr>
      <w:r>
        <w:rPr>
          <w:rFonts w:ascii="Times New Roman" w:cs="Times New Roman" w:eastAsia="Times New Roman" w:hAnsi="Times New Roman"/>
          <w:sz w:val="22"/>
          <w:szCs w:val="22"/>
          <w:b w:val="1"/>
          <w:bCs w:val="1"/>
          <w:color w:val="auto"/>
        </w:rPr>
        <w:t>8.2Exceptions.</w:t>
      </w:r>
      <w:r>
        <w:rPr>
          <w:sz w:val="20"/>
          <w:szCs w:val="20"/>
          <w:color w:val="auto"/>
        </w:rPr>
        <w:tab/>
      </w:r>
      <w:r>
        <w:rPr>
          <w:rFonts w:ascii="Times New Roman" w:cs="Times New Roman" w:eastAsia="Times New Roman" w:hAnsi="Times New Roman"/>
          <w:sz w:val="22"/>
          <w:szCs w:val="22"/>
          <w:color w:val="auto"/>
        </w:rPr>
        <w:t>Notwithstanding Section 8.1, the obligations of confidentiality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use shall not apply to</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Confidential Information that, in each case as demonstrated by competent evidence:</w:t>
      </w:r>
    </w:p>
    <w:p>
      <w:pPr>
        <w:spacing w:after="0" w:line="182" w:lineRule="exact"/>
        <w:rPr>
          <w:sz w:val="20"/>
          <w:szCs w:val="20"/>
          <w:color w:val="auto"/>
        </w:rPr>
      </w:pPr>
    </w:p>
    <w:p>
      <w:pPr>
        <w:ind w:firstLine="1505"/>
        <w:spacing w:after="0" w:line="258" w:lineRule="auto"/>
        <w:tabs>
          <w:tab w:leader="none" w:pos="203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already known to the Receiving Party or any of its Affiliates, other than under an obligation of confidentiality, at the time of disclosure;</w:t>
      </w:r>
    </w:p>
    <w:p>
      <w:pPr>
        <w:spacing w:after="0" w:line="158"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generally available to the public or was otherwise part of the public domain at the time of its disclosure to the Receiving Party;</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became generally available to the public or otherwise part of the public domain after its disclosure to the Receiving Party and other than through any act or omission of the Receiving Party or any of its Affiliates in breach of this Agreement;</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subsequently lawfully disclosed to the Receiving Party or any of its Affiliates by a Person other than the Disclosing Party, and who, to the best knowledge of the Receiving Party, did not directly or indirectly receive such information directly or indirectly from the Disclosing Party under an obligation of confidence; or</w:t>
      </w:r>
    </w:p>
    <w:p>
      <w:pPr>
        <w:spacing w:after="0" w:line="173"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developed by the Receiving Party or its Affiliate without use of or reference to any information or materials disclosed by the Disclosing Party.</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8.3Permitted Disclosures. </w:t>
      </w:r>
      <w:r>
        <w:rPr>
          <w:rFonts w:ascii="Times New Roman" w:cs="Times New Roman" w:eastAsia="Times New Roman" w:hAnsi="Times New Roman"/>
          <w:sz w:val="22"/>
          <w:szCs w:val="22"/>
          <w:color w:val="auto"/>
        </w:rPr>
        <w:t>Notwithstanding Section 8.1, the Receiving Party may disclose Confidential Information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Disclosing Party as expressly permitted by this Agreement or if and to the extent such disclosure is reasonably necessary in the following instances:</w:t>
      </w:r>
    </w:p>
    <w:p>
      <w:pPr>
        <w:spacing w:after="0" w:line="171" w:lineRule="exact"/>
        <w:rPr>
          <w:sz w:val="20"/>
          <w:szCs w:val="20"/>
          <w:color w:val="auto"/>
        </w:rPr>
      </w:pPr>
    </w:p>
    <w:p>
      <w:pPr>
        <w:jc w:val="both"/>
        <w:ind w:firstLine="1505"/>
        <w:spacing w:after="0" w:line="239" w:lineRule="auto"/>
        <w:tabs>
          <w:tab w:leader="none" w:pos="2036"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exercising its or its Affiliates’ rights under this Agreement, including in the case of United Therapeutics, for the purpose of developing the Product, seeking, obtaining and maintaining Marketing Approvals of Product (including complying with the requirement of Regulatory Authorities with respect to filing for, obtaining and maintaining Marketing Approval of the Product) and manufacturing or commercializing Product;</w:t>
      </w:r>
    </w:p>
    <w:p>
      <w:pPr>
        <w:spacing w:after="0" w:line="180"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filing or prosecuting Patents as permitted by this Agreement;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prosecuting or defending litigation as permitted by this Agreement;</w:t>
      </w: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5" w:name="page156"/>
    <w:bookmarkEnd w:id="155"/>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1505"/>
        <w:spacing w:after="0" w:line="235" w:lineRule="auto"/>
        <w:tabs>
          <w:tab w:leader="none" w:pos="2036"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complying with Applicable Laws, including regulations promulgated by security exchanges (specifically recommendations and requests from NASDAQ stock exchange), court order or administrative subpoenas or orders or otherwise submitting information to tax or other Governmental Authorities;</w:t>
      </w:r>
    </w:p>
    <w:p>
      <w:pPr>
        <w:spacing w:after="0" w:line="177" w:lineRule="exact"/>
        <w:rPr>
          <w:rFonts w:ascii="Times New Roman" w:cs="Times New Roman" w:eastAsia="Times New Roman" w:hAnsi="Times New Roman"/>
          <w:sz w:val="22"/>
          <w:szCs w:val="22"/>
          <w:b w:val="1"/>
          <w:bCs w:val="1"/>
          <w:color w:val="auto"/>
        </w:rPr>
      </w:pPr>
    </w:p>
    <w:p>
      <w:pPr>
        <w:jc w:val="both"/>
        <w:ind w:firstLine="1505"/>
        <w:spacing w:after="0" w:line="255" w:lineRule="auto"/>
        <w:tabs>
          <w:tab w:leader="none" w:pos="2036"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disclosure to Affiliates, contractors, employees, agents, consultants, licensees or sublicensees who need to know such information in connection with development, manufacturing, regulatory and commercialization activities with respect to Product as contemplated by this Agreement. provided that in each case the recipients of such Confidential Information are subject to confidentiality and non-use obligations consistent in scope with those set forth in this Article 8; and; and</w:t>
      </w:r>
    </w:p>
    <w:p>
      <w:pPr>
        <w:spacing w:after="0" w:line="161" w:lineRule="exact"/>
        <w:rPr>
          <w:rFonts w:ascii="Times New Roman" w:cs="Times New Roman" w:eastAsia="Times New Roman" w:hAnsi="Times New Roman"/>
          <w:sz w:val="21"/>
          <w:szCs w:val="21"/>
          <w:b w:val="1"/>
          <w:bCs w:val="1"/>
          <w:color w:val="auto"/>
        </w:rPr>
      </w:pPr>
    </w:p>
    <w:p>
      <w:pPr>
        <w:jc w:val="both"/>
        <w:ind w:firstLine="1505"/>
        <w:spacing w:after="0" w:line="239" w:lineRule="auto"/>
        <w:tabs>
          <w:tab w:leader="none" w:pos="2036"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communication with existing and potential investors, consultants, advisors (including financial advisors, lawyers and accountants) and others on a need to know basis in order to further the purposes of this Agreement; provided that in connection with such disclosure, the Disclosing Party shall inform each disclosee of the confidential nature of such Confidential Information and cause each disclosee to treat such Confidential Information as confidential.</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the event the Receiving Party is required to make a disclosure of the Disclosing Party’s Confidential Information pursuant to Section 8.3(c) or (d), it shall promptly notify the other Party of such required disclosure and shall use reasonable efforts to obtain, or to assist the other Party in obtaining, a protective order or confidential treatment limiting or preventing the required disclosure, and disclose only the minimum information necessary for such disclosure; provided that such Confidential Information disclosed accordingly shall only lose its confidentiality protection for purposes of such disclosure.</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8.4Confidentiality of this Agreement and its Terms. </w:t>
      </w:r>
      <w:r>
        <w:rPr>
          <w:rFonts w:ascii="Times New Roman" w:cs="Times New Roman" w:eastAsia="Times New Roman" w:hAnsi="Times New Roman"/>
          <w:sz w:val="22"/>
          <w:szCs w:val="22"/>
          <w:color w:val="auto"/>
        </w:rPr>
        <w:t>Except as otherwise provided in this Article 8, each Party agrees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to disclose to any Third Party terms of this Agreement without the prior written consent of the other Party hereto, except that each Party may disclose the terms of this Agreement, which are not otherwise made public as contemplated by Section 8.5, as permitted under Section 8.3.</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8.5Public Announcements.</w:t>
      </w:r>
    </w:p>
    <w:p>
      <w:pPr>
        <w:spacing w:after="0" w:line="206" w:lineRule="exact"/>
        <w:rPr>
          <w:sz w:val="20"/>
          <w:szCs w:val="20"/>
          <w:color w:val="auto"/>
        </w:rPr>
      </w:pPr>
    </w:p>
    <w:p>
      <w:pPr>
        <w:jc w:val="both"/>
        <w:ind w:firstLine="1505"/>
        <w:spacing w:after="0" w:line="235" w:lineRule="auto"/>
        <w:tabs>
          <w:tab w:leader="none" w:pos="2036"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Press Releases. </w:t>
      </w:r>
      <w:r>
        <w:rPr>
          <w:rFonts w:ascii="Times New Roman" w:cs="Times New Roman" w:eastAsia="Times New Roman" w:hAnsi="Times New Roman"/>
          <w:sz w:val="22"/>
          <w:szCs w:val="22"/>
          <w:color w:val="auto"/>
        </w:rPr>
        <w:t>As soon as practicable following the execution of this Agreement, the Parties will issue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press release announcing the existence of this Agreement. Except as required by Applicable Laws, including disclosure requirements of the SEC, the NASDAQ stock exchange or any other stock exchange on which securities issued by a Party or its Affiliates are traded, neither Party shall make any other public announcement concerning this Agreement or the subject matter hereof without the prior written consent of the other, which shall not be unreasonably withheld or delayed; provided, that it shall not be unreasonable for a Party to withhold consent with respect to any public announcement containing any of such Party’s Confidential Information. In the event of a required public announcement, to the extent practicable under the circumstances, the Party making such announcement shall provide the other Party with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6" w:name="page157"/>
    <w:bookmarkEnd w:id="156"/>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both"/>
        <w:ind w:firstLine="1505"/>
        <w:spacing w:after="0" w:line="234" w:lineRule="auto"/>
        <w:tabs>
          <w:tab w:leader="none" w:pos="203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Filing of Agreement. </w:t>
      </w:r>
      <w:r>
        <w:rPr>
          <w:rFonts w:ascii="Times New Roman" w:cs="Times New Roman" w:eastAsia="Times New Roman" w:hAnsi="Times New Roman"/>
          <w:sz w:val="22"/>
          <w:szCs w:val="22"/>
          <w:color w:val="auto"/>
        </w:rPr>
        <w:t>The Parties will coordinate in advance with each other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of this Agreement (including redaction of certain provisions of this Agreement) with the SEC, the NASDAQ stock exchange or any other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the NASDAQ stock exchange or any other stock exchange or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the NASDAQ stock exchange or any other stock exchange or governmental agency.</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8.6Publication of the Product Information. </w:t>
      </w:r>
      <w:r>
        <w:rPr>
          <w:rFonts w:ascii="Times New Roman" w:cs="Times New Roman" w:eastAsia="Times New Roman" w:hAnsi="Times New Roman"/>
          <w:sz w:val="22"/>
          <w:szCs w:val="22"/>
          <w:color w:val="auto"/>
        </w:rPr>
        <w:t>Prior to a Party publishing, publicly presenting, and/or submitting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or oral publication a manuscript, abstract or the like that includes Information or Data relating to any Product that has not been previously published, such Party shall provide to the other Party a draft copy thereof for its review at least thirty (30) days prior to the proposed date of submission or presentation (unless such Party is required by Applicable Laws to publish such information sooner, in which case such Party shall provide such draft copy to the other Party as much in advance of such publication as possible). The publishing or presenting Party shall consider in good faith any comments provided by the other Party during such 30-day period and any such publication shall be subject to the limitations of Sections 8.1, 8.2 and 8.3. In addition, the publishing Party shall, at the other Party’s request, remove therefrom any Confidential Information of such other Party. The contribution of each Party shall be noted in all publications or presentations by acknowledgment or co-authorship, whichever is appropriate. Notwithstanding the foregoing, any publication, presentation or submission thereof by a Third Party clinical collaborator, clinical site or academic or government run non-clinical site, including investigators within such institutions, to which a Party delegates the performance of non-clinical, pre-clinical or clinical research, shall be subject to the terms and conditions of the delegating Party’s agreement with such Third Party to the extent inconsistent with the terms and conditions of this Section 8.6.</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8.7Prior Non-Disclosure Agreements. </w:t>
      </w:r>
      <w:r>
        <w:rPr>
          <w:rFonts w:ascii="Times New Roman" w:cs="Times New Roman" w:eastAsia="Times New Roman" w:hAnsi="Times New Roman"/>
          <w:sz w:val="22"/>
          <w:szCs w:val="22"/>
          <w:color w:val="auto"/>
        </w:rPr>
        <w:t>As of the Effective Date, the terms of this Article 8 shall supersede any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non-disclosure, secrecy or confidentiality agreement between the Parties (or their Affiliates) dealing with the subject of this Agreement, including without limitation the Confidentiality Agreement. Any information disclosed under such prior agreements shall be deemed disclosed under this Agreement.</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8.8Equitable Relief. </w:t>
      </w:r>
      <w:r>
        <w:rPr>
          <w:rFonts w:ascii="Times New Roman" w:cs="Times New Roman" w:eastAsia="Times New Roman" w:hAnsi="Times New Roman"/>
          <w:sz w:val="22"/>
          <w:szCs w:val="22"/>
          <w:color w:val="auto"/>
        </w:rPr>
        <w:t>Given the nature of the Confidential Information and the competitive damage that a party would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suffer upon unauthorized disclosure, use or transfer of its Confidential Information to any Third Party, the parties agree that monetary damages would not be a sufficient remedy for any breach of this Article 8. In addition to all other remedies, a party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7" w:name="page158"/>
    <w:bookmarkEnd w:id="157"/>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3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9.1Ownership of Intellectual Property.</w:t>
      </w:r>
    </w:p>
    <w:p>
      <w:pPr>
        <w:spacing w:after="0" w:line="206" w:lineRule="exact"/>
        <w:rPr>
          <w:sz w:val="20"/>
          <w:szCs w:val="20"/>
          <w:color w:val="auto"/>
        </w:rPr>
      </w:pPr>
    </w:p>
    <w:p>
      <w:pPr>
        <w:ind w:firstLine="1505"/>
        <w:spacing w:after="0" w:line="262" w:lineRule="auto"/>
        <w:tabs>
          <w:tab w:leader="none" w:pos="203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MannKind Know-How, MannKind Patents. </w:t>
      </w:r>
      <w:r>
        <w:rPr>
          <w:rFonts w:ascii="Times New Roman" w:cs="Times New Roman" w:eastAsia="Times New Roman" w:hAnsi="Times New Roman"/>
          <w:sz w:val="22"/>
          <w:szCs w:val="22"/>
          <w:color w:val="auto"/>
        </w:rPr>
        <w:t>MannKind has, and shall retain all right, title and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and to, the MannKind Know-How and the MannKind Patents.</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Inventions. </w:t>
      </w:r>
      <w:r>
        <w:rPr>
          <w:rFonts w:ascii="Times New Roman" w:cs="Times New Roman" w:eastAsia="Times New Roman" w:hAnsi="Times New Roman"/>
          <w:sz w:val="22"/>
          <w:szCs w:val="22"/>
          <w:color w:val="auto"/>
        </w:rPr>
        <w:t>As between the Parties, all right, title and interest to inventions and other subject matter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(together with all intellectual property rights therein) conceived or created or first reduced to practice (in the case of patentable inventions) or made or developed (in the case of non-patentable inventions) in the course of performing activities contemplated by this Agreement (“</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(i) by or under the authority of United Therapeutics or its Affiliates, independently of MannKind and its Affiliates, shall be owned by United Therapeutics (“</w:t>
      </w:r>
      <w:r>
        <w:rPr>
          <w:rFonts w:ascii="Times New Roman" w:cs="Times New Roman" w:eastAsia="Times New Roman" w:hAnsi="Times New Roman"/>
          <w:sz w:val="22"/>
          <w:szCs w:val="22"/>
          <w:b w:val="1"/>
          <w:bCs w:val="1"/>
          <w:i w:val="1"/>
          <w:iCs w:val="1"/>
          <w:color w:val="auto"/>
        </w:rPr>
        <w:t>United Therapeutics Inventions</w:t>
      </w:r>
      <w:r>
        <w:rPr>
          <w:rFonts w:ascii="Times New Roman" w:cs="Times New Roman" w:eastAsia="Times New Roman" w:hAnsi="Times New Roman"/>
          <w:sz w:val="22"/>
          <w:szCs w:val="22"/>
          <w:color w:val="auto"/>
        </w:rPr>
        <w:t>”), (ii) by or under the authority of MannKind or its Affiliates, independently of United Therapeutics and its Affiliates, shall be owned by MannKind (“</w:t>
      </w:r>
      <w:r>
        <w:rPr>
          <w:rFonts w:ascii="Times New Roman" w:cs="Times New Roman" w:eastAsia="Times New Roman" w:hAnsi="Times New Roman"/>
          <w:sz w:val="22"/>
          <w:szCs w:val="22"/>
          <w:b w:val="1"/>
          <w:bCs w:val="1"/>
          <w:i w:val="1"/>
          <w:iCs w:val="1"/>
          <w:color w:val="auto"/>
        </w:rPr>
        <w:t>MannKind Inventions</w:t>
      </w:r>
      <w:r>
        <w:rPr>
          <w:rFonts w:ascii="Times New Roman" w:cs="Times New Roman" w:eastAsia="Times New Roman" w:hAnsi="Times New Roman"/>
          <w:sz w:val="22"/>
          <w:szCs w:val="22"/>
          <w:color w:val="auto"/>
        </w:rPr>
        <w:t>”) and (iii) that is invented jointly by personnel of United Therapeutics or its Affiliates, on the one hand, and MannKind or its Affiliates, on the other hand, shall be jointly owned by United Therapeutics and MannKind (“</w:t>
      </w:r>
      <w:r>
        <w:rPr>
          <w:rFonts w:ascii="Times New Roman" w:cs="Times New Roman" w:eastAsia="Times New Roman" w:hAnsi="Times New Roman"/>
          <w:sz w:val="22"/>
          <w:szCs w:val="22"/>
          <w:b w:val="1"/>
          <w:bCs w:val="1"/>
          <w:i w:val="1"/>
          <w:iCs w:val="1"/>
          <w:color w:val="auto"/>
        </w:rPr>
        <w:t>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For purposes of determining questions of inventorship for Inventions, the Parties shall apply the laws of the United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States. Subject to the rights and licenses granted under this Agreement, each Party shall have the right to use, and grant licenses to use, any Joint Invention and Joint Patent without the other Party’s consent and shall have no duty to account to the other Party for such use or license, and each Party hereby waives any right it may have under the laws of any country to require any such consent or accounting.</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All Data generated in connection with development and regulatory activities performed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or United Therapeutics pursuant to this Agreement shall be owned by United Therapeutics. Notwithstanding the foregoing, MannKind shall have the right to use, make reference to and incorporate the Data in Regulatory Filings with Regulatory Authorities for products other than Product in accordance with Section 4.3(b).</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9.2Patent Prosecution and Maintenance.</w:t>
      </w:r>
    </w:p>
    <w:p>
      <w:pPr>
        <w:spacing w:after="0" w:line="206" w:lineRule="exact"/>
        <w:rPr>
          <w:sz w:val="20"/>
          <w:szCs w:val="20"/>
          <w:color w:val="auto"/>
        </w:rPr>
      </w:pPr>
    </w:p>
    <w:p>
      <w:pPr>
        <w:ind w:left="2040" w:hanging="535"/>
        <w:spacing w:after="0"/>
        <w:tabs>
          <w:tab w:leader="none" w:pos="204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MannKind Patents.</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546"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Initial Responsibility. </w:t>
      </w:r>
      <w:r>
        <w:rPr>
          <w:rFonts w:ascii="Times New Roman" w:cs="Times New Roman" w:eastAsia="Times New Roman" w:hAnsi="Times New Roman"/>
          <w:sz w:val="22"/>
          <w:szCs w:val="22"/>
          <w:color w:val="auto"/>
        </w:rPr>
        <w:t>MannKind shall be responsible, in its discretion, for the preparation, filing,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prosecution and maintenance of all MannKind Patents (including the right to conduct any interferences, oppositions, or reexaminations thereon and to request any reissues or patent term extensions thereof), at MannKind’s sole expense.</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8" w:name="page159"/>
    <w:bookmarkEnd w:id="158"/>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firstLine="2254"/>
        <w:spacing w:after="0" w:line="237" w:lineRule="auto"/>
        <w:tabs>
          <w:tab w:leader="none" w:pos="254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MannKind shall keep United Therapeutics fully informed of progress with regard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preparation, filing, prosecution and maintenance of the MannKind Patents in the Territory. MannKind shall:</w:t>
      </w:r>
    </w:p>
    <w:p>
      <w:pPr>
        <w:spacing w:after="0" w:line="178" w:lineRule="exact"/>
        <w:rPr>
          <w:rFonts w:ascii="Times New Roman" w:cs="Times New Roman" w:eastAsia="Times New Roman" w:hAnsi="Times New Roman"/>
          <w:sz w:val="22"/>
          <w:szCs w:val="22"/>
          <w:b w:val="1"/>
          <w:bCs w:val="1"/>
          <w:color w:val="auto"/>
        </w:rPr>
      </w:pPr>
    </w:p>
    <w:p>
      <w:pPr>
        <w:jc w:val="both"/>
        <w:ind w:firstLine="3003"/>
        <w:spacing w:after="0" w:line="239" w:lineRule="auto"/>
        <w:tabs>
          <w:tab w:leader="none" w:pos="3564"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 United Therapeutics with a copy of the final draft of any proposed application prior to filing the same in any patent office worldwide with sufficient time to review and comment, unless otherwise agreed by patent counsel for both parties, and MannKind shall consider in good faith any comments or revisions suggested by United Therapeutics or its counsel;</w:t>
      </w:r>
    </w:p>
    <w:p>
      <w:pPr>
        <w:spacing w:after="0" w:line="180" w:lineRule="exact"/>
        <w:rPr>
          <w:rFonts w:ascii="Times New Roman" w:cs="Times New Roman" w:eastAsia="Times New Roman" w:hAnsi="Times New Roman"/>
          <w:sz w:val="22"/>
          <w:szCs w:val="22"/>
          <w:b w:val="1"/>
          <w:bCs w:val="1"/>
          <w:color w:val="auto"/>
        </w:rPr>
      </w:pPr>
    </w:p>
    <w:p>
      <w:pPr>
        <w:ind w:firstLine="3003"/>
        <w:spacing w:after="0" w:line="258" w:lineRule="auto"/>
        <w:tabs>
          <w:tab w:leader="none" w:pos="3564"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provide United Therapeutics with a copy of all Patent applications as filed, together with a notice of its filing date and serial number;</w:t>
      </w:r>
    </w:p>
    <w:p>
      <w:pPr>
        <w:spacing w:after="0" w:line="158" w:lineRule="exact"/>
        <w:rPr>
          <w:rFonts w:ascii="Times New Roman" w:cs="Times New Roman" w:eastAsia="Times New Roman" w:hAnsi="Times New Roman"/>
          <w:sz w:val="22"/>
          <w:szCs w:val="22"/>
          <w:b w:val="1"/>
          <w:bCs w:val="1"/>
          <w:color w:val="auto"/>
        </w:rPr>
      </w:pPr>
    </w:p>
    <w:p>
      <w:pPr>
        <w:jc w:val="both"/>
        <w:ind w:firstLine="3003"/>
        <w:spacing w:after="0" w:line="261" w:lineRule="auto"/>
        <w:tabs>
          <w:tab w:leader="none" w:pos="3564" w:val="left"/>
        </w:tabs>
        <w:numPr>
          <w:ilvl w:val="1"/>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promptly provide United Therapeutics with a copy of any action, communication, letter, or other correspondence issued by the relevant patent office, and MannKind shall consult with United Therapeutics regarding responding to the same and will consider in good faith any comments, strategies, and the like proposed by United Therapeutics.</w:t>
      </w:r>
    </w:p>
    <w:p>
      <w:pPr>
        <w:spacing w:after="0" w:line="157" w:lineRule="exact"/>
        <w:rPr>
          <w:rFonts w:ascii="Times New Roman" w:cs="Times New Roman" w:eastAsia="Times New Roman" w:hAnsi="Times New Roman"/>
          <w:sz w:val="21"/>
          <w:szCs w:val="21"/>
          <w:b w:val="1"/>
          <w:bCs w:val="1"/>
          <w:color w:val="auto"/>
        </w:rPr>
      </w:pPr>
    </w:p>
    <w:p>
      <w:pPr>
        <w:ind w:left="3580" w:hanging="577"/>
        <w:spacing w:after="0"/>
        <w:tabs>
          <w:tab w:leader="none" w:pos="3580" w:val="left"/>
        </w:tabs>
        <w:numPr>
          <w:ilvl w:val="1"/>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promptly provide United Therapeutics with a copy of any response, amendment, paper,</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or other correspondence filed with the relevant patent office upon MannKind’s receipt of the as-filed document;</w:t>
      </w:r>
    </w:p>
    <w:p>
      <w:pPr>
        <w:spacing w:after="0" w:line="182" w:lineRule="exact"/>
        <w:rPr>
          <w:rFonts w:ascii="Times New Roman" w:cs="Times New Roman" w:eastAsia="Times New Roman" w:hAnsi="Times New Roman"/>
          <w:sz w:val="21"/>
          <w:szCs w:val="21"/>
          <w:b w:val="1"/>
          <w:bCs w:val="1"/>
          <w:color w:val="auto"/>
        </w:rPr>
      </w:pPr>
    </w:p>
    <w:p>
      <w:pPr>
        <w:ind w:left="3580" w:hanging="577"/>
        <w:spacing w:after="0"/>
        <w:tabs>
          <w:tab w:leader="none" w:pos="3580"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notify United Therapeutics of the allowance, grant, or issuance of such</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MannKind Patents; and</w:t>
      </w:r>
    </w:p>
    <w:p>
      <w:pPr>
        <w:spacing w:after="0" w:line="182" w:lineRule="exact"/>
        <w:rPr>
          <w:rFonts w:ascii="Times New Roman" w:cs="Times New Roman" w:eastAsia="Times New Roman" w:hAnsi="Times New Roman"/>
          <w:sz w:val="22"/>
          <w:szCs w:val="22"/>
          <w:b w:val="1"/>
          <w:bCs w:val="1"/>
          <w:color w:val="auto"/>
        </w:rPr>
      </w:pPr>
    </w:p>
    <w:p>
      <w:pPr>
        <w:ind w:left="3580" w:hanging="577"/>
        <w:spacing w:after="0"/>
        <w:tabs>
          <w:tab w:leader="none" w:pos="3580"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consult with United Therapeutics regarding the countries where MannKind Patents are</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be filed and maintained.</w:t>
      </w:r>
    </w:p>
    <w:p>
      <w:pPr>
        <w:spacing w:after="0" w:line="178"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(iii)Option of United Therapeutics to Prosecute and Maintain. </w:t>
      </w:r>
      <w:r>
        <w:rPr>
          <w:rFonts w:ascii="Times New Roman" w:cs="Times New Roman" w:eastAsia="Times New Roman" w:hAnsi="Times New Roman"/>
          <w:sz w:val="21"/>
          <w:szCs w:val="21"/>
          <w:color w:val="auto"/>
        </w:rPr>
        <w:t>In the event that MannKind desires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abandon or cease prosecution or maintenance of any MannKind Patent in the Territory under which United Therapeutics then has a license under this Agreement, MannKind shall provide reasonable prior written notice to United Therapeutics of such intention to abandon (which notice shall, to the extent possible, be given no later than 90 days prior to the next deadline for any action that must be taken with respect to any such MannKind Patent in the relevant patent office). In such case, MannKind shall permit United Therapeutics, at United Therapeutics’ sole discretion, to continue prosecution and maintenance of such MannKind Patent in the Territory, in MannKind’s name and at United Therapeutics’ own expense and United Therapeutics shall provide to MannKind the rights and information described in Sections 9.2(a)(ii)(A) through (F) with respect to such MannKind Patents.</w:t>
      </w:r>
    </w:p>
    <w:p>
      <w:pPr>
        <w:spacing w:after="0" w:line="172" w:lineRule="exact"/>
        <w:rPr>
          <w:sz w:val="20"/>
          <w:szCs w:val="20"/>
          <w:color w:val="auto"/>
        </w:rPr>
      </w:pPr>
    </w:p>
    <w:p>
      <w:pPr>
        <w:jc w:val="both"/>
        <w:ind w:firstLine="1505"/>
        <w:spacing w:after="0" w:line="241" w:lineRule="auto"/>
        <w:tabs>
          <w:tab w:leader="none" w:pos="2036"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United Therapeutics Patents. </w:t>
      </w:r>
      <w:r>
        <w:rPr>
          <w:rFonts w:ascii="Times New Roman" w:cs="Times New Roman" w:eastAsia="Times New Roman" w:hAnsi="Times New Roman"/>
          <w:sz w:val="22"/>
          <w:szCs w:val="22"/>
          <w:color w:val="auto"/>
        </w:rPr>
        <w:t>United Therapeutics shall be responsible, in its discretion,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preparation, filing, prosecution and maintenance of United Therapeutics Patents (including the right to conduct any interferences, oppositions, or reexaminations thereon and to request any reissues or patent term extensions thereof), at United Therapeutics’ sole expense.</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Joint Patents.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9" w:name="page160"/>
    <w:bookmarkEnd w:id="159"/>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2254"/>
        <w:spacing w:after="0" w:line="231" w:lineRule="auto"/>
        <w:tabs>
          <w:tab w:leader="none" w:pos="2546"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Initial Responsibility. </w:t>
      </w:r>
      <w:r>
        <w:rPr>
          <w:rFonts w:ascii="Times New Roman" w:cs="Times New Roman" w:eastAsia="Times New Roman" w:hAnsi="Times New Roman"/>
          <w:sz w:val="22"/>
          <w:szCs w:val="22"/>
          <w:color w:val="auto"/>
        </w:rPr>
        <w:t>With regard to Joint Patents worldwide, (A) MannKind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responsible, in its discretion, for the preparation, filing, prosecution and maintenance of Joint Patents that primarily claim or cover a Formulation or Device, where (1) the Formulation so covered or claimed is generally applicable to any Formulation and is neither specific nor primarily related to the Formulation contained or used in a Product or any other Formulation of API (including as the definition of “API” may be expanded by operation of Section 2.6) and (2) the Device so covered or claimed is generally applicable to any Formulation and is neither specific nor primarily related to the Formulation contained or used in a Product or any other Formulation of API (including as the definition of “API” may be expanded by operation of Section 2.6) (“</w:t>
      </w:r>
      <w:r>
        <w:rPr>
          <w:rFonts w:ascii="Times New Roman" w:cs="Times New Roman" w:eastAsia="Times New Roman" w:hAnsi="Times New Roman"/>
          <w:sz w:val="22"/>
          <w:szCs w:val="22"/>
          <w:b w:val="1"/>
          <w:bCs w:val="1"/>
          <w:i w:val="1"/>
          <w:iCs w:val="1"/>
          <w:color w:val="auto"/>
        </w:rPr>
        <w:t>General Joint Patents</w:t>
      </w:r>
      <w:r>
        <w:rPr>
          <w:rFonts w:ascii="Times New Roman" w:cs="Times New Roman" w:eastAsia="Times New Roman" w:hAnsi="Times New Roman"/>
          <w:sz w:val="22"/>
          <w:szCs w:val="22"/>
          <w:color w:val="auto"/>
        </w:rPr>
        <w:t>”) (including the right to conduct any interferences, oppositions, or reexaminations thereon and to request any reissues or patent term extensions thereof), subject to this Section 9.2(c) and at MannKind’s sole expense; and (B) United Therapeutics shall be responsible, in its discretion, for the preparation, filing, prosecution and maintenance of Joint Patents other than General Joint Patents (“</w:t>
      </w:r>
      <w:r>
        <w:rPr>
          <w:rFonts w:ascii="Times New Roman" w:cs="Times New Roman" w:eastAsia="Times New Roman" w:hAnsi="Times New Roman"/>
          <w:sz w:val="22"/>
          <w:szCs w:val="22"/>
          <w:b w:val="1"/>
          <w:bCs w:val="1"/>
          <w:i w:val="1"/>
          <w:iCs w:val="1"/>
          <w:color w:val="auto"/>
        </w:rPr>
        <w:t>Other Joint Patents</w:t>
      </w:r>
      <w:r>
        <w:rPr>
          <w:rFonts w:ascii="Times New Roman" w:cs="Times New Roman" w:eastAsia="Times New Roman" w:hAnsi="Times New Roman"/>
          <w:sz w:val="22"/>
          <w:szCs w:val="22"/>
          <w:color w:val="auto"/>
        </w:rPr>
        <w:t>”) (including the right to conduct any interferences, oppositions, or reexaminations thereon and to request any reissues or patent term extensions thereof), subject to this Section 9.2(c) and at United Therapeutics’ sole expense. MannKind in its role as the Party responsible for General Joint Patents and United Therapeutics in its role as the Party responsible for Other Joint Patents shall be referred to as the “</w:t>
      </w:r>
      <w:r>
        <w:rPr>
          <w:rFonts w:ascii="Times New Roman" w:cs="Times New Roman" w:eastAsia="Times New Roman" w:hAnsi="Times New Roman"/>
          <w:sz w:val="22"/>
          <w:szCs w:val="22"/>
          <w:b w:val="1"/>
          <w:bCs w:val="1"/>
          <w:i w:val="1"/>
          <w:iCs w:val="1"/>
          <w:color w:val="auto"/>
        </w:rPr>
        <w:t>Joint Patent Lead</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b w:val="1"/>
          <w:bCs w:val="1"/>
          <w:color w:val="auto"/>
        </w:rPr>
      </w:pPr>
    </w:p>
    <w:p>
      <w:pPr>
        <w:jc w:val="both"/>
        <w:ind w:firstLine="2254"/>
        <w:spacing w:after="0" w:line="246" w:lineRule="auto"/>
        <w:tabs>
          <w:tab w:leader="none" w:pos="2546"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For any Joint Patents for which it is the Joint Patent Lead, the Joint Patent Lead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keep the other Party fully informed of progress with regard to the preparation, filing, prosecution and maintenance of the Joint Patents in the Territory. The Joint Patent Lead shall:</w:t>
      </w:r>
    </w:p>
    <w:p>
      <w:pPr>
        <w:spacing w:after="0" w:line="171" w:lineRule="exact"/>
        <w:rPr>
          <w:rFonts w:ascii="Times New Roman" w:cs="Times New Roman" w:eastAsia="Times New Roman" w:hAnsi="Times New Roman"/>
          <w:sz w:val="22"/>
          <w:szCs w:val="22"/>
          <w:b w:val="1"/>
          <w:bCs w:val="1"/>
          <w:color w:val="auto"/>
        </w:rPr>
      </w:pPr>
    </w:p>
    <w:p>
      <w:pPr>
        <w:jc w:val="both"/>
        <w:ind w:firstLine="3003"/>
        <w:spacing w:after="0" w:line="239" w:lineRule="auto"/>
        <w:tabs>
          <w:tab w:leader="none" w:pos="3564"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 the other Party with a copy of the final draft of any proposed application prior to filing the same in any patent office worldwide with sufficient time to review and comment, unless otherwise agreed by patent counsel for both Parties, and the Joint Patent Lead shall consider in good faith any comments or revisions suggested by the other Party or its counsel;</w:t>
      </w:r>
    </w:p>
    <w:p>
      <w:pPr>
        <w:spacing w:after="0" w:line="180" w:lineRule="exact"/>
        <w:rPr>
          <w:rFonts w:ascii="Times New Roman" w:cs="Times New Roman" w:eastAsia="Times New Roman" w:hAnsi="Times New Roman"/>
          <w:sz w:val="22"/>
          <w:szCs w:val="22"/>
          <w:b w:val="1"/>
          <w:bCs w:val="1"/>
          <w:color w:val="auto"/>
        </w:rPr>
      </w:pPr>
    </w:p>
    <w:p>
      <w:pPr>
        <w:ind w:right="20" w:firstLine="3003"/>
        <w:spacing w:after="0" w:line="258" w:lineRule="auto"/>
        <w:tabs>
          <w:tab w:leader="none" w:pos="3564"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provide the other Party with a copy of all Patent applications as filed, together with a notice of its filing date and serial number;</w:t>
      </w:r>
    </w:p>
    <w:p>
      <w:pPr>
        <w:spacing w:after="0" w:line="158" w:lineRule="exact"/>
        <w:rPr>
          <w:rFonts w:ascii="Times New Roman" w:cs="Times New Roman" w:eastAsia="Times New Roman" w:hAnsi="Times New Roman"/>
          <w:sz w:val="22"/>
          <w:szCs w:val="22"/>
          <w:b w:val="1"/>
          <w:bCs w:val="1"/>
          <w:color w:val="auto"/>
        </w:rPr>
      </w:pPr>
    </w:p>
    <w:p>
      <w:pPr>
        <w:jc w:val="both"/>
        <w:ind w:firstLine="3003"/>
        <w:spacing w:after="0" w:line="244" w:lineRule="auto"/>
        <w:tabs>
          <w:tab w:leader="none" w:pos="3564"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provide the other Party with a copy of any action, communication, letter, or other correspondence issued by the relevant patent office, and the Joint Patent Lead shall consult with the other Party regarding responding to the same and shall consider in good faith any comments, strategies, and the like proposed by the other Party;</w:t>
      </w:r>
    </w:p>
    <w:p>
      <w:pPr>
        <w:spacing w:after="0" w:line="173" w:lineRule="exact"/>
        <w:rPr>
          <w:rFonts w:ascii="Times New Roman" w:cs="Times New Roman" w:eastAsia="Times New Roman" w:hAnsi="Times New Roman"/>
          <w:sz w:val="22"/>
          <w:szCs w:val="22"/>
          <w:b w:val="1"/>
          <w:bCs w:val="1"/>
          <w:color w:val="auto"/>
        </w:rPr>
      </w:pPr>
    </w:p>
    <w:p>
      <w:pPr>
        <w:ind w:left="3580" w:hanging="577"/>
        <w:spacing w:after="0"/>
        <w:tabs>
          <w:tab w:leader="none" w:pos="3580"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provide the other Party with a copy of any response, amendment, paper, or</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other correspondence filed with the relevant patent office upon Joint Patent Lead’s receipt of the as-filed document;</w:t>
      </w:r>
    </w:p>
    <w:p>
      <w:pPr>
        <w:spacing w:after="0" w:line="182" w:lineRule="exact"/>
        <w:rPr>
          <w:rFonts w:ascii="Times New Roman" w:cs="Times New Roman" w:eastAsia="Times New Roman" w:hAnsi="Times New Roman"/>
          <w:sz w:val="22"/>
          <w:szCs w:val="22"/>
          <w:b w:val="1"/>
          <w:bCs w:val="1"/>
          <w:color w:val="auto"/>
        </w:rPr>
      </w:pPr>
    </w:p>
    <w:p>
      <w:pPr>
        <w:ind w:left="3580" w:hanging="577"/>
        <w:spacing w:after="0"/>
        <w:tabs>
          <w:tab w:leader="none" w:pos="3580"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notify the other Party of the allowance, grant, or issuance of such Joint</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Patents; and</w:t>
      </w:r>
    </w:p>
    <w:p>
      <w:pPr>
        <w:spacing w:after="0" w:line="200" w:lineRule="exact"/>
        <w:rPr>
          <w:sz w:val="20"/>
          <w:szCs w:val="20"/>
          <w:color w:val="auto"/>
        </w:rPr>
      </w:pP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38</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0" w:name="page161"/>
    <w:bookmarkEnd w:id="160"/>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firstLine="3003"/>
        <w:spacing w:after="0" w:line="237" w:lineRule="auto"/>
        <w:tabs>
          <w:tab w:leader="none" w:pos="3564"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consult with the other Party regarding the countries to be filed and maintained, the payment of annuities, taxes and maintenance fees for any such Joint Patents.</w:t>
      </w:r>
    </w:p>
    <w:p>
      <w:pPr>
        <w:spacing w:after="0" w:line="174"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(iii)Option of Other Party to Prosecute, Maintain and Enforce. </w:t>
      </w:r>
      <w:r>
        <w:rPr>
          <w:rFonts w:ascii="Times New Roman" w:cs="Times New Roman" w:eastAsia="Times New Roman" w:hAnsi="Times New Roman"/>
          <w:sz w:val="22"/>
          <w:szCs w:val="22"/>
          <w:color w:val="auto"/>
        </w:rPr>
        <w:t>In the event that the Party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Joint Patent Lead desires to abandon or cease prosecution or maintenance of any Joint Patent for which it is responsible, such Party shall provide reasonable prior written notice to the other Party of such intention to abandon (which notice shall, to the extent possible, be given no later than 90 days prior to the next deadline for any action that must be taken with respect to such Joint Patent in the relevant patent office and, in any case, shall be prior to abandonment). In such case, at the other Party’s sole discretion, upon written notice from such other Party, such other Party may elect to continue prosecution and maintenance of any such Joint Patent at its own expense, and the Party that elected to abandon or cease prosecution or maintenance of such Joint Patent shall execute such documents and perform such acts, at its own expense, as may be reasonably necessary to effect an assignment of such Party’s entire right, title, and interest in and to such Joint Patent to the other Party. Any such assignment shall be completed in a timely manner to allow such other Party to continue prosecution and maintenance of any such Joint Patent. Any Patents so assigned shall no longer be considered Joint Patents.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9.3Infringement by Third Parties</w:t>
      </w:r>
      <w:r>
        <w:rPr>
          <w:rFonts w:ascii="Times New Roman" w:cs="Times New Roman" w:eastAsia="Times New Roman" w:hAnsi="Times New Roman"/>
          <w:sz w:val="22"/>
          <w:szCs w:val="22"/>
          <w:b w:val="1"/>
          <w:bCs w:val="1"/>
          <w:i w:val="1"/>
          <w:iCs w:val="1"/>
          <w:color w:val="auto"/>
        </w:rPr>
        <w:t>.</w:t>
      </w:r>
    </w:p>
    <w:p>
      <w:pPr>
        <w:spacing w:after="0" w:line="208" w:lineRule="exact"/>
        <w:rPr>
          <w:sz w:val="20"/>
          <w:szCs w:val="20"/>
          <w:color w:val="auto"/>
        </w:rPr>
      </w:pPr>
    </w:p>
    <w:p>
      <w:pPr>
        <w:jc w:val="both"/>
        <w:ind w:firstLine="1505"/>
        <w:spacing w:after="0" w:line="241" w:lineRule="auto"/>
        <w:tabs>
          <w:tab w:leader="none" w:pos="2036"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 </w:t>
      </w:r>
      <w:r>
        <w:rPr>
          <w:rFonts w:ascii="Times New Roman" w:cs="Times New Roman" w:eastAsia="Times New Roman" w:hAnsi="Times New Roman"/>
          <w:sz w:val="22"/>
          <w:szCs w:val="22"/>
          <w:color w:val="auto"/>
        </w:rPr>
        <w:t>In the event that either MannKind or United Therapeutics becomes aware of any infringement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threatened infringement by a Third Party of any Patents that are subject to the prosecution, maintenance or enforcement rights of the other Party under this Agreement, it will notify the other Party in writing to that effect. Any such notice shall include evidence to support an allegation of infringement or threatened infringement by such Third Party.</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MannKind Patents and Joint Patents.</w:t>
      </w:r>
    </w:p>
    <w:p>
      <w:pPr>
        <w:spacing w:after="0" w:line="210"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546" w:val="left"/>
        </w:tabs>
        <w:numPr>
          <w:ilvl w:val="1"/>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this Section 9.3(b), MannKind shall have the right (but not the obligation), as between MannKind and United Therapeutics, to bring and control any action or proceeding with respect to infringement of any MannKind Patent or Joint Patent, at its own expense and by counsel of its own choice, to the extent the infringement does not include the manufacture, use, import, offer for sale or sale of a Product or any other product containing or comprising a dry powder formulation of API that is or is intended to be primarily administered in or through the lungs, in each case in the Territory (“</w:t>
      </w:r>
      <w:r>
        <w:rPr>
          <w:rFonts w:ascii="Times New Roman" w:cs="Times New Roman" w:eastAsia="Times New Roman" w:hAnsi="Times New Roman"/>
          <w:sz w:val="22"/>
          <w:szCs w:val="22"/>
          <w:b w:val="1"/>
          <w:bCs w:val="1"/>
          <w:i w:val="1"/>
          <w:iCs w:val="1"/>
          <w:color w:val="auto"/>
        </w:rPr>
        <w:t>Competing Activity</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546" w:val="left"/>
        </w:tabs>
        <w:numPr>
          <w:ilvl w:val="1"/>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this Section 9.3(b), United Therapeutics shall have the first right (but not the obligation), as between MannKind and United Therapeutics, to bring and control any action or proceeding with respect to infringement of any MannKind Patent or Joint Patent, at its own expense and by counsel of its own choice, to the extent the infringement includes Competing Activity in the Territory. MannKind shall have the right, at its own expense, to be represented in any such action by counsel of its own choice, and United Therapeutics and its counsel will reasonably cooperate with MannKind and its counsel in strategizing, preparing and presenting any such action or proceeding.</w:t>
      </w: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39</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1" w:name="page162"/>
    <w:bookmarkEnd w:id="161"/>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2246"/>
        <w:spacing w:after="0" w:line="23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If United Therapeutics fails to bring an action or proceeding that it has the right to bring and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pursuant to Section 9.3(b)(ii) with respect to infringement that is commercially significant Competing Activity in the Territory within (A) 90 days following the notice of alleged infringement or (B) 10 days before the time limit, if any, set forth in the appropriate laws and regulations for the filing of such actions, whichever comes first, MannKind shall have the right (but not the obligation) to bring and control any such action at its own expense and by counsel of its own choice, and United Therapeutics shall have the right, at its own expense, to be represented in any such action by counsel of its own choice.</w:t>
      </w:r>
    </w:p>
    <w:p>
      <w:pPr>
        <w:spacing w:after="0" w:line="179" w:lineRule="exact"/>
        <w:rPr>
          <w:sz w:val="20"/>
          <w:szCs w:val="20"/>
          <w:color w:val="auto"/>
        </w:rPr>
      </w:pPr>
    </w:p>
    <w:p>
      <w:pPr>
        <w:jc w:val="both"/>
        <w:ind w:firstLine="2246"/>
        <w:spacing w:after="0" w:line="237"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Except as otherwise agreed to by the Parties as part of a cost-sharing arrangement, any recovery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damages actually received as a result of such action or proceeding shall be used first to reimburse the Parties’ documented out-of-pocket legal expenses relating to the action or proceeding, with any remaining compensatory damages relating to Product (including lost sales or lost profits with respect to Product) being retained by United Therapeutics (or if received by MannKind, paid to United Therapeutics) and deemed Net Sales subject to the royalty provisions of Section 6.3, and any punitive damages shall be shared equally by the Parties.</w:t>
      </w:r>
    </w:p>
    <w:p>
      <w:pPr>
        <w:spacing w:after="0" w:line="175" w:lineRule="exact"/>
        <w:rPr>
          <w:sz w:val="20"/>
          <w:szCs w:val="20"/>
          <w:color w:val="auto"/>
        </w:rPr>
      </w:pPr>
    </w:p>
    <w:p>
      <w:pPr>
        <w:jc w:val="both"/>
        <w:ind w:right="20" w:firstLine="1505"/>
        <w:spacing w:after="0" w:line="246" w:lineRule="auto"/>
        <w:tabs>
          <w:tab w:leader="none" w:pos="2036"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United Therapeutics Patents. </w:t>
      </w:r>
      <w:r>
        <w:rPr>
          <w:rFonts w:ascii="Times New Roman" w:cs="Times New Roman" w:eastAsia="Times New Roman" w:hAnsi="Times New Roman"/>
          <w:sz w:val="22"/>
          <w:szCs w:val="22"/>
          <w:color w:val="auto"/>
        </w:rPr>
        <w:t>United Therapeutics shall have the right (but not the obligation) to bring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control any action or proceeding with respect to infringement of any United Therapeutics Patent worldwide, at its own expense and by counsel of its own choice.</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In the event a Party brings an infringement action in accordance with this Section 9.3,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shall cooperate fully, including, if required to bring such action, the furnishing of a power of attorney or being named as a Party to such action.</w:t>
      </w:r>
    </w:p>
    <w:p>
      <w:pPr>
        <w:spacing w:after="0" w:line="16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9.4Infringement of Third Party Rights. </w:t>
      </w:r>
      <w:r>
        <w:rPr>
          <w:rFonts w:ascii="Times New Roman" w:cs="Times New Roman" w:eastAsia="Times New Roman" w:hAnsi="Times New Roman"/>
          <w:sz w:val="22"/>
          <w:szCs w:val="22"/>
          <w:color w:val="auto"/>
        </w:rPr>
        <w:t>Each Party shall promptly notify the other in writing of any allegation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Party that the activity of either of the Parties pursuant to this Agreement infringes or may infringe the intellectual property rights of such Third Party. MannKind shall have the sole right (but not the obligation), as between MannKind and United Therapeutics, to bring and control any defense of any such claim involving alleged infringement of Third Party rights by MannKind’s activities pursuant to this Agreement at its own expense and by counsel of its own choice, and United Therapeutics shall have the right, at its own expense, to be represented in any such defense by counsel of its own choice. United Therapeutics shall have the sole right (but not the obligation), as between United Therapeutics and MannKind, to bring and control any defense of any such claim involving alleged infringement of Third Party rights by United Therapeutics’ activities pursuant to this Agreement at its own expense and by counsel of its own choice, and MannKind shall have the right, at its own expense, to be represented in any such defense by counsel of its own choice. Nothing in this Section 9.4 limits MannKind’s indemnification obligations to United Therapeutics under this Agreement.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9.5Consent for Settlement. </w:t>
      </w:r>
      <w:r>
        <w:rPr>
          <w:rFonts w:ascii="Times New Roman" w:cs="Times New Roman" w:eastAsia="Times New Roman" w:hAnsi="Times New Roman"/>
          <w:sz w:val="22"/>
          <w:szCs w:val="22"/>
          <w:color w:val="auto"/>
        </w:rPr>
        <w:t>Neither Party shall enter into any settlement or compromise of any action or proceeding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Article 9 which would in any manner alter, diminish, or be in derogation of the other Party’s rights under this Agreement without the prior written consent of such other Party, which consent shall not be unreasonably withheld.</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40</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2" w:name="page163"/>
    <w:bookmarkEnd w:id="162"/>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9.6Paragraph IV Notice. </w:t>
      </w:r>
      <w:r>
        <w:rPr>
          <w:rFonts w:ascii="Times New Roman" w:cs="Times New Roman" w:eastAsia="Times New Roman" w:hAnsi="Times New Roman"/>
          <w:sz w:val="22"/>
          <w:szCs w:val="22"/>
          <w:color w:val="auto"/>
        </w:rPr>
        <w:t>If either Party receives a notice under 21 U.S.C. §355(b)(2)(A)(iv) or 355(j)(2)(A)(vii)(IV)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concerning any MannKind Patent, Joint Patent or United Therapeutics Patent, then it shall provide a copy of such notice to the other Party within two Business Days after its receipt thereof. Patent infringement litigation based on such a notice concerning a MannKind Patent, Joint Patent or United Therapeutics Patent shall be brought and controlled as provided in Section 9.3(b) or 9.3(c) as applicable.</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9.7Patent Term Extension. </w:t>
      </w:r>
      <w:r>
        <w:rPr>
          <w:rFonts w:ascii="Times New Roman" w:cs="Times New Roman" w:eastAsia="Times New Roman" w:hAnsi="Times New Roman"/>
          <w:sz w:val="22"/>
          <w:szCs w:val="22"/>
          <w:color w:val="auto"/>
        </w:rPr>
        <w:t>MannKind shall cooperate with United Therapeutics to the extent reasonable requested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to extend a MannKind Patent by way, for example, of a Patent Term Restoration and Supplementary Protection Certificate.</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9.8Orange Book Listing. </w:t>
      </w:r>
      <w:r>
        <w:rPr>
          <w:rFonts w:ascii="Times New Roman" w:cs="Times New Roman" w:eastAsia="Times New Roman" w:hAnsi="Times New Roman"/>
          <w:sz w:val="22"/>
          <w:szCs w:val="22"/>
          <w:color w:val="auto"/>
        </w:rPr>
        <w:t>After consultation with and consideration of input from MannKind, United Therapeutics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sole authority and discretion to maintain with the applicable Regulatory Authorities during the Term listings of applicable MannKind Patents, Joint Patents or United Therapeutics Patents for Product then being commercialized by United Therapeutics in the Territory, including all Orange Book listings required under the Hatch-Waxman Act.</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9.9Trademarks. </w:t>
      </w:r>
      <w:r>
        <w:rPr>
          <w:rFonts w:ascii="Times New Roman" w:cs="Times New Roman" w:eastAsia="Times New Roman" w:hAnsi="Times New Roman"/>
          <w:sz w:val="22"/>
          <w:szCs w:val="22"/>
          <w:color w:val="auto"/>
        </w:rPr>
        <w:t>United Therapeutics shall own and be responsible for all trademarks, trade names, branding, or logos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Product or commercialization thereof, and will be responsible for selecting, registering, defending, and maintaining the same.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w:t>
      </w:r>
    </w:p>
    <w:p>
      <w:pPr>
        <w:spacing w:after="0" w:line="200" w:lineRule="exact"/>
        <w:rPr>
          <w:sz w:val="20"/>
          <w:szCs w:val="20"/>
          <w:color w:val="auto"/>
        </w:rPr>
      </w:pPr>
    </w:p>
    <w:p>
      <w:pPr>
        <w:spacing w:after="0" w:line="2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10.1Mutual Representations, Warranties and Covenants.  </w:t>
      </w:r>
      <w:r>
        <w:rPr>
          <w:rFonts w:ascii="Times New Roman" w:cs="Times New Roman" w:eastAsia="Times New Roman" w:hAnsi="Times New Roman"/>
          <w:sz w:val="22"/>
          <w:szCs w:val="22"/>
          <w:color w:val="auto"/>
        </w:rPr>
        <w:t>Each Party hereby represents and warrants to the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as of the Effective Date, as follows:</w:t>
      </w:r>
    </w:p>
    <w:p>
      <w:pPr>
        <w:spacing w:after="0" w:line="178" w:lineRule="exact"/>
        <w:rPr>
          <w:sz w:val="20"/>
          <w:szCs w:val="20"/>
          <w:color w:val="auto"/>
        </w:rPr>
      </w:pPr>
    </w:p>
    <w:p>
      <w:pPr>
        <w:jc w:val="both"/>
        <w:ind w:firstLine="1505"/>
        <w:spacing w:after="0" w:line="241" w:lineRule="auto"/>
        <w:tabs>
          <w:tab w:leader="none" w:pos="203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Duly Organized. </w:t>
      </w:r>
      <w:r>
        <w:rPr>
          <w:rFonts w:ascii="Times New Roman" w:cs="Times New Roman" w:eastAsia="Times New Roman" w:hAnsi="Times New Roman"/>
          <w:sz w:val="22"/>
          <w:szCs w:val="22"/>
          <w:color w:val="auto"/>
        </w:rPr>
        <w:t>Such Party is a corporation duly organized, validly existing and in good standing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laws of the jurisdiction of its incorporation, is qualified to do business and is in good standing as a foreign corporation in each jurisdiction in which the conduct of its business or the ownership of its properties requires such qualification and failure to have such would prevent such Party from performing its obligations under this Agreement.</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Due Authorization; Binding Agreement. </w:t>
      </w:r>
      <w:r>
        <w:rPr>
          <w:rFonts w:ascii="Times New Roman" w:cs="Times New Roman" w:eastAsia="Times New Roman" w:hAnsi="Times New Roman"/>
          <w:sz w:val="22"/>
          <w:szCs w:val="22"/>
          <w:color w:val="auto"/>
        </w:rPr>
        <w:t>The execution, delivery and performance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such Party have been duly authorized by all necessary corporate action. This Agreement is a legal and valid obligation binding on such Party and enforceable in accordance with its terms and does not: (i) to such Party’s knowledge and belief, violate any law, rule, regulation, order, writ, judgment, decree, determination or award of any court, governmental body or administrative or other agency having jurisdiction over such Party; nor (ii) conflict with, violate or breach, or constitute a default or require any consent under, any agreement, instrument or understanding, oral or written, to which such Party is a party or by which it is bound.</w:t>
      </w:r>
    </w:p>
    <w:p>
      <w:pPr>
        <w:spacing w:after="0" w:line="200" w:lineRule="exact"/>
        <w:rPr>
          <w:sz w:val="20"/>
          <w:szCs w:val="20"/>
          <w:color w:val="auto"/>
        </w:rPr>
      </w:pP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3" w:name="page164"/>
    <w:bookmarkEnd w:id="163"/>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1505"/>
        <w:spacing w:after="0" w:line="233" w:lineRule="auto"/>
        <w:tabs>
          <w:tab w:leader="none" w:pos="2036"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Consents. </w:t>
      </w:r>
      <w:r>
        <w:rPr>
          <w:rFonts w:ascii="Times New Roman" w:cs="Times New Roman" w:eastAsia="Times New Roman" w:hAnsi="Times New Roman"/>
          <w:sz w:val="22"/>
          <w:szCs w:val="22"/>
          <w:color w:val="auto"/>
        </w:rPr>
        <w:t>Such Party has obtained, or is not required to obtain, the consent, approval, order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 of any Third Party (including under any agreements relating to MannKind indebtedness), or has completed, or is not required to complete any registration, qualification, designation, declaration, or filing with, any Regulatory Authority or Governmental Authority, in connection with the execution and delivery of this Agreement and the performance by such Party of its obligations under this Agreement, except as contemplated by Section 15.16.</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Conflicting Grant of Rights. </w:t>
      </w:r>
      <w:r>
        <w:rPr>
          <w:rFonts w:ascii="Times New Roman" w:cs="Times New Roman" w:eastAsia="Times New Roman" w:hAnsi="Times New Roman"/>
          <w:sz w:val="22"/>
          <w:szCs w:val="22"/>
          <w:color w:val="auto"/>
        </w:rPr>
        <w:t>Such Party has the right to grant the licenses and rights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under this Agreement and has not, and will not during the Term, grant any right to any Third Party which would conflict with the licenses and rights granted to the other Party hereunder.</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58" w:lineRule="exact"/>
        <w:tabs>
          <w:tab w:leader="none" w:pos="2036"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Employee/Contractor Agreements. </w:t>
      </w:r>
      <w:r>
        <w:rPr>
          <w:rFonts w:ascii="Times New Roman" w:cs="Times New Roman" w:eastAsia="Times New Roman" w:hAnsi="Times New Roman"/>
          <w:sz w:val="22"/>
          <w:szCs w:val="22"/>
          <w:color w:val="auto"/>
        </w:rPr>
        <w:t>All of such Party’s and its Affiliates’ employees or 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acting on its behalf pursuant to this Agreement are and will be obligated under a binding written agreement to assign to such Party or its designee all Inventions and to comply with obligations of confidentiality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use consistent in scope with those set forth in Article 8.</w:t>
      </w:r>
    </w:p>
    <w:p>
      <w:pPr>
        <w:spacing w:after="0" w:line="172"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Debarment. </w:t>
      </w:r>
      <w:r>
        <w:rPr>
          <w:rFonts w:ascii="Times New Roman" w:cs="Times New Roman" w:eastAsia="Times New Roman" w:hAnsi="Times New Roman"/>
          <w:sz w:val="22"/>
          <w:szCs w:val="22"/>
          <w:color w:val="auto"/>
        </w:rPr>
        <w:t>Such Party is not debarred under the United States Federal Food, Drug and Cosmetic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excluded from a federal health care program, or debarred from federal contracting, and such Party does not, and will not during the Term, employ or use the services of any Person who is so debarred or excluded, or who has been convicted of or pled nolo contendere to any felony, or to any federal or state legal violation (including misdemeanors) relating to prescription drug or device products or fraud, or convicted of any other crime for which an entity or person could be so debarred or excluded (including by the FDA under 21 U.S.C. § 335a (or subject to a similar sanction of any other Governmental Authority)), in connection with the development, manufacture or commercialization of the Products. In the event that either Party becomes aware of the debarment, exclusion, or threatened debarment or exclusion of any Person providing services to such Party, including the Party itself and its Affiliates, which directly or indirectly relate to activities under this Agreement, the other Party shall be immediately notified in writing, and at the other Party’s option this Agreement shall terminate automatically as of the first date of such noncompliance.</w:t>
      </w:r>
    </w:p>
    <w:p>
      <w:pPr>
        <w:spacing w:after="0" w:line="17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10.2Representations and Warranties of MannKind. </w:t>
      </w:r>
      <w:r>
        <w:rPr>
          <w:rFonts w:ascii="Times New Roman" w:cs="Times New Roman" w:eastAsia="Times New Roman" w:hAnsi="Times New Roman"/>
          <w:sz w:val="22"/>
          <w:szCs w:val="22"/>
          <w:color w:val="auto"/>
        </w:rPr>
        <w:t>MannKind represents and warrants to United Therapeutics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Execution Date and as of the Effective Date:</w:t>
      </w:r>
    </w:p>
    <w:p>
      <w:pPr>
        <w:spacing w:after="0" w:line="150" w:lineRule="exact"/>
        <w:rPr>
          <w:sz w:val="20"/>
          <w:szCs w:val="20"/>
          <w:color w:val="auto"/>
        </w:rPr>
      </w:pPr>
    </w:p>
    <w:p>
      <w:pPr>
        <w:ind w:left="2040" w:hanging="535"/>
        <w:spacing w:after="0"/>
        <w:tabs>
          <w:tab w:leader="none" w:pos="204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 of License.</w:t>
      </w:r>
    </w:p>
    <w:p>
      <w:pPr>
        <w:spacing w:after="0" w:line="210"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546" w:val="left"/>
        </w:tabs>
        <w:numPr>
          <w:ilvl w:val="1"/>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MannKind has delivered to United Therapeutics a list of MannKind Patents existing as of such date under separate cover (the “</w:t>
      </w:r>
      <w:r>
        <w:rPr>
          <w:rFonts w:ascii="Times New Roman" w:cs="Times New Roman" w:eastAsia="Times New Roman" w:hAnsi="Times New Roman"/>
          <w:sz w:val="22"/>
          <w:szCs w:val="22"/>
          <w:b w:val="1"/>
          <w:bCs w:val="1"/>
          <w:i w:val="1"/>
          <w:iCs w:val="1"/>
          <w:color w:val="auto"/>
        </w:rPr>
        <w:t>Existing Patents</w:t>
      </w:r>
      <w:r>
        <w:rPr>
          <w:rFonts w:ascii="Times New Roman" w:cs="Times New Roman" w:eastAsia="Times New Roman" w:hAnsi="Times New Roman"/>
          <w:sz w:val="22"/>
          <w:szCs w:val="22"/>
          <w:color w:val="auto"/>
        </w:rPr>
        <w:t>”), which list (A) is a true and complete list of all Patents Controlled by MannKind or its Affiliates as of such date that that claim or disclose Product or its components, or are necessary or reasonably useful for the development, manufacture, use, import, offer for sale, or sale of Product in the Field in the Territory, including all such Patents claiming or covering the design or utility of a Device or a Formulation, and (B) indicates the current status, date and country of filing and issuance. All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4" w:name="page165"/>
    <w:bookmarkEnd w:id="164"/>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70" w:lineRule="exact"/>
        <w:rPr>
          <w:sz w:val="20"/>
          <w:szCs w:val="20"/>
          <w:color w:val="auto"/>
        </w:rPr>
      </w:pPr>
    </w:p>
    <w:p>
      <w:pPr>
        <w:ind w:firstLine="2254"/>
        <w:spacing w:after="0" w:line="258" w:lineRule="auto"/>
        <w:tabs>
          <w:tab w:leader="none" w:pos="2546"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MannKind is the sole and exclusive owner of the entire right, title and interest in the Existing Patents, free of any encumbrance, lien, or claim of ownership by any Third Party other than the liens held by Deerfield.</w:t>
      </w:r>
    </w:p>
    <w:p>
      <w:pPr>
        <w:spacing w:after="0" w:line="154"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Each Person who has or has had any rights in or to any MannKind Patents or any MannKind Know-How, has assigned and has executed an agreement assigning its entire right, title, and interest in and to such MannKind Patents or any MannKind Know-How to MannKind or its Affiliates. To MannKind’s knowledge, no current officer, employee, agent, or consultant of MannKind or any of its Affiliates is in violation of any term of any assignment or other agreement regarding the protection of Patents or Information that would constitute MannKind Know-How or of any provision regarding the assignment or protection of intellectual property or proprietary rights of MannKind in any employment contract or any other contractual obligation relating to the relationship of any such Person with MannKind.</w:t>
      </w:r>
    </w:p>
    <w:p>
      <w:pPr>
        <w:spacing w:after="0" w:line="176"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Neither MannKind nor any of its Affiliates has previously entered into any agreement,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or oral, with respect to the assignment, transfer, license, conveyance or encumbrance of, or otherwise assigned, transferred, licensed, conveyed or encumbered its right, title, or interest in or to any Material Patent or Information (including by granting any covenant not to sue with respect thereto) that would otherwise be included in the MannKind Patents or MannKind Know-How but for such assignment, transfer, license, conveyance, or encumbrance. As used herein, “Material Patent or Information” means a Patent or item of Information which if not included in the MannKind Patents or MannKind Know-How, would be expected to have a material adverse effect on United Therapeutics’ ability to develop or commercialize Product in the Field in the Territory in the manner currently conducted or proposed to be conducted.</w:t>
      </w:r>
    </w:p>
    <w:p>
      <w:pPr>
        <w:spacing w:after="0" w:line="178" w:lineRule="exact"/>
        <w:rPr>
          <w:sz w:val="20"/>
          <w:szCs w:val="20"/>
          <w:color w:val="auto"/>
        </w:rPr>
      </w:pPr>
    </w:p>
    <w:p>
      <w:pPr>
        <w:jc w:val="both"/>
        <w:ind w:firstLine="1505"/>
        <w:spacing w:after="0" w:line="241" w:lineRule="auto"/>
        <w:tabs>
          <w:tab w:leader="none" w:pos="2036"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Patent Status. </w:t>
      </w:r>
      <w:r>
        <w:rPr>
          <w:rFonts w:ascii="Times New Roman" w:cs="Times New Roman" w:eastAsia="Times New Roman" w:hAnsi="Times New Roman"/>
          <w:sz w:val="22"/>
          <w:szCs w:val="22"/>
          <w:color w:val="auto"/>
        </w:rPr>
        <w:t>As of the Effective Date, (i) all issued MannKind Patents are in full force and effect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subsisting, and inventorship of each Patent is properly identified on such Patents; (ii) none of the MannKind Patents is currently involved in any interference, reissue, reexamination, or opposition proceeding; and (iii) neither MannKind nor any of its Affiliates has received any written notice from any Person, or has knowledge, of such actual or threatened proceeding.</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Non-Infringement by Third Parties. </w:t>
      </w:r>
      <w:r>
        <w:rPr>
          <w:rFonts w:ascii="Times New Roman" w:cs="Times New Roman" w:eastAsia="Times New Roman" w:hAnsi="Times New Roman"/>
          <w:sz w:val="22"/>
          <w:szCs w:val="22"/>
          <w:color w:val="auto"/>
        </w:rPr>
        <w:t>As of the Effective Date, to MannKind’s knowledge, there are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by Third Parties (whether actual or threatened) that would constitute infringement of the MannKind Patents or misappropriation of the MannKind Know-How.</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Third Party Claims. </w:t>
      </w:r>
      <w:r>
        <w:rPr>
          <w:rFonts w:ascii="Times New Roman" w:cs="Times New Roman" w:eastAsia="Times New Roman" w:hAnsi="Times New Roman"/>
          <w:sz w:val="22"/>
          <w:szCs w:val="22"/>
          <w:color w:val="auto"/>
        </w:rPr>
        <w:t>Neither MannKind nor any of its Affiliates has received any written notice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or has knowledge of, any claim or potential claim, whether or not asserted, that: (i) the MannKind Patents are invalid or unenforceable, (ii) the disclosing, copying, assigning, or licensing of the MannKind Patents, MannKind Know-How or the Regulatory Filings for the Product made by or on behalf of MannKind or its Affiliates, does 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5" w:name="page166"/>
    <w:bookmarkEnd w:id="165"/>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both"/>
        <w:ind w:firstLine="1505"/>
        <w:spacing w:after="0" w:line="236" w:lineRule="auto"/>
        <w:tabs>
          <w:tab w:leader="none" w:pos="2036"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Action or Claim. </w:t>
      </w:r>
      <w:r>
        <w:rPr>
          <w:rFonts w:ascii="Times New Roman" w:cs="Times New Roman" w:eastAsia="Times New Roman" w:hAnsi="Times New Roman"/>
          <w:sz w:val="22"/>
          <w:szCs w:val="22"/>
          <w:color w:val="auto"/>
        </w:rPr>
        <w:t>As of the Effective Date, there are no actual, pending, or alleged or threatened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adverse actions, suits, claims, interferences or formal governmental investigations by or against MannKind or any of its Affiliates in or before any court, Governmental Authority involving any MannKind Know-How, MannKind Patents or Product, including in connection with the conduct of any clinical trials or manufacturing activities. As of the Effective Date, there are no material unsatisfied judgments or outstanding orders, injunctions, decrees, stipulations or awards (whether rendered by a court, an administrative agency or by an arbitrator) against MannKind with respect to any MannKind Know-How, MannKind Patents or Product.</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Governmental Funding. </w:t>
      </w:r>
      <w:r>
        <w:rPr>
          <w:rFonts w:ascii="Times New Roman" w:cs="Times New Roman" w:eastAsia="Times New Roman" w:hAnsi="Times New Roman"/>
          <w:sz w:val="22"/>
          <w:szCs w:val="22"/>
          <w:color w:val="auto"/>
        </w:rPr>
        <w:t>As of the Effective Date: (i) none of the inventions claimed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Patents has been conceived, discovered, developed or otherwise made in connection with any research activities funded, in whole or in part, by any Governmental Authority, and (ii) the inventions claimed in the MannKind Patents are not a “subject invention” as that term is described in 35 U.S.C. Section 201(f).</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t>
      </w:r>
      <w:r>
        <w:rPr>
          <w:rFonts w:ascii="Times New Roman" w:cs="Times New Roman" w:eastAsia="Times New Roman" w:hAnsi="Times New Roman"/>
          <w:sz w:val="22"/>
          <w:szCs w:val="22"/>
          <w:color w:val="auto"/>
        </w:rPr>
        <w:t>As of the Effective Date, MannKind and its Affiliates and, to MannKind’s knowledge,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 research organization to which MannKind or its Affiliates have subcontracted activities in connection with Product have complied in all material respects with all Applicable Laws, including all good clinical practices, good laboratory practices and good manufacturing practices, permits, governmental licenses, registrations, approvals, authorizations, orders, injunctions and decrees, in the research, development, manufacture and use of Product, and neither MannKind nor any of its Affiliates nor, to MannKind’s knowledge, any contract research organization to which MannKind or its Affiliates have subcontracted activities in connection with Product, has received any written notice from any Governmental Authority claiming that any such activities as conducted by them are not in such compliance.</w:t>
      </w:r>
    </w:p>
    <w:p>
      <w:pPr>
        <w:spacing w:after="0" w:line="178"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Injunction. </w:t>
      </w:r>
      <w:r>
        <w:rPr>
          <w:rFonts w:ascii="Times New Roman" w:cs="Times New Roman" w:eastAsia="Times New Roman" w:hAnsi="Times New Roman"/>
          <w:sz w:val="22"/>
          <w:szCs w:val="22"/>
          <w:color w:val="auto"/>
        </w:rPr>
        <w:t>No Governmental Authority (including the FDA) has commenced or, to MannKind’s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threatened to initiate any action to enjoin production of Product at any facility, nor has MannKind or any of its Affiliates or, to MannKind’s knowledge, any of its subcontractors involved in production of Product, received any notice to such effect.</w:t>
      </w:r>
    </w:p>
    <w:p>
      <w:pPr>
        <w:spacing w:after="0" w:line="17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Regulatory Information.</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6" w:name="page167"/>
    <w:bookmarkEnd w:id="166"/>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2254"/>
        <w:spacing w:after="0" w:line="231" w:lineRule="auto"/>
        <w:tabs>
          <w:tab w:leader="none" w:pos="2546" w:val="left"/>
        </w:tabs>
        <w:numPr>
          <w:ilvl w:val="1"/>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MannKind and its Affiliates have generated, prepared, maintained, and retained all Regulatory Filings for the Product that are required to be maintained or retained pursuant to and in accordance with good laboratory and clinical practice and Applicable Laws, and all such information is true, complete and correct. Neither MannKind nor any of its Affiliates, nor any of its or their respective officers, employees, or agents has knowingly made an untrue statement of material fact or fraudulent statement to the FDA or any other Regulatory Authority with respect to the development of the Device, Formulation or Product, failed to disclose a material fact required to be disclosed to the FDA or any other Regulatory Authority with respect to the Development of the Device, Formulation or Product, or committed an act, made a statement, or failed to make a statement with respect to the Development of the Device, Formulation or Product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186"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1"/>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MannKind has made available to United Therapeutics a true and correct copy, which is complete in all material respects, of (A) the IND associated with Product, (B) all data from nonclinical studies and clinical studies conducted under the IND for Product, (C) all material correspondence with the FDA regarding Product, and (D) all minutes of meetings and telephone conferences with the FDA with respect to the IND for Product. To MannKind's knowledge, MannKind has disclosed or otherwise provided United Therapeutics with all material information in MannKind’s possession as of the Effective Date relating to (1) the MannKind Know-How or MannKind Patents, (2) the nonclinical and clinical development activities undertaken with respect to the Product, (3) the safety or efficacy of Product, and (4) the manufacture of Product, all of which information is true, complete in all material respects, and correct.</w:t>
      </w:r>
    </w:p>
    <w:p>
      <w:pPr>
        <w:spacing w:after="0" w:line="178"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the time period between the Execution Date and the Effective Date, MannKind shall promptly inform United Therapeutics in writing if MannKind or any of its Affiliates becomes aware that the representations and warranties made by MannKind pursuant to Sections 10.1 and 10.2 as of the Execution Date are not true and correct in any material respects on and as of the Effective Date as though made on and as of the Effective Date.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10.3Representations and Warranties of United Therapeutics. </w:t>
      </w:r>
      <w:r>
        <w:rPr>
          <w:rFonts w:ascii="Times New Roman" w:cs="Times New Roman" w:eastAsia="Times New Roman" w:hAnsi="Times New Roman"/>
          <w:sz w:val="21"/>
          <w:szCs w:val="21"/>
          <w:color w:val="auto"/>
        </w:rPr>
        <w:t>United Therapeutics represents and warrants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MannKind that there is no action, suit, proceeding or investigation pending or, to its knowledge, threatened before any court or administrative agency against United Therapeutics or its Affiliates which could, directly or indirectly, reasonably be expected to materially affect its ability to perform its obligations hereunder or the commercialization by United Therapeutics of the Product.</w:t>
      </w:r>
    </w:p>
    <w:p>
      <w:pPr>
        <w:spacing w:after="0" w:line="15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10.4Disclaimer. </w:t>
      </w:r>
      <w:r>
        <w:rPr>
          <w:rFonts w:ascii="Times New Roman" w:cs="Times New Roman" w:eastAsia="Times New Roman" w:hAnsi="Times New Roman"/>
          <w:sz w:val="22"/>
          <w:szCs w:val="22"/>
          <w:color w:val="auto"/>
        </w:rPr>
        <w:t>EXCEPT AS EXPRESSLY SET FORTH IN THIS AGREEMENT, OR ANY OTHER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HEREUNDER, NEITHER PARTY MAKES ANY REPRESENTATIONS OR EXTENDS ANY WARRANTIES OF ANY KIND, EITHER EXPRESS OR IMPLIED, AND EACH PARTY EXPRESSLY DISCLAIMS ALL IMPLIED WARRANTIES OF MERCHANTABILITY AND OF FITNESS FOR A</w:t>
      </w: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7" w:name="page168"/>
    <w:bookmarkEnd w:id="167"/>
    <w:p>
      <w:pPr>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PARTICULAR PURPOSE OR USE, NON-INFRINGEMENT, VALIDITY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168" w:name="page169"/>
    <w:bookmarkEnd w:id="168"/>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11.1Indemnification of MannKind. </w:t>
      </w:r>
      <w:r>
        <w:rPr>
          <w:rFonts w:ascii="Times New Roman" w:cs="Times New Roman" w:eastAsia="Times New Roman" w:hAnsi="Times New Roman"/>
          <w:sz w:val="22"/>
          <w:szCs w:val="22"/>
          <w:color w:val="auto"/>
        </w:rPr>
        <w:t>United Therapeutics shall indemnify and hold harmless each of MannKind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the directors, officers, shareholders and employees of such entities and the successors and assigns of any of the foregoing (the “</w:t>
      </w:r>
      <w:r>
        <w:rPr>
          <w:rFonts w:ascii="Times New Roman" w:cs="Times New Roman" w:eastAsia="Times New Roman" w:hAnsi="Times New Roman"/>
          <w:sz w:val="22"/>
          <w:szCs w:val="22"/>
          <w:b w:val="1"/>
          <w:bCs w:val="1"/>
          <w:i w:val="1"/>
          <w:iCs w:val="1"/>
          <w:color w:val="auto"/>
        </w:rPr>
        <w:t>MannKind Indemnitees</w:t>
      </w:r>
      <w:r>
        <w:rPr>
          <w:rFonts w:ascii="Times New Roman" w:cs="Times New Roman" w:eastAsia="Times New Roman" w:hAnsi="Times New Roman"/>
          <w:sz w:val="22"/>
          <w:szCs w:val="22"/>
          <w:color w:val="auto"/>
        </w:rPr>
        <w:t>”), from and against any and all losses, liabilities, damages, penalties, fines, costs and expenses (including, reasonable attorneys’ fees and other expenses of litigation) (“</w:t>
      </w:r>
      <w:r>
        <w:rPr>
          <w:rFonts w:ascii="Times New Roman" w:cs="Times New Roman" w:eastAsia="Times New Roman" w:hAnsi="Times New Roman"/>
          <w:sz w:val="22"/>
          <w:szCs w:val="22"/>
          <w:b w:val="1"/>
          <w:bCs w:val="1"/>
          <w:i w:val="1"/>
          <w:iCs w:val="1"/>
          <w:color w:val="auto"/>
        </w:rPr>
        <w:t>Losses</w:t>
      </w:r>
      <w:r>
        <w:rPr>
          <w:rFonts w:ascii="Times New Roman" w:cs="Times New Roman" w:eastAsia="Times New Roman" w:hAnsi="Times New Roman"/>
          <w:sz w:val="22"/>
          <w:szCs w:val="22"/>
          <w:color w:val="auto"/>
        </w:rPr>
        <w:t>”) from any claims, actions, suits or proceedings brought by a Third Party (a “</w:t>
      </w:r>
      <w:r>
        <w:rPr>
          <w:rFonts w:ascii="Times New Roman" w:cs="Times New Roman" w:eastAsia="Times New Roman" w:hAnsi="Times New Roman"/>
          <w:sz w:val="22"/>
          <w:szCs w:val="22"/>
          <w:b w:val="1"/>
          <w:bCs w:val="1"/>
          <w:i w:val="1"/>
          <w:iCs w:val="1"/>
          <w:color w:val="auto"/>
        </w:rPr>
        <w:t>Third Party Claims</w:t>
      </w:r>
      <w:r>
        <w:rPr>
          <w:rFonts w:ascii="Times New Roman" w:cs="Times New Roman" w:eastAsia="Times New Roman" w:hAnsi="Times New Roman"/>
          <w:sz w:val="22"/>
          <w:szCs w:val="22"/>
          <w:color w:val="auto"/>
        </w:rPr>
        <w:t>”) incurred by any MannKind Indemnitee, arising from, or occurring as a result of: (a) the development, manufacture, use, handling, storage, sale, other disposition, marketing, promotion or commercialization of Product by United Therapeutics or its Affiliates as contemplated by this Agreement; (b) gross negligence or willful misconduct of United Therapeutics or its Affiliates and (c) any material breach of any representations, warranties or covenants by United Therapeutics under Article 10 or Section 4.9 of this Agreement; except to the extent such Third Party Claims fall within the scope of the indemnification obligations of MannKind set forth in Section 11.2.</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11.2Indemnification of United Therapeutics. </w:t>
      </w:r>
      <w:r>
        <w:rPr>
          <w:rFonts w:ascii="Times New Roman" w:cs="Times New Roman" w:eastAsia="Times New Roman" w:hAnsi="Times New Roman"/>
          <w:sz w:val="22"/>
          <w:szCs w:val="22"/>
          <w:color w:val="auto"/>
        </w:rPr>
        <w:t>MannKind shall indemnify and hold harmless each of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and its Affiliates and the directors, officers, shareholders and employees of such entities, and the successors and assigns of any of the foregoing (the “</w:t>
      </w:r>
      <w:r>
        <w:rPr>
          <w:rFonts w:ascii="Times New Roman" w:cs="Times New Roman" w:eastAsia="Times New Roman" w:hAnsi="Times New Roman"/>
          <w:sz w:val="22"/>
          <w:szCs w:val="22"/>
          <w:b w:val="1"/>
          <w:bCs w:val="1"/>
          <w:i w:val="1"/>
          <w:iCs w:val="1"/>
          <w:color w:val="auto"/>
        </w:rPr>
        <w:t>United Therapeutics Indemnitees</w:t>
      </w:r>
      <w:r>
        <w:rPr>
          <w:rFonts w:ascii="Times New Roman" w:cs="Times New Roman" w:eastAsia="Times New Roman" w:hAnsi="Times New Roman"/>
          <w:sz w:val="22"/>
          <w:szCs w:val="22"/>
          <w:color w:val="auto"/>
        </w:rPr>
        <w:t>”), from and against any and all Losses from any Third Party Claims incurred by any United Therapeutics Indemnitee, arising from, or occurring as a result of: (a) the development of Product by MannKind or its Affiliates prior to the Effective Date or during the Development Term as contemplated by this Agreement; (b) gross negligence or willful misconduct of MannKind or its Affiliates; (c) any material breach of any representations, warranties or covenants by MannKind under Article 10 or Section 4.9 of this Agreement; and (d) the Specified Matters, except to the extent such Third Party Claims (excluding Third Party Claims in relation to the Specified Matters) falls within the scope of the indemnification obligations of United Therapeutics set forth in Section 11.1.</w:t>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9" w:name="page170"/>
    <w:bookmarkEnd w:id="169"/>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11.3Procedure. </w:t>
      </w:r>
      <w:r>
        <w:rPr>
          <w:rFonts w:ascii="Times New Roman" w:cs="Times New Roman" w:eastAsia="Times New Roman" w:hAnsi="Times New Roman"/>
          <w:sz w:val="21"/>
          <w:szCs w:val="21"/>
          <w:color w:val="auto"/>
        </w:rPr>
        <w:t>A party that intends to claim indemnification under this Article 11 (the “</w:t>
      </w:r>
      <w:r>
        <w:rPr>
          <w:rFonts w:ascii="Times New Roman" w:cs="Times New Roman" w:eastAsia="Times New Roman" w:hAnsi="Times New Roman"/>
          <w:sz w:val="21"/>
          <w:szCs w:val="21"/>
          <w:b w:val="1"/>
          <w:bCs w:val="1"/>
          <w:i w:val="1"/>
          <w:iCs w:val="1"/>
          <w:color w:val="auto"/>
        </w:rPr>
        <w:t>Indemnitee</w:t>
      </w:r>
      <w:r>
        <w:rPr>
          <w:rFonts w:ascii="Times New Roman" w:cs="Times New Roman" w:eastAsia="Times New Roman" w:hAnsi="Times New Roman"/>
          <w:sz w:val="21"/>
          <w:szCs w:val="21"/>
          <w:color w:val="auto"/>
        </w:rPr>
        <w:t>”) shall promptly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notify the indemnifying Party (the “</w:t>
      </w:r>
      <w:r>
        <w:rPr>
          <w:rFonts w:ascii="Times New Roman" w:cs="Times New Roman" w:eastAsia="Times New Roman" w:hAnsi="Times New Roman"/>
          <w:sz w:val="21"/>
          <w:szCs w:val="21"/>
          <w:b w:val="1"/>
          <w:bCs w:val="1"/>
          <w:i w:val="1"/>
          <w:iCs w:val="1"/>
          <w:color w:val="auto"/>
        </w:rPr>
        <w:t>Indemnitor</w:t>
      </w:r>
      <w:r>
        <w:rPr>
          <w:rFonts w:ascii="Times New Roman" w:cs="Times New Roman" w:eastAsia="Times New Roman" w:hAnsi="Times New Roman"/>
          <w:sz w:val="21"/>
          <w:szCs w:val="21"/>
          <w:color w:val="auto"/>
        </w:rPr>
        <w:t>”) in writing of any Third Party Claim, in respect of which the Indemnitee intends to claim such indemnification, and the Indemnitor shall have sole control of the defense and/or settlement thereof. The indemnity arrangement in this Article 11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 Party Claim shall only relieve the Indemnitor of its indemnification obligations under this Article 11 if and to the extent the Indemnitor is actually prejudiced thereby. The Indemnitee shall cooperate fully with the Indemnitor and its legal representatives in the investigation of any action with respect to a Third Party Claim covered by this indemnification.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11.4Insurance. </w:t>
      </w:r>
      <w:r>
        <w:rPr>
          <w:rFonts w:ascii="Times New Roman" w:cs="Times New Roman" w:eastAsia="Times New Roman" w:hAnsi="Times New Roman"/>
          <w:sz w:val="22"/>
          <w:szCs w:val="22"/>
          <w:color w:val="auto"/>
        </w:rPr>
        <w:t>Each Party, at its own expense, shall maintain product liability and other appropriate insurance (or self-insure) in an amount consistent with industry standards during the Term and shall name the other Party as an additional insured with respect to such insurance. Each Party shall provide a certificate of insurance (or evidence of self-insurance) evidencing such coverage to the other Party upon request.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12.1Term. </w:t>
      </w:r>
      <w:r>
        <w:rPr>
          <w:rFonts w:ascii="Times New Roman" w:cs="Times New Roman" w:eastAsia="Times New Roman" w:hAnsi="Times New Roman"/>
          <w:sz w:val="22"/>
          <w:szCs w:val="22"/>
          <w:color w:val="auto"/>
        </w:rPr>
        <w:t>This Agreement shall commence on the Effective Date, and unless terminated earlier as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12, shall continue in full force and effect until terminated pursuant to Section 12.2, 12.3, 12.4 or 12.5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12.2Termination by the Parties. </w:t>
      </w:r>
      <w:r>
        <w:rPr>
          <w:rFonts w:ascii="Times New Roman" w:cs="Times New Roman" w:eastAsia="Times New Roman" w:hAnsi="Times New Roman"/>
          <w:sz w:val="21"/>
          <w:szCs w:val="21"/>
          <w:color w:val="auto"/>
        </w:rPr>
        <w:t>The Parties may terminate this Agreement in its entirety before the end of the Term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ind w:left="2040" w:hanging="535"/>
        <w:spacing w:after="0"/>
        <w:tabs>
          <w:tab w:leader="none" w:pos="204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mutual written agreement of the Parties;</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written notice by a Party to the other Party if such other Party is in material breach of this Agreement and has not cured such breach within 90 days (10 days with respect to failure to pay any undisputed payment) after written notice from the terminating Party describing the breach and requesting that it be cured. Any such termination shall become effective at the end of such 90 day (10 day with respect to failure to pay any undisputed payment) period unless (i) the breaching Party has cured any such breach or default prior to the end of such period, or (ii) the Party alleged to be in breach of this Agreement disputes such breach within such ninety (90) day period, in which case the non-breaching Party shall not have the right to terminate this Agreement unless it has been determined by a court of competent jurisdiction pursuant to Article 14 that this Agreement was materially breached, and the breaching Party fails to comply with its obligations hereunder within ninety (90) days after such determination; or</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the bankruptcy or insolvency, or the filing of an action to commence insolvency proceedings against the other Party, or the making or seeking to make or arrange an assignment for the benefit of creditors of the other Party, or the initiation of proceedings in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48</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0" w:name="page171"/>
    <w:bookmarkEnd w:id="170"/>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12.3Additional United Therapeutics Termination Rights.</w:t>
      </w:r>
    </w:p>
    <w:p>
      <w:pPr>
        <w:spacing w:after="0" w:line="210" w:lineRule="exact"/>
        <w:rPr>
          <w:sz w:val="20"/>
          <w:szCs w:val="20"/>
          <w:color w:val="auto"/>
        </w:rPr>
      </w:pPr>
    </w:p>
    <w:p>
      <w:pPr>
        <w:jc w:val="both"/>
        <w:ind w:firstLine="1505"/>
        <w:spacing w:after="0" w:line="244" w:lineRule="auto"/>
        <w:tabs>
          <w:tab w:leader="none" w:pos="2036"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United Therapeutics shall have the right to terminate this Agreement in its entirety or with respect to (i) a Development Plan or (ii) any particular Product, at any time for any reason or for no reason upon delivery of at least 90 days’ prior written notice to MannKind.</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United Therapeutics shall have the right to terminate this Agreement prior to the Effective Date immediately upon notice to MannKind if any of MannKind’s representations and warranties contained in Article 10 become untrue in any material respect or if MannKind fails to deliver the Closing Certificate to United Therapeutics as contemplated by Section 15.16.</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12.4Change of Control</w:t>
      </w:r>
      <w:r>
        <w:rPr>
          <w:rFonts w:ascii="Times New Roman" w:cs="Times New Roman" w:eastAsia="Times New Roman" w:hAnsi="Times New Roman"/>
          <w:sz w:val="22"/>
          <w:szCs w:val="22"/>
          <w:color w:val="auto"/>
        </w:rPr>
        <w:t>. If a Change of Control of United Therapeutics is publicly announced and is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anticipated to result in (a) a material reduction in Net Sales of Product or (b) access to Manufacturing Information by a Third Party with very competitive products or pipelines to MannKind’s products (each, a “</w:t>
      </w:r>
      <w:r>
        <w:rPr>
          <w:rFonts w:ascii="Times New Roman" w:cs="Times New Roman" w:eastAsia="Times New Roman" w:hAnsi="Times New Roman"/>
          <w:sz w:val="22"/>
          <w:szCs w:val="22"/>
          <w:b w:val="1"/>
          <w:bCs w:val="1"/>
          <w:i w:val="1"/>
          <w:iCs w:val="1"/>
          <w:color w:val="auto"/>
        </w:rPr>
        <w:t>Subject Change of Control</w:t>
      </w:r>
      <w:r>
        <w:rPr>
          <w:rFonts w:ascii="Times New Roman" w:cs="Times New Roman" w:eastAsia="Times New Roman" w:hAnsi="Times New Roman"/>
          <w:sz w:val="22"/>
          <w:szCs w:val="22"/>
          <w:color w:val="auto"/>
        </w:rPr>
        <w:t>”), then United Therapeutics agrees that, in order to minimize the adverse impact to MannKind caused by such Subject Change of Control, United Therapeutics shall promptly inform MannKind thereof and in good faith endeavor to agree with MannKind about how to continue the development, manufacturing and commercialization of Product and/or put reasonable measures in place to prevent access to Manufacturing Information. If United Therapeutics and MannKind cannot reach an agreement about how to continue the development, manufacturing and commercialization of Product according to this Agreement, then MannKind shall have the right, effective upon the Subject Change of Control of United Therapeutics, to terminate this Agreement; provided that there shall be no termination right under this Section 12.4 if both (i) reasonable measures are put in place to prevent access to Manufacturing Information and (ii) clause (a) above does not apply.</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12.5Additional MannKind Termination Right. </w:t>
      </w:r>
      <w:r>
        <w:rPr>
          <w:rFonts w:ascii="Times New Roman" w:cs="Times New Roman" w:eastAsia="Times New Roman" w:hAnsi="Times New Roman"/>
          <w:sz w:val="22"/>
          <w:szCs w:val="22"/>
          <w:color w:val="auto"/>
        </w:rPr>
        <w:t>MannKind shall have the right to terminate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upon written notice to United Therapeutics if United Therapeutics or any of its Affiliates directly, or indirectly through any Third Party, commences any interference or opposition proceeding with respect to, challenges the validity or enforceability of, or opposes any extension of or the grant of a supplementary protection certificate with respect to, any MannKind Patent.</w:t>
      </w:r>
    </w:p>
    <w:p>
      <w:pPr>
        <w:spacing w:after="0" w:line="17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EFFECT OF TERMINATION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13.1Accrued Obligations. </w:t>
      </w:r>
      <w:r>
        <w:rPr>
          <w:rFonts w:ascii="Times New Roman" w:cs="Times New Roman" w:eastAsia="Times New Roman" w:hAnsi="Times New Roman"/>
          <w:sz w:val="22"/>
          <w:szCs w:val="22"/>
          <w:color w:val="auto"/>
        </w:rPr>
        <w:t>The expiration or termination of this Agreement, in whole or part, for any reason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either Party from any liability or deprive either Party of any right which, at the time of such expiration or termination, has already accrued to such Party or which is attributable to a period prior to such expiration or termination, nor will any expiration or termination of this Agreement preclude either Party from pursuing all rights and remedies it may have under this Agreement, at law or in equity, with respect to breach of this Agreement.</w:t>
      </w: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49</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1" w:name="page172"/>
    <w:bookmarkEnd w:id="171"/>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13.2Rights on Termination Other than Termination By United Therapeutics for Cause. </w:t>
      </w:r>
      <w:r>
        <w:rPr>
          <w:rFonts w:ascii="Times New Roman" w:cs="Times New Roman" w:eastAsia="Times New Roman" w:hAnsi="Times New Roman"/>
          <w:sz w:val="22"/>
          <w:szCs w:val="22"/>
          <w:color w:val="auto"/>
        </w:rPr>
        <w:t>This Section 13.2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upon the termination of this Agreement by agreement of the Parties under Section 12.2(a), by MannKind pursuant to Section 12.2(b) or (c), Section 12.4 or Section 12.5 or by United Therapeutics pursuant to Section 12.3(a). In the event of a termination by United Therapeutics pursuant to Section 12.3(a) for a particular Product, this Section 13.2 shall apply only to such terminated Product:</w:t>
      </w:r>
    </w:p>
    <w:p>
      <w:pPr>
        <w:spacing w:after="0" w:line="175" w:lineRule="exact"/>
        <w:rPr>
          <w:sz w:val="20"/>
          <w:szCs w:val="20"/>
          <w:color w:val="auto"/>
        </w:rPr>
      </w:pPr>
    </w:p>
    <w:p>
      <w:pPr>
        <w:ind w:left="2040" w:hanging="535"/>
        <w:spacing w:after="0"/>
        <w:tabs>
          <w:tab w:leader="none" w:pos="204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Wind-down Period.</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33" w:lineRule="auto"/>
        <w:tabs>
          <w:tab w:leader="none" w:pos="2546"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Development. </w:t>
      </w:r>
      <w:r>
        <w:rPr>
          <w:rFonts w:ascii="Times New Roman" w:cs="Times New Roman" w:eastAsia="Times New Roman" w:hAnsi="Times New Roman"/>
          <w:sz w:val="22"/>
          <w:szCs w:val="22"/>
          <w:color w:val="auto"/>
        </w:rPr>
        <w:t>In the event there are any on-going clinical trials of Product in the Territory,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MannKind’s request in writing, United Therapeutics agrees: (A) the Parties shall work together in good faith to adopt, and United Therapeutics shall have the final decision-making authority with respect to, a plan to wind-down any such clinical trials in an orderly fashion at United Therapeutics’ expense, with due regard for patient safety and the rights of any subjects that are participants in any clinical trials of Product and take any actions it deems reasonably necessary or appropriate to avoid any human health or safety problems and in compliance with all Applicable Laws, or (B) to the extent so requested by MannKind, to promptly transition to MannKind or its designee such clinical trials then being conducted by United Therapeutics, or portions thereof, for MannKind or its designee to complete at their expense. If United Therapeutics shall continue to conduct any such clinical trials, it shall do so in accordance with the terms and conditions of this Agreement. If MannKind elects to have United Therapeutics transition the clinical trial(s) to MannKind or its designee, MannKind shall reimburse United Therapeutics for the out-of-pocket costs incurred by United Therapeutics in carrying out such transfer. Notwithstanding anything to the contrary in this Section 13.2(a)(i), in no case shall United Therapeutics be obligated to pursue or support the activities described in this Section 13.2(a)(i) for a period exceeding 6 months after the date of notice of such termination.</w:t>
      </w:r>
    </w:p>
    <w:p>
      <w:pPr>
        <w:spacing w:after="0" w:line="182" w:lineRule="exact"/>
        <w:rPr>
          <w:rFonts w:ascii="Times New Roman" w:cs="Times New Roman" w:eastAsia="Times New Roman" w:hAnsi="Times New Roman"/>
          <w:sz w:val="22"/>
          <w:szCs w:val="22"/>
          <w:b w:val="1"/>
          <w:bCs w:val="1"/>
          <w:color w:val="auto"/>
        </w:rPr>
      </w:pPr>
    </w:p>
    <w:p>
      <w:pPr>
        <w:jc w:val="both"/>
        <w:ind w:firstLine="2254"/>
        <w:spacing w:after="0" w:line="233" w:lineRule="auto"/>
        <w:tabs>
          <w:tab w:leader="none" w:pos="2546"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Commercialization. </w:t>
      </w:r>
      <w:r>
        <w:rPr>
          <w:rFonts w:ascii="Times New Roman" w:cs="Times New Roman" w:eastAsia="Times New Roman" w:hAnsi="Times New Roman"/>
          <w:sz w:val="22"/>
          <w:szCs w:val="22"/>
          <w:color w:val="auto"/>
        </w:rPr>
        <w:t>United Therapeutics and its Affiliates shall continue, to the extent that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and its Affiliates continue to have stocks of usable Product, to fulfill orders received from customers for Product in the Field in the Territory until up to 180 days after the effective date of termination. For clarity, United Therapeutics shall have no obligation to continue to market and promote the Product after the termination is effective. For Product sold by United Therapeutics after the effective date of a termination (i.e., after the expiration of the applicable termination notice period), United Therapeutics shall continue to pay royalties on Net Sales pursuant to Section 6.3. Notwithstanding the foregoing, United Therapeutics and its Affiliates shall cease such activities in the Territory upon 60 days written notice given by MannKind at any time after the effective date of a termination requesting that such activities (or portion thereof) cease. In the case of a termination of this Agreement in its entirety, within 30 days after MannKind has given notice to United Therapeutics requesting the cessation of activities pursuant to the provision of this Section, United Therapeutics shall notify MannKind of an estimate of the quantity of Product and its shelf life remaining in United Therapeutics’ inventory and MannKind shall have the right to purchase any such quantities of Product from United Therapeutics at a price mutually agreed by the Parties. To the extent MannKind does not purchase such quantities, United Therapeutics may sell such quantities during the 180 days after the effective date of such termination within the shelf life remaining for Product.</w:t>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2" w:name="page173"/>
    <w:bookmarkEnd w:id="172"/>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1505"/>
        <w:spacing w:after="0" w:line="243" w:lineRule="auto"/>
        <w:tabs>
          <w:tab w:leader="none" w:pos="2036"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Assignment of Filings and Marketing Approvals. </w:t>
      </w:r>
      <w:r>
        <w:rPr>
          <w:rFonts w:ascii="Times New Roman" w:cs="Times New Roman" w:eastAsia="Times New Roman" w:hAnsi="Times New Roman"/>
          <w:sz w:val="21"/>
          <w:szCs w:val="21"/>
          <w:color w:val="auto"/>
        </w:rPr>
        <w:t>At MannKind’s option, which shall be exercised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notice to United Therapeutics, to the extent permitted under Applicable Laws, United Therapeutics shall assign or cause to be assigned to MannKind or its designee (or to the extent not so assignable, United Therapeutics shall take all reasonable actions to make available to MannKind or its designee the benefits of) all Regulatory Filings (including the Data incorporated therein and Marketing Approvals) for Product in the Territory, including any such Regulatory Filings made or owned by its Affiliates. MannKind shall notify United Therapeutics before the effective date of termination, whether the Regulatory Filings should be assigned to MannKind or its designee, and if the latter, identify the designee, and provide United Therapeutics with all necessary details to enable United Therapeutics to effect the assignment (or availability). If MannKind fails to provide such notification prior to the effective date of termination, United Therapeutics shall assign the Regulatory Filings to MannKind.</w:t>
      </w:r>
    </w:p>
    <w:p>
      <w:pPr>
        <w:spacing w:after="0" w:line="174" w:lineRule="exact"/>
        <w:rPr>
          <w:rFonts w:ascii="Times New Roman" w:cs="Times New Roman" w:eastAsia="Times New Roman" w:hAnsi="Times New Roman"/>
          <w:sz w:val="21"/>
          <w:szCs w:val="21"/>
          <w:b w:val="1"/>
          <w:bCs w:val="1"/>
          <w:color w:val="auto"/>
        </w:rPr>
      </w:pPr>
    </w:p>
    <w:p>
      <w:pPr>
        <w:jc w:val="both"/>
        <w:ind w:firstLine="1505"/>
        <w:spacing w:after="0" w:line="245" w:lineRule="exact"/>
        <w:tabs>
          <w:tab w:leader="none" w:pos="2036"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Transition. </w:t>
      </w:r>
      <w:r>
        <w:rPr>
          <w:rFonts w:ascii="Times New Roman" w:cs="Times New Roman" w:eastAsia="Times New Roman" w:hAnsi="Times New Roman"/>
          <w:sz w:val="21"/>
          <w:szCs w:val="21"/>
          <w:color w:val="auto"/>
        </w:rPr>
        <w:t>The Parties shall negotiate in good faith a written transition agreement pursuant to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would effectuate this Section 13.2 to coordinate the transition of relevant obligations and rights to MannKind as necessary to develop, manufacture and commercialize Product in the Territory to ensure no interruption of therapy or coverage for patients, including promptly submitting all necessary filings with Governmental Authorities. United Therapeutics shall use its reasonable efforts to cooperate with MannKind or its designee to effect a smooth and orderly transition in the development, manufacturing, sale and marketing, promotion and commercialization of Product in the Territory during the notice and the Wind-down Period. Without limiting the foregoing, United Therapeutics shall use its reasonable efforts to conduct, in an expeditious manner, any activities to be conducted under this Section 13.2. MannKind shall use diligent efforts to identify and finalize an agreement or other arrangement with a Third Party in relation to Product or, to the extent MannKind is able to take over such activities under Applicable Laws, take over, directly or through an Affiliate, all activities related to Product in the Territory, and in particular development activities on-going at the time of the effective date of the termination and the transfer of the Regulatory Filings (including the Data incorporated therein and Marketing Approvals) into the name of MannKind or MannKind’s designee so that the Wind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down Period will be as limited as possible. On terms to be further clarified in the written transition agreement, United Therapeutics shall use its reasonable efforts to (i) supply API to MannKind until MannKind can establish and qualify a new supplier of API and (ii) maintain its Government Health Care Program Contracts for the Product bearing the United Therapeutics National Drug Codes (“</w:t>
      </w:r>
      <w:r>
        <w:rPr>
          <w:rFonts w:ascii="Times New Roman" w:cs="Times New Roman" w:eastAsia="Times New Roman" w:hAnsi="Times New Roman"/>
          <w:sz w:val="21"/>
          <w:szCs w:val="21"/>
          <w:b w:val="1"/>
          <w:bCs w:val="1"/>
          <w:i w:val="1"/>
          <w:iCs w:val="1"/>
          <w:color w:val="auto"/>
        </w:rPr>
        <w:t>NDCs</w:t>
      </w:r>
      <w:r>
        <w:rPr>
          <w:rFonts w:ascii="Times New Roman" w:cs="Times New Roman" w:eastAsia="Times New Roman" w:hAnsi="Times New Roman"/>
          <w:sz w:val="21"/>
          <w:szCs w:val="21"/>
          <w:color w:val="auto"/>
        </w:rPr>
        <w:t>”) during the Wind-down Period, provided that in no event shall United Therapeutics be obligated to supply API to MannKind for a period longer than six months from the date notice of termination was given. Reasonably in advance of the date upon which MannKind or its designee begins commercialization of the Product, the Parties shall coordinate to permit MannKind to establish such agreements, and United Therapeutics shall provide to MannKind (or its designee) all information reasonably necessary to allow MannKind to report government pricing and comply with Applicable Laws. During the Wind-down Period, United Therapeutics shall work with MannKind and the applicable Government Health Care Programs to transition the Product from United Therapeutics’ Government Health Care Program Contracts for the Product bearing the United Therapeutics NDC to MannKind’s Government Health Care Program Contracts for the Product bearing the MannKind NDC (or the NDC of MannKind’s designee) as necessary. The transition agreement shall further clarify the Parties’</w:t>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3" w:name="page174"/>
    <w:bookmarkEnd w:id="173"/>
    <w:p>
      <w:pPr>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respective financial obligations as to allocation of any rebates, chargebacks, or Branded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174" w:name="page175"/>
    <w:bookmarkEnd w:id="174"/>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both"/>
        <w:ind w:firstLine="1505"/>
        <w:spacing w:after="0" w:line="241" w:lineRule="auto"/>
        <w:tabs>
          <w:tab w:leader="none" w:pos="2036"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Become Non-Exclusive. </w:t>
      </w:r>
      <w:r>
        <w:rPr>
          <w:rFonts w:ascii="Times New Roman" w:cs="Times New Roman" w:eastAsia="Times New Roman" w:hAnsi="Times New Roman"/>
          <w:sz w:val="22"/>
          <w:szCs w:val="22"/>
          <w:color w:val="auto"/>
        </w:rPr>
        <w:t>Notwithstanding any other provision of this Agreement,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of termination and during the Wind-down Period, United Therapeutics’ and its Affiliates’ rights with respect to Product in the Field in the Territory shall be non-exclusive, and, without limiting the foregoing, MannKind shall have the right to engage one or more other distributors and/or licensees of Product in the Field in the Territory.</w:t>
      </w:r>
    </w:p>
    <w:p>
      <w:pPr>
        <w:spacing w:after="0" w:line="171"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Continuing Payment Obligations. </w:t>
      </w:r>
      <w:r>
        <w:rPr>
          <w:rFonts w:ascii="Times New Roman" w:cs="Times New Roman" w:eastAsia="Times New Roman" w:hAnsi="Times New Roman"/>
          <w:sz w:val="22"/>
          <w:szCs w:val="22"/>
          <w:color w:val="auto"/>
        </w:rPr>
        <w:t>Any Product sold or disposed of by United Therapeutics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in accordance with this Section 13.2 shall be subject to the applicable payment obligations under Article 6.</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52" w:lineRule="exact"/>
        <w:tabs>
          <w:tab w:leader="none" w:pos="2036"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Licenses</w:t>
      </w:r>
      <w:r>
        <w:rPr>
          <w:rFonts w:ascii="Times New Roman" w:cs="Times New Roman" w:eastAsia="Times New Roman" w:hAnsi="Times New Roman"/>
          <w:sz w:val="22"/>
          <w:szCs w:val="22"/>
          <w:color w:val="auto"/>
        </w:rPr>
        <w:t>. United Therapeutics hereby grants to MannKind, effective upon termination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 exclusive, worldwide, royalty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free, fully paid, perpetual, irrevocable, worldwide license (with rights to sublicense) to use all Information and Regulatory Filings generated by United Therapeutics or its Affiliates with respect to Product, then Controlled by United Therapeutics or any of its Affiliates as of the effective date of termination, to develop, make, have made, use, offer for sale, sell, have sold, and import Product. Any and all licenses granted by MannKind to United Therapeutics under this Agreement shall terminate, except as otherwise expressly provided herein.</w:t>
      </w:r>
    </w:p>
    <w:p>
      <w:pPr>
        <w:spacing w:after="0" w:line="17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13.3Rights on Termination By United Therapeutics for Cause. </w:t>
      </w:r>
      <w:r>
        <w:rPr>
          <w:rFonts w:ascii="Times New Roman" w:cs="Times New Roman" w:eastAsia="Times New Roman" w:hAnsi="Times New Roman"/>
          <w:sz w:val="22"/>
          <w:szCs w:val="22"/>
          <w:color w:val="auto"/>
        </w:rPr>
        <w:t>This Section 13.3 shall apply upon the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by United Therapeutics pursuant to Section 12.2(b) or (c) or Section 12.3(b):</w:t>
      </w:r>
    </w:p>
    <w:p>
      <w:pPr>
        <w:spacing w:after="0" w:line="150" w:lineRule="exact"/>
        <w:rPr>
          <w:sz w:val="20"/>
          <w:szCs w:val="20"/>
          <w:color w:val="auto"/>
        </w:rPr>
      </w:pPr>
    </w:p>
    <w:p>
      <w:pPr>
        <w:ind w:left="2040" w:hanging="535"/>
        <w:spacing w:after="0"/>
        <w:tabs>
          <w:tab w:leader="none" w:pos="2040" w:val="left"/>
        </w:tabs>
        <w:numPr>
          <w:ilvl w:val="0"/>
          <w:numId w:val="1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Winding-Down of Development Activities. </w:t>
      </w:r>
      <w:r>
        <w:rPr>
          <w:rFonts w:ascii="Times New Roman" w:cs="Times New Roman" w:eastAsia="Times New Roman" w:hAnsi="Times New Roman"/>
          <w:sz w:val="21"/>
          <w:szCs w:val="21"/>
          <w:color w:val="auto"/>
        </w:rPr>
        <w:t>In the event there are any on-going clinical trials of Product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Territory:</w:t>
      </w:r>
    </w:p>
    <w:p>
      <w:pPr>
        <w:spacing w:after="0" w:line="182" w:lineRule="exact"/>
        <w:rPr>
          <w:sz w:val="20"/>
          <w:szCs w:val="20"/>
          <w:color w:val="auto"/>
        </w:rPr>
      </w:pPr>
    </w:p>
    <w:p>
      <w:pPr>
        <w:jc w:val="both"/>
        <w:ind w:firstLine="2254"/>
        <w:spacing w:after="0" w:line="233" w:lineRule="auto"/>
        <w:tabs>
          <w:tab w:leader="none" w:pos="2546"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shall work together in good faith to adopt, and United Therapeutics shall have the final decision-making authority with respect to, a plan to wind-down the development activities in an orderly fashion, with due regard for patient safety and the rights of any subjects that are participants in any clinical trials of Product and take any actions it deems reasonably necessary or appropriate to avoid any human health or safety problems and in compliance with all Applicable Laws. United Therapeutics shall provide to MannKind (or its designee) all information reasonably necessary to allow MannKind to report government pricing and comply with Applicable Law. During the wind-down period, United Therapeutics shall work with MannKind and the applicable Government Health Care Programs to transition the Product from United Therapeutics’ Government Health Care Program Contracts for the Product bearing the United Therapeutics NDC to MannKind’s Government Health Care Program Contracts for the Product bearing the MannKind NDC (or the NDC of MannKind’s designee) as necessary. The wind-down plan shall further clarify the Parties’ respective financial obligations as to allocation of any rebates, chargebacks, or Branded Prescription Drug Fees accrued with respect to Product sold or dispensed during the Wind-down Period (provided, however, that United Therapeutics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5" w:name="page176"/>
    <w:bookmarkEnd w:id="175"/>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70" w:lineRule="exact"/>
        <w:rPr>
          <w:sz w:val="20"/>
          <w:szCs w:val="20"/>
          <w:color w:val="auto"/>
        </w:rPr>
      </w:pPr>
    </w:p>
    <w:p>
      <w:pPr>
        <w:ind w:firstLine="2254"/>
        <w:spacing w:after="0" w:line="258" w:lineRule="auto"/>
        <w:tabs>
          <w:tab w:leader="none" w:pos="2546"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Party shall perform its outstanding non-cancellable obligations under the Development Plan that existed or accrued prior to the notice date of termination; and</w:t>
      </w:r>
    </w:p>
    <w:p>
      <w:pPr>
        <w:spacing w:after="0" w:line="154"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All costs and expenses incurred from the effective date of the termination notice in winding-down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development activities with respect to the applicable Product shall be borne by MannKind;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no case shall MannKind be obligated to pursue or support such activities for a period exceeding 6 months after the date of notice of such termination.</w:t>
      </w:r>
    </w:p>
    <w:p>
      <w:pPr>
        <w:spacing w:after="0" w:line="172" w:lineRule="exact"/>
        <w:rPr>
          <w:sz w:val="20"/>
          <w:szCs w:val="20"/>
          <w:color w:val="auto"/>
        </w:rPr>
      </w:pPr>
    </w:p>
    <w:p>
      <w:pPr>
        <w:ind w:firstLine="1505"/>
        <w:spacing w:after="0" w:line="262" w:lineRule="auto"/>
        <w:tabs>
          <w:tab w:leader="none" w:pos="2036"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Licenses. </w:t>
      </w:r>
      <w:r>
        <w:rPr>
          <w:rFonts w:ascii="Times New Roman" w:cs="Times New Roman" w:eastAsia="Times New Roman" w:hAnsi="Times New Roman"/>
          <w:sz w:val="22"/>
          <w:szCs w:val="22"/>
          <w:color w:val="auto"/>
        </w:rPr>
        <w:t>Any and all licenses granted by United Therapeutics to MannKind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to United Therapeutics under this Agreement shall terminate, except as otherwise expressly provided herein.</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Regulatory Filings. </w:t>
      </w:r>
      <w:r>
        <w:rPr>
          <w:rFonts w:ascii="Times New Roman" w:cs="Times New Roman" w:eastAsia="Times New Roman" w:hAnsi="Times New Roman"/>
          <w:sz w:val="22"/>
          <w:szCs w:val="22"/>
          <w:color w:val="auto"/>
        </w:rPr>
        <w:t>Upon United Therapeutics’ request and to the extent permitted by Applicable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may purchase all Regulatory Filings (including Data incorporated therein and Marketing Approval) that are owned by United Therapeutics or any of its Affiliates for Product at a price mutually agreed by the Parties, and United Therapeutics shall assign or cause to be assigned to MannKind or its designees (or to the extent not so assignable, United Therapeutics shall take all reasonable actions to make available to MannKind or its designee the benefits of) such Regulatory Filings (including Data incorporated therein and Marketing Approval) for Product in the Territory that are so purchased, including any such Regulatory Filings made or owned by its Affiliates.</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Assistance</w:t>
      </w:r>
      <w:r>
        <w:rPr>
          <w:rFonts w:ascii="Times New Roman" w:cs="Times New Roman" w:eastAsia="Times New Roman" w:hAnsi="Times New Roman"/>
          <w:sz w:val="22"/>
          <w:szCs w:val="22"/>
          <w:color w:val="auto"/>
        </w:rPr>
        <w:t>. United Therapeutics and its Affiliates may continue to sell its inventory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in the Territory for up to 12 months after the effective date of the termination or offer MannKind to purchase the inventories of Product at a price mutually agreed by the Parties. MannKind may to the extent permitted by the applicable Third Party, assume such supply or distribution agreement. MannKind shall provide such other assistance, at no cost to United Therapeutics, as may be reasonably necessary or useful for United Therapeutics to terminate the development or commercialization of the applicable Product in the applicable countries of the Territory.</w:t>
      </w:r>
    </w:p>
    <w:p>
      <w:pPr>
        <w:spacing w:after="0" w:line="175"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Continuing Payment Obligations. </w:t>
      </w:r>
      <w:r>
        <w:rPr>
          <w:rFonts w:ascii="Times New Roman" w:cs="Times New Roman" w:eastAsia="Times New Roman" w:hAnsi="Times New Roman"/>
          <w:sz w:val="22"/>
          <w:szCs w:val="22"/>
          <w:color w:val="auto"/>
        </w:rPr>
        <w:t>Any Product sold or disposed of by United Therapeutics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in accordance with this Section 13.3 shall be subject to the applicable payment obligations under Article 6.</w:t>
      </w:r>
    </w:p>
    <w:p>
      <w:pPr>
        <w:spacing w:after="0" w:line="14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13.4Rights Upon Bankruptcy</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rights and licenses granted under or pursuant to this Agreement are,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otherwise be deemed to be, for purposes of Section 365(n) of Title 11 of the United States Code and other similar laws in any jurisdiction in the Territory or where a Party is situated (collectively, the </w:t>
      </w:r>
      <w:r>
        <w:rPr>
          <w:rFonts w:ascii="Times New Roman" w:cs="Times New Roman" w:eastAsia="Times New Roman" w:hAnsi="Times New Roman"/>
          <w:sz w:val="22"/>
          <w:szCs w:val="22"/>
          <w:b w:val="1"/>
          <w:bCs w:val="1"/>
          <w:color w:val="auto"/>
        </w:rPr>
        <w:t>“Bankruptcy Laws”</w:t>
      </w:r>
      <w:r>
        <w:rPr>
          <w:rFonts w:ascii="Times New Roman" w:cs="Times New Roman" w:eastAsia="Times New Roman" w:hAnsi="Times New Roman"/>
          <w:sz w:val="22"/>
          <w:szCs w:val="22"/>
          <w:color w:val="auto"/>
        </w:rPr>
        <w:t>), licenses of rights to “intellectual property” as defined under the Bankruptcy Laws. If a case is commenced during the Term by or against a Party under Bankruptcy Laws then, unless and until this Agreement is rejected as provided in such Bankruptcy Laws, such Party (in any capacity, including debtor-in-possession)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6" w:name="page177"/>
    <w:bookmarkEnd w:id="176"/>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13.5Return of Confidential Information</w:t>
      </w:r>
      <w:r>
        <w:rPr>
          <w:rFonts w:ascii="Times New Roman" w:cs="Times New Roman" w:eastAsia="Times New Roman" w:hAnsi="Times New Roman"/>
          <w:sz w:val="22"/>
          <w:szCs w:val="22"/>
          <w:color w:val="auto"/>
        </w:rPr>
        <w:t>. Upon termination or expiration of this Agreement, except to the extent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retains a license from the other Party as contemplated by this Article 13, each Party shall promptly return to the other Party, or delete or destroy, all relevant records and materials in such Party’s possession or control containing Confidential Information of the other Party; provided that such Party may keep one copy of such materials for archival purposes only subject to a continuing confidentiality obligations.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13.6Survival. </w:t>
      </w:r>
      <w:r>
        <w:rPr>
          <w:rFonts w:ascii="Times New Roman" w:cs="Times New Roman" w:eastAsia="Times New Roman" w:hAnsi="Times New Roman"/>
          <w:sz w:val="22"/>
          <w:szCs w:val="22"/>
          <w:color w:val="auto"/>
        </w:rPr>
        <w:t>Expiration or termination of this Agreement shall not relieve the Parties of any rights or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accruing prior to such expiration or termination. In addition, upon expiration or termination of this Agreement, all rights and obligations of the Parties under this Agreement shall terminate, except those described in the following Articles and Sections: Sections 2.3 (last sentence only); 6.4(b) (for a period of up to three (3) years from the end of the Calendar Quarter in which termination occurs, but in any event not more than (3) years from the end of the Calendar Quarter in which the last Quarterly Report was submitted); 7.6 (for a period of three (3) years from end of the Calendar Quarter in which termination or expiration occurs); 9.1; 9.3(b), 9.3(d) and 9.5 (in each case with respect to any infringement action being prosecuted as of the effective date of termination); 10.4; and 11.1 – 11.3, and Articles 1, 8, 12, 13 (and sections referenced therein), 14 and 15.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DISPUTE RESOLUTION AND GOVERNING LAW</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14.1Disputes. </w:t>
      </w:r>
      <w:r>
        <w:rPr>
          <w:rFonts w:ascii="Times New Roman" w:cs="Times New Roman" w:eastAsia="Times New Roman" w:hAnsi="Times New Roman"/>
          <w:sz w:val="22"/>
          <w:szCs w:val="22"/>
          <w:color w:val="auto"/>
        </w:rPr>
        <w:t>Parties recognize that issues or disputes as to certain matters may arise from time-to-time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relating to or under this Agreement. It is the objective of the Parties to seek to resolve any issues or disputes arising under this Agreement in good faith in an expedient manner and, if at all possible, without resort to litigation, and to that end the Parties agree to abide by the following procedures set forth in this Article 14 to resolve any such issues or disputes arising under or relating to this Agreement, including any Party’s rights or obligations or performance under this Agreement (each,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Dispute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Parties initially shall attempt to settle any such Dispute through good faith negotiations in the spirit of mutual cooperation between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7" w:name="page178"/>
    <w:bookmarkEnd w:id="177"/>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14.2Escalation. </w:t>
      </w:r>
      <w:r>
        <w:rPr>
          <w:rFonts w:ascii="Times New Roman" w:cs="Times New Roman" w:eastAsia="Times New Roman" w:hAnsi="Times New Roman"/>
          <w:sz w:val="22"/>
          <w:szCs w:val="22"/>
          <w:color w:val="auto"/>
        </w:rPr>
        <w:t>Prior to taking action as provided in Section 14.3 below, and at the request of any Party if there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the Parties shall first submit such Dispute to their respective chief executive officers, or the representative designated by such individual (provided that such representative is a senior executive officer of such Party with authority to settle the applicable issue or dispute submitted for resolution under this Section 14.2) (“</w:t>
      </w:r>
      <w:r>
        <w:rPr>
          <w:rFonts w:ascii="Times New Roman" w:cs="Times New Roman" w:eastAsia="Times New Roman" w:hAnsi="Times New Roman"/>
          <w:sz w:val="22"/>
          <w:szCs w:val="22"/>
          <w:b w:val="1"/>
          <w:bCs w:val="1"/>
          <w:i w:val="1"/>
          <w:iCs w:val="1"/>
          <w:color w:val="auto"/>
        </w:rPr>
        <w:t>Senior Executives</w:t>
      </w:r>
      <w:r>
        <w:rPr>
          <w:rFonts w:ascii="Times New Roman" w:cs="Times New Roman" w:eastAsia="Times New Roman" w:hAnsi="Times New Roman"/>
          <w:sz w:val="22"/>
          <w:szCs w:val="22"/>
          <w:color w:val="auto"/>
        </w:rPr>
        <w:t>”) for good faith discussion and attempted resolution. The Senior Executives to whom any Dispute is submitted shall attempt to resolve the dispute through good faith negotiations over a reasonable period, not to exceed ten (10) Business Days, unless the Senior Executives mutually agree in writing to extend such period of negotiation. Such ten (10) Business Day period shall be deemed to commence on the date the dispute was submitted by a Party to the Senior Executives. The Senior Executives shall, if mutually agreed by the Senior Executives, submit the dispute to voluntary mediation at such place and following such procedures as the Parties shall reasonably agree. All negotiations and discussions pursuant to this Section 14.2 shall be confidential, and the Parties agree that all information concerning or disclosed as part of such negotiations and discussions are and such shall be treated as compromise and settlement negotiations for purposes of applicable rules of evidence.</w:t>
      </w:r>
    </w:p>
    <w:p>
      <w:pPr>
        <w:spacing w:after="0" w:line="18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14.3Court Actions. </w:t>
      </w:r>
      <w:r>
        <w:rPr>
          <w:rFonts w:ascii="Times New Roman" w:cs="Times New Roman" w:eastAsia="Times New Roman" w:hAnsi="Times New Roman"/>
          <w:sz w:val="21"/>
          <w:szCs w:val="21"/>
          <w:color w:val="auto"/>
        </w:rPr>
        <w:t>If the Senior Executives of the Parties are unable to resolve a given Dispute within the time limits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 forth in Section 14.2, either Party may file suit to resolve such matter (including bringing an action for injunctive relief (or any other provisional remedy)) as described below. Unless otherwise agreed, by the Parties, all actions and proceedings relating to this Agreement shall be heard and determined in any New York State or federal court sitting in the City of New York, County of Manhattan, and the Parties hereby irrevocably submit to exclusive jurisdiction of such courts in any such action or proceeding and irrevocably waive any defense of inconvenient forum to the maintenance of any such action or proceeding and waive any right to request transfer venue outside any New York State or federal court sitting in the City of New York, County of Manhattan.</w:t>
      </w:r>
    </w:p>
    <w:p>
      <w:pPr>
        <w:spacing w:after="0" w:line="17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14.4Governing Law. </w:t>
      </w:r>
      <w:r>
        <w:rPr>
          <w:rFonts w:ascii="Times New Roman" w:cs="Times New Roman" w:eastAsia="Times New Roman" w:hAnsi="Times New Roman"/>
          <w:sz w:val="22"/>
          <w:szCs w:val="22"/>
          <w:color w:val="auto"/>
        </w:rPr>
        <w:t>This Agreement, and all questions regarding the existence, validity, interpretation, breach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this Agreement, shall be governed by, and construed and enforced in accordance with, the laws of the State of New York, United States, without reference to its conflicts of law principles with the exception of sections 5-1401 and 5-1402 of New York General Obligations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15.1Intervening Events. </w:t>
      </w:r>
      <w:r>
        <w:rPr>
          <w:rFonts w:ascii="Times New Roman" w:cs="Times New Roman" w:eastAsia="Times New Roman" w:hAnsi="Times New Roman"/>
          <w:sz w:val="22"/>
          <w:szCs w:val="22"/>
          <w:color w:val="auto"/>
        </w:rPr>
        <w:t>If the performance of any part of this Agreement by either Party (other than making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due) is prevented, restricted, interfered with or delayed by any reason or cause beyond the reasonable control of such Party (including: fire, flood, embargo, power shortage or failure, acts of war, insurrection, riot, terrorism, strike, lockout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8" w:name="page179"/>
    <w:bookmarkEnd w:id="178"/>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15.2Waiver of Breach. </w:t>
      </w:r>
      <w:r>
        <w:rPr>
          <w:rFonts w:ascii="Times New Roman" w:cs="Times New Roman" w:eastAsia="Times New Roman" w:hAnsi="Times New Roman"/>
          <w:sz w:val="22"/>
          <w:szCs w:val="22"/>
          <w:color w:val="auto"/>
        </w:rPr>
        <w:t>The failure of either Party at any time or times to require performance of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in no manner affect its rights at a later time to enforce such rights. No waiver by either Party of any condition or term in any one or more instances shall be construed as a further or continuing waiver of such condition or term or of another condition or term.</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15.3Performance by Affiliates. </w:t>
      </w:r>
      <w:r>
        <w:rPr>
          <w:rFonts w:ascii="Times New Roman" w:cs="Times New Roman" w:eastAsia="Times New Roman" w:hAnsi="Times New Roman"/>
          <w:sz w:val="22"/>
          <w:szCs w:val="22"/>
          <w:color w:val="auto"/>
        </w:rPr>
        <w:t>To the extent that this Agreement imposes obligations on Affiliates of a Party,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agrees to cause its Affiliates to perform such obligation. Either Party may use one or more of its Affiliates to perform its obligation hereunder, provided that the Parties will remain liable hereunder for the prompt payment and performance of all their respective obligations hereunder.</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15.4Modification. </w:t>
      </w:r>
      <w:r>
        <w:rPr>
          <w:rFonts w:ascii="Times New Roman" w:cs="Times New Roman" w:eastAsia="Times New Roman" w:hAnsi="Times New Roman"/>
          <w:sz w:val="22"/>
          <w:szCs w:val="22"/>
          <w:color w:val="auto"/>
        </w:rPr>
        <w:t>No amendment or modification of any provision of this Agreement shall be effective unless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writing signed by both Parties hereto. No provision of this Agreement shall be varied, contradicted or explained by any oral agreement, course of dealing or performance or any other matter not set forth in an agreement in writing and signed by both Parties hereto.</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15.5Severability. </w:t>
      </w:r>
      <w:r>
        <w:rPr>
          <w:rFonts w:ascii="Times New Roman" w:cs="Times New Roman" w:eastAsia="Times New Roman" w:hAnsi="Times New Roman"/>
          <w:sz w:val="22"/>
          <w:szCs w:val="22"/>
          <w:color w:val="auto"/>
        </w:rPr>
        <w:t>In the event any provision of this Agreement should be held invalid, illegal or unenforceable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the Parties shall negotiate, in good faith and enter into a valid, legal and enforceable substitute provision that most nearly reflects the original intent of the Parties. All other provisions of this Agreement shall remain in full force and effect in such jurisdiction. Such invalidity, illegality or unenforceability shall not affect the validity, legality or enforceability of such provision in any other jurisdiction.</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15.6Entire Agreement. </w:t>
      </w:r>
      <w:r>
        <w:rPr>
          <w:rFonts w:ascii="Times New Roman" w:cs="Times New Roman" w:eastAsia="Times New Roman" w:hAnsi="Times New Roman"/>
          <w:sz w:val="22"/>
          <w:szCs w:val="22"/>
          <w:color w:val="auto"/>
        </w:rPr>
        <w:t>This Agreement (including any letter delivering information referenced herein) constitutes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 agreement between the Parties relating to the subject matter hereof and thereof and supersede and cancel all previous express or implied agreements and understandings, negotiations, writings and commitments, either oral or written, in respect to the subject matter hereof and thereof. Each of the Parties acknowledges and agrees that in entering into this Agreement, and the documents referred to in it, it does not rely on, and shall have no remedy in respect of, any statement, representation, warranty or understanding (whether negligently or innocently made) of any Person (whether party to this Agreement or not) other than as expressly set out in this Agreement. Nothing in this clause shall, however, operate to limit or exclude any liability for fraud.</w:t>
      </w:r>
    </w:p>
    <w:p>
      <w:pPr>
        <w:spacing w:after="0" w:line="200" w:lineRule="exact"/>
        <w:rPr>
          <w:sz w:val="20"/>
          <w:szCs w:val="20"/>
          <w:color w:val="auto"/>
        </w:rPr>
      </w:pP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9" w:name="page180"/>
    <w:bookmarkEnd w:id="179"/>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15.7Language. </w:t>
      </w:r>
      <w:r>
        <w:rPr>
          <w:rFonts w:ascii="Times New Roman" w:cs="Times New Roman" w:eastAsia="Times New Roman" w:hAnsi="Times New Roman"/>
          <w:sz w:val="22"/>
          <w:szCs w:val="22"/>
          <w:color w:val="auto"/>
        </w:rPr>
        <w:t>The language of this Agreement and all activities to be pursued under this Agreement is English.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documents proffered by one Party to the other in fulfillment of any provision of this Agreement shall only be in compliance if in English. Any translation of this Agreement in another language shall be deemed for convenience only and shall never prevail over the original English version. This Agreement is established in the English language.</w:t>
      </w:r>
    </w:p>
    <w:p>
      <w:pPr>
        <w:spacing w:after="0" w:line="17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15.8Notices. </w:t>
      </w:r>
      <w:r>
        <w:rPr>
          <w:rFonts w:ascii="Times New Roman" w:cs="Times New Roman" w:eastAsia="Times New Roman" w:hAnsi="Times New Roman"/>
          <w:sz w:val="21"/>
          <w:szCs w:val="21"/>
          <w:color w:val="auto"/>
        </w:rPr>
        <w:t>Any notice or communication required or permitted under this Agreement shall be in writing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English language, delivered personally, sent by facsimile (and promptly confirmed by personal delivery, registered or certified mail or overnight courier), sent by internationally-recognized courier or sent by registered or certified mail, postage prepaid to the following addresses of the Parties (or such other address for a Party as may be at any time thereafter specified by like notice):</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86"/>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To MannKind:</w:t>
            </w:r>
          </w:p>
        </w:tc>
        <w:tc>
          <w:tcPr>
            <w:tcW w:w="5260" w:type="dxa"/>
            <w:vAlign w:val="bottom"/>
          </w:tcPr>
          <w:p>
            <w:pPr>
              <w:ind w:left="840"/>
              <w:spacing w:after="0"/>
              <w:rPr>
                <w:sz w:val="20"/>
                <w:szCs w:val="20"/>
                <w:color w:val="auto"/>
              </w:rPr>
            </w:pPr>
            <w:r>
              <w:rPr>
                <w:rFonts w:ascii="Times New Roman" w:cs="Times New Roman" w:eastAsia="Times New Roman" w:hAnsi="Times New Roman"/>
                <w:sz w:val="22"/>
                <w:szCs w:val="22"/>
                <w:b w:val="1"/>
                <w:bCs w:val="1"/>
                <w:color w:val="auto"/>
              </w:rPr>
              <w:t>To United Therapeutics:</w:t>
            </w:r>
          </w:p>
        </w:tc>
      </w:tr>
      <w:tr>
        <w:trPr>
          <w:trHeight w:val="312"/>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MannKind Corporation</w:t>
            </w:r>
          </w:p>
        </w:tc>
        <w:tc>
          <w:tcPr>
            <w:tcW w:w="52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United Therapeutics Corporation</w:t>
            </w:r>
          </w:p>
        </w:tc>
      </w:tr>
      <w:tr>
        <w:trPr>
          <w:trHeight w:val="243"/>
        </w:trPr>
        <w:tc>
          <w:tcPr>
            <w:tcW w:w="41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30930 Russell Ranch Road, Suite 301</w:t>
            </w:r>
          </w:p>
        </w:tc>
        <w:tc>
          <w:tcPr>
            <w:tcW w:w="52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w w:val="97"/>
              </w:rPr>
              <w:t>1040 Spring Street, Silver Spring, Maryland 20910</w:t>
            </w:r>
          </w:p>
        </w:tc>
      </w:tr>
      <w:tr>
        <w:trPr>
          <w:trHeight w:val="243"/>
        </w:trPr>
        <w:tc>
          <w:tcPr>
            <w:tcW w:w="41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Westlake Village, California 91362</w:t>
            </w:r>
          </w:p>
        </w:tc>
        <w:tc>
          <w:tcPr>
            <w:tcW w:w="52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Attention: General Counsel</w:t>
            </w:r>
          </w:p>
        </w:tc>
      </w:tr>
      <w:tr>
        <w:trPr>
          <w:trHeight w:val="243"/>
        </w:trPr>
        <w:tc>
          <w:tcPr>
            <w:tcW w:w="41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Telephone: (818) 661-5000</w:t>
            </w:r>
          </w:p>
        </w:tc>
        <w:tc>
          <w:tcPr>
            <w:tcW w:w="5260" w:type="dxa"/>
            <w:vAlign w:val="bottom"/>
          </w:tcPr>
          <w:p>
            <w:pPr>
              <w:spacing w:after="0"/>
              <w:rPr>
                <w:sz w:val="21"/>
                <w:szCs w:val="2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Facsimile:</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(818) 661-2098</w:t>
            </w:r>
          </w:p>
        </w:tc>
        <w:tc>
          <w:tcPr>
            <w:tcW w:w="5260" w:type="dxa"/>
            <w:vAlign w:val="bottom"/>
          </w:tcPr>
          <w:p>
            <w:pPr>
              <w:spacing w:after="0"/>
              <w:rPr>
                <w:sz w:val="21"/>
                <w:szCs w:val="2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Attention:</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General Counsel</w:t>
            </w:r>
          </w:p>
        </w:tc>
        <w:tc>
          <w:tcPr>
            <w:tcW w:w="52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with a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with a copy to:</w:t>
      </w:r>
    </w:p>
    <w:p>
      <w:pPr>
        <w:spacing w:after="0" w:line="200" w:lineRule="exact"/>
        <w:rPr>
          <w:sz w:val="20"/>
          <w:szCs w:val="20"/>
          <w:color w:val="auto"/>
        </w:rPr>
      </w:pPr>
    </w:p>
    <w:p>
      <w:pPr>
        <w:sectPr>
          <w:pgSz w:w="11900" w:h="16838" w:orient="portrait"/>
          <w:cols w:equalWidth="0" w:num="2">
            <w:col w:w="4820" w:space="720"/>
            <w:col w:w="5700"/>
          </w:cols>
          <w:pgMar w:left="320" w:top="1152" w:right="339" w:bottom="1440" w:gutter="0" w:footer="0" w:header="0"/>
          <w:type w:val="continuous"/>
        </w:sectPr>
      </w:pP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4401 Eastgate Mall</w:t>
      </w:r>
    </w:p>
    <w:p>
      <w:pPr>
        <w:ind w:left="620"/>
        <w:spacing w:after="0" w:line="230" w:lineRule="auto"/>
        <w:rPr>
          <w:sz w:val="20"/>
          <w:szCs w:val="20"/>
          <w:color w:val="auto"/>
        </w:rPr>
      </w:pPr>
      <w:r>
        <w:rPr>
          <w:rFonts w:ascii="Times New Roman" w:cs="Times New Roman" w:eastAsia="Times New Roman" w:hAnsi="Times New Roman"/>
          <w:sz w:val="22"/>
          <w:szCs w:val="22"/>
          <w:color w:val="auto"/>
        </w:rPr>
        <w:t>San Diego, CA 92121</w:t>
      </w:r>
    </w:p>
    <w:p>
      <w:pPr>
        <w:ind w:left="620"/>
        <w:spacing w:after="0" w:line="231" w:lineRule="auto"/>
        <w:rPr>
          <w:sz w:val="20"/>
          <w:szCs w:val="20"/>
          <w:color w:val="auto"/>
        </w:rPr>
      </w:pPr>
      <w:r>
        <w:rPr>
          <w:rFonts w:ascii="Times New Roman" w:cs="Times New Roman" w:eastAsia="Times New Roman" w:hAnsi="Times New Roman"/>
          <w:sz w:val="22"/>
          <w:szCs w:val="22"/>
          <w:color w:val="auto"/>
        </w:rPr>
        <w:t>Telephone: (858) 550-6000</w:t>
      </w:r>
    </w:p>
    <w:p>
      <w:pPr>
        <w:ind w:left="620"/>
        <w:spacing w:after="0" w:line="230" w:lineRule="auto"/>
        <w:rPr>
          <w:sz w:val="20"/>
          <w:szCs w:val="20"/>
          <w:color w:val="auto"/>
        </w:rPr>
      </w:pPr>
      <w:r>
        <w:rPr>
          <w:rFonts w:ascii="Times New Roman" w:cs="Times New Roman" w:eastAsia="Times New Roman" w:hAnsi="Times New Roman"/>
          <w:sz w:val="22"/>
          <w:szCs w:val="22"/>
          <w:color w:val="auto"/>
        </w:rPr>
        <w:t>Facsimile: (858) 550-6420</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Attention: L. Kay Chandler, Esq.</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Wilson Sonsini Goodrich &amp; Rosati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1700 K Street, NW, Suite 500</w:t>
      </w:r>
    </w:p>
    <w:p>
      <w:pPr>
        <w:spacing w:after="0" w:line="230" w:lineRule="auto"/>
        <w:rPr>
          <w:sz w:val="20"/>
          <w:szCs w:val="20"/>
          <w:color w:val="auto"/>
        </w:rPr>
      </w:pPr>
      <w:r>
        <w:rPr>
          <w:rFonts w:ascii="Times New Roman" w:cs="Times New Roman" w:eastAsia="Times New Roman" w:hAnsi="Times New Roman"/>
          <w:sz w:val="22"/>
          <w:szCs w:val="22"/>
          <w:color w:val="auto"/>
        </w:rPr>
        <w:t>Washington, DC 20006</w:t>
      </w:r>
    </w:p>
    <w:p>
      <w:pPr>
        <w:spacing w:after="0" w:line="231" w:lineRule="auto"/>
        <w:rPr>
          <w:sz w:val="20"/>
          <w:szCs w:val="20"/>
          <w:color w:val="auto"/>
        </w:rPr>
      </w:pPr>
      <w:r>
        <w:rPr>
          <w:rFonts w:ascii="Times New Roman" w:cs="Times New Roman" w:eastAsia="Times New Roman" w:hAnsi="Times New Roman"/>
          <w:sz w:val="22"/>
          <w:szCs w:val="22"/>
          <w:color w:val="auto"/>
        </w:rPr>
        <w:t>Telephone: (202) 973-8830</w:t>
      </w:r>
    </w:p>
    <w:p>
      <w:pPr>
        <w:spacing w:after="0" w:line="230" w:lineRule="auto"/>
        <w:rPr>
          <w:sz w:val="20"/>
          <w:szCs w:val="20"/>
          <w:color w:val="auto"/>
        </w:rPr>
      </w:pPr>
      <w:r>
        <w:rPr>
          <w:rFonts w:ascii="Times New Roman" w:cs="Times New Roman" w:eastAsia="Times New Roman" w:hAnsi="Times New Roman"/>
          <w:sz w:val="22"/>
          <w:szCs w:val="22"/>
          <w:color w:val="auto"/>
        </w:rPr>
        <w:t>Facsimile: (202) 973-8899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James G. Clessuras, Esq.</w:t>
      </w:r>
    </w:p>
    <w:p>
      <w:pPr>
        <w:spacing w:after="0" w:line="211" w:lineRule="exact"/>
        <w:rPr>
          <w:sz w:val="20"/>
          <w:szCs w:val="20"/>
          <w:color w:val="auto"/>
        </w:rPr>
      </w:pPr>
    </w:p>
    <w:p>
      <w:pPr>
        <w:sectPr>
          <w:pgSz w:w="11900" w:h="16838" w:orient="portrait"/>
          <w:cols w:equalWidth="0" w:num="2">
            <w:col w:w="4880" w:space="720"/>
            <w:col w:w="5640"/>
          </w:cols>
          <w:pgMar w:left="320" w:top="1152"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Any such notice shall be deemed to have been given: (a) when delivered if personally delivered; (b) on the next Business Day after dispatch if sent by confirmed facsimile or by internationally-recognized overnight courier; and/or (c) on the third Business Day following the date of mailing if sent by mail or nationally recognized courier. Notices hereunder will not be deemed sufficient if provided only between or among each Party’s representatives on the ESC.</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15.9MannKind Change of Control</w:t>
      </w:r>
      <w:r>
        <w:rPr>
          <w:rFonts w:ascii="Times New Roman" w:cs="Times New Roman" w:eastAsia="Times New Roman" w:hAnsi="Times New Roman"/>
          <w:sz w:val="22"/>
          <w:szCs w:val="22"/>
          <w:color w:val="auto"/>
        </w:rPr>
        <w:t>.  In the event of the occurrence of a Change of Control of MannKind during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the following provisions shall apply:</w:t>
      </w:r>
    </w:p>
    <w:p>
      <w:pPr>
        <w:spacing w:after="0" w:line="200" w:lineRule="exact"/>
        <w:rPr>
          <w:sz w:val="20"/>
          <w:szCs w:val="20"/>
          <w:color w:val="auto"/>
        </w:rPr>
      </w:pP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58</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180" w:name="page181"/>
    <w:bookmarkEnd w:id="180"/>
    <w:p>
      <w:pPr>
        <w:ind w:right="40"/>
        <w:spacing w:after="0" w:line="25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 w:lineRule="exact"/>
        <w:rPr>
          <w:sz w:val="20"/>
          <w:szCs w:val="20"/>
          <w:color w:val="auto"/>
        </w:rPr>
      </w:pPr>
    </w:p>
    <w:p>
      <w:pPr>
        <w:ind w:firstLine="1505"/>
        <w:spacing w:after="0" w:line="237" w:lineRule="auto"/>
        <w:tabs>
          <w:tab w:leader="none" w:pos="2036"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Terms Regarding MannKind Know-How and MannKind Patents</w:t>
      </w:r>
      <w:r>
        <w:rPr>
          <w:rFonts w:ascii="Times New Roman" w:cs="Times New Roman" w:eastAsia="Times New Roman" w:hAnsi="Times New Roman"/>
          <w:sz w:val="22"/>
          <w:szCs w:val="22"/>
          <w:color w:val="auto"/>
        </w:rPr>
        <w:t>. All MannKind Know-How and MannKind Patents Controlled by MannKind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59</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1" w:name="page182"/>
    <w:bookmarkEnd w:id="181"/>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66" w:lineRule="exact"/>
        <w:rPr>
          <w:sz w:val="20"/>
          <w:szCs w:val="20"/>
          <w:color w:val="auto"/>
        </w:rPr>
      </w:pPr>
    </w:p>
    <w:p>
      <w:pPr>
        <w:jc w:val="both"/>
        <w:ind w:firstLine="1505"/>
        <w:spacing w:after="0" w:line="237" w:lineRule="auto"/>
        <w:tabs>
          <w:tab w:leader="none" w:pos="2036"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on Exclusivity</w:t>
      </w:r>
      <w:r>
        <w:rPr>
          <w:rFonts w:ascii="Times New Roman" w:cs="Times New Roman" w:eastAsia="Times New Roman" w:hAnsi="Times New Roman"/>
          <w:sz w:val="22"/>
          <w:szCs w:val="22"/>
          <w:color w:val="auto"/>
        </w:rPr>
        <w:t>. In the event of a Change of Control of MannKind pursuant to which MannKind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by an Acquirer developing, manufacturing or commercializing one or more Competing Products, then provided the Acquirer Segregates all information directly pertaining to Product from the Competing Product programs of the Acquirer and its Affiliates, the provisions of Section 2.5(a) shall not apply with respect to the Competing Products developed, manufactured or commercialized by the Acquirer before such Change of Control of MannKind (including as further developed, manufactured or commercialized after such Change of Control of MannKind).</w:t>
      </w:r>
    </w:p>
    <w:p>
      <w:pPr>
        <w:spacing w:after="0" w:line="175"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15.10United Therapeutics Change of Control</w:t>
      </w:r>
      <w:r>
        <w:rPr>
          <w:rFonts w:ascii="Times New Roman" w:cs="Times New Roman" w:eastAsia="Times New Roman" w:hAnsi="Times New Roman"/>
          <w:sz w:val="22"/>
          <w:szCs w:val="22"/>
          <w:color w:val="auto"/>
        </w:rPr>
        <w:t>. In the event of the occurrence of a Change of Control of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during the Term, the following provisions shall apply:</w:t>
      </w:r>
    </w:p>
    <w:p>
      <w:pPr>
        <w:spacing w:after="0" w:line="154" w:lineRule="exact"/>
        <w:rPr>
          <w:sz w:val="20"/>
          <w:szCs w:val="20"/>
          <w:color w:val="auto"/>
        </w:rPr>
      </w:pPr>
    </w:p>
    <w:p>
      <w:pPr>
        <w:jc w:val="both"/>
        <w:ind w:firstLine="1505"/>
        <w:spacing w:after="0" w:line="236" w:lineRule="auto"/>
        <w:tabs>
          <w:tab w:leader="none" w:pos="2036"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United Therapeutics Know-How and United Therapeutics Patents Controlled by United Therapeutics immediately prior to such Change of Control of United Therapeutics shall continue to be United Therapeutics Know-How and United Therapeutics Patents for purposes of this Agreement. Patents and Information that are Controlled by the Acquirer of United Therapeutics or a direct or indirect parent holding company of United Therapeutics or the Acquirer’s Affiliates (excluding United Therapeutics or any of its Affiliates existing prior to such Change of Control of United Therapeutics) shall not be included within the United Therapeutics Know-How and United Therapeutics Patents.</w:t>
      </w:r>
    </w:p>
    <w:p>
      <w:pPr>
        <w:spacing w:after="0" w:line="177"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on Exclusivity</w:t>
      </w:r>
      <w:r>
        <w:rPr>
          <w:rFonts w:ascii="Times New Roman" w:cs="Times New Roman" w:eastAsia="Times New Roman" w:hAnsi="Times New Roman"/>
          <w:sz w:val="22"/>
          <w:szCs w:val="22"/>
          <w:color w:val="auto"/>
        </w:rPr>
        <w:t>. In the event of a Change of Control of United Therapeutics pursuant to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Therapeutics is acquired by an Acquirer developing, manufacturing or commercializing one or more products (other than Product) containing or comprising any dry powder formulation of API that is or is intended to be primarily administered in or through the lungs, then provided the Acquirer Segregates all information directly pertaining to Product from such product programs of the Acquirer and its Affiliates, the provisions of Section 2.5(b) shall not apply with respect to such products developed, manufactured or commercialized by the Acquirer before such Change of Control of United Therapeutics (including as further developed, manufactured or commercialized after such Change of Control of United Therapeutics).</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15.11Assignment. </w:t>
      </w:r>
      <w:r>
        <w:rPr>
          <w:rFonts w:ascii="Times New Roman" w:cs="Times New Roman" w:eastAsia="Times New Roman" w:hAnsi="Times New Roman"/>
          <w:sz w:val="22"/>
          <w:szCs w:val="22"/>
          <w:color w:val="auto"/>
        </w:rPr>
        <w:t>This Agreement shall not be assignable or otherwise transferred, nor may any right or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be assigned or transferred, by either Party to any Third Party without the prior written consent of the other Party; except either Party may assign or otherwise transfer this Agreement (including, for clarity, with respect to the Option) without the consent of the other Party to an entity that acquires all or substantially all of the business or assets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60</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2" w:name="page183"/>
    <w:bookmarkEnd w:id="182"/>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15.12No Partnership or Joint Venture. </w:t>
      </w:r>
      <w:r>
        <w:rPr>
          <w:rFonts w:ascii="Times New Roman" w:cs="Times New Roman" w:eastAsia="Times New Roman" w:hAnsi="Times New Roman"/>
          <w:sz w:val="21"/>
          <w:szCs w:val="21"/>
          <w:color w:val="auto"/>
        </w:rPr>
        <w:t>Nothing in this Agreement or any action which may be taken pursuant to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is intended, or shall be deemed, to establish a joint venture or partnership between United Therapeutics and MannKind. Neither Party to this Agreement shall have any express or implied right or authority to assume or create any obligations on behalf of, or in the name of, the other Party, or to bind the other Party to any contract, agreement or undertaking with any Third Party.</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15.13Interpretation. </w:t>
      </w:r>
      <w:r>
        <w:rPr>
          <w:rFonts w:ascii="Times New Roman" w:cs="Times New Roman" w:eastAsia="Times New Roman" w:hAnsi="Times New Roman"/>
          <w:sz w:val="22"/>
          <w:szCs w:val="22"/>
          <w:color w:val="auto"/>
        </w:rPr>
        <w:t>The captions to the several Articles and Sections of this Agreement are not a part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but are included for convenience of reference and shall not affect its meaning or interpretation. In this Agreement: (a) the word “including” shall be deemed to be followed by the phrase “without limitation” or like expression; (b) the word “or” means “and/or” unless the context dictates otherwise because the subject of the conjunction are mutually exclusive; (c) the words “herein,” “hereof” and “hereunder” and other words of similar import refer to this Agreement as a whole and not to any particular Article or Section or other subdivision; (d) references in this Agreement to “days” shall mean calendar days; (e) the singular shall include the plural and vice versa; and (f) masculine, feminine and neuter pronouns and expressions shall be interchangeable. Each accounting term used herein that is not specifically defined herein shall have the meaning given to it under GAAP consistently applied, but only to the extent consistent with its usage and the other definitions in this Agreement.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15.14Counterparts; Electronic or Facsimile Signatures. </w:t>
      </w:r>
      <w:r>
        <w:rPr>
          <w:rFonts w:ascii="Times New Roman" w:cs="Times New Roman" w:eastAsia="Times New Roman" w:hAnsi="Times New Roman"/>
          <w:sz w:val="22"/>
          <w:szCs w:val="22"/>
          <w:color w:val="auto"/>
        </w:rPr>
        <w:t>This Agreement may be executed in any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15.15Limitation of Liability. </w:t>
      </w:r>
      <w:r>
        <w:rPr>
          <w:rFonts w:ascii="Times New Roman" w:cs="Times New Roman" w:eastAsia="Times New Roman" w:hAnsi="Times New Roman"/>
          <w:sz w:val="22"/>
          <w:szCs w:val="22"/>
          <w:color w:val="auto"/>
        </w:rPr>
        <w:t>EXCEPT FOR LIABILITY FOR BREACH OF ARTICLE 8, NEITHER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ENTITLED TO RECOVER FROM THE OTHER PARTY ANY SPECIAL, INCIDENTAL, CONSEQUENTIAL OR PUNITIVE DAMAGES IN CONNECTION WITH THIS AGREEMENT OR ANY LICENSE OR RIGHT GRANTED HEREUNDER;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this Section 15.15 shall not be construed to limit either Party’s indemnification obligations with respect to Third Party Claims under Article 11.</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15.16Antitrust Filings. </w:t>
      </w:r>
      <w:r>
        <w:rPr>
          <w:rFonts w:ascii="Times New Roman" w:cs="Times New Roman" w:eastAsia="Times New Roman" w:hAnsi="Times New Roman"/>
          <w:sz w:val="22"/>
          <w:szCs w:val="22"/>
          <w:color w:val="auto"/>
        </w:rPr>
        <w:t>Each of MannKind and United Therapeutics shall use its reasonable best efforts to (i) file,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soon as practicable after the date of this Agreement, all notices, reports and other documents required to be filed by such Party, pursuant to the Antitrust Laws, with any Governmental Authority (the “</w:t>
      </w:r>
      <w:r>
        <w:rPr>
          <w:rFonts w:ascii="Times New Roman" w:cs="Times New Roman" w:eastAsia="Times New Roman" w:hAnsi="Times New Roman"/>
          <w:sz w:val="22"/>
          <w:szCs w:val="22"/>
          <w:b w:val="1"/>
          <w:bCs w:val="1"/>
          <w:i w:val="1"/>
          <w:iCs w:val="1"/>
          <w:color w:val="auto"/>
        </w:rPr>
        <w:t>Filings</w:t>
      </w:r>
      <w:r>
        <w:rPr>
          <w:rFonts w:ascii="Times New Roman" w:cs="Times New Roman" w:eastAsia="Times New Roman" w:hAnsi="Times New Roman"/>
          <w:sz w:val="22"/>
          <w:szCs w:val="22"/>
          <w:color w:val="auto"/>
        </w:rPr>
        <w:t>”) with respect to this Agreement and the transactions contemplated hereby, (ii) submit promptly any additional information requested by any such Governmental Authority, and (iii) obtain termination or expiration of the waiting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3" w:name="page184"/>
    <w:bookmarkEnd w:id="183"/>
    <w:p>
      <w:pPr>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184" w:name="page185"/>
    <w:bookmarkEnd w:id="184"/>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WITH LAW</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16.1Export Laws. </w:t>
      </w:r>
      <w:r>
        <w:rPr>
          <w:rFonts w:ascii="Times New Roman" w:cs="Times New Roman" w:eastAsia="Times New Roman" w:hAnsi="Times New Roman"/>
          <w:sz w:val="22"/>
          <w:szCs w:val="22"/>
          <w:color w:val="auto"/>
        </w:rPr>
        <w:t>Notwithstanding anything to the contrary contained herein, all obligations of MannKind and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are subject to prior compliance with export and import regulations and such other laws and regulations in effect in such jurisdictions or any other relevant country as may be applicable, and to obtaining all necessary approvals required by the applicable agencies of the governments of any relevant countries. MannKind and United Therapeutics shall cooperate with each other and shall provide assistance to the other as reasonably necessary to obtain any required approvals.</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16.2Securities Laws. </w:t>
      </w:r>
      <w:r>
        <w:rPr>
          <w:rFonts w:ascii="Times New Roman" w:cs="Times New Roman" w:eastAsia="Times New Roman" w:hAnsi="Times New Roman"/>
          <w:sz w:val="22"/>
          <w:szCs w:val="22"/>
          <w:color w:val="auto"/>
        </w:rPr>
        <w:t>Each of the Parties acknowledges that it is aware that the securities laws of the United States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securities laws of other countries prohibit any person who has material non-public information about a publicly listed company from purchasing or selling securities of such company or from communicating such information to any person under circumstances in which it is reasonably foreseeable that such person is likely to purchase or sell such securities. Each Party agrees to comply with such securities laws make its Affiliates, employees and agents aware of the existence of such securities laws and their need to comply with such laws.</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16.3Certain Payments. </w:t>
      </w:r>
      <w:r>
        <w:rPr>
          <w:rFonts w:ascii="Times New Roman" w:cs="Times New Roman" w:eastAsia="Times New Roman" w:hAnsi="Times New Roman"/>
          <w:sz w:val="22"/>
          <w:szCs w:val="22"/>
          <w:color w:val="auto"/>
        </w:rPr>
        <w:t>Each of the Parties acknowledges that it is aware that the United States and other countries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stringent laws which prohibit persons directly or indirectly to make unlawful payments to, and for the benefit of, government officials and related parties to secure approvals or permission for their activities. Each Party agrees that it will make no such prohibited payments, it will not indirectly make or have made such payments and it will make its Affiliates, employees and agents aware of the existence of such laws and their need to comply with such laws.</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16.4Conduct of Activities. </w:t>
      </w:r>
      <w:r>
        <w:rPr>
          <w:rFonts w:ascii="Times New Roman" w:cs="Times New Roman" w:eastAsia="Times New Roman" w:hAnsi="Times New Roman"/>
          <w:sz w:val="22"/>
          <w:szCs w:val="22"/>
          <w:color w:val="auto"/>
        </w:rPr>
        <w:t>As to all matters contained in this Agreement, each Party shall conduct the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allocated to it in compliance in all material respects with all Applicable Laws and in accordance with generally accepted scientific standards, good clinical and manufacturing practices and applicable industry ethical codes, applicable under the laws and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5" w:name="page186"/>
    <w:bookmarkEnd w:id="185"/>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43" w:lineRule="exact"/>
        <w:rPr>
          <w:sz w:val="20"/>
          <w:szCs w:val="20"/>
          <w:color w:val="auto"/>
        </w:rPr>
      </w:pPr>
    </w:p>
    <w:p>
      <w:pPr>
        <w:jc w:val="both"/>
        <w:ind w:firstLine="1505"/>
        <w:spacing w:after="0" w:line="244" w:lineRule="auto"/>
        <w:tabs>
          <w:tab w:leader="none" w:pos="2036"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performance of its obligations under this Agreement, such Party shall comply and shall cause its and its Affiliates’ employees and contractors to comply with all Applicable Laws, and shall obtain and maintain all licenses, permits, approvals and other authorizations applicable to it in order to enable it to perform its respective obligations hereunder.</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Party and, to its knowledge, its and its Affiliates’ employees and contractors shall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either Party (it being understood that such Party, and to its knowledge, its and its Affiliates’ employees and contractors, has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shall not, directly or indirectly, engage in any of the foregoing).</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Party and its Affiliates, and their respective employees and contractors, in connection with the performance of their respective obligations under this Agreement, shall not violate, and shall not cause the other Party or such other Party’s Indemnitees to be in violation of the FCPA, Export Control Laws, the federal health care program anti-kickback statute, the public contracts anti-kickback act, any state anti-kickback law, the Health Insurance Portability and Accountability Act (“</w:t>
      </w:r>
      <w:r>
        <w:rPr>
          <w:rFonts w:ascii="Times New Roman" w:cs="Times New Roman" w:eastAsia="Times New Roman" w:hAnsi="Times New Roman"/>
          <w:sz w:val="22"/>
          <w:szCs w:val="22"/>
          <w:b w:val="1"/>
          <w:bCs w:val="1"/>
          <w:i w:val="1"/>
          <w:iCs w:val="1"/>
          <w:color w:val="auto"/>
        </w:rPr>
        <w:t>HIPAA</w:t>
      </w:r>
      <w:r>
        <w:rPr>
          <w:rFonts w:ascii="Times New Roman" w:cs="Times New Roman" w:eastAsia="Times New Roman" w:hAnsi="Times New Roman"/>
          <w:sz w:val="22"/>
          <w:szCs w:val="22"/>
          <w:color w:val="auto"/>
        </w:rPr>
        <w:t>”), set forth at 42 U.S.C. sec. 1320d-2, the federal civil False Claims Act (or any state equivalent), federal or state “sunshine”/aggregate spend reporting laws, government price reporting laws, consumer protection and unfair trade practices laws, or any other Applicable Laws, rules or regulations or otherwise cause any reputational harm to such other Party.</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Party shall immediately notify the other Party if such Party has any information or suspicion that there may be a violation of the FCPA, Export Control Laws, the federal health care program anti-kickback statute, the public contracts anti-kickback act, any state anti-kickback law, HIPAA, the federal civil False Claims Act (or any state equivalent), federal or state “sunshine”/aggregate spend reporting laws, government price reporting laws, consumer protection and unfair trade practices laws, or any other Applicable Laws in connection with the performance of this Agreement or the development, manufacture or commercialization of Product.</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connection with the performance of its obligations under this Agreement, such Party shall comply and shall cause its and its Affiliates’ employees and contractors to comply with such Party’s own anti-corruption and anti-bribery policy, a copy of which has been provided or made available to the other Party.</w:t>
      </w:r>
    </w:p>
    <w:p>
      <w:pPr>
        <w:spacing w:after="0" w:line="17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other Party will have the right, upon reasonable prior written notice and during such Party’s regular business hours and without undue interference with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6" w:name="page187"/>
    <w:bookmarkEnd w:id="186"/>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70" w:lineRule="exact"/>
        <w:rPr>
          <w:sz w:val="20"/>
          <w:szCs w:val="20"/>
          <w:color w:val="auto"/>
        </w:rPr>
      </w:pPr>
    </w:p>
    <w:p>
      <w:pPr>
        <w:jc w:val="both"/>
        <w:ind w:firstLine="1505"/>
        <w:spacing w:after="0" w:line="235" w:lineRule="auto"/>
        <w:tabs>
          <w:tab w:leader="none" w:pos="2036"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Party agrees that, in connection with any inspection or audit by a Governmental Authority relating to any activities contemplated under this Agreement, such Party shall: (i) respond promptly and courteously to the inspectors/auditors; (ii) use its reasonable best efforts to notify the other Party of such inspection/audit with sufficient time to permit the other Party to obtain a protective or similar order with respect to such Party’s Confidential Information; (iii) use its reasonable best efforts to disclose the minimum of the other Party’s Confidential Information necessary to comply with the request whether a protective order is obtained; and (iv) assert any applicable protections (such as exemption from freedom of information act disclosure, as may be applicable) with respect to disclosed information.</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that such Party has violated or been suspected of violating any of the representations, warranties or covenants in this Section 16.4, such Party will cause its or its Affiliates’ personnel or others working under its direction or control to submit to periodic training that such Party will provide on anti-corruption and/or “fraud and abuse” law compliance.</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Party will, at the other Party’s request, annually certify to such other Party in writing such party’s compliance, in connection with the performance of such Party’s obligations under this Agreement, with the representations, warranties or covenants in Section 16.4.</w:t>
      </w:r>
    </w:p>
    <w:p>
      <w:pPr>
        <w:spacing w:after="0" w:line="173" w:lineRule="exact"/>
        <w:rPr>
          <w:rFonts w:ascii="Times New Roman" w:cs="Times New Roman" w:eastAsia="Times New Roman" w:hAnsi="Times New Roman"/>
          <w:sz w:val="22"/>
          <w:szCs w:val="22"/>
          <w:b w:val="1"/>
          <w:bCs w:val="1"/>
          <w:color w:val="auto"/>
        </w:rPr>
      </w:pPr>
    </w:p>
    <w:p>
      <w:pPr>
        <w:jc w:val="both"/>
        <w:ind w:right="20" w:firstLine="1505"/>
        <w:spacing w:after="0" w:line="244" w:lineRule="auto"/>
        <w:tabs>
          <w:tab w:leader="none" w:pos="2036"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Party shall have the right to suspend or terminate this Agreement in their entirety where there is a credible finding, after a reasonable investigation, that the other Party, in connection with performance of such other Party’s obligations under this Agreement, has violated any Applicable Laws.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ollows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7" w:name="page188"/>
    <w:bookmarkEnd w:id="187"/>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executed this License and Collaboration Agreement as of the Execution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340" w:val="left"/>
        </w:tabs>
        <w:rPr>
          <w:sz w:val="20"/>
          <w:szCs w:val="20"/>
          <w:color w:val="auto"/>
        </w:rPr>
      </w:pPr>
      <w:r>
        <w:rPr>
          <w:rFonts w:ascii="Times New Roman" w:cs="Times New Roman" w:eastAsia="Times New Roman" w:hAnsi="Times New Roman"/>
          <w:sz w:val="22"/>
          <w:szCs w:val="22"/>
          <w:b w:val="1"/>
          <w:bCs w:val="1"/>
          <w:color w:val="auto"/>
        </w:rPr>
        <w:t>MANNKIND CORPORATION</w:t>
      </w:r>
      <w:r>
        <w:rPr>
          <w:sz w:val="20"/>
          <w:szCs w:val="20"/>
          <w:color w:val="auto"/>
        </w:rPr>
        <w:tab/>
      </w:r>
      <w:r>
        <w:rPr>
          <w:rFonts w:ascii="Times New Roman" w:cs="Times New Roman" w:eastAsia="Times New Roman" w:hAnsi="Times New Roman"/>
          <w:sz w:val="21"/>
          <w:szCs w:val="21"/>
          <w:b w:val="1"/>
          <w:bCs w:val="1"/>
          <w:color w:val="auto"/>
        </w:rPr>
        <w:t>UNITED THERAPEUTICS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By:/s/ Michael Castagna</w:t>
            </w:r>
          </w:p>
        </w:tc>
        <w:tc>
          <w:tcPr>
            <w:tcW w:w="718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rPr>
              <w:t>By:/s/ Martine Rothblatt</w:t>
            </w:r>
          </w:p>
        </w:tc>
      </w:tr>
      <w:tr>
        <w:trPr>
          <w:trHeight w:val="20"/>
        </w:trPr>
        <w:tc>
          <w:tcPr>
            <w:tcW w:w="4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91"/>
        </w:trPr>
        <w:tc>
          <w:tcPr>
            <w:tcW w:w="40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Name: Michael Castagna</w:t>
            </w:r>
          </w:p>
        </w:tc>
        <w:tc>
          <w:tcPr>
            <w:tcW w:w="718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rPr>
              <w:t>Name: Martine Rothblatt</w:t>
            </w:r>
          </w:p>
        </w:tc>
      </w:tr>
      <w:tr>
        <w:trPr>
          <w:trHeight w:val="459"/>
        </w:trPr>
        <w:tc>
          <w:tcPr>
            <w:tcW w:w="40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718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rPr>
              <w:t>Title: Chief Executive Officer</w:t>
            </w:r>
          </w:p>
        </w:tc>
      </w:tr>
      <w:tr>
        <w:trPr>
          <w:trHeight w:val="1831"/>
        </w:trPr>
        <w:tc>
          <w:tcPr>
            <w:tcW w:w="4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8" w:name="page189"/>
    <w:bookmarkEnd w:id="188"/>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10.37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SEVENTH AMENDMENT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SUPPLY AGREEMENT</w:t>
      </w:r>
    </w:p>
    <w:p>
      <w:pPr>
        <w:spacing w:after="0" w:line="182" w:lineRule="exact"/>
        <w:rPr>
          <w:sz w:val="20"/>
          <w:szCs w:val="20"/>
          <w:color w:val="auto"/>
        </w:rPr>
      </w:pPr>
    </w:p>
    <w:p>
      <w:pPr>
        <w:ind w:right="820"/>
        <w:spacing w:after="0" w:line="237" w:lineRule="auto"/>
        <w:rPr>
          <w:sz w:val="20"/>
          <w:szCs w:val="20"/>
          <w:color w:val="auto"/>
        </w:rPr>
      </w:pPr>
      <w:r>
        <w:rPr>
          <w:rFonts w:ascii="Arial" w:cs="Arial" w:eastAsia="Arial" w:hAnsi="Arial"/>
          <w:sz w:val="20"/>
          <w:szCs w:val="20"/>
          <w:color w:val="auto"/>
        </w:rPr>
        <w:t xml:space="preserve">This amendment is effective the last date signed by a party, between </w:t>
      </w:r>
      <w:r>
        <w:rPr>
          <w:rFonts w:ascii="Arial" w:cs="Arial" w:eastAsia="Arial" w:hAnsi="Arial"/>
          <w:sz w:val="20"/>
          <w:szCs w:val="20"/>
          <w:b w:val="1"/>
          <w:bCs w:val="1"/>
          <w:color w:val="auto"/>
        </w:rPr>
        <w:t>MannKind Corporation</w:t>
      </w:r>
      <w:r>
        <w:rPr>
          <w:rFonts w:ascii="Arial" w:cs="Arial" w:eastAsia="Arial" w:hAnsi="Arial"/>
          <w:sz w:val="20"/>
          <w:szCs w:val="20"/>
          <w:color w:val="auto"/>
        </w:rPr>
        <w:t>, a Delaware corporation (“</w:t>
      </w:r>
      <w:r>
        <w:rPr>
          <w:rFonts w:ascii="Arial" w:cs="Arial" w:eastAsia="Arial" w:hAnsi="Arial"/>
          <w:sz w:val="20"/>
          <w:szCs w:val="20"/>
          <w:b w:val="1"/>
          <w:bCs w:val="1"/>
          <w:color w:val="auto"/>
        </w:rPr>
        <w:t>MannKind</w:t>
      </w:r>
      <w:r>
        <w:rPr>
          <w:rFonts w:ascii="Arial" w:cs="Arial" w:eastAsia="Arial" w:hAnsi="Arial"/>
          <w:sz w:val="20"/>
          <w:szCs w:val="20"/>
          <w:color w:val="auto"/>
        </w:rPr>
        <w:t xml:space="preserve">”), having a principal place of business at One Casper Street, Danbury, Connecticut 06810, and </w:t>
      </w:r>
      <w:r>
        <w:rPr>
          <w:rFonts w:ascii="Arial" w:cs="Arial" w:eastAsia="Arial" w:hAnsi="Arial"/>
          <w:sz w:val="20"/>
          <w:szCs w:val="20"/>
          <w:b w:val="1"/>
          <w:bCs w:val="1"/>
          <w:color w:val="auto"/>
        </w:rPr>
        <w:t>United</w:t>
      </w:r>
      <w:r>
        <w:rPr>
          <w:rFonts w:ascii="Arial" w:cs="Arial" w:eastAsia="Arial" w:hAnsi="Arial"/>
          <w:sz w:val="20"/>
          <w:szCs w:val="20"/>
          <w:color w:val="auto"/>
        </w:rPr>
        <w:t xml:space="preserve"> </w:t>
      </w:r>
      <w:r>
        <w:rPr>
          <w:rFonts w:ascii="Arial" w:cs="Arial" w:eastAsia="Arial" w:hAnsi="Arial"/>
          <w:sz w:val="20"/>
          <w:szCs w:val="20"/>
          <w:b w:val="1"/>
          <w:bCs w:val="1"/>
          <w:color w:val="auto"/>
        </w:rPr>
        <w:t>Therapeutics Corporation</w:t>
      </w:r>
      <w:r>
        <w:rPr>
          <w:rFonts w:ascii="Arial" w:cs="Arial" w:eastAsia="Arial" w:hAnsi="Arial"/>
          <w:sz w:val="20"/>
          <w:szCs w:val="20"/>
          <w:color w:val="auto"/>
        </w:rPr>
        <w:t>, a Delaware public benefit corporation (“</w:t>
      </w:r>
      <w:r>
        <w:rPr>
          <w:rFonts w:ascii="Arial" w:cs="Arial" w:eastAsia="Arial" w:hAnsi="Arial"/>
          <w:sz w:val="20"/>
          <w:szCs w:val="20"/>
          <w:b w:val="1"/>
          <w:bCs w:val="1"/>
          <w:color w:val="auto"/>
        </w:rPr>
        <w:t>United Therapeutics</w:t>
      </w:r>
      <w:r>
        <w:rPr>
          <w:rFonts w:ascii="Arial" w:cs="Arial" w:eastAsia="Arial" w:hAnsi="Arial"/>
          <w:sz w:val="20"/>
          <w:szCs w:val="20"/>
          <w:color w:val="auto"/>
        </w:rPr>
        <w:t>”), having a principal place of</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at 1000 Spring Street, Silver Spring, Maryland 20910.</w:t>
      </w:r>
    </w:p>
    <w:p>
      <w:pPr>
        <w:spacing w:after="0" w:line="172" w:lineRule="exact"/>
        <w:rPr>
          <w:sz w:val="20"/>
          <w:szCs w:val="20"/>
          <w:color w:val="auto"/>
        </w:rPr>
      </w:pPr>
    </w:p>
    <w:p>
      <w:pPr>
        <w:ind w:right="140"/>
        <w:spacing w:after="0" w:line="23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to this amendment entered into a Commercial Supply Agreement effective as of August 12, 2021 (such</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amended in a First Amendment effective October 16, 2021, a Second Amendment effective June 15, 2022, a Third Amendment effective August 31, 2022, a Fourth Amendment effective December 22, 2022, Fifth Amendment effective January 10, 2024, and a Sixth Amendment effective December 2, 2024, the “</w:t>
      </w:r>
      <w:r>
        <w:rPr>
          <w:rFonts w:ascii="Arial" w:cs="Arial" w:eastAsia="Arial" w:hAnsi="Arial"/>
          <w:sz w:val="20"/>
          <w:szCs w:val="20"/>
          <w:b w:val="1"/>
          <w:bCs w:val="1"/>
          <w:color w:val="auto"/>
        </w:rPr>
        <w:t>Agreement</w:t>
      </w:r>
      <w:r>
        <w:rPr>
          <w:rFonts w:ascii="Arial" w:cs="Arial" w:eastAsia="Arial" w:hAnsi="Arial"/>
          <w:sz w:val="20"/>
          <w:szCs w:val="20"/>
          <w:color w:val="auto"/>
        </w:rPr>
        <w:t>”), and the parties now wish to amend the Agreement as set forth below.</w:t>
      </w:r>
    </w:p>
    <w:p>
      <w:pPr>
        <w:spacing w:after="0" w:line="170" w:lineRule="exact"/>
        <w:rPr>
          <w:sz w:val="20"/>
          <w:szCs w:val="20"/>
          <w:color w:val="auto"/>
        </w:rPr>
      </w:pPr>
    </w:p>
    <w:p>
      <w:pPr>
        <w:jc w:val="both"/>
        <w:ind w:right="100"/>
        <w:spacing w:after="0" w:line="24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United Therapeutics anticipates shifting primary manufacturing for Tyvaso DPI to its own facility beginning in [***],</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the parties wish to amend the Agreement to, </w:t>
      </w:r>
      <w:r>
        <w:rPr>
          <w:rFonts w:ascii="Arial" w:cs="Arial" w:eastAsia="Arial" w:hAnsi="Arial"/>
          <w:sz w:val="20"/>
          <w:szCs w:val="20"/>
          <w:i w:val="1"/>
          <w:iCs w:val="1"/>
          <w:color w:val="auto"/>
        </w:rPr>
        <w:t>inter alia</w:t>
      </w:r>
      <w:r>
        <w:rPr>
          <w:rFonts w:ascii="Arial" w:cs="Arial" w:eastAsia="Arial" w:hAnsi="Arial"/>
          <w:sz w:val="20"/>
          <w:szCs w:val="20"/>
          <w:color w:val="auto"/>
        </w:rPr>
        <w:t>, provide a process to enable continued manufacturing of Tyvaso DPI at MannKind’s facility as a secondary manufacturer.</w:t>
      </w:r>
    </w:p>
    <w:p>
      <w:pPr>
        <w:spacing w:after="0" w:line="168"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terms and conditions specified herein and other good and valuable consideration,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and sufficiency of which is hereby acknowledged, the parties hereby agree as follows:</w:t>
      </w:r>
    </w:p>
    <w:p>
      <w:pPr>
        <w:spacing w:after="0" w:line="152" w:lineRule="exact"/>
        <w:rPr>
          <w:sz w:val="20"/>
          <w:szCs w:val="20"/>
          <w:color w:val="auto"/>
        </w:rPr>
      </w:pPr>
    </w:p>
    <w:p>
      <w:pPr>
        <w:ind w:left="760" w:hanging="378"/>
        <w:spacing w:after="0"/>
        <w:tabs>
          <w:tab w:leader="none" w:pos="760" w:val="left"/>
        </w:tabs>
        <w:numPr>
          <w:ilvl w:val="0"/>
          <w:numId w:val="140"/>
        </w:numPr>
        <w:rPr>
          <w:rFonts w:ascii="Calibri" w:cs="Calibri" w:eastAsia="Calibri" w:hAnsi="Calibri"/>
          <w:sz w:val="20"/>
          <w:szCs w:val="20"/>
          <w:b w:val="1"/>
          <w:bCs w:val="1"/>
          <w:color w:val="auto"/>
        </w:rPr>
      </w:pPr>
      <w:r>
        <w:rPr>
          <w:rFonts w:ascii="Arial" w:cs="Arial" w:eastAsia="Arial" w:hAnsi="Arial"/>
          <w:sz w:val="20"/>
          <w:szCs w:val="20"/>
          <w:b w:val="1"/>
          <w:bCs w:val="1"/>
          <w:color w:val="auto"/>
        </w:rPr>
        <w:t>AMENDMENTS</w:t>
      </w:r>
      <w:r>
        <w:rPr>
          <w:rFonts w:ascii="Arial" w:cs="Arial" w:eastAsia="Arial" w:hAnsi="Arial"/>
          <w:sz w:val="20"/>
          <w:szCs w:val="20"/>
          <w:color w:val="auto"/>
        </w:rPr>
        <w:t>.</w:t>
      </w:r>
    </w:p>
    <w:p>
      <w:pPr>
        <w:spacing w:after="0" w:line="230" w:lineRule="exact"/>
        <w:rPr>
          <w:rFonts w:ascii="Calibri" w:cs="Calibri" w:eastAsia="Calibri" w:hAnsi="Calibri"/>
          <w:sz w:val="20"/>
          <w:szCs w:val="20"/>
          <w:b w:val="1"/>
          <w:bCs w:val="1"/>
          <w:color w:val="auto"/>
        </w:rPr>
      </w:pPr>
    </w:p>
    <w:p>
      <w:pPr>
        <w:ind w:left="1500" w:right="20" w:hanging="369"/>
        <w:spacing w:after="0" w:line="233" w:lineRule="auto"/>
        <w:tabs>
          <w:tab w:leader="none" w:pos="1500" w:val="left"/>
        </w:tabs>
        <w:numPr>
          <w:ilvl w:val="1"/>
          <w:numId w:val="140"/>
        </w:numPr>
        <w:rPr>
          <w:rFonts w:ascii="Calibri" w:cs="Calibri" w:eastAsia="Calibri" w:hAnsi="Calibri"/>
          <w:sz w:val="20"/>
          <w:szCs w:val="20"/>
          <w:color w:val="auto"/>
        </w:rPr>
      </w:pPr>
      <w:r>
        <w:rPr>
          <w:rFonts w:ascii="Arial" w:cs="Arial" w:eastAsia="Arial" w:hAnsi="Arial"/>
          <w:sz w:val="20"/>
          <w:szCs w:val="20"/>
          <w:color w:val="auto"/>
        </w:rPr>
        <w:t>Effective January 1, 2026, Appendices A and B of the Agreement are deleted in their entirety and replaced with the versions of such appendices attached hereto, and all references to such appendices in the Agreement shall be construed as references to the updated version of each such updated appendix as of such date. Until such date, the existing version of Appendices A and B shall remain in effect.</w:t>
      </w:r>
    </w:p>
    <w:p>
      <w:pPr>
        <w:spacing w:after="0" w:line="173" w:lineRule="exact"/>
        <w:rPr>
          <w:rFonts w:ascii="Calibri" w:cs="Calibri" w:eastAsia="Calibri" w:hAnsi="Calibri"/>
          <w:sz w:val="20"/>
          <w:szCs w:val="20"/>
          <w:color w:val="auto"/>
        </w:rPr>
      </w:pPr>
    </w:p>
    <w:p>
      <w:pPr>
        <w:ind w:left="1500" w:hanging="369"/>
        <w:spacing w:after="0"/>
        <w:tabs>
          <w:tab w:leader="none" w:pos="1500" w:val="left"/>
        </w:tabs>
        <w:numPr>
          <w:ilvl w:val="1"/>
          <w:numId w:val="140"/>
        </w:numPr>
        <w:rPr>
          <w:rFonts w:ascii="Calibri" w:cs="Calibri" w:eastAsia="Calibri" w:hAnsi="Calibri"/>
          <w:sz w:val="20"/>
          <w:szCs w:val="20"/>
          <w:color w:val="auto"/>
        </w:rPr>
      </w:pPr>
      <w:r>
        <w:rPr>
          <w:rFonts w:ascii="Arial" w:cs="Arial" w:eastAsia="Arial" w:hAnsi="Arial"/>
          <w:sz w:val="20"/>
          <w:szCs w:val="20"/>
          <w:color w:val="auto"/>
        </w:rPr>
        <w:t>Effective immediately, Section 1.31 is deleted in its entirety and replaced with the following:</w:t>
      </w:r>
    </w:p>
    <w:p>
      <w:pPr>
        <w:spacing w:after="0" w:line="226" w:lineRule="exact"/>
        <w:rPr>
          <w:rFonts w:ascii="Calibri" w:cs="Calibri" w:eastAsia="Calibri" w:hAnsi="Calibri"/>
          <w:sz w:val="20"/>
          <w:szCs w:val="20"/>
          <w:color w:val="auto"/>
        </w:rPr>
      </w:pPr>
    </w:p>
    <w:p>
      <w:pPr>
        <w:ind w:left="1500" w:right="460"/>
        <w:spacing w:after="0" w:line="259" w:lineRule="auto"/>
        <w:rPr>
          <w:rFonts w:ascii="Calibri" w:cs="Calibri" w:eastAsia="Calibri" w:hAnsi="Calibri"/>
          <w:sz w:val="20"/>
          <w:szCs w:val="20"/>
          <w:color w:val="auto"/>
        </w:rPr>
      </w:pPr>
      <w:r>
        <w:rPr>
          <w:rFonts w:ascii="Arial" w:cs="Arial" w:eastAsia="Arial" w:hAnsi="Arial"/>
          <w:sz w:val="20"/>
          <w:szCs w:val="20"/>
          <w:b w:val="1"/>
          <w:bCs w:val="1"/>
          <w:color w:val="auto"/>
        </w:rPr>
        <w:t xml:space="preserve">1.31 “Packaging Services” </w:t>
      </w:r>
      <w:r>
        <w:rPr>
          <w:rFonts w:ascii="Arial" w:cs="Arial" w:eastAsia="Arial" w:hAnsi="Arial"/>
          <w:sz w:val="20"/>
          <w:szCs w:val="20"/>
          <w:color w:val="auto"/>
        </w:rPr>
        <w:t>means the packaging of Semi-Finished Product into fully kitted Product when</w:t>
      </w:r>
      <w:r>
        <w:rPr>
          <w:rFonts w:ascii="Arial" w:cs="Arial" w:eastAsia="Arial" w:hAnsi="Arial"/>
          <w:sz w:val="20"/>
          <w:szCs w:val="20"/>
          <w:b w:val="1"/>
          <w:bCs w:val="1"/>
          <w:color w:val="auto"/>
        </w:rPr>
        <w:t xml:space="preserve"> </w:t>
      </w:r>
      <w:r>
        <w:rPr>
          <w:rFonts w:ascii="Arial" w:cs="Arial" w:eastAsia="Arial" w:hAnsi="Arial"/>
          <w:sz w:val="20"/>
          <w:szCs w:val="20"/>
          <w:color w:val="auto"/>
        </w:rPr>
        <w:t>conducted by MannKind as a service.</w:t>
      </w:r>
    </w:p>
    <w:p>
      <w:pPr>
        <w:spacing w:after="0" w:line="153" w:lineRule="exact"/>
        <w:rPr>
          <w:rFonts w:ascii="Calibri" w:cs="Calibri" w:eastAsia="Calibri" w:hAnsi="Calibri"/>
          <w:sz w:val="20"/>
          <w:szCs w:val="20"/>
          <w:color w:val="auto"/>
        </w:rPr>
      </w:pPr>
    </w:p>
    <w:p>
      <w:pPr>
        <w:ind w:left="1500" w:right="280" w:hanging="369"/>
        <w:spacing w:after="0" w:line="243" w:lineRule="auto"/>
        <w:tabs>
          <w:tab w:leader="none" w:pos="1500" w:val="left"/>
        </w:tabs>
        <w:numPr>
          <w:ilvl w:val="1"/>
          <w:numId w:val="140"/>
        </w:numPr>
        <w:rPr>
          <w:rFonts w:ascii="Calibri" w:cs="Calibri" w:eastAsia="Calibri" w:hAnsi="Calibri"/>
          <w:sz w:val="20"/>
          <w:szCs w:val="20"/>
          <w:color w:val="auto"/>
        </w:rPr>
      </w:pPr>
      <w:r>
        <w:rPr>
          <w:rFonts w:ascii="Arial" w:cs="Arial" w:eastAsia="Arial" w:hAnsi="Arial"/>
          <w:sz w:val="20"/>
          <w:szCs w:val="20"/>
          <w:color w:val="auto"/>
        </w:rPr>
        <w:t>Effective January 1, 2026, Section 3.1 of the Agreement shall be deleted in its entirety and replaced with the following:</w:t>
      </w:r>
    </w:p>
    <w:p>
      <w:pPr>
        <w:spacing w:after="0" w:line="165" w:lineRule="exact"/>
        <w:rPr>
          <w:rFonts w:ascii="Calibri" w:cs="Calibri" w:eastAsia="Calibri" w:hAnsi="Calibri"/>
          <w:sz w:val="20"/>
          <w:szCs w:val="20"/>
          <w:color w:val="auto"/>
        </w:rPr>
      </w:pPr>
    </w:p>
    <w:p>
      <w:pPr>
        <w:ind w:left="1500" w:right="1020"/>
        <w:spacing w:after="0" w:line="270" w:lineRule="auto"/>
        <w:rPr>
          <w:rFonts w:ascii="Calibri" w:cs="Calibri" w:eastAsia="Calibri" w:hAnsi="Calibri"/>
          <w:sz w:val="20"/>
          <w:szCs w:val="20"/>
          <w:color w:val="auto"/>
        </w:rPr>
      </w:pPr>
      <w:r>
        <w:rPr>
          <w:rFonts w:ascii="Arial" w:cs="Arial" w:eastAsia="Arial" w:hAnsi="Arial"/>
          <w:sz w:val="20"/>
          <w:szCs w:val="20"/>
          <w:b w:val="1"/>
          <w:bCs w:val="1"/>
          <w:color w:val="auto"/>
        </w:rPr>
        <w:t>3.1 Purchase Price; Packaging Services</w:t>
      </w:r>
      <w:r>
        <w:rPr>
          <w:rFonts w:ascii="Arial" w:cs="Arial" w:eastAsia="Arial" w:hAnsi="Arial"/>
          <w:sz w:val="20"/>
          <w:szCs w:val="20"/>
          <w:color w:val="auto"/>
        </w:rPr>
        <w:t>. MannKind shall invoice United Therapeutics for Semi-Finished Product and Product as set forth in Appendix B (each such amount, the “</w:t>
      </w:r>
      <w:r>
        <w:rPr>
          <w:rFonts w:ascii="Arial" w:cs="Arial" w:eastAsia="Arial" w:hAnsi="Arial"/>
          <w:sz w:val="20"/>
          <w:szCs w:val="20"/>
          <w:b w:val="1"/>
          <w:bCs w:val="1"/>
          <w:color w:val="auto"/>
        </w:rPr>
        <w:t>Price</w:t>
      </w:r>
      <w:r>
        <w:rPr>
          <w:rFonts w:ascii="Arial" w:cs="Arial" w:eastAsia="Arial" w:hAnsi="Arial"/>
          <w:sz w:val="20"/>
          <w:szCs w:val="20"/>
          <w:color w:val="auto"/>
        </w:rPr>
        <w: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 of NUMPAGES 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9" w:name="page190"/>
    <w:bookmarkEnd w:id="189"/>
    <w:p>
      <w:pPr>
        <w:ind w:right="2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60" w:lineRule="exact"/>
        <w:rPr>
          <w:sz w:val="20"/>
          <w:szCs w:val="20"/>
          <w:color w:val="auto"/>
        </w:rPr>
      </w:pPr>
    </w:p>
    <w:p>
      <w:pPr>
        <w:ind w:left="1500" w:right="260" w:hanging="369"/>
        <w:spacing w:after="0" w:line="243" w:lineRule="auto"/>
        <w:tabs>
          <w:tab w:leader="none" w:pos="1500" w:val="left"/>
        </w:tabs>
        <w:numPr>
          <w:ilvl w:val="0"/>
          <w:numId w:val="141"/>
        </w:numPr>
        <w:rPr>
          <w:rFonts w:ascii="Calibri" w:cs="Calibri" w:eastAsia="Calibri" w:hAnsi="Calibri"/>
          <w:sz w:val="20"/>
          <w:szCs w:val="20"/>
          <w:color w:val="auto"/>
        </w:rPr>
      </w:pPr>
      <w:r>
        <w:rPr>
          <w:rFonts w:ascii="Arial" w:cs="Arial" w:eastAsia="Arial" w:hAnsi="Arial"/>
          <w:sz w:val="20"/>
          <w:szCs w:val="20"/>
          <w:color w:val="auto"/>
        </w:rPr>
        <w:t>Effective January 1, 2026, Section 3.2 of the Agreement shall be deleted in its entirety and replaced with the following:</w:t>
      </w:r>
    </w:p>
    <w:p>
      <w:pPr>
        <w:spacing w:after="0" w:line="166"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auto"/>
        </w:rPr>
        <w:t>3.2  Price and Price Adjustments; Annual Volume and Volume Adjustments</w:t>
      </w:r>
      <w:r>
        <w:rPr>
          <w:rFonts w:ascii="Arial" w:cs="Arial" w:eastAsia="Arial" w:hAnsi="Arial"/>
          <w:sz w:val="20"/>
          <w:szCs w:val="20"/>
          <w:color w:val="auto"/>
        </w:rPr>
        <w:t>.</w:t>
      </w:r>
    </w:p>
    <w:p>
      <w:pPr>
        <w:spacing w:after="0" w:line="204" w:lineRule="exact"/>
        <w:rPr>
          <w:sz w:val="20"/>
          <w:szCs w:val="20"/>
          <w:color w:val="auto"/>
        </w:rPr>
      </w:pPr>
    </w:p>
    <w:p>
      <w:pPr>
        <w:ind w:left="1600"/>
        <w:spacing w:after="0"/>
        <w:tabs>
          <w:tab w:leader="none" w:pos="246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9"/>
          <w:szCs w:val="19"/>
          <w:color w:val="auto"/>
        </w:rPr>
        <w:t>The Prices detailed in Appendix B are effective as of the date set forth therein.</w:t>
      </w:r>
    </w:p>
    <w:p>
      <w:pPr>
        <w:spacing w:after="0" w:line="202" w:lineRule="exact"/>
        <w:rPr>
          <w:sz w:val="20"/>
          <w:szCs w:val="20"/>
          <w:color w:val="auto"/>
        </w:rPr>
      </w:pPr>
    </w:p>
    <w:p>
      <w:pPr>
        <w:ind w:left="1600" w:right="820"/>
        <w:spacing w:after="0" w:line="230" w:lineRule="auto"/>
        <w:rPr>
          <w:sz w:val="20"/>
          <w:szCs w:val="20"/>
          <w:color w:val="auto"/>
        </w:rPr>
      </w:pPr>
      <w:r>
        <w:rPr>
          <w:rFonts w:ascii="Arial" w:cs="Arial" w:eastAsia="Arial" w:hAnsi="Arial"/>
          <w:sz w:val="20"/>
          <w:szCs w:val="20"/>
          <w:color w:val="auto"/>
        </w:rPr>
        <w:t xml:space="preserve">3.2.2 Once per calendar year, upon providing written notice to United Therapeutics no later than November 15th of such year, MannKind may increase the Prices by an amount not to exceed the lesser of [***]% or the percentage increase of the latest version of the annual index data titled </w:t>
      </w:r>
      <w:r>
        <w:rPr>
          <w:rFonts w:ascii="Arial" w:cs="Arial" w:eastAsia="Arial" w:hAnsi="Arial"/>
          <w:sz w:val="20"/>
          <w:szCs w:val="20"/>
          <w:i w:val="1"/>
          <w:iCs w:val="1"/>
          <w:color w:val="auto"/>
        </w:rPr>
        <w:t>Producer Price Index by Industry: Pharmaceutical and Medicine Manufacturing (PCU32543254)</w:t>
      </w:r>
      <w:r>
        <w:rPr>
          <w:rFonts w:ascii="Arial" w:cs="Arial" w:eastAsia="Arial" w:hAnsi="Arial"/>
          <w:sz w:val="20"/>
          <w:szCs w:val="20"/>
          <w:color w:val="auto"/>
        </w:rPr>
        <w:t>, as</w:t>
      </w:r>
      <w:r>
        <w:rPr>
          <w:rFonts w:ascii="Arial" w:cs="Arial" w:eastAsia="Arial" w:hAnsi="Arial"/>
          <w:sz w:val="20"/>
          <w:szCs w:val="20"/>
          <w:i w:val="1"/>
          <w:iCs w:val="1"/>
          <w:color w:val="auto"/>
        </w:rPr>
        <w:t xml:space="preserve"> </w:t>
      </w:r>
      <w:r>
        <w:rPr>
          <w:rFonts w:ascii="Arial" w:cs="Arial" w:eastAsia="Arial" w:hAnsi="Arial"/>
          <w:sz w:val="20"/>
          <w:szCs w:val="20"/>
          <w:color w:val="auto"/>
        </w:rPr>
        <w:t>published by the United States Department of Labor’s US Bureau of Labor Statistics (such index, the “PPI Index”), or any replacement of such index, measured using the PPI Index published for November of the prior calendar year as the baseline, and October from the current calendar year as the inflator. Any changes to Prices shall become effective as of January 1 of the immediately following calendar year.</w:t>
      </w:r>
    </w:p>
    <w:p>
      <w:pPr>
        <w:spacing w:after="0" w:line="176" w:lineRule="exact"/>
        <w:rPr>
          <w:sz w:val="20"/>
          <w:szCs w:val="20"/>
          <w:color w:val="auto"/>
        </w:rPr>
      </w:pPr>
    </w:p>
    <w:p>
      <w:pPr>
        <w:ind w:left="1600" w:right="800"/>
        <w:spacing w:after="0" w:line="232" w:lineRule="auto"/>
        <w:rPr>
          <w:sz w:val="20"/>
          <w:szCs w:val="20"/>
          <w:color w:val="auto"/>
        </w:rPr>
      </w:pPr>
      <w:r>
        <w:rPr>
          <w:rFonts w:ascii="Arial" w:cs="Arial" w:eastAsia="Arial" w:hAnsi="Arial"/>
          <w:sz w:val="20"/>
          <w:szCs w:val="20"/>
          <w:color w:val="auto"/>
        </w:rPr>
        <w:t>3.2.3 Not later than October 15 of any given year, United Therapeutics will inform MannKind in writing of its minimum binding manufacturing volume of cartridges for the next calendar year. United Therapeutics is entitled to increase the total annual volume of cartridges up to the maximum capacity of [***] annually during the annual volume forecasting process irrespective of current year volumes, and MannKind shall accept such commitments; provided, however, that United Therapeutics shall provide no less than six months written notice of any increase in annual production volume in excess of 150% of the then-current annual production volume.</w:t>
      </w:r>
    </w:p>
    <w:p>
      <w:pPr>
        <w:spacing w:after="0" w:line="172" w:lineRule="exact"/>
        <w:rPr>
          <w:sz w:val="20"/>
          <w:szCs w:val="20"/>
          <w:color w:val="auto"/>
        </w:rPr>
      </w:pPr>
    </w:p>
    <w:p>
      <w:pPr>
        <w:ind w:left="1600"/>
        <w:spacing w:after="0"/>
        <w:tabs>
          <w:tab w:leader="none" w:pos="246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9"/>
          <w:szCs w:val="19"/>
          <w:color w:val="auto"/>
        </w:rPr>
        <w:t>Minimum annual volumes starting in calendar year 2026 shall be as follows:</w:t>
      </w:r>
    </w:p>
    <w:p>
      <w:pPr>
        <w:spacing w:after="0" w:line="202" w:lineRule="exact"/>
        <w:rPr>
          <w:sz w:val="20"/>
          <w:szCs w:val="20"/>
          <w:color w:val="auto"/>
        </w:rPr>
      </w:pPr>
    </w:p>
    <w:p>
      <w:pPr>
        <w:ind w:left="2340"/>
        <w:spacing w:after="0"/>
        <w:tabs>
          <w:tab w:leader="none" w:pos="3200" w:val="left"/>
        </w:tabs>
        <w:rPr>
          <w:sz w:val="20"/>
          <w:szCs w:val="20"/>
          <w:color w:val="auto"/>
        </w:rPr>
      </w:pPr>
      <w:r>
        <w:rPr>
          <w:rFonts w:ascii="Arial" w:cs="Arial" w:eastAsia="Arial" w:hAnsi="Arial"/>
          <w:sz w:val="20"/>
          <w:szCs w:val="20"/>
          <w:color w:val="auto"/>
        </w:rPr>
        <w:t>2026:</w:t>
      </w:r>
      <w:r>
        <w:rPr>
          <w:sz w:val="20"/>
          <w:szCs w:val="20"/>
          <w:color w:val="auto"/>
        </w:rPr>
        <w:tab/>
      </w:r>
      <w:r>
        <w:rPr>
          <w:rFonts w:ascii="Arial" w:cs="Arial" w:eastAsia="Arial" w:hAnsi="Arial"/>
          <w:sz w:val="20"/>
          <w:szCs w:val="20"/>
          <w:color w:val="auto"/>
        </w:rPr>
        <w:t>[***] cartridges</w:t>
      </w:r>
    </w:p>
    <w:p>
      <w:pPr>
        <w:ind w:left="2340"/>
        <w:spacing w:after="0" w:line="229" w:lineRule="auto"/>
        <w:tabs>
          <w:tab w:leader="none" w:pos="3200" w:val="left"/>
        </w:tabs>
        <w:rPr>
          <w:sz w:val="20"/>
          <w:szCs w:val="20"/>
          <w:color w:val="auto"/>
        </w:rPr>
      </w:pPr>
      <w:r>
        <w:rPr>
          <w:rFonts w:ascii="Arial" w:cs="Arial" w:eastAsia="Arial" w:hAnsi="Arial"/>
          <w:sz w:val="20"/>
          <w:szCs w:val="20"/>
          <w:color w:val="auto"/>
        </w:rPr>
        <w:t>2027:</w:t>
      </w:r>
      <w:r>
        <w:rPr>
          <w:sz w:val="20"/>
          <w:szCs w:val="20"/>
          <w:color w:val="auto"/>
        </w:rPr>
        <w:tab/>
      </w:r>
      <w:r>
        <w:rPr>
          <w:rFonts w:ascii="Arial" w:cs="Arial" w:eastAsia="Arial" w:hAnsi="Arial"/>
          <w:sz w:val="20"/>
          <w:szCs w:val="20"/>
          <w:color w:val="auto"/>
        </w:rPr>
        <w:t>[***] cartridges</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2028 to end of Term: [***] cartridges</w:t>
      </w:r>
    </w:p>
    <w:p>
      <w:pPr>
        <w:spacing w:after="0" w:line="400" w:lineRule="exact"/>
        <w:rPr>
          <w:sz w:val="20"/>
          <w:szCs w:val="20"/>
          <w:color w:val="auto"/>
        </w:rPr>
      </w:pPr>
    </w:p>
    <w:p>
      <w:pPr>
        <w:ind w:left="1500" w:hanging="369"/>
        <w:spacing w:after="0" w:line="243" w:lineRule="auto"/>
        <w:tabs>
          <w:tab w:leader="none" w:pos="1500" w:val="left"/>
        </w:tabs>
        <w:numPr>
          <w:ilvl w:val="1"/>
          <w:numId w:val="142"/>
        </w:numPr>
        <w:rPr>
          <w:rFonts w:ascii="Calibri" w:cs="Calibri" w:eastAsia="Calibri" w:hAnsi="Calibri"/>
          <w:sz w:val="20"/>
          <w:szCs w:val="20"/>
          <w:color w:val="auto"/>
        </w:rPr>
      </w:pPr>
      <w:r>
        <w:rPr>
          <w:rFonts w:ascii="Arial" w:cs="Arial" w:eastAsia="Arial" w:hAnsi="Arial"/>
          <w:sz w:val="20"/>
          <w:szCs w:val="20"/>
          <w:color w:val="auto"/>
        </w:rPr>
        <w:t>Effective January 1, 2026, Sections 1.11, 1.12, 1.17 and 1.22 of the Agreement shall be deleted in their entirety and replaced with “[Intentionally deleted]”.</w:t>
      </w:r>
    </w:p>
    <w:p>
      <w:pPr>
        <w:spacing w:after="0" w:line="167" w:lineRule="exact"/>
        <w:rPr>
          <w:rFonts w:ascii="Calibri" w:cs="Calibri" w:eastAsia="Calibri" w:hAnsi="Calibri"/>
          <w:sz w:val="20"/>
          <w:szCs w:val="20"/>
          <w:color w:val="auto"/>
        </w:rPr>
      </w:pPr>
    </w:p>
    <w:p>
      <w:pPr>
        <w:ind w:left="1500" w:right="560" w:hanging="369"/>
        <w:spacing w:after="0" w:line="243" w:lineRule="auto"/>
        <w:tabs>
          <w:tab w:leader="none" w:pos="1500" w:val="left"/>
        </w:tabs>
        <w:numPr>
          <w:ilvl w:val="1"/>
          <w:numId w:val="142"/>
        </w:numPr>
        <w:rPr>
          <w:rFonts w:ascii="Calibri" w:cs="Calibri" w:eastAsia="Calibri" w:hAnsi="Calibri"/>
          <w:sz w:val="20"/>
          <w:szCs w:val="20"/>
          <w:color w:val="auto"/>
        </w:rPr>
      </w:pPr>
      <w:r>
        <w:rPr>
          <w:rFonts w:ascii="Arial" w:cs="Arial" w:eastAsia="Arial" w:hAnsi="Arial"/>
          <w:sz w:val="20"/>
          <w:szCs w:val="20"/>
          <w:color w:val="auto"/>
        </w:rPr>
        <w:t>Effective January 1, 2026, the occurrence of “COGs” in Sections 1.31, 2.6.7 and 4.7 shall be deleted and replaced with “the Price”.</w:t>
      </w:r>
    </w:p>
    <w:p>
      <w:pPr>
        <w:spacing w:after="0" w:line="165" w:lineRule="exact"/>
        <w:rPr>
          <w:rFonts w:ascii="Calibri" w:cs="Calibri" w:eastAsia="Calibri" w:hAnsi="Calibri"/>
          <w:sz w:val="20"/>
          <w:szCs w:val="20"/>
          <w:color w:val="auto"/>
        </w:rPr>
      </w:pPr>
    </w:p>
    <w:p>
      <w:pPr>
        <w:ind w:left="760" w:right="400" w:hanging="378"/>
        <w:spacing w:after="0" w:line="245" w:lineRule="auto"/>
        <w:tabs>
          <w:tab w:leader="none" w:pos="760" w:val="left"/>
        </w:tabs>
        <w:numPr>
          <w:ilvl w:val="0"/>
          <w:numId w:val="143"/>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All terms of the Agreement that are not specifically modified by this amendment remain in full force and</w:t>
      </w:r>
      <w:r>
        <w:rPr>
          <w:rFonts w:ascii="Arial" w:cs="Arial" w:eastAsia="Arial" w:hAnsi="Arial"/>
          <w:sz w:val="20"/>
          <w:szCs w:val="20"/>
          <w:b w:val="1"/>
          <w:bCs w:val="1"/>
          <w:color w:val="auto"/>
        </w:rPr>
        <w:t xml:space="preserve"> </w:t>
      </w:r>
      <w:r>
        <w:rPr>
          <w:rFonts w:ascii="Arial" w:cs="Arial" w:eastAsia="Arial" w:hAnsi="Arial"/>
          <w:sz w:val="20"/>
          <w:szCs w:val="20"/>
          <w:color w:val="auto"/>
        </w:rPr>
        <w:t>effect. The parties may execute this amendment in counterparts, each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2 of NUMPAGES 8</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190" w:name="page191"/>
    <w:bookmarkEnd w:id="190"/>
    <w:p>
      <w:pPr>
        <w:ind w:right="2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60" w:lineRule="exact"/>
        <w:rPr>
          <w:sz w:val="20"/>
          <w:szCs w:val="20"/>
          <w:color w:val="auto"/>
        </w:rPr>
      </w:pPr>
    </w:p>
    <w:p>
      <w:pPr>
        <w:ind w:left="760"/>
        <w:spacing w:after="0" w:line="241" w:lineRule="auto"/>
        <w:rPr>
          <w:sz w:val="20"/>
          <w:szCs w:val="20"/>
          <w:color w:val="auto"/>
        </w:rPr>
      </w:pPr>
      <w:r>
        <w:rPr>
          <w:rFonts w:ascii="Arial" w:cs="Arial" w:eastAsia="Arial" w:hAnsi="Arial"/>
          <w:sz w:val="20"/>
          <w:szCs w:val="20"/>
          <w:color w:val="auto"/>
        </w:rPr>
        <w:t>of which is deemed an original for all purposes, and which together will constitute the same instrument. The parties may execute this amendment by electronic means (electronic signature through generally recognized e-signature vendors), by scanned pdfs of wet-ink signed documents, or by return of originals.</w:t>
      </w:r>
    </w:p>
    <w:p>
      <w:pPr>
        <w:spacing w:after="0" w:line="171" w:lineRule="exact"/>
        <w:rPr>
          <w:sz w:val="20"/>
          <w:szCs w:val="20"/>
          <w:color w:val="auto"/>
        </w:rPr>
      </w:pPr>
    </w:p>
    <w:p>
      <w:pPr>
        <w:jc w:val="center"/>
        <w:ind w:right="-19"/>
        <w:spacing w:after="0"/>
        <w:tabs>
          <w:tab w:leader="none" w:pos="340" w:val="left"/>
          <w:tab w:leader="none" w:pos="340" w:val="left"/>
        </w:tabs>
        <w:rPr>
          <w:sz w:val="20"/>
          <w:szCs w:val="20"/>
          <w:color w:val="auto"/>
        </w:rPr>
      </w:pPr>
      <w:r>
        <w:rPr>
          <w:rFonts w:ascii="Arial" w:cs="Arial" w:eastAsia="Arial" w:hAnsi="Arial"/>
          <w:sz w:val="20"/>
          <w:szCs w:val="20"/>
          <w:i w:val="1"/>
          <w:iCs w:val="1"/>
          <w:color w:val="auto"/>
        </w:rPr>
        <w:t>*</w:t>
      </w:r>
      <w:r>
        <w:rPr>
          <w:sz w:val="20"/>
          <w:szCs w:val="20"/>
          <w:color w:val="auto"/>
        </w:rPr>
        <w:tab/>
      </w:r>
      <w:r>
        <w:rPr>
          <w:rFonts w:ascii="Arial" w:cs="Arial" w:eastAsia="Arial" w:hAnsi="Arial"/>
          <w:sz w:val="20"/>
          <w:szCs w:val="20"/>
          <w:i w:val="1"/>
          <w:iCs w:val="1"/>
          <w:color w:val="auto"/>
        </w:rPr>
        <w:t>*</w:t>
      </w:r>
      <w:r>
        <w:rPr>
          <w:sz w:val="20"/>
          <w:szCs w:val="20"/>
          <w:color w:val="auto"/>
        </w:rPr>
        <w:tab/>
      </w:r>
      <w:r>
        <w:rPr>
          <w:rFonts w:ascii="Arial" w:cs="Arial" w:eastAsia="Arial" w:hAnsi="Arial"/>
          <w:sz w:val="20"/>
          <w:szCs w:val="20"/>
          <w:i w:val="1"/>
          <w:iCs w:val="1"/>
          <w:color w:val="auto"/>
        </w:rPr>
        <w: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Page 3 of NUMPAGES 8</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191" w:name="page192"/>
    <w:bookmarkEnd w:id="191"/>
    <w:p>
      <w:pPr>
        <w:ind w:right="40"/>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60"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IN WITNESS WHEREOF, the parties have caused this amendment to be signed by their duly authorized representatives as of the date indicated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40" w:type="dxa"/>
            <w:vAlign w:val="bottom"/>
          </w:tcPr>
          <w:p>
            <w:pPr>
              <w:ind w:left="100"/>
              <w:spacing w:after="0"/>
              <w:rPr>
                <w:sz w:val="20"/>
                <w:szCs w:val="20"/>
                <w:color w:val="auto"/>
              </w:rPr>
            </w:pPr>
            <w:r>
              <w:rPr>
                <w:rFonts w:ascii="Arial" w:cs="Arial" w:eastAsia="Arial" w:hAnsi="Arial"/>
                <w:sz w:val="20"/>
                <w:szCs w:val="20"/>
                <w:b w:val="1"/>
                <w:bCs w:val="1"/>
                <w:color w:val="auto"/>
              </w:rPr>
              <w:t>UNITED THERAPEUTICS CORPORATION</w:t>
            </w:r>
          </w:p>
        </w:tc>
        <w:tc>
          <w:tcPr>
            <w:tcW w:w="7000" w:type="dxa"/>
            <w:vAlign w:val="bottom"/>
          </w:tcPr>
          <w:p>
            <w:pPr>
              <w:ind w:left="1480"/>
              <w:spacing w:after="0"/>
              <w:rPr>
                <w:sz w:val="20"/>
                <w:szCs w:val="20"/>
                <w:color w:val="auto"/>
              </w:rPr>
            </w:pPr>
            <w:r>
              <w:rPr>
                <w:rFonts w:ascii="Arial" w:cs="Arial" w:eastAsia="Arial" w:hAnsi="Arial"/>
                <w:sz w:val="20"/>
                <w:szCs w:val="20"/>
                <w:b w:val="1"/>
                <w:bCs w:val="1"/>
                <w:color w:val="auto"/>
              </w:rPr>
              <w:t>MANNKIND CORPORATION</w:t>
            </w:r>
          </w:p>
        </w:tc>
      </w:tr>
      <w:tr>
        <w:trPr>
          <w:trHeight w:val="809"/>
        </w:trPr>
        <w:tc>
          <w:tcPr>
            <w:tcW w:w="4240" w:type="dxa"/>
            <w:vAlign w:val="bottom"/>
          </w:tcPr>
          <w:p>
            <w:pPr>
              <w:ind w:left="100"/>
              <w:spacing w:after="0"/>
              <w:rPr>
                <w:sz w:val="20"/>
                <w:szCs w:val="20"/>
                <w:color w:val="auto"/>
              </w:rPr>
            </w:pPr>
            <w:r>
              <w:rPr>
                <w:rFonts w:ascii="Arial" w:cs="Arial" w:eastAsia="Arial" w:hAnsi="Arial"/>
                <w:sz w:val="20"/>
                <w:szCs w:val="20"/>
                <w:color w:val="auto"/>
              </w:rPr>
              <w:t>By: /s/ Patrick Poisson</w:t>
            </w:r>
          </w:p>
        </w:tc>
        <w:tc>
          <w:tcPr>
            <w:tcW w:w="7000" w:type="dxa"/>
            <w:vAlign w:val="bottom"/>
          </w:tcPr>
          <w:p>
            <w:pPr>
              <w:ind w:left="1480"/>
              <w:spacing w:after="0"/>
              <w:rPr>
                <w:sz w:val="20"/>
                <w:szCs w:val="20"/>
                <w:color w:val="auto"/>
              </w:rPr>
            </w:pPr>
            <w:r>
              <w:rPr>
                <w:rFonts w:ascii="Arial" w:cs="Arial" w:eastAsia="Arial" w:hAnsi="Arial"/>
                <w:sz w:val="20"/>
                <w:szCs w:val="20"/>
                <w:color w:val="auto"/>
              </w:rPr>
              <w:t>By: /s/ Sanjay Singh</w:t>
            </w: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20"/>
                <w:szCs w:val="20"/>
                <w:color w:val="auto"/>
              </w:rPr>
              <w:t>Name: Patrick Poisson</w:t>
            </w:r>
          </w:p>
        </w:tc>
        <w:tc>
          <w:tcPr>
            <w:tcW w:w="7000" w:type="dxa"/>
            <w:vAlign w:val="bottom"/>
          </w:tcPr>
          <w:p>
            <w:pPr>
              <w:ind w:left="1480"/>
              <w:spacing w:after="0" w:line="216" w:lineRule="exact"/>
              <w:rPr>
                <w:sz w:val="20"/>
                <w:szCs w:val="20"/>
                <w:color w:val="auto"/>
              </w:rPr>
            </w:pPr>
            <w:r>
              <w:rPr>
                <w:rFonts w:ascii="Arial" w:cs="Arial" w:eastAsia="Arial" w:hAnsi="Arial"/>
                <w:sz w:val="20"/>
                <w:szCs w:val="20"/>
                <w:color w:val="auto"/>
              </w:rPr>
              <w:t>Name: Sanjay Singh</w:t>
            </w: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20"/>
                <w:szCs w:val="20"/>
                <w:color w:val="auto"/>
              </w:rPr>
              <w:t>Title:   EVP, Strategic Development</w:t>
            </w:r>
          </w:p>
        </w:tc>
        <w:tc>
          <w:tcPr>
            <w:tcW w:w="7000" w:type="dxa"/>
            <w:vAlign w:val="bottom"/>
          </w:tcPr>
          <w:p>
            <w:pPr>
              <w:ind w:left="1480"/>
              <w:spacing w:after="0" w:line="216" w:lineRule="exact"/>
              <w:rPr>
                <w:sz w:val="20"/>
                <w:szCs w:val="20"/>
                <w:color w:val="auto"/>
              </w:rPr>
            </w:pPr>
            <w:r>
              <w:rPr>
                <w:rFonts w:ascii="Arial" w:cs="Arial" w:eastAsia="Arial" w:hAnsi="Arial"/>
                <w:sz w:val="20"/>
                <w:szCs w:val="20"/>
                <w:color w:val="auto"/>
              </w:rPr>
              <w:t>Title:  EVP, Technical Operations</w:t>
            </w:r>
          </w:p>
        </w:tc>
      </w:tr>
      <w:tr>
        <w:trPr>
          <w:trHeight w:val="261"/>
        </w:trPr>
        <w:tc>
          <w:tcPr>
            <w:tcW w:w="4240" w:type="dxa"/>
            <w:vAlign w:val="bottom"/>
          </w:tcPr>
          <w:p>
            <w:pPr>
              <w:ind w:left="100"/>
              <w:spacing w:after="0"/>
              <w:rPr>
                <w:sz w:val="20"/>
                <w:szCs w:val="20"/>
                <w:color w:val="auto"/>
              </w:rPr>
            </w:pPr>
            <w:r>
              <w:rPr>
                <w:rFonts w:ascii="Arial" w:cs="Arial" w:eastAsia="Arial" w:hAnsi="Arial"/>
                <w:sz w:val="20"/>
                <w:szCs w:val="20"/>
                <w:color w:val="auto"/>
              </w:rPr>
              <w:t>Date: January 7, 2026</w:t>
            </w:r>
          </w:p>
        </w:tc>
        <w:tc>
          <w:tcPr>
            <w:tcW w:w="7000" w:type="dxa"/>
            <w:vAlign w:val="bottom"/>
          </w:tcPr>
          <w:p>
            <w:pPr>
              <w:ind w:left="1480"/>
              <w:spacing w:after="0"/>
              <w:rPr>
                <w:sz w:val="20"/>
                <w:szCs w:val="20"/>
                <w:color w:val="auto"/>
              </w:rPr>
            </w:pPr>
            <w:r>
              <w:rPr>
                <w:rFonts w:ascii="Arial" w:cs="Arial" w:eastAsia="Arial" w:hAnsi="Arial"/>
                <w:sz w:val="20"/>
                <w:szCs w:val="20"/>
                <w:color w:val="auto"/>
              </w:rPr>
              <w:t>Date: January 7, 2026</w:t>
            </w:r>
          </w:p>
        </w:tc>
      </w:tr>
      <w:tr>
        <w:trPr>
          <w:trHeight w:val="1035"/>
        </w:trPr>
        <w:tc>
          <w:tcPr>
            <w:tcW w:w="4240" w:type="dxa"/>
            <w:vAlign w:val="bottom"/>
          </w:tcPr>
          <w:p>
            <w:pPr>
              <w:spacing w:after="0"/>
              <w:rPr>
                <w:sz w:val="24"/>
                <w:szCs w:val="24"/>
                <w:color w:val="auto"/>
              </w:rPr>
            </w:pPr>
          </w:p>
        </w:tc>
        <w:tc>
          <w:tcPr>
            <w:tcW w:w="7000" w:type="dxa"/>
            <w:vAlign w:val="bottom"/>
          </w:tcPr>
          <w:p>
            <w:pPr>
              <w:ind w:left="260"/>
              <w:spacing w:after="0"/>
              <w:rPr>
                <w:sz w:val="20"/>
                <w:szCs w:val="20"/>
                <w:color w:val="auto"/>
              </w:rPr>
            </w:pPr>
            <w:r>
              <w:rPr>
                <w:rFonts w:ascii="Arial" w:cs="Arial" w:eastAsia="Arial" w:hAnsi="Arial"/>
                <w:sz w:val="20"/>
                <w:szCs w:val="20"/>
                <w:color w:val="auto"/>
              </w:rPr>
              <w:t>Page 4 of NUMPAGES 8</w:t>
            </w:r>
          </w:p>
        </w:tc>
      </w:tr>
      <w:tr>
        <w:trPr>
          <w:trHeight w:val="261"/>
        </w:trPr>
        <w:tc>
          <w:tcPr>
            <w:tcW w:w="4240" w:type="dxa"/>
            <w:vAlign w:val="bottom"/>
          </w:tcPr>
          <w:p>
            <w:pPr>
              <w:spacing w:after="0"/>
              <w:rPr>
                <w:sz w:val="22"/>
                <w:szCs w:val="22"/>
                <w:color w:val="auto"/>
              </w:rPr>
            </w:pPr>
          </w:p>
        </w:tc>
        <w:tc>
          <w:tcPr>
            <w:tcW w:w="7000" w:type="dxa"/>
            <w:vAlign w:val="bottom"/>
          </w:tcPr>
          <w:p>
            <w:pPr>
              <w:ind w:left="860"/>
              <w:spacing w:after="0"/>
              <w:rPr>
                <w:sz w:val="20"/>
                <w:szCs w:val="20"/>
                <w:color w:val="auto"/>
              </w:rPr>
            </w:pPr>
            <w:r>
              <w:rPr>
                <w:rFonts w:ascii="Arial" w:cs="Arial" w:eastAsia="Arial" w:hAnsi="Arial"/>
                <w:sz w:val="20"/>
                <w:szCs w:val="20"/>
                <w:color w:val="auto"/>
              </w:rPr>
              <w:t>Confidential</w:t>
            </w:r>
          </w:p>
        </w:tc>
      </w:tr>
      <w:tr>
        <w:trPr>
          <w:trHeight w:val="739"/>
        </w:trPr>
        <w:tc>
          <w:tcPr>
            <w:tcW w:w="424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92" w:name="page193"/>
    <w:bookmarkEnd w:id="192"/>
    <w:p>
      <w:pPr>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APPENDIX A</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PRODUCT AND SEMI-FINISHED PRODUCT DESCRIPTIONS AND SPECIFICATIONS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Page 5 of NUMPAGES 8</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193" w:name="page194"/>
    <w:bookmarkEnd w:id="193"/>
    <w:p>
      <w:pPr>
        <w:spacing w:after="0" w:line="296"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3"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APPENDIX B</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PRICE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Page 6 of NUMPAGES 8</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color w:val="auto"/>
        </w:rPr>
        <w:t>Exhibit 21.1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MANNKIND CORPORATION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60" w:type="dxa"/>
            <w:vAlign w:val="bottom"/>
          </w:tcPr>
          <w:p>
            <w:pPr>
              <w:jc w:val="center"/>
              <w:spacing w:after="0"/>
              <w:rPr>
                <w:sz w:val="20"/>
                <w:szCs w:val="20"/>
                <w:color w:val="auto"/>
              </w:rPr>
            </w:pPr>
            <w:r>
              <w:rPr>
                <w:rFonts w:ascii="Arial" w:cs="Arial" w:eastAsia="Arial" w:hAnsi="Arial"/>
                <w:sz w:val="22"/>
                <w:szCs w:val="22"/>
                <w:b w:val="1"/>
                <w:bCs w:val="1"/>
                <w:color w:val="auto"/>
                <w:w w:val="97"/>
              </w:rPr>
              <w:t>Subsidiary</w:t>
            </w:r>
          </w:p>
        </w:tc>
        <w:tc>
          <w:tcPr>
            <w:tcW w:w="5580" w:type="dxa"/>
            <w:vAlign w:val="bottom"/>
          </w:tcPr>
          <w:p>
            <w:pPr>
              <w:jc w:val="center"/>
              <w:spacing w:after="0"/>
              <w:rPr>
                <w:sz w:val="20"/>
                <w:szCs w:val="20"/>
                <w:color w:val="auto"/>
              </w:rPr>
            </w:pPr>
            <w:r>
              <w:rPr>
                <w:rFonts w:ascii="Arial" w:cs="Arial" w:eastAsia="Arial" w:hAnsi="Arial"/>
                <w:sz w:val="22"/>
                <w:szCs w:val="22"/>
                <w:b w:val="1"/>
                <w:bCs w:val="1"/>
                <w:color w:val="auto"/>
                <w:w w:val="98"/>
              </w:rPr>
              <w:t>Jurisdiction of Incorporation</w:t>
            </w:r>
          </w:p>
        </w:tc>
      </w:tr>
      <w:tr>
        <w:trPr>
          <w:trHeight w:val="243"/>
        </w:trPr>
        <w:tc>
          <w:tcPr>
            <w:tcW w:w="5660" w:type="dxa"/>
            <w:vAlign w:val="bottom"/>
          </w:tcPr>
          <w:p>
            <w:pPr>
              <w:jc w:val="center"/>
              <w:spacing w:after="0" w:line="243" w:lineRule="exact"/>
              <w:rPr>
                <w:sz w:val="20"/>
                <w:szCs w:val="20"/>
                <w:color w:val="auto"/>
              </w:rPr>
            </w:pPr>
            <w:r>
              <w:rPr>
                <w:rFonts w:ascii="Arial" w:cs="Arial" w:eastAsia="Arial" w:hAnsi="Arial"/>
                <w:sz w:val="22"/>
                <w:szCs w:val="22"/>
                <w:color w:val="auto"/>
                <w:w w:val="98"/>
              </w:rPr>
              <w:t>scPharmaceuticals Inc.</w:t>
            </w:r>
          </w:p>
        </w:tc>
        <w:tc>
          <w:tcPr>
            <w:tcW w:w="5580" w:type="dxa"/>
            <w:vAlign w:val="bottom"/>
          </w:tcPr>
          <w:p>
            <w:pPr>
              <w:jc w:val="center"/>
              <w:spacing w:after="0" w:line="243" w:lineRule="exact"/>
              <w:rPr>
                <w:sz w:val="20"/>
                <w:szCs w:val="20"/>
                <w:color w:val="auto"/>
              </w:rPr>
            </w:pPr>
            <w:r>
              <w:rPr>
                <w:rFonts w:ascii="Arial" w:cs="Arial" w:eastAsia="Arial" w:hAnsi="Arial"/>
                <w:sz w:val="22"/>
                <w:szCs w:val="22"/>
                <w:color w:val="auto"/>
                <w:w w:val="96"/>
              </w:rPr>
              <w:t>Delaware</w:t>
            </w:r>
          </w:p>
        </w:tc>
      </w:tr>
      <w:tr>
        <w:trPr>
          <w:trHeight w:val="243"/>
        </w:trPr>
        <w:tc>
          <w:tcPr>
            <w:tcW w:w="5660" w:type="dxa"/>
            <w:vAlign w:val="bottom"/>
          </w:tcPr>
          <w:p>
            <w:pPr>
              <w:jc w:val="center"/>
              <w:spacing w:after="0" w:line="243" w:lineRule="exact"/>
              <w:rPr>
                <w:sz w:val="20"/>
                <w:szCs w:val="20"/>
                <w:color w:val="auto"/>
              </w:rPr>
            </w:pPr>
            <w:r>
              <w:rPr>
                <w:rFonts w:ascii="Arial" w:cs="Arial" w:eastAsia="Arial" w:hAnsi="Arial"/>
                <w:sz w:val="22"/>
                <w:szCs w:val="22"/>
                <w:color w:val="auto"/>
                <w:w w:val="97"/>
              </w:rPr>
              <w:t>QrumPharma, Inc.</w:t>
            </w:r>
          </w:p>
        </w:tc>
        <w:tc>
          <w:tcPr>
            <w:tcW w:w="5580" w:type="dxa"/>
            <w:vAlign w:val="bottom"/>
          </w:tcPr>
          <w:p>
            <w:pPr>
              <w:jc w:val="center"/>
              <w:spacing w:after="0" w:line="243" w:lineRule="exact"/>
              <w:rPr>
                <w:sz w:val="20"/>
                <w:szCs w:val="20"/>
                <w:color w:val="auto"/>
              </w:rPr>
            </w:pPr>
            <w:r>
              <w:rPr>
                <w:rFonts w:ascii="Arial" w:cs="Arial" w:eastAsia="Arial" w:hAnsi="Arial"/>
                <w:sz w:val="22"/>
                <w:szCs w:val="22"/>
                <w:color w:val="auto"/>
                <w:w w:val="96"/>
              </w:rPr>
              <w:t>Delaware</w:t>
            </w:r>
          </w:p>
        </w:tc>
      </w:tr>
      <w:tr>
        <w:trPr>
          <w:trHeight w:val="243"/>
        </w:trPr>
        <w:tc>
          <w:tcPr>
            <w:tcW w:w="5660" w:type="dxa"/>
            <w:vAlign w:val="bottom"/>
          </w:tcPr>
          <w:p>
            <w:pPr>
              <w:jc w:val="center"/>
              <w:spacing w:after="0" w:line="243" w:lineRule="exact"/>
              <w:rPr>
                <w:sz w:val="20"/>
                <w:szCs w:val="20"/>
                <w:color w:val="auto"/>
              </w:rPr>
            </w:pPr>
            <w:r>
              <w:rPr>
                <w:rFonts w:ascii="Arial" w:cs="Arial" w:eastAsia="Arial" w:hAnsi="Arial"/>
                <w:sz w:val="22"/>
                <w:szCs w:val="22"/>
                <w:color w:val="auto"/>
                <w:w w:val="98"/>
              </w:rPr>
              <w:t>MannKind LLC</w:t>
            </w:r>
          </w:p>
        </w:tc>
        <w:tc>
          <w:tcPr>
            <w:tcW w:w="5580" w:type="dxa"/>
            <w:vAlign w:val="bottom"/>
          </w:tcPr>
          <w:p>
            <w:pPr>
              <w:jc w:val="center"/>
              <w:spacing w:after="0" w:line="243" w:lineRule="exact"/>
              <w:rPr>
                <w:sz w:val="20"/>
                <w:szCs w:val="20"/>
                <w:color w:val="auto"/>
              </w:rPr>
            </w:pPr>
            <w:r>
              <w:rPr>
                <w:rFonts w:ascii="Arial" w:cs="Arial" w:eastAsia="Arial" w:hAnsi="Arial"/>
                <w:sz w:val="22"/>
                <w:szCs w:val="22"/>
                <w:color w:val="auto"/>
                <w:w w:val="96"/>
              </w:rPr>
              <w:t>Delaware</w:t>
            </w:r>
          </w:p>
        </w:tc>
      </w:tr>
      <w:tr>
        <w:trPr>
          <w:trHeight w:val="283"/>
        </w:trPr>
        <w:tc>
          <w:tcPr>
            <w:tcW w:w="5660" w:type="dxa"/>
            <w:vAlign w:val="bottom"/>
          </w:tcPr>
          <w:p>
            <w:pPr>
              <w:jc w:val="center"/>
              <w:spacing w:after="0"/>
              <w:rPr>
                <w:sz w:val="20"/>
                <w:szCs w:val="20"/>
                <w:color w:val="auto"/>
              </w:rPr>
            </w:pPr>
            <w:r>
              <w:rPr>
                <w:rFonts w:ascii="Arial" w:cs="Arial" w:eastAsia="Arial" w:hAnsi="Arial"/>
                <w:sz w:val="22"/>
                <w:szCs w:val="22"/>
                <w:color w:val="auto"/>
                <w:w w:val="98"/>
              </w:rPr>
              <w:t>Technosphere International, Inc.</w:t>
            </w:r>
          </w:p>
        </w:tc>
        <w:tc>
          <w:tcPr>
            <w:tcW w:w="5580" w:type="dxa"/>
            <w:vAlign w:val="bottom"/>
          </w:tcPr>
          <w:p>
            <w:pPr>
              <w:jc w:val="center"/>
              <w:spacing w:after="0"/>
              <w:rPr>
                <w:sz w:val="20"/>
                <w:szCs w:val="20"/>
                <w:color w:val="auto"/>
              </w:rPr>
            </w:pPr>
            <w:r>
              <w:rPr>
                <w:rFonts w:ascii="Arial" w:cs="Arial" w:eastAsia="Arial" w:hAnsi="Arial"/>
                <w:sz w:val="22"/>
                <w:szCs w:val="22"/>
                <w:color w:val="auto"/>
                <w:w w:val="96"/>
              </w:rPr>
              <w:t>Delaware</w:t>
            </w:r>
          </w:p>
        </w:tc>
      </w:tr>
      <w:tr>
        <w:trPr>
          <w:trHeight w:val="2544"/>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b w:val="1"/>
          <w:bCs w:val="1"/>
          <w:color w:val="auto"/>
        </w:rPr>
        <w:t>Exhibit 23.1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consent to the incorporation by reference in Registration Statement Nos. 333-182457, 333-188790, 333-213366, 333-225428, 333-226648, 333-242367, and 333-274176 on Form S-8, and Registration Statement No. 333-285286 on Form S-3 of our reports dated February 26, 2026, relating to the financial statements of MannKind Corporation and subsidiaries (“MannKind Corporation”) and the effectiveness of MannKind Corporation’s internal control over financial reporting appearing in this Annual Report on Form 10-K of MannKind Corporation for the year ended December 31, 2025.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1247775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MannKind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40" w:firstLine="8"/>
        <w:spacing w:after="0" w:line="266" w:lineRule="auto"/>
        <w:tabs>
          <w:tab w:leader="none" w:pos="2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300" w:firstLine="8"/>
        <w:spacing w:after="0" w:line="266" w:lineRule="auto"/>
        <w:tabs>
          <w:tab w:leader="none" w:pos="2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40" w:firstLine="8"/>
        <w:spacing w:after="0" w:line="282" w:lineRule="auto"/>
        <w:tabs>
          <w:tab w:leader="none" w:pos="2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Prentiss, certify that:</w:t>
      </w:r>
    </w:p>
    <w:p>
      <w:pPr>
        <w:spacing w:after="0" w:line="225" w:lineRule="exact"/>
        <w:rPr>
          <w:sz w:val="20"/>
          <w:szCs w:val="20"/>
          <w:color w:val="auto"/>
        </w:rPr>
      </w:pPr>
    </w:p>
    <w:p>
      <w:pPr>
        <w:ind w:left="180" w:hanging="172"/>
        <w:spacing w:after="0"/>
        <w:tabs>
          <w:tab w:leader="none" w:pos="1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MannKind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140" w:firstLine="8"/>
        <w:spacing w:after="0" w:line="266" w:lineRule="auto"/>
        <w:tabs>
          <w:tab w:leader="none" w:pos="24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300" w:firstLine="8"/>
        <w:spacing w:after="0" w:line="266" w:lineRule="auto"/>
        <w:tabs>
          <w:tab w:leader="none" w:pos="2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40" w:firstLine="8"/>
        <w:spacing w:after="0" w:line="282" w:lineRule="auto"/>
        <w:tabs>
          <w:tab w:leader="none" w:pos="24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68" w:lineRule="exact"/>
        <w:rPr>
          <w:sz w:val="20"/>
          <w:szCs w:val="20"/>
          <w:color w:val="auto"/>
        </w:rPr>
      </w:pPr>
    </w:p>
    <w:p>
      <w:pPr>
        <w:ind w:left="520" w:right="140" w:hanging="512"/>
        <w:spacing w:after="0" w:line="282" w:lineRule="auto"/>
        <w:tabs>
          <w:tab w:leader="none" w:pos="5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32.1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26th day of February,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90309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520" w:right="180" w:hanging="512"/>
        <w:spacing w:after="0" w:line="236" w:lineRule="auto"/>
        <w:tabs>
          <w:tab w:leader="none" w:pos="52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w:t>
      </w:r>
    </w:p>
    <w:p>
      <w:pPr>
        <w:spacing w:after="0" w:line="68" w:lineRule="exact"/>
        <w:rPr>
          <w:sz w:val="20"/>
          <w:szCs w:val="20"/>
          <w:color w:val="auto"/>
        </w:rPr>
      </w:pPr>
    </w:p>
    <w:p>
      <w:pPr>
        <w:ind w:left="520" w:right="140" w:hanging="512"/>
        <w:spacing w:after="0" w:line="282" w:lineRule="auto"/>
        <w:tabs>
          <w:tab w:leader="none" w:pos="5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32.2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26th day of February,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90309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520" w:right="180" w:hanging="512"/>
        <w:spacing w:after="0" w:line="236" w:lineRule="auto"/>
        <w:tabs>
          <w:tab w:leader="none" w:pos="520" w:val="left"/>
        </w:tabs>
        <w:numPr>
          <w:ilvl w:val="0"/>
          <w:numId w:val="1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1)"/>
      <w:numFmt w:val="decimal"/>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1)"/>
      <w:numFmt w:val="decimal"/>
      <w:start w:val="1"/>
    </w:lvl>
  </w:abstractNum>
  <w:abstractNum w:abstractNumId="33">
    <w:nsid w:val="26F324BA"/>
    <w:multiLevelType w:val="hybridMultilevel"/>
    <w:lvl w:ilvl="0">
      <w:lvlJc w:val="left"/>
      <w:lvlText w:val="(%1)"/>
      <w:numFmt w:val="decimal"/>
      <w:start w:val="1"/>
    </w:lvl>
  </w:abstractNum>
  <w:abstractNum w:abstractNumId="34">
    <w:nsid w:val="7F01579B"/>
    <w:multiLevelType w:val="hybridMultilevel"/>
    <w:lvl w:ilvl="0">
      <w:lvlJc w:val="left"/>
      <w:lvlText w:val="(%1)"/>
      <w:numFmt w:val="decimal"/>
      <w:start w:val="1"/>
    </w:lvl>
  </w:abstractNum>
  <w:abstractNum w:abstractNumId="35">
    <w:nsid w:val="49DA307D"/>
    <w:multiLevelType w:val="hybridMultilevel"/>
    <w:lvl w:ilvl="0">
      <w:lvlJc w:val="left"/>
      <w:lvlText w:val="(%1)"/>
      <w:numFmt w:val="lowerLetter"/>
      <w:start w:val="1"/>
    </w:lvl>
  </w:abstractNum>
  <w:abstractNum w:abstractNumId="36">
    <w:nsid w:val="7055A5F5"/>
    <w:multiLevelType w:val="hybridMultilevel"/>
    <w:lvl w:ilvl="0">
      <w:lvlJc w:val="left"/>
      <w:lvlText w:val="(%1)"/>
      <w:numFmt w:val="lowerLetter"/>
      <w:start w:val="1"/>
    </w:lvl>
  </w:abstractNum>
  <w:abstractNum w:abstractNumId="37">
    <w:nsid w:val="5FB8370B"/>
    <w:multiLevelType w:val="hybridMultilevel"/>
    <w:lvl w:ilvl="0">
      <w:lvlJc w:val="left"/>
      <w:lvlText w:val="%1"/>
      <w:numFmt w:val="lowerLetter"/>
      <w:start w:val="1"/>
    </w:lvl>
    <w:lvl w:ilvl="1">
      <w:lvlJc w:val="left"/>
      <w:lvlText w:val="(%2)"/>
      <w:numFmt w:val="decimal"/>
      <w:start w:val="3"/>
    </w:lvl>
  </w:abstractNum>
  <w:abstractNum w:abstractNumId="38">
    <w:nsid w:val="50801EE1"/>
    <w:multiLevelType w:val="hybridMultilevel"/>
    <w:lvl w:ilvl="0">
      <w:lvlJc w:val="left"/>
      <w:lvlText w:val="(%1)"/>
      <w:numFmt w:val="lowerLetter"/>
      <w:start w:val="2"/>
    </w:lvl>
    <w:lvl w:ilvl="1">
      <w:lvlJc w:val="left"/>
      <w:lvlText w:val="%2"/>
      <w:numFmt w:val="decimal"/>
      <w:start w:val="1"/>
    </w:lvl>
  </w:abstractNum>
  <w:abstractNum w:abstractNumId="39">
    <w:nsid w:val="488AC1A"/>
    <w:multiLevelType w:val="hybridMultilevel"/>
    <w:lvl w:ilvl="0">
      <w:lvlJc w:val="left"/>
      <w:lvlText w:val="%1"/>
      <w:numFmt w:val="decimal"/>
      <w:start w:val="97"/>
    </w:lvl>
  </w:abstractNum>
  <w:abstractNum w:abstractNumId="40">
    <w:nsid w:val="5FB8011C"/>
    <w:multiLevelType w:val="hybridMultilevel"/>
    <w:lvl w:ilvl="0">
      <w:lvlJc w:val="left"/>
      <w:lvlText w:val="%1"/>
      <w:numFmt w:val="decimal"/>
      <w:start w:val="101"/>
    </w:lvl>
  </w:abstractNum>
  <w:abstractNum w:abstractNumId="41">
    <w:nsid w:val="6AA78F7F"/>
    <w:multiLevelType w:val="hybridMultilevel"/>
    <w:lvl w:ilvl="0">
      <w:lvlJc w:val="left"/>
      <w:lvlText w:val="%1"/>
      <w:numFmt w:val="decimal"/>
      <w:start w:val="104"/>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1"/>
      <w:numFmt w:val="decimal"/>
      <w:start w:val="1"/>
    </w:lvl>
    <w:lvl w:ilvl="1">
      <w:lvlJc w:val="left"/>
      <w:lvlText w:val="(%2)"/>
      <w:numFmt w:val="decimal"/>
      <w:start w:val="1"/>
    </w:lvl>
  </w:abstractNum>
  <w:abstractNum w:abstractNumId="46">
    <w:nsid w:val="5F3534A4"/>
    <w:multiLevelType w:val="hybridMultilevel"/>
    <w:lvl w:ilvl="0">
      <w:lvlJc w:val="left"/>
      <w:lvlText w:val="%1."/>
      <w:numFmt w:val="decimal"/>
      <w:start w:val="2"/>
    </w:lvl>
    <w:lvl w:ilvl="1">
      <w:lvlJc w:val="left"/>
      <w:lvlText w:val="%2"/>
      <w:numFmt w:val="decimal"/>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1)"/>
      <w:numFmt w:val="decimal"/>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1."/>
      <w:numFmt w:val="decimal"/>
      <w:start w:val="1"/>
    </w:lvl>
  </w:abstractNum>
  <w:abstractNum w:abstractNumId="51">
    <w:nsid w:val="14FCE74E"/>
    <w:multiLevelType w:val="hybridMultilevel"/>
    <w:lvl w:ilvl="0">
      <w:lvlJc w:val="left"/>
      <w:lvlText w:val="(%1)"/>
      <w:numFmt w:val="decimal"/>
      <w:start w:val="1"/>
    </w:lvl>
  </w:abstractNum>
  <w:abstractNum w:abstractNumId="52">
    <w:nsid w:val="6A3DD3E8"/>
    <w:multiLevelType w:val="hybridMultilevel"/>
    <w:lvl w:ilvl="0">
      <w:lvlJc w:val="left"/>
      <w:lvlText w:val="(%1)"/>
      <w:numFmt w:val="decimal"/>
      <w:start w:val="1"/>
    </w:lvl>
  </w:abstractNum>
  <w:abstractNum w:abstractNumId="53">
    <w:nsid w:val="71C91298"/>
    <w:multiLevelType w:val="hybridMultilevel"/>
    <w:lvl w:ilvl="0">
      <w:lvlJc w:val="left"/>
      <w:lvlText w:val="(%1)"/>
      <w:numFmt w:val="decimal"/>
      <w:start w:val="1"/>
    </w:lvl>
  </w:abstractNum>
  <w:abstractNum w:abstractNumId="54">
    <w:nsid w:val="9DAF632"/>
    <w:multiLevelType w:val="hybridMultilevel"/>
    <w:lvl w:ilvl="0">
      <w:lvlJc w:val="left"/>
      <w:lvlText w:val="(%1)"/>
      <w:numFmt w:val="decimal"/>
      <w:start w:val="1"/>
    </w:lvl>
  </w:abstractNum>
  <w:abstractNum w:abstractNumId="55">
    <w:nsid w:val="53299938"/>
    <w:multiLevelType w:val="hybridMultilevel"/>
    <w:lvl w:ilvl="0">
      <w:lvlJc w:val="left"/>
      <w:lvlText w:val="(%1)"/>
      <w:numFmt w:val="decimal"/>
      <w:start w:val="1"/>
    </w:lvl>
  </w:abstractNum>
  <w:abstractNum w:abstractNumId="56">
    <w:nsid w:val="1FBFE8E0"/>
    <w:multiLevelType w:val="hybridMultilevel"/>
    <w:lvl w:ilvl="0">
      <w:lvlJc w:val="left"/>
      <w:lvlText w:val="(%1)"/>
      <w:numFmt w:val="decimal"/>
      <w:start w:val="2"/>
    </w:lvl>
  </w:abstractNum>
  <w:abstractNum w:abstractNumId="57">
    <w:nsid w:val="5092CA79"/>
    <w:multiLevelType w:val="hybridMultilevel"/>
    <w:lvl w:ilvl="0">
      <w:lvlJc w:val="left"/>
      <w:lvlText w:val="(%1)"/>
      <w:numFmt w:val="decimal"/>
      <w:start w:val="1"/>
    </w:lvl>
  </w:abstractNum>
  <w:abstractNum w:abstractNumId="58">
    <w:nsid w:val="1D545C4D"/>
    <w:multiLevelType w:val="hybridMultilevel"/>
    <w:lvl w:ilvl="0">
      <w:lvlJc w:val="left"/>
      <w:lvlText w:val="(%1)"/>
      <w:numFmt w:val="lowerRoman"/>
      <w:start w:val="1"/>
    </w:lvl>
  </w:abstractNum>
  <w:abstractNum w:abstractNumId="59">
    <w:nsid w:val="59ADEA3D"/>
    <w:multiLevelType w:val="hybridMultilevel"/>
    <w:lvl w:ilvl="0">
      <w:lvlJc w:val="left"/>
      <w:lvlText w:val="(%1)"/>
      <w:numFmt w:val="decimal"/>
      <w:start w:val="1"/>
    </w:lvl>
  </w:abstractNum>
  <w:abstractNum w:abstractNumId="60">
    <w:nsid w:val="288F1A34"/>
    <w:multiLevelType w:val="hybridMultilevel"/>
    <w:lvl w:ilvl="0">
      <w:lvlJc w:val="left"/>
      <w:lvlText w:val="(%1)"/>
      <w:numFmt w:val="decimal"/>
      <w:start w:val="1"/>
    </w:lvl>
  </w:abstractNum>
  <w:abstractNum w:abstractNumId="61">
    <w:nsid w:val="2A155DBC"/>
    <w:multiLevelType w:val="hybridMultilevel"/>
    <w:lvl w:ilvl="0">
      <w:lvlJc w:val="left"/>
      <w:lvlText w:val="(%1)"/>
      <w:numFmt w:val="decimal"/>
      <w:start w:val="1"/>
    </w:lvl>
  </w:abstractNum>
  <w:abstractNum w:abstractNumId="62">
    <w:nsid w:val="1D9F6E5F"/>
    <w:multiLevelType w:val="hybridMultilevel"/>
    <w:lvl w:ilvl="0">
      <w:lvlJc w:val="left"/>
      <w:lvlText w:val="(%1)"/>
      <w:numFmt w:val="decimal"/>
      <w:start w:val="1"/>
    </w:lvl>
  </w:abstractNum>
  <w:abstractNum w:abstractNumId="63">
    <w:nsid w:val="97E1B4E"/>
    <w:multiLevelType w:val="hybridMultilevel"/>
    <w:lvl w:ilvl="0">
      <w:lvlJc w:val="left"/>
      <w:lvlText w:val="(%1)"/>
      <w:numFmt w:val="decimal"/>
      <w:start w:val="1"/>
    </w:lvl>
  </w:abstractNum>
  <w:abstractNum w:abstractNumId="64">
    <w:nsid w:val="51088277"/>
    <w:multiLevelType w:val="hybridMultilevel"/>
    <w:lvl w:ilvl="0">
      <w:lvlJc w:val="left"/>
      <w:lvlText w:val="(%1)"/>
      <w:numFmt w:val="decimal"/>
      <w:start w:val="1"/>
    </w:lvl>
  </w:abstractNum>
  <w:abstractNum w:abstractNumId="65">
    <w:nsid w:val="1CA0C5FA"/>
    <w:multiLevelType w:val="hybridMultilevel"/>
    <w:lvl w:ilvl="0">
      <w:lvlJc w:val="left"/>
      <w:lvlText w:val="(%1)"/>
      <w:numFmt w:val="decimal"/>
      <w:start w:val="1"/>
    </w:lvl>
  </w:abstractNum>
  <w:abstractNum w:abstractNumId="66">
    <w:nsid w:val="53584BCB"/>
    <w:multiLevelType w:val="hybridMultilevel"/>
    <w:lvl w:ilvl="0">
      <w:lvlJc w:val="left"/>
      <w:lvlText w:val="(%1)"/>
      <w:numFmt w:val="decimal"/>
      <w:start w:val="1"/>
    </w:lvl>
  </w:abstractNum>
  <w:abstractNum w:abstractNumId="67">
    <w:nsid w:val="415E286C"/>
    <w:multiLevelType w:val="hybridMultilevel"/>
    <w:lvl w:ilvl="0">
      <w:lvlJc w:val="left"/>
      <w:lvlText w:val="(%1)"/>
      <w:numFmt w:val="decimal"/>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1)"/>
      <w:numFmt w:val="lowerLetter"/>
      <w:start w:val="1"/>
    </w:lvl>
  </w:abstractNum>
  <w:abstractNum w:abstractNumId="70">
    <w:nsid w:val="45E6D486"/>
    <w:multiLevelType w:val="hybridMultilevel"/>
    <w:lvl w:ilvl="0">
      <w:lvlJc w:val="left"/>
      <w:lvlText w:val="(%1)"/>
      <w:numFmt w:val="lowerLetter"/>
      <w:start w:val="9"/>
    </w:lvl>
  </w:abstractNum>
  <w:abstractNum w:abstractNumId="71">
    <w:nsid w:val="5C10FE21"/>
    <w:multiLevelType w:val="hybridMultilevel"/>
    <w:lvl w:ilvl="0">
      <w:lvlJc w:val="left"/>
      <w:lvlText w:val="(%1)"/>
      <w:numFmt w:val="lowerLetter"/>
      <w:start w:val="1"/>
    </w:lvl>
  </w:abstractNum>
  <w:abstractNum w:abstractNumId="72">
    <w:nsid w:val="E7FFA2B"/>
    <w:multiLevelType w:val="hybridMultilevel"/>
    <w:lvl w:ilvl="0">
      <w:lvlJc w:val="left"/>
      <w:lvlText w:val="(%1)"/>
      <w:numFmt w:val="lowerLetter"/>
      <w:start w:val="1"/>
    </w:lvl>
  </w:abstractNum>
  <w:abstractNum w:abstractNumId="73">
    <w:nsid w:val="3C5991AA"/>
    <w:multiLevelType w:val="hybridMultilevel"/>
    <w:lvl w:ilvl="0">
      <w:lvlJc w:val="left"/>
      <w:lvlText w:val="(%1)"/>
      <w:numFmt w:val="lowerLetter"/>
      <w:start w:val="3"/>
    </w:lvl>
  </w:abstractNum>
  <w:abstractNum w:abstractNumId="74">
    <w:nsid w:val="4BD8591A"/>
    <w:multiLevelType w:val="hybridMultilevel"/>
    <w:lvl w:ilvl="0">
      <w:lvlJc w:val="left"/>
      <w:lvlText w:val="(%1)"/>
      <w:numFmt w:val="lowerLetter"/>
      <w:start w:val="1"/>
    </w:lvl>
  </w:abstractNum>
  <w:abstractNum w:abstractNumId="75">
    <w:nsid w:val="78DF6A55"/>
    <w:multiLevelType w:val="hybridMultilevel"/>
    <w:lvl w:ilvl="0">
      <w:lvlJc w:val="left"/>
      <w:lvlText w:val="(%1)"/>
      <w:numFmt w:val="lowerLetter"/>
      <w:start w:val="4"/>
    </w:lvl>
    <w:lvl w:ilvl="1">
      <w:lvlJc w:val="left"/>
      <w:lvlText w:val="(%2)"/>
      <w:numFmt w:val="lowerRoman"/>
      <w:start w:val="1"/>
    </w:lvl>
  </w:abstractNum>
  <w:abstractNum w:abstractNumId="76">
    <w:nsid w:val="39B7AAA2"/>
    <w:multiLevelType w:val="hybridMultilevel"/>
    <w:lvl w:ilvl="0">
      <w:lvlJc w:val="left"/>
      <w:lvlText w:val="(%1)"/>
      <w:numFmt w:val="lowerRoman"/>
      <w:start w:val="5"/>
    </w:lvl>
  </w:abstractNum>
  <w:abstractNum w:abstractNumId="77">
    <w:nsid w:val="2B0D8DBE"/>
    <w:multiLevelType w:val="hybridMultilevel"/>
    <w:lvl w:ilvl="0">
      <w:lvlJc w:val="left"/>
      <w:lvlText w:val="(%1)"/>
      <w:numFmt w:val="lowerLetter"/>
      <w:start w:val="5"/>
    </w:lvl>
  </w:abstractNum>
  <w:abstractNum w:abstractNumId="78">
    <w:nsid w:val="6C80EC70"/>
    <w:multiLevelType w:val="hybridMultilevel"/>
    <w:lvl w:ilvl="0">
      <w:lvlJc w:val="left"/>
      <w:lvlText w:val="(%1)"/>
      <w:numFmt w:val="lowerLetter"/>
      <w:start w:val="6"/>
    </w:lvl>
  </w:abstractNum>
  <w:abstractNum w:abstractNumId="79">
    <w:nsid w:val="379E21B5"/>
    <w:multiLevelType w:val="hybridMultilevel"/>
    <w:lvl w:ilvl="0">
      <w:lvlJc w:val="left"/>
      <w:lvlText w:val="(%1)"/>
      <w:numFmt w:val="lowerLetter"/>
      <w:start w:val="1"/>
    </w:lvl>
    <w:lvl w:ilvl="1">
      <w:lvlJc w:val="left"/>
      <w:lvlText w:val="(%2)"/>
      <w:numFmt w:val="lowerLetter"/>
      <w:start w:val="9"/>
    </w:lvl>
  </w:abstractNum>
  <w:abstractNum w:abstractNumId="80">
    <w:nsid w:val="69E373"/>
    <w:multiLevelType w:val="hybridMultilevel"/>
    <w:lvl w:ilvl="0">
      <w:lvlJc w:val="left"/>
      <w:lvlText w:val="%1"/>
      <w:numFmt w:val="decimal"/>
      <w:start w:val="1"/>
    </w:lvl>
    <w:lvl w:ilvl="1">
      <w:lvlJc w:val="left"/>
      <w:lvlText w:val="(%2)"/>
      <w:numFmt w:val="lowerRoman"/>
      <w:start w:val="2"/>
    </w:lvl>
  </w:abstractNum>
  <w:abstractNum w:abstractNumId="81">
    <w:nsid w:val="2C27173B"/>
    <w:multiLevelType w:val="hybridMultilevel"/>
    <w:lvl w:ilvl="0">
      <w:lvlJc w:val="left"/>
      <w:lvlText w:val="(%1)"/>
      <w:numFmt w:val="decimal"/>
      <w:start w:val="1"/>
    </w:lvl>
    <w:lvl w:ilvl="1">
      <w:lvlJc w:val="left"/>
      <w:lvlText w:val="%2"/>
      <w:numFmt w:val="lowerRoman"/>
      <w:start w:val="1"/>
    </w:lvl>
  </w:abstractNum>
  <w:abstractNum w:abstractNumId="82">
    <w:nsid w:val="4C9B0904"/>
    <w:multiLevelType w:val="hybridMultilevel"/>
    <w:lvl w:ilvl="0">
      <w:lvlJc w:val="left"/>
      <w:lvlText w:val="(%1)"/>
      <w:numFmt w:val="lowerLetter"/>
      <w:start w:val="2"/>
    </w:lvl>
    <w:lvl w:ilvl="1">
      <w:lvlJc w:val="left"/>
      <w:lvlText w:val="(%2)"/>
      <w:numFmt w:val="lowerRoman"/>
      <w:start w:val="1"/>
    </w:lvl>
  </w:abstractNum>
  <w:abstractNum w:abstractNumId="83">
    <w:nsid w:val="6AA7B75C"/>
    <w:multiLevelType w:val="hybridMultilevel"/>
    <w:lvl w:ilvl="0">
      <w:lvlJc w:val="left"/>
      <w:lvlText w:val="(%1)"/>
      <w:numFmt w:val="lowerRoman"/>
      <w:start w:val="2"/>
    </w:lvl>
  </w:abstractNum>
  <w:abstractNum w:abstractNumId="84">
    <w:nsid w:val="1DF029D3"/>
    <w:multiLevelType w:val="hybridMultilevel"/>
    <w:lvl w:ilvl="0">
      <w:lvlJc w:val="left"/>
      <w:lvlText w:val="(%1)"/>
      <w:numFmt w:val="lowerLetter"/>
      <w:start w:val="1"/>
    </w:lvl>
  </w:abstractNum>
  <w:abstractNum w:abstractNumId="85">
    <w:nsid w:val="5675FF36"/>
    <w:multiLevelType w:val="hybridMultilevel"/>
    <w:lvl w:ilvl="0">
      <w:lvlJc w:val="left"/>
      <w:lvlText w:val="(%1)"/>
      <w:numFmt w:val="lowerLetter"/>
      <w:start w:val="4"/>
    </w:lvl>
  </w:abstractNum>
  <w:abstractNum w:abstractNumId="86">
    <w:nsid w:val="3DD15094"/>
    <w:multiLevelType w:val="hybridMultilevel"/>
    <w:lvl w:ilvl="0">
      <w:lvlJc w:val="left"/>
      <w:lvlText w:val="%1"/>
      <w:numFmt w:val="lowerLetter"/>
      <w:start w:val="1"/>
    </w:lvl>
    <w:lvl w:ilvl="1">
      <w:lvlJc w:val="left"/>
      <w:lvlText w:val="(%2)"/>
      <w:numFmt w:val="lowerLetter"/>
      <w:start w:val="1"/>
    </w:lvl>
  </w:abstractNum>
  <w:abstractNum w:abstractNumId="87">
    <w:nsid w:val="3DB012B3"/>
    <w:multiLevelType w:val="hybridMultilevel"/>
    <w:lvl w:ilvl="0">
      <w:lvlJc w:val="left"/>
      <w:lvlText w:val="(%1)"/>
      <w:numFmt w:val="lowerLetter"/>
      <w:start w:val="2"/>
    </w:lvl>
    <w:lvl w:ilvl="1">
      <w:lvlJc w:val="left"/>
      <w:lvlText w:val="%2"/>
      <w:numFmt w:val="lowerLetter"/>
      <w:start w:val="1"/>
    </w:lvl>
  </w:abstractNum>
  <w:abstractNum w:abstractNumId="88">
    <w:nsid w:val="2708C9AF"/>
    <w:multiLevelType w:val="hybridMultilevel"/>
    <w:lvl w:ilvl="0">
      <w:lvlJc w:val="left"/>
      <w:lvlText w:val="(%1)"/>
      <w:numFmt w:val="lowerLetter"/>
      <w:start w:val="1"/>
    </w:lvl>
    <w:lvl w:ilvl="1">
      <w:lvlJc w:val="left"/>
      <w:lvlText w:val="(%2)"/>
      <w:numFmt w:val="lowerRoman"/>
      <w:start w:val="1"/>
    </w:lvl>
  </w:abstractNum>
  <w:abstractNum w:abstractNumId="89">
    <w:nsid w:val="5B25ACE2"/>
    <w:multiLevelType w:val="hybridMultilevel"/>
    <w:lvl w:ilvl="0">
      <w:lvlJc w:val="left"/>
      <w:lvlText w:val="(%1)"/>
      <w:numFmt w:val="lowerLetter"/>
      <w:start w:val="2"/>
    </w:lvl>
  </w:abstractNum>
  <w:abstractNum w:abstractNumId="90">
    <w:nsid w:val="175DFCF0"/>
    <w:multiLevelType w:val="hybridMultilevel"/>
    <w:lvl w:ilvl="0">
      <w:lvlJc w:val="left"/>
      <w:lvlText w:val="(%1)"/>
      <w:numFmt w:val="lowerLetter"/>
      <w:start w:val="1"/>
    </w:lvl>
  </w:abstractNum>
  <w:abstractNum w:abstractNumId="91">
    <w:nsid w:val="4F97E3E4"/>
    <w:multiLevelType w:val="hybridMultilevel"/>
    <w:lvl w:ilvl="0">
      <w:lvlJc w:val="left"/>
      <w:lvlText w:val="(%1)"/>
      <w:numFmt w:val="lowerLetter"/>
      <w:start w:val="1"/>
    </w:lvl>
    <w:lvl w:ilvl="1">
      <w:lvlJc w:val="left"/>
      <w:lvlText w:val="(%2)"/>
      <w:numFmt w:val="lowerRoman"/>
      <w:start w:val="1"/>
    </w:lvl>
  </w:abstractNum>
  <w:abstractNum w:abstractNumId="92">
    <w:nsid w:val="53B0A9E"/>
    <w:multiLevelType w:val="hybridMultilevel"/>
    <w:lvl w:ilvl="0">
      <w:lvlJc w:val="left"/>
      <w:lvlText w:val="(%1)"/>
      <w:numFmt w:val="lowerRoman"/>
      <w:start w:val="5"/>
    </w:lvl>
  </w:abstractNum>
  <w:abstractNum w:abstractNumId="93">
    <w:nsid w:val="34FD6B4F"/>
    <w:multiLevelType w:val="hybridMultilevel"/>
    <w:lvl w:ilvl="0">
      <w:lvlJc w:val="left"/>
      <w:lvlText w:val="(%1)"/>
      <w:numFmt w:val="lowerLetter"/>
      <w:start w:val="2"/>
    </w:lvl>
  </w:abstractNum>
  <w:abstractNum w:abstractNumId="94">
    <w:nsid w:val="5915FF32"/>
    <w:multiLevelType w:val="hybridMultilevel"/>
    <w:lvl w:ilvl="0">
      <w:lvlJc w:val="left"/>
      <w:lvlText w:val="(%1)"/>
      <w:numFmt w:val="lowerLetter"/>
      <w:start w:val="1"/>
    </w:lvl>
  </w:abstractNum>
  <w:abstractNum w:abstractNumId="95">
    <w:nsid w:val="56438D15"/>
    <w:multiLevelType w:val="hybridMultilevel"/>
    <w:lvl w:ilvl="0">
      <w:lvlJc w:val="left"/>
      <w:lvlText w:val="(%1)"/>
      <w:numFmt w:val="lowerLetter"/>
      <w:start w:val="1"/>
    </w:lvl>
  </w:abstractNum>
  <w:abstractNum w:abstractNumId="96">
    <w:nsid w:val="519E3149"/>
    <w:multiLevelType w:val="hybridMultilevel"/>
    <w:lvl w:ilvl="0">
      <w:lvlJc w:val="left"/>
      <w:lvlText w:val="(%1)"/>
      <w:numFmt w:val="upperLetter"/>
      <w:start w:val="4"/>
    </w:lvl>
  </w:abstractNum>
  <w:abstractNum w:abstractNumId="97">
    <w:nsid w:val="2C6E4AFD"/>
    <w:multiLevelType w:val="hybridMultilevel"/>
    <w:lvl w:ilvl="0">
      <w:lvlJc w:val="left"/>
      <w:lvlText w:val="(%1)"/>
      <w:numFmt w:val="lowerRoman"/>
      <w:start w:val="1"/>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lowerLetter"/>
      <w:start w:val="3"/>
    </w:lvl>
  </w:abstractNum>
  <w:abstractNum w:abstractNumId="100">
    <w:nsid w:val="5046B5A9"/>
    <w:multiLevelType w:val="hybridMultilevel"/>
    <w:lvl w:ilvl="0">
      <w:lvlJc w:val="left"/>
      <w:lvlText w:val="(%1)"/>
      <w:numFmt w:val="lowerLetter"/>
      <w:start w:val="1"/>
    </w:lvl>
  </w:abstractNum>
  <w:abstractNum w:abstractNumId="101">
    <w:nsid w:val="5D888A08"/>
    <w:multiLevelType w:val="hybridMultilevel"/>
    <w:lvl w:ilvl="0">
      <w:lvlJc w:val="left"/>
      <w:lvlText w:val="(%1)"/>
      <w:numFmt w:val="lowerLetter"/>
      <w:start w:val="1"/>
    </w:lvl>
  </w:abstractNum>
  <w:abstractNum w:abstractNumId="102">
    <w:nsid w:val="2A082C70"/>
    <w:multiLevelType w:val="hybridMultilevel"/>
    <w:lvl w:ilvl="0">
      <w:lvlJc w:val="left"/>
      <w:lvlText w:val="(%1)"/>
      <w:numFmt w:val="lowerLetter"/>
      <w:start w:val="1"/>
    </w:lvl>
  </w:abstractNum>
  <w:abstractNum w:abstractNumId="103">
    <w:nsid w:val="5EC6AFD4"/>
    <w:multiLevelType w:val="hybridMultilevel"/>
    <w:lvl w:ilvl="0">
      <w:lvlJc w:val="left"/>
      <w:lvlText w:val="(%1)"/>
      <w:numFmt w:val="lowerLetter"/>
      <w:start w:val="1"/>
    </w:lvl>
  </w:abstractNum>
  <w:abstractNum w:abstractNumId="104">
    <w:nsid w:val="19E21BB2"/>
    <w:multiLevelType w:val="hybridMultilevel"/>
    <w:lvl w:ilvl="0">
      <w:lvlJc w:val="left"/>
      <w:lvlText w:val="(%1)"/>
      <w:numFmt w:val="lowerLetter"/>
      <w:start w:val="1"/>
    </w:lvl>
  </w:abstractNum>
  <w:abstractNum w:abstractNumId="105">
    <w:nsid w:val="75E0858A"/>
    <w:multiLevelType w:val="hybridMultilevel"/>
    <w:lvl w:ilvl="0">
      <w:lvlJc w:val="left"/>
      <w:lvlText w:val="(%1)"/>
      <w:numFmt w:val="lowerLetter"/>
      <w:start w:val="1"/>
    </w:lvl>
  </w:abstractNum>
  <w:abstractNum w:abstractNumId="106">
    <w:nsid w:val="57A61A29"/>
    <w:multiLevelType w:val="hybridMultilevel"/>
    <w:lvl w:ilvl="0">
      <w:lvlJc w:val="left"/>
      <w:lvlText w:val="(%1)"/>
      <w:numFmt w:val="lowerLetter"/>
      <w:start w:val="4"/>
    </w:lvl>
  </w:abstractNum>
  <w:abstractNum w:abstractNumId="107">
    <w:nsid w:val="5399C654"/>
    <w:multiLevelType w:val="hybridMultilevel"/>
    <w:lvl w:ilvl="0">
      <w:lvlJc w:val="left"/>
      <w:lvlText w:val="(%1)"/>
      <w:numFmt w:val="lowerLetter"/>
      <w:start w:val="1"/>
    </w:lvl>
  </w:abstractNum>
  <w:abstractNum w:abstractNumId="108">
    <w:nsid w:val="20EE1348"/>
    <w:multiLevelType w:val="hybridMultilevel"/>
    <w:lvl w:ilvl="0">
      <w:lvlJc w:val="left"/>
      <w:lvlText w:val="(%1)"/>
      <w:numFmt w:val="lowerLetter"/>
      <w:start w:val="2"/>
    </w:lvl>
  </w:abstractNum>
  <w:abstractNum w:abstractNumId="109">
    <w:nsid w:val="4427069A"/>
    <w:multiLevelType w:val="hybridMultilevel"/>
    <w:lvl w:ilvl="0">
      <w:lvlJc w:val="left"/>
      <w:lvlText w:val="(%1)"/>
      <w:numFmt w:val="lowerLetter"/>
      <w:start w:val="1"/>
    </w:lvl>
  </w:abstractNum>
  <w:abstractNum w:abstractNumId="110">
    <w:nsid w:val="B37E80A"/>
    <w:multiLevelType w:val="hybridMultilevel"/>
    <w:lvl w:ilvl="0">
      <w:lvlJc w:val="left"/>
      <w:lvlText w:val="(%1)"/>
      <w:numFmt w:val="lowerLetter"/>
      <w:start w:val="1"/>
    </w:lvl>
    <w:lvl w:ilvl="1">
      <w:lvlJc w:val="left"/>
      <w:lvlText w:val="(%2)"/>
      <w:numFmt w:val="lowerLetter"/>
      <w:start w:val="9"/>
    </w:lvl>
  </w:abstractNum>
  <w:abstractNum w:abstractNumId="111">
    <w:nsid w:val="2157F6BC"/>
    <w:multiLevelType w:val="hybridMultilevel"/>
    <w:lvl w:ilvl="0">
      <w:lvlJc w:val="left"/>
      <w:lvlText w:val="(%1)"/>
      <w:numFmt w:val="lowerRoman"/>
      <w:start w:val="2"/>
    </w:lvl>
    <w:lvl w:ilvl="1">
      <w:lvlJc w:val="left"/>
      <w:lvlText w:val="(%2)"/>
      <w:numFmt w:val="upperLetter"/>
      <w:start w:val="1"/>
    </w:lvl>
  </w:abstractNum>
  <w:abstractNum w:abstractNumId="112">
    <w:nsid w:val="704E1DD5"/>
    <w:multiLevelType w:val="hybridMultilevel"/>
    <w:lvl w:ilvl="0">
      <w:lvlJc w:val="left"/>
      <w:lvlText w:val="(%1)"/>
      <w:numFmt w:val="lowerLetter"/>
      <w:start w:val="2"/>
    </w:lvl>
  </w:abstractNum>
  <w:abstractNum w:abstractNumId="113">
    <w:nsid w:val="57D2F10E"/>
    <w:multiLevelType w:val="hybridMultilevel"/>
    <w:lvl w:ilvl="0">
      <w:lvlJc w:val="left"/>
      <w:lvlText w:val="(%1)"/>
      <w:numFmt w:val="lowerRoman"/>
      <w:start w:val="1"/>
    </w:lvl>
    <w:lvl w:ilvl="1">
      <w:lvlJc w:val="left"/>
      <w:lvlText w:val="(%2)"/>
      <w:numFmt w:val="upperLetter"/>
      <w:start w:val="1"/>
    </w:lvl>
  </w:abstractNum>
  <w:abstractNum w:abstractNumId="114">
    <w:nsid w:val="BFFAE18"/>
    <w:multiLevelType w:val="hybridMultilevel"/>
    <w:lvl w:ilvl="0">
      <w:lvlJc w:val="left"/>
      <w:lvlText w:val="(%1)"/>
      <w:numFmt w:val="upperLetter"/>
      <w:start w:val="6"/>
    </w:lvl>
  </w:abstractNum>
  <w:abstractNum w:abstractNumId="115">
    <w:nsid w:val="E3E47A8"/>
    <w:multiLevelType w:val="hybridMultilevel"/>
    <w:lvl w:ilvl="0">
      <w:lvlJc w:val="left"/>
      <w:lvlText w:val="(%1)"/>
      <w:numFmt w:val="lowerLetter"/>
      <w:start w:val="1"/>
    </w:lvl>
    <w:lvl w:ilvl="1">
      <w:lvlJc w:val="left"/>
      <w:lvlText w:val="(%2)"/>
      <w:numFmt w:val="lowerRoman"/>
      <w:start w:val="1"/>
    </w:lvl>
  </w:abstractNum>
  <w:abstractNum w:abstractNumId="116">
    <w:nsid w:val="2E48F044"/>
    <w:multiLevelType w:val="hybridMultilevel"/>
    <w:lvl w:ilvl="0">
      <w:lvlJc w:val="left"/>
      <w:lvlText w:val="(%1)"/>
      <w:numFmt w:val="lowerLetter"/>
      <w:start w:val="3"/>
    </w:lvl>
  </w:abstractNum>
  <w:abstractNum w:abstractNumId="117">
    <w:nsid w:val="49D0FEAC"/>
    <w:multiLevelType w:val="hybridMultilevel"/>
    <w:lvl w:ilvl="0">
      <w:lvlJc w:val="left"/>
      <w:lvlText w:val="(%1)"/>
      <w:numFmt w:val="lowerLetter"/>
      <w:start w:val="1"/>
    </w:lvl>
  </w:abstractNum>
  <w:abstractNum w:abstractNumId="118">
    <w:nsid w:val="4BEE5A5B"/>
    <w:multiLevelType w:val="hybridMultilevel"/>
    <w:lvl w:ilvl="0">
      <w:lvlJc w:val="left"/>
      <w:lvlText w:val="(%1)"/>
      <w:numFmt w:val="lowerLetter"/>
      <w:start w:val="3"/>
    </w:lvl>
  </w:abstractNum>
  <w:abstractNum w:abstractNumId="119">
    <w:nsid w:val="5551B9F3"/>
    <w:multiLevelType w:val="hybridMultilevel"/>
    <w:lvl w:ilvl="0">
      <w:lvlJc w:val="left"/>
      <w:lvlText w:val="(%1)"/>
      <w:numFmt w:val="lowerLetter"/>
      <w:start w:val="1"/>
    </w:lvl>
    <w:lvl w:ilvl="1">
      <w:lvlJc w:val="left"/>
      <w:lvlText w:val="(%2)"/>
      <w:numFmt w:val="lowerLetter"/>
      <w:start w:val="9"/>
    </w:lvl>
  </w:abstractNum>
  <w:abstractNum w:abstractNumId="120">
    <w:nsid w:val="24F6AB8E"/>
    <w:multiLevelType w:val="hybridMultilevel"/>
    <w:lvl w:ilvl="0">
      <w:lvlJc w:val="left"/>
      <w:lvlText w:val="(%1)"/>
      <w:numFmt w:val="lowerRoman"/>
      <w:start w:val="2"/>
    </w:lvl>
  </w:abstractNum>
  <w:abstractNum w:abstractNumId="121">
    <w:nsid w:val="634C574C"/>
    <w:multiLevelType w:val="hybridMultilevel"/>
    <w:lvl w:ilvl="0">
      <w:lvlJc w:val="left"/>
      <w:lvlText w:val="(%1)"/>
      <w:numFmt w:val="lowerLetter"/>
      <w:start w:val="2"/>
    </w:lvl>
  </w:abstractNum>
  <w:abstractNum w:abstractNumId="122">
    <w:nsid w:val="24E99DD7"/>
    <w:multiLevelType w:val="hybridMultilevel"/>
    <w:lvl w:ilvl="0">
      <w:lvlJc w:val="left"/>
      <w:lvlText w:val="(%1)"/>
      <w:numFmt w:val="lowerLetter"/>
      <w:start w:val="5"/>
    </w:lvl>
  </w:abstractNum>
  <w:abstractNum w:abstractNumId="123">
    <w:nsid w:val="2A31B62D"/>
    <w:multiLevelType w:val="hybridMultilevel"/>
    <w:lvl w:ilvl="0">
      <w:lvlJc w:val="left"/>
      <w:lvlText w:val="%1"/>
      <w:numFmt w:val="lowerLetter"/>
      <w:start w:val="1"/>
    </w:lvl>
    <w:lvl w:ilvl="1">
      <w:lvlJc w:val="left"/>
      <w:lvlText w:val="(%2)"/>
      <w:numFmt w:val="lowerRoman"/>
      <w:start w:val="1"/>
    </w:lvl>
  </w:abstractNum>
  <w:abstractNum w:abstractNumId="124">
    <w:nsid w:val="1849C29B"/>
    <w:multiLevelType w:val="hybridMultilevel"/>
    <w:lvl w:ilvl="0">
      <w:lvlJc w:val="left"/>
      <w:lvlText w:val="(%1)"/>
      <w:numFmt w:val="lowerLetter"/>
      <w:start w:val="10"/>
    </w:lvl>
    <w:lvl w:ilvl="1">
      <w:lvlJc w:val="left"/>
      <w:lvlText w:val="%2"/>
      <w:numFmt w:val="lowerRoman"/>
      <w:start w:val="1"/>
    </w:lvl>
  </w:abstractNum>
  <w:abstractNum w:abstractNumId="125">
    <w:nsid w:val="7DFF9D09"/>
    <w:multiLevelType w:val="hybridMultilevel"/>
    <w:lvl w:ilvl="0">
      <w:lvlJc w:val="left"/>
      <w:lvlText w:val="(%1)"/>
      <w:numFmt w:val="lowerLetter"/>
      <w:start w:val="1"/>
    </w:lvl>
  </w:abstractNum>
  <w:abstractNum w:abstractNumId="126">
    <w:nsid w:val="754342"/>
    <w:multiLevelType w:val="hybridMultilevel"/>
    <w:lvl w:ilvl="0">
      <w:lvlJc w:val="left"/>
      <w:lvlText w:val="(%1)"/>
      <w:numFmt w:val="lowerLetter"/>
      <w:start w:val="1"/>
    </w:lvl>
  </w:abstractNum>
  <w:abstractNum w:abstractNumId="127">
    <w:nsid w:val="69E7F3E5"/>
    <w:multiLevelType w:val="hybridMultilevel"/>
    <w:lvl w:ilvl="0">
      <w:lvlJc w:val="left"/>
      <w:lvlText w:val="(%1)"/>
      <w:numFmt w:val="lowerLetter"/>
      <w:start w:val="1"/>
    </w:lvl>
    <w:lvl w:ilvl="1">
      <w:lvlJc w:val="left"/>
      <w:lvlText w:val="(%2)"/>
      <w:numFmt w:val="lowerRoman"/>
      <w:start w:val="1"/>
    </w:lvl>
  </w:abstractNum>
  <w:abstractNum w:abstractNumId="128">
    <w:nsid w:val="2A6DE806"/>
    <w:multiLevelType w:val="hybridMultilevel"/>
    <w:lvl w:ilvl="0">
      <w:lvlJc w:val="left"/>
      <w:lvlText w:val="(%1)"/>
      <w:numFmt w:val="lowerLetter"/>
      <w:start w:val="2"/>
    </w:lvl>
  </w:abstractNum>
  <w:abstractNum w:abstractNumId="129">
    <w:nsid w:val="1816F8C4"/>
    <w:multiLevelType w:val="hybridMultilevel"/>
    <w:lvl w:ilvl="0">
      <w:lvlJc w:val="left"/>
      <w:lvlText w:val="(%1)"/>
      <w:numFmt w:val="lowerLetter"/>
      <w:start w:val="4"/>
    </w:lvl>
  </w:abstractNum>
  <w:abstractNum w:abstractNumId="130">
    <w:nsid w:val="37DF2233"/>
    <w:multiLevelType w:val="hybridMultilevel"/>
    <w:lvl w:ilvl="0">
      <w:lvlJc w:val="left"/>
      <w:lvlText w:val="(%1)"/>
      <w:numFmt w:val="lowerLetter"/>
      <w:start w:val="1"/>
    </w:lvl>
  </w:abstractNum>
  <w:abstractNum w:abstractNumId="131">
    <w:nsid w:val="7AB49DAF"/>
    <w:multiLevelType w:val="hybridMultilevel"/>
    <w:lvl w:ilvl="0">
      <w:lvlJc w:val="left"/>
      <w:lvlText w:val="(%1)"/>
      <w:numFmt w:val="lowerRoman"/>
      <w:start w:val="1"/>
    </w:lvl>
  </w:abstractNum>
  <w:abstractNum w:abstractNumId="132">
    <w:nsid w:val="759F82CD"/>
    <w:multiLevelType w:val="hybridMultilevel"/>
    <w:lvl w:ilvl="0">
      <w:lvlJc w:val="left"/>
      <w:lvlText w:val="(%1)"/>
      <w:numFmt w:val="lowerRoman"/>
      <w:start w:val="2"/>
    </w:lvl>
  </w:abstractNum>
  <w:abstractNum w:abstractNumId="133">
    <w:nsid w:val="61E74EA3"/>
    <w:multiLevelType w:val="hybridMultilevel"/>
    <w:lvl w:ilvl="0">
      <w:lvlJc w:val="left"/>
      <w:lvlText w:val="(%1)"/>
      <w:numFmt w:val="lowerLetter"/>
      <w:start w:val="2"/>
    </w:lvl>
  </w:abstractNum>
  <w:abstractNum w:abstractNumId="134">
    <w:nsid w:val="597B4D84"/>
    <w:multiLevelType w:val="hybridMultilevel"/>
    <w:lvl w:ilvl="0">
      <w:lvlJc w:val="left"/>
      <w:lvlText w:val="(%1)"/>
      <w:numFmt w:val="lowerLetter"/>
      <w:start w:val="1"/>
    </w:lvl>
  </w:abstractNum>
  <w:abstractNum w:abstractNumId="135">
    <w:nsid w:val="F819E7F"/>
    <w:multiLevelType w:val="hybridMultilevel"/>
    <w:lvl w:ilvl="0">
      <w:lvlJc w:val="left"/>
      <w:lvlText w:val="(%1)"/>
      <w:numFmt w:val="lowerLetter"/>
      <w:start w:val="2"/>
    </w:lvl>
  </w:abstractNum>
  <w:abstractNum w:abstractNumId="136">
    <w:nsid w:val="57C7D42D"/>
    <w:multiLevelType w:val="hybridMultilevel"/>
    <w:lvl w:ilvl="0">
      <w:lvlJc w:val="left"/>
      <w:lvlText w:val="(%1)"/>
      <w:numFmt w:val="lowerLetter"/>
      <w:start w:val="1"/>
    </w:lvl>
  </w:abstractNum>
  <w:abstractNum w:abstractNumId="137">
    <w:nsid w:val="312167AD"/>
    <w:multiLevelType w:val="hybridMultilevel"/>
    <w:lvl w:ilvl="0">
      <w:lvlJc w:val="left"/>
      <w:lvlText w:val="(%1)"/>
      <w:numFmt w:val="lowerLetter"/>
      <w:start w:val="1"/>
    </w:lvl>
  </w:abstractNum>
  <w:abstractNum w:abstractNumId="138">
    <w:nsid w:val="631B64D4"/>
    <w:multiLevelType w:val="hybridMultilevel"/>
    <w:lvl w:ilvl="0">
      <w:lvlJc w:val="left"/>
      <w:lvlText w:val="(%1)"/>
      <w:numFmt w:val="lowerLetter"/>
      <w:start w:val="7"/>
    </w:lvl>
  </w:abstractNum>
  <w:abstractNum w:abstractNumId="139">
    <w:nsid w:val="78B5E776"/>
    <w:multiLevelType w:val="hybridMultilevel"/>
    <w:lvl w:ilvl="0">
      <w:lvlJc w:val="left"/>
      <w:lvlText w:val="%1."/>
      <w:numFmt w:val="decimal"/>
      <w:start w:val="1"/>
    </w:lvl>
    <w:lvl w:ilvl="1">
      <w:lvlJc w:val="left"/>
      <w:lvlText w:val="%2."/>
      <w:numFmt w:val="lowerLetter"/>
      <w:start w:val="1"/>
    </w:lvl>
  </w:abstractNum>
  <w:abstractNum w:abstractNumId="140">
    <w:nsid w:val="75486E47"/>
    <w:multiLevelType w:val="hybridMultilevel"/>
    <w:lvl w:ilvl="0">
      <w:lvlJc w:val="left"/>
      <w:lvlText w:val="%1."/>
      <w:numFmt w:val="lowerLetter"/>
      <w:start w:val="4"/>
    </w:lvl>
  </w:abstractNum>
  <w:abstractNum w:abstractNumId="141">
    <w:nsid w:val="6E534CDE"/>
    <w:multiLevelType w:val="hybridMultilevel"/>
    <w:lvl w:ilvl="0">
      <w:lvlJc w:val="left"/>
      <w:lvlText w:val="%1"/>
      <w:numFmt w:val="decimal"/>
      <w:start w:val="1"/>
    </w:lvl>
    <w:lvl w:ilvl="1">
      <w:lvlJc w:val="left"/>
      <w:lvlText w:val="%2."/>
      <w:numFmt w:val="lowerLetter"/>
      <w:start w:val="5"/>
    </w:lvl>
  </w:abstractNum>
  <w:abstractNum w:abstractNumId="142">
    <w:nsid w:val="1A0DDE32"/>
    <w:multiLevelType w:val="hybridMultilevel"/>
    <w:lvl w:ilvl="0">
      <w:lvlJc w:val="left"/>
      <w:lvlText w:val="%1."/>
      <w:numFmt w:val="decimal"/>
      <w:start w:val="2"/>
    </w:lvl>
    <w:lvl w:ilvl="1">
      <w:lvlJc w:val="left"/>
      <w:lvlText w:val="%2"/>
      <w:numFmt w:val="lowerLetter"/>
      <w:start w:val="1"/>
    </w:lvl>
  </w:abstractNum>
  <w:abstractNum w:abstractNumId="143">
    <w:nsid w:val="65968C1C"/>
    <w:multiLevelType w:val="hybridMultilevel"/>
    <w:lvl w:ilvl="0">
      <w:lvlJc w:val="left"/>
      <w:lvlText w:val="%1."/>
      <w:numFmt w:val="decimal"/>
      <w:start w:val="1"/>
    </w:lvl>
  </w:abstractNum>
  <w:abstractNum w:abstractNumId="144">
    <w:nsid w:val="46263DEC"/>
    <w:multiLevelType w:val="hybridMultilevel"/>
    <w:lvl w:ilvl="0">
      <w:lvlJc w:val="left"/>
      <w:lvlText w:val="(%1)"/>
      <w:numFmt w:val="lowerLetter"/>
      <w:start w:val="1"/>
    </w:lvl>
  </w:abstractNum>
  <w:abstractNum w:abstractNumId="145">
    <w:nsid w:val="260D8C4A"/>
    <w:multiLevelType w:val="hybridMultilevel"/>
    <w:lvl w:ilvl="0">
      <w:lvlJc w:val="left"/>
      <w:lvlText w:val="%1."/>
      <w:numFmt w:val="decimal"/>
      <w:start w:val="5"/>
    </w:lvl>
  </w:abstractNum>
  <w:abstractNum w:abstractNumId="146">
    <w:nsid w:val="73D4D3C4"/>
    <w:multiLevelType w:val="hybridMultilevel"/>
    <w:lvl w:ilvl="0">
      <w:lvlJc w:val="left"/>
      <w:lvlText w:val="(%1)"/>
      <w:numFmt w:val="lowerLetter"/>
      <w:start w:val="1"/>
    </w:lvl>
  </w:abstractNum>
  <w:abstractNum w:abstractNumId="147">
    <w:nsid w:val="746F2E30"/>
    <w:multiLevelType w:val="hybridMultilevel"/>
    <w:lvl w:ilvl="0">
      <w:lvlJc w:val="left"/>
      <w:lvlText w:val="%1."/>
      <w:numFmt w:val="decimal"/>
      <w:start w:val="1"/>
    </w:lvl>
  </w:abstractNum>
  <w:abstractNum w:abstractNumId="148">
    <w:nsid w:val="6FDE8AF6"/>
    <w:multiLevelType w:val="hybridMultilevel"/>
    <w:lvl w:ilvl="0">
      <w:lvlJc w:val="left"/>
      <w:lvlText w:val="(%1)"/>
      <w:numFmt w:val="lowerLetter"/>
      <w:start w:val="1"/>
    </w:lvl>
  </w:abstractNum>
  <w:abstractNum w:abstractNumId="149">
    <w:nsid w:val="3FC32E20"/>
    <w:multiLevelType w:val="hybridMultilevel"/>
    <w:lvl w:ilvl="0">
      <w:lvlJc w:val="left"/>
      <w:lvlText w:val="%1."/>
      <w:numFmt w:val="decimal"/>
      <w:start w:val="5"/>
    </w:lvl>
  </w:abstractNum>
  <w:abstractNum w:abstractNumId="150">
    <w:nsid w:val="49C0E823"/>
    <w:multiLevelType w:val="hybridMultilevel"/>
    <w:lvl w:ilvl="0">
      <w:lvlJc w:val="left"/>
      <w:lvlText w:val="(%1)"/>
      <w:numFmt w:val="lowerLetter"/>
      <w:start w:val="1"/>
    </w:lvl>
  </w:abstractNum>
  <w:abstractNum w:abstractNumId="151">
    <w:nsid w:val="14D53685"/>
    <w:multiLevelType w:val="hybridMultilevel"/>
    <w:lvl w:ilvl="0">
      <w:lvlJc w:val="left"/>
      <w:lvlText w:val="%1."/>
      <w:numFmt w:val="decimal"/>
      <w:start w:val="1"/>
    </w:lvl>
  </w:abstractNum>
  <w:abstractNum w:abstractNumId="152">
    <w:nsid w:val="230F856C"/>
    <w:multiLevelType w:val="hybridMultilevel"/>
    <w:lvl w:ilvl="0">
      <w:lvlJc w:val="left"/>
      <w:lvlText w:val="%1."/>
      <w:numFmt w:val="decimal"/>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1" Type="http://schemas.openxmlformats.org/officeDocument/2006/relationships/image" Target="media/image187.png"/><Relationship Id="rId252" Type="http://schemas.openxmlformats.org/officeDocument/2006/relationships/image" Target="media/image188.png"/><Relationship Id="rId253" Type="http://schemas.openxmlformats.org/officeDocument/2006/relationships/image" Target="media/image189.png"/><Relationship Id="rId254" Type="http://schemas.openxmlformats.org/officeDocument/2006/relationships/image" Target="media/image190.png"/><Relationship Id="rId255" Type="http://schemas.openxmlformats.org/officeDocument/2006/relationships/image" Target="media/image191.png"/><Relationship Id="rId256" Type="http://schemas.openxmlformats.org/officeDocument/2006/relationships/image" Target="media/image192.png"/><Relationship Id="rId257" Type="http://schemas.openxmlformats.org/officeDocument/2006/relationships/image" Target="media/image193.png"/><Relationship Id="rId258" Type="http://schemas.openxmlformats.org/officeDocument/2006/relationships/image" Target="media/image194.png"/><Relationship Id="rId259" Type="http://schemas.openxmlformats.org/officeDocument/2006/relationships/image" Target="media/image195.png"/><Relationship Id="rId260" Type="http://schemas.openxmlformats.org/officeDocument/2006/relationships/image" Target="media/image196.png"/><Relationship Id="rId261" Type="http://schemas.openxmlformats.org/officeDocument/2006/relationships/image" Target="media/image197.png"/><Relationship Id="rId262" Type="http://schemas.openxmlformats.org/officeDocument/2006/relationships/image" Target="media/image198.png"/><Relationship Id="rId263" Type="http://schemas.openxmlformats.org/officeDocument/2006/relationships/image" Target="media/image199.png"/><Relationship Id="rId264" Type="http://schemas.openxmlformats.org/officeDocument/2006/relationships/image" Target="media/image200.png"/><Relationship Id="rId265" Type="http://schemas.openxmlformats.org/officeDocument/2006/relationships/image" Target="media/image201.png"/><Relationship Id="rId266" Type="http://schemas.openxmlformats.org/officeDocument/2006/relationships/image" Target="media/image202.png"/><Relationship Id="rId267" Type="http://schemas.openxmlformats.org/officeDocument/2006/relationships/image" Target="media/image203.png"/><Relationship Id="rId268" Type="http://schemas.openxmlformats.org/officeDocument/2006/relationships/image" Target="media/image204.png"/><Relationship Id="rId269" Type="http://schemas.openxmlformats.org/officeDocument/2006/relationships/image" Target="media/image205.png"/><Relationship Id="rId270" Type="http://schemas.openxmlformats.org/officeDocument/2006/relationships/image" Target="media/image206.png"/><Relationship Id="rId271" Type="http://schemas.openxmlformats.org/officeDocument/2006/relationships/image" Target="media/image207.png"/><Relationship Id="rId272" Type="http://schemas.openxmlformats.org/officeDocument/2006/relationships/image" Target="media/image208.png"/><Relationship Id="rId273" Type="http://schemas.openxmlformats.org/officeDocument/2006/relationships/image" Target="media/image209.png"/><Relationship Id="rId274" Type="http://schemas.openxmlformats.org/officeDocument/2006/relationships/image" Target="media/image210.png"/><Relationship Id="rId275" Type="http://schemas.openxmlformats.org/officeDocument/2006/relationships/image" Target="media/image211.png"/><Relationship Id="rId276" Type="http://schemas.openxmlformats.org/officeDocument/2006/relationships/image" Target="media/image212.png"/><Relationship Id="rId277" Type="http://schemas.openxmlformats.org/officeDocument/2006/relationships/image" Target="media/image213.png"/><Relationship Id="rId278" Type="http://schemas.openxmlformats.org/officeDocument/2006/relationships/image" Target="media/image214.png"/><Relationship Id="rId279" Type="http://schemas.openxmlformats.org/officeDocument/2006/relationships/image" Target="media/image215.png"/><Relationship Id="rId280" Type="http://schemas.openxmlformats.org/officeDocument/2006/relationships/image" Target="media/image216.png"/><Relationship Id="rId281" Type="http://schemas.openxmlformats.org/officeDocument/2006/relationships/image" Target="media/image217.png"/><Relationship Id="rId282" Type="http://schemas.openxmlformats.org/officeDocument/2006/relationships/image" Target="media/image218.png"/><Relationship Id="rId283" Type="http://schemas.openxmlformats.org/officeDocument/2006/relationships/image" Target="media/image219.png"/><Relationship Id="rId284" Type="http://schemas.openxmlformats.org/officeDocument/2006/relationships/image" Target="media/image220.png"/><Relationship Id="rId285" Type="http://schemas.openxmlformats.org/officeDocument/2006/relationships/image" Target="media/image221.png"/><Relationship Id="rId286" Type="http://schemas.openxmlformats.org/officeDocument/2006/relationships/image" Target="media/image222.png"/><Relationship Id="rId287" Type="http://schemas.openxmlformats.org/officeDocument/2006/relationships/image" Target="media/image223.png"/><Relationship Id="rId288" Type="http://schemas.openxmlformats.org/officeDocument/2006/relationships/image" Target="media/image224.png"/><Relationship Id="rId289" Type="http://schemas.openxmlformats.org/officeDocument/2006/relationships/image" Target="media/image225.png"/><Relationship Id="rId290" Type="http://schemas.openxmlformats.org/officeDocument/2006/relationships/image" Target="media/image226.png"/><Relationship Id="rId291" Type="http://schemas.openxmlformats.org/officeDocument/2006/relationships/image" Target="media/image227.png"/><Relationship Id="rId292" Type="http://schemas.openxmlformats.org/officeDocument/2006/relationships/image" Target="media/image228.png"/><Relationship Id="rId293" Type="http://schemas.openxmlformats.org/officeDocument/2006/relationships/image" Target="media/image229.png"/><Relationship Id="rId294" Type="http://schemas.openxmlformats.org/officeDocument/2006/relationships/image" Target="media/image230.png"/><Relationship Id="rId295" Type="http://schemas.openxmlformats.org/officeDocument/2006/relationships/image" Target="media/image231.png"/><Relationship Id="rId296" Type="http://schemas.openxmlformats.org/officeDocument/2006/relationships/image" Target="media/image232.png"/><Relationship Id="rId297" Type="http://schemas.openxmlformats.org/officeDocument/2006/relationships/image" Target="media/image233.png"/><Relationship Id="rId298" Type="http://schemas.openxmlformats.org/officeDocument/2006/relationships/image" Target="media/image234.png"/><Relationship Id="rId299" Type="http://schemas.openxmlformats.org/officeDocument/2006/relationships/image" Target="media/image235.png"/><Relationship Id="rId300" Type="http://schemas.openxmlformats.org/officeDocument/2006/relationships/image" Target="media/image236.png"/><Relationship Id="rId301" Type="http://schemas.openxmlformats.org/officeDocument/2006/relationships/image" Target="media/image237.png"/><Relationship Id="rId302" Type="http://schemas.openxmlformats.org/officeDocument/2006/relationships/image" Target="media/image238.png"/><Relationship Id="rId303" Type="http://schemas.openxmlformats.org/officeDocument/2006/relationships/image" Target="media/image239.png"/><Relationship Id="rId304" Type="http://schemas.openxmlformats.org/officeDocument/2006/relationships/image" Target="media/image240.png"/><Relationship Id="rId305" Type="http://schemas.openxmlformats.org/officeDocument/2006/relationships/image" Target="media/image241.png"/><Relationship Id="rId306" Type="http://schemas.openxmlformats.org/officeDocument/2006/relationships/image" Target="media/image242.png"/><Relationship Id="rId307" Type="http://schemas.openxmlformats.org/officeDocument/2006/relationships/image" Target="media/image243.png"/><Relationship Id="rId308" Type="http://schemas.openxmlformats.org/officeDocument/2006/relationships/image" Target="media/image244.png"/><Relationship Id="rId309" Type="http://schemas.openxmlformats.org/officeDocument/2006/relationships/image" Target="media/image245.png"/><Relationship Id="rId310" Type="http://schemas.openxmlformats.org/officeDocument/2006/relationships/image" Target="media/image246.png"/><Relationship Id="rId311" Type="http://schemas.openxmlformats.org/officeDocument/2006/relationships/image" Target="media/image247.png"/><Relationship Id="rId312" Type="http://schemas.openxmlformats.org/officeDocument/2006/relationships/image" Target="media/image248.png"/><Relationship Id="rId313" Type="http://schemas.openxmlformats.org/officeDocument/2006/relationships/image" Target="media/image249.png"/><Relationship Id="rId314" Type="http://schemas.openxmlformats.org/officeDocument/2006/relationships/image" Target="media/image250.png"/><Relationship Id="rId315" Type="http://schemas.openxmlformats.org/officeDocument/2006/relationships/image" Target="media/image251.png"/><Relationship Id="rId316" Type="http://schemas.openxmlformats.org/officeDocument/2006/relationships/image" Target="media/image252.png"/><Relationship Id="rId317" Type="http://schemas.openxmlformats.org/officeDocument/2006/relationships/image" Target="media/image253.png"/><Relationship Id="rId318" Type="http://schemas.openxmlformats.org/officeDocument/2006/relationships/image" Target="media/image254.png"/><Relationship Id="rId319" Type="http://schemas.openxmlformats.org/officeDocument/2006/relationships/image" Target="media/image255.pn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pn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png"/><Relationship Id="rId327" Type="http://schemas.openxmlformats.org/officeDocument/2006/relationships/image" Target="media/image263.png"/><Relationship Id="rId328" Type="http://schemas.openxmlformats.org/officeDocument/2006/relationships/image" Target="media/image264.png"/><Relationship Id="rId329" Type="http://schemas.openxmlformats.org/officeDocument/2006/relationships/image" Target="media/image265.png"/><Relationship Id="rId330" Type="http://schemas.openxmlformats.org/officeDocument/2006/relationships/image" Target="media/image266.pn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png"/><Relationship Id="rId336" Type="http://schemas.openxmlformats.org/officeDocument/2006/relationships/image" Target="media/image272.png"/><Relationship Id="rId337" Type="http://schemas.openxmlformats.org/officeDocument/2006/relationships/image" Target="media/image273.png"/><Relationship Id="rId338" Type="http://schemas.openxmlformats.org/officeDocument/2006/relationships/image" Target="media/image274.pn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png"/><Relationship Id="rId342" Type="http://schemas.openxmlformats.org/officeDocument/2006/relationships/image" Target="media/image278.pn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png"/><Relationship Id="rId346" Type="http://schemas.openxmlformats.org/officeDocument/2006/relationships/image" Target="media/image282.png"/><Relationship Id="rId347" Type="http://schemas.openxmlformats.org/officeDocument/2006/relationships/image" Target="media/image283.png"/><Relationship Id="rId348" Type="http://schemas.openxmlformats.org/officeDocument/2006/relationships/image" Target="media/image284.png"/><Relationship Id="rId349" Type="http://schemas.openxmlformats.org/officeDocument/2006/relationships/image" Target="media/image285.png"/><Relationship Id="rId350" Type="http://schemas.openxmlformats.org/officeDocument/2006/relationships/image" Target="media/image286.png"/><Relationship Id="rId351" Type="http://schemas.openxmlformats.org/officeDocument/2006/relationships/image" Target="media/image287.png"/><Relationship Id="rId352" Type="http://schemas.openxmlformats.org/officeDocument/2006/relationships/image" Target="media/image288.pn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png"/><Relationship Id="rId356" Type="http://schemas.openxmlformats.org/officeDocument/2006/relationships/image" Target="media/image292.png"/><Relationship Id="rId357" Type="http://schemas.openxmlformats.org/officeDocument/2006/relationships/image" Target="media/image293.png"/><Relationship Id="rId358" Type="http://schemas.openxmlformats.org/officeDocument/2006/relationships/image" Target="media/image294.png"/><Relationship Id="rId359" Type="http://schemas.openxmlformats.org/officeDocument/2006/relationships/image" Target="media/image295.png"/><Relationship Id="rId360" Type="http://schemas.openxmlformats.org/officeDocument/2006/relationships/image" Target="media/image296.png"/><Relationship Id="rId361" Type="http://schemas.openxmlformats.org/officeDocument/2006/relationships/image" Target="media/image297.png"/><Relationship Id="rId362" Type="http://schemas.openxmlformats.org/officeDocument/2006/relationships/image" Target="media/image298.png"/><Relationship Id="rId363" Type="http://schemas.openxmlformats.org/officeDocument/2006/relationships/image" Target="media/image299.png"/><Relationship Id="rId364" Type="http://schemas.openxmlformats.org/officeDocument/2006/relationships/image" Target="media/image300.png"/><Relationship Id="rId365" Type="http://schemas.openxmlformats.org/officeDocument/2006/relationships/image" Target="media/image301.png"/><Relationship Id="rId366" Type="http://schemas.openxmlformats.org/officeDocument/2006/relationships/image" Target="media/image302.png"/><Relationship Id="rId367" Type="http://schemas.openxmlformats.org/officeDocument/2006/relationships/image" Target="media/image303.png"/><Relationship Id="rId368" Type="http://schemas.openxmlformats.org/officeDocument/2006/relationships/image" Target="media/image304.png"/><Relationship Id="rId369" Type="http://schemas.openxmlformats.org/officeDocument/2006/relationships/image" Target="media/image305.png"/><Relationship Id="rId370" Type="http://schemas.openxmlformats.org/officeDocument/2006/relationships/image" Target="media/image306.png"/><Relationship Id="rId371" Type="http://schemas.openxmlformats.org/officeDocument/2006/relationships/image" Target="media/image307.png"/><Relationship Id="rId372" Type="http://schemas.openxmlformats.org/officeDocument/2006/relationships/image" Target="media/image308.png"/><Relationship Id="rId373" Type="http://schemas.openxmlformats.org/officeDocument/2006/relationships/image" Target="media/image309.png"/><Relationship Id="rId374" Type="http://schemas.openxmlformats.org/officeDocument/2006/relationships/image" Target="media/image310.png"/><Relationship Id="rId375" Type="http://schemas.openxmlformats.org/officeDocument/2006/relationships/image" Target="media/image311.png"/><Relationship Id="rId376" Type="http://schemas.openxmlformats.org/officeDocument/2006/relationships/image" Target="media/image312.png"/><Relationship Id="rId377" Type="http://schemas.openxmlformats.org/officeDocument/2006/relationships/image" Target="media/image313.png"/><Relationship Id="rId378" Type="http://schemas.openxmlformats.org/officeDocument/2006/relationships/image" Target="media/image314.png"/><Relationship Id="rId379" Type="http://schemas.openxmlformats.org/officeDocument/2006/relationships/image" Target="media/image315.png"/><Relationship Id="rId380" Type="http://schemas.openxmlformats.org/officeDocument/2006/relationships/image" Target="media/image316.png"/><Relationship Id="rId381" Type="http://schemas.openxmlformats.org/officeDocument/2006/relationships/image" Target="media/image317.png"/><Relationship Id="rId382" Type="http://schemas.openxmlformats.org/officeDocument/2006/relationships/image" Target="media/image318.png"/><Relationship Id="rId383" Type="http://schemas.openxmlformats.org/officeDocument/2006/relationships/image" Target="media/image319.png"/><Relationship Id="rId384" Type="http://schemas.openxmlformats.org/officeDocument/2006/relationships/image" Target="media/image320.png"/><Relationship Id="rId385" Type="http://schemas.openxmlformats.org/officeDocument/2006/relationships/image" Target="media/image321.png"/><Relationship Id="rId386" Type="http://schemas.openxmlformats.org/officeDocument/2006/relationships/image" Target="media/image322.png"/><Relationship Id="rId387" Type="http://schemas.openxmlformats.org/officeDocument/2006/relationships/image" Target="media/image323.png"/><Relationship Id="rId388" Type="http://schemas.openxmlformats.org/officeDocument/2006/relationships/image" Target="media/image324.png"/><Relationship Id="rId389" Type="http://schemas.openxmlformats.org/officeDocument/2006/relationships/image" Target="media/image325.png"/><Relationship Id="rId390" Type="http://schemas.openxmlformats.org/officeDocument/2006/relationships/image" Target="media/image326.png"/><Relationship Id="rId391" Type="http://schemas.openxmlformats.org/officeDocument/2006/relationships/image" Target="media/image327.png"/><Relationship Id="rId392" Type="http://schemas.openxmlformats.org/officeDocument/2006/relationships/image" Target="media/image328.png"/><Relationship Id="rId393" Type="http://schemas.openxmlformats.org/officeDocument/2006/relationships/image" Target="media/image329.png"/><Relationship Id="rId394" Type="http://schemas.openxmlformats.org/officeDocument/2006/relationships/image" Target="media/image330.png"/><Relationship Id="rId395" Type="http://schemas.openxmlformats.org/officeDocument/2006/relationships/image" Target="media/image331.png"/><Relationship Id="rId396" Type="http://schemas.openxmlformats.org/officeDocument/2006/relationships/image" Target="media/image332.png"/><Relationship Id="rId397" Type="http://schemas.openxmlformats.org/officeDocument/2006/relationships/image" Target="media/image333.png"/><Relationship Id="rId398" Type="http://schemas.openxmlformats.org/officeDocument/2006/relationships/image" Target="media/image334.png"/><Relationship Id="rId399" Type="http://schemas.openxmlformats.org/officeDocument/2006/relationships/image" Target="media/image335.png"/><Relationship Id="rId400" Type="http://schemas.openxmlformats.org/officeDocument/2006/relationships/image" Target="media/image336.png"/><Relationship Id="rId401" Type="http://schemas.openxmlformats.org/officeDocument/2006/relationships/image" Target="media/image337.png"/><Relationship Id="rId402" Type="http://schemas.openxmlformats.org/officeDocument/2006/relationships/image" Target="media/image338.png"/><Relationship Id="rId403" Type="http://schemas.openxmlformats.org/officeDocument/2006/relationships/image" Target="media/image339.png"/><Relationship Id="rId404" Type="http://schemas.openxmlformats.org/officeDocument/2006/relationships/image" Target="media/image340.png"/><Relationship Id="rId405" Type="http://schemas.openxmlformats.org/officeDocument/2006/relationships/image" Target="media/image341.png"/><Relationship Id="rId406" Type="http://schemas.openxmlformats.org/officeDocument/2006/relationships/image" Target="media/image342.png"/><Relationship Id="rId407" Type="http://schemas.openxmlformats.org/officeDocument/2006/relationships/image" Target="media/image343.png"/><Relationship Id="rId408" Type="http://schemas.openxmlformats.org/officeDocument/2006/relationships/image" Target="media/image344.png"/><Relationship Id="rId409" Type="http://schemas.openxmlformats.org/officeDocument/2006/relationships/image" Target="media/image345.png"/><Relationship Id="rId410" Type="http://schemas.openxmlformats.org/officeDocument/2006/relationships/image" Target="media/image346.png"/><Relationship Id="rId411" Type="http://schemas.openxmlformats.org/officeDocument/2006/relationships/image" Target="media/image347.png"/><Relationship Id="rId412" Type="http://schemas.openxmlformats.org/officeDocument/2006/relationships/image" Target="media/image348.png"/><Relationship Id="rId413" Type="http://schemas.openxmlformats.org/officeDocument/2006/relationships/image" Target="media/image349.png"/><Relationship Id="rId414" Type="http://schemas.openxmlformats.org/officeDocument/2006/relationships/image" Target="media/image350.png"/><Relationship Id="rId415" Type="http://schemas.openxmlformats.org/officeDocument/2006/relationships/image" Target="media/image351.png"/><Relationship Id="rId416" Type="http://schemas.openxmlformats.org/officeDocument/2006/relationships/image" Target="media/image352.png"/><Relationship Id="rId417" Type="http://schemas.openxmlformats.org/officeDocument/2006/relationships/image" Target="media/image353.png"/><Relationship Id="rId418" Type="http://schemas.openxmlformats.org/officeDocument/2006/relationships/image" Target="media/image354.png"/><Relationship Id="rId419" Type="http://schemas.openxmlformats.org/officeDocument/2006/relationships/image" Target="media/image355.png"/><Relationship Id="rId420" Type="http://schemas.openxmlformats.org/officeDocument/2006/relationships/image" Target="media/image356.png"/><Relationship Id="rId421" Type="http://schemas.openxmlformats.org/officeDocument/2006/relationships/image" Target="media/image357.png"/><Relationship Id="rId422" Type="http://schemas.openxmlformats.org/officeDocument/2006/relationships/image" Target="media/image358.png"/><Relationship Id="rId423" Type="http://schemas.openxmlformats.org/officeDocument/2006/relationships/image" Target="media/image359.png"/><Relationship Id="rId424" Type="http://schemas.openxmlformats.org/officeDocument/2006/relationships/image" Target="media/image360.png"/><Relationship Id="rId425" Type="http://schemas.openxmlformats.org/officeDocument/2006/relationships/image" Target="media/image361.png"/><Relationship Id="rId426" Type="http://schemas.openxmlformats.org/officeDocument/2006/relationships/image" Target="media/image362.png"/><Relationship Id="rId427" Type="http://schemas.openxmlformats.org/officeDocument/2006/relationships/image" Target="media/image363.png"/><Relationship Id="rId428" Type="http://schemas.openxmlformats.org/officeDocument/2006/relationships/image" Target="media/image364.png"/><Relationship Id="rId429" Type="http://schemas.openxmlformats.org/officeDocument/2006/relationships/image" Target="media/image365.png"/><Relationship Id="rId430" Type="http://schemas.openxmlformats.org/officeDocument/2006/relationships/image" Target="media/image366.png"/><Relationship Id="rId431" Type="http://schemas.openxmlformats.org/officeDocument/2006/relationships/image" Target="media/image367.png"/><Relationship Id="rId432" Type="http://schemas.openxmlformats.org/officeDocument/2006/relationships/image" Target="media/image368.png"/><Relationship Id="rId433" Type="http://schemas.openxmlformats.org/officeDocument/2006/relationships/image" Target="media/image369.png"/><Relationship Id="rId434" Type="http://schemas.openxmlformats.org/officeDocument/2006/relationships/image" Target="media/image370.png"/><Relationship Id="rId435" Type="http://schemas.openxmlformats.org/officeDocument/2006/relationships/image" Target="media/image371.png"/><Relationship Id="rId436" Type="http://schemas.openxmlformats.org/officeDocument/2006/relationships/image" Target="media/image372.png"/><Relationship Id="rId437" Type="http://schemas.openxmlformats.org/officeDocument/2006/relationships/image" Target="media/image373.png"/><Relationship Id="rId438" Type="http://schemas.openxmlformats.org/officeDocument/2006/relationships/image" Target="media/image374.png"/><Relationship Id="rId439" Type="http://schemas.openxmlformats.org/officeDocument/2006/relationships/image" Target="media/image375.png"/><Relationship Id="rId440" Type="http://schemas.openxmlformats.org/officeDocument/2006/relationships/image" Target="media/image376.png"/><Relationship Id="rId441" Type="http://schemas.openxmlformats.org/officeDocument/2006/relationships/image" Target="media/image377.png"/><Relationship Id="rId442" Type="http://schemas.openxmlformats.org/officeDocument/2006/relationships/image" Target="media/image378.png"/><Relationship Id="rId443" Type="http://schemas.openxmlformats.org/officeDocument/2006/relationships/image" Target="media/image379.png"/><Relationship Id="rId444" Type="http://schemas.openxmlformats.org/officeDocument/2006/relationships/image" Target="media/image380.png"/><Relationship Id="rId445" Type="http://schemas.openxmlformats.org/officeDocument/2006/relationships/image" Target="media/image381.png"/><Relationship Id="rId446" Type="http://schemas.openxmlformats.org/officeDocument/2006/relationships/image" Target="media/image382.png"/><Relationship Id="rId447" Type="http://schemas.openxmlformats.org/officeDocument/2006/relationships/image" Target="media/image383.png"/><Relationship Id="rId448" Type="http://schemas.openxmlformats.org/officeDocument/2006/relationships/image" Target="media/image384.png"/><Relationship Id="rId449" Type="http://schemas.openxmlformats.org/officeDocument/2006/relationships/image" Target="media/image385.png"/><Relationship Id="rId450" Type="http://schemas.openxmlformats.org/officeDocument/2006/relationships/image" Target="media/image386.png"/><Relationship Id="rId451" Type="http://schemas.openxmlformats.org/officeDocument/2006/relationships/image" Target="media/image387.png"/><Relationship Id="rId452" Type="http://schemas.openxmlformats.org/officeDocument/2006/relationships/image" Target="media/image388.png"/><Relationship Id="rId453" Type="http://schemas.openxmlformats.org/officeDocument/2006/relationships/image" Target="media/image389.png"/><Relationship Id="rId454" Type="http://schemas.openxmlformats.org/officeDocument/2006/relationships/image" Target="media/image390.png"/><Relationship Id="rId455" Type="http://schemas.openxmlformats.org/officeDocument/2006/relationships/image" Target="media/image391.png"/><Relationship Id="rId456" Type="http://schemas.openxmlformats.org/officeDocument/2006/relationships/image" Target="media/image392.png"/><Relationship Id="rId457" Type="http://schemas.openxmlformats.org/officeDocument/2006/relationships/image" Target="media/image393.png"/><Relationship Id="rId458" Type="http://schemas.openxmlformats.org/officeDocument/2006/relationships/image" Target="media/image394.png"/><Relationship Id="rId459" Type="http://schemas.openxmlformats.org/officeDocument/2006/relationships/image" Target="media/image395.png"/><Relationship Id="rId460" Type="http://schemas.openxmlformats.org/officeDocument/2006/relationships/image" Target="media/image396.png"/><Relationship Id="rId461" Type="http://schemas.openxmlformats.org/officeDocument/2006/relationships/image" Target="media/image397.png"/><Relationship Id="rId462" Type="http://schemas.openxmlformats.org/officeDocument/2006/relationships/image" Target="media/image398.png"/><Relationship Id="rId463" Type="http://schemas.openxmlformats.org/officeDocument/2006/relationships/image" Target="media/image399.png"/><Relationship Id="rId464" Type="http://schemas.openxmlformats.org/officeDocument/2006/relationships/image" Target="media/image400.png"/><Relationship Id="rId465" Type="http://schemas.openxmlformats.org/officeDocument/2006/relationships/image" Target="media/image401.png"/><Relationship Id="rId466" Type="http://schemas.openxmlformats.org/officeDocument/2006/relationships/image" Target="media/image402.png"/><Relationship Id="rId467" Type="http://schemas.openxmlformats.org/officeDocument/2006/relationships/image" Target="media/image403.png"/><Relationship Id="rId468" Type="http://schemas.openxmlformats.org/officeDocument/2006/relationships/image" Target="media/image404.png"/><Relationship Id="rId469" Type="http://schemas.openxmlformats.org/officeDocument/2006/relationships/image" Target="media/image405.png"/><Relationship Id="rId470" Type="http://schemas.openxmlformats.org/officeDocument/2006/relationships/image" Target="media/image406.png"/><Relationship Id="rId471" Type="http://schemas.openxmlformats.org/officeDocument/2006/relationships/image" Target="media/image407.png"/><Relationship Id="rId472" Type="http://schemas.openxmlformats.org/officeDocument/2006/relationships/image" Target="media/image408.png"/><Relationship Id="rId473" Type="http://schemas.openxmlformats.org/officeDocument/2006/relationships/image" Target="media/image409.png"/><Relationship Id="rId474" Type="http://schemas.openxmlformats.org/officeDocument/2006/relationships/image" Target="media/image410.png"/><Relationship Id="rId475" Type="http://schemas.openxmlformats.org/officeDocument/2006/relationships/image" Target="media/image411.png"/><Relationship Id="rId476" Type="http://schemas.openxmlformats.org/officeDocument/2006/relationships/image" Target="media/image412.png"/><Relationship Id="rId477" Type="http://schemas.openxmlformats.org/officeDocument/2006/relationships/image" Target="media/image413.png"/><Relationship Id="rId478" Type="http://schemas.openxmlformats.org/officeDocument/2006/relationships/image" Target="media/image414.png"/><Relationship Id="rId479" Type="http://schemas.openxmlformats.org/officeDocument/2006/relationships/image" Target="media/image415.png"/><Relationship Id="rId480" Type="http://schemas.openxmlformats.org/officeDocument/2006/relationships/image" Target="media/image416.png"/><Relationship Id="rId481" Type="http://schemas.openxmlformats.org/officeDocument/2006/relationships/image" Target="media/image417.png"/><Relationship Id="rId482" Type="http://schemas.openxmlformats.org/officeDocument/2006/relationships/image" Target="media/image418.png"/><Relationship Id="rId483" Type="http://schemas.openxmlformats.org/officeDocument/2006/relationships/image" Target="media/image419.png"/><Relationship Id="rId484" Type="http://schemas.openxmlformats.org/officeDocument/2006/relationships/image" Target="media/image420.png"/><Relationship Id="rId485" Type="http://schemas.openxmlformats.org/officeDocument/2006/relationships/image" Target="media/image421.png"/><Relationship Id="rId486" Type="http://schemas.openxmlformats.org/officeDocument/2006/relationships/image" Target="media/image422.png"/><Relationship Id="rId487" Type="http://schemas.openxmlformats.org/officeDocument/2006/relationships/image" Target="media/image423.png"/><Relationship Id="rId488" Type="http://schemas.openxmlformats.org/officeDocument/2006/relationships/image" Target="media/image424.png"/><Relationship Id="rId489" Type="http://schemas.openxmlformats.org/officeDocument/2006/relationships/image" Target="media/image425.png"/><Relationship Id="rId490" Type="http://schemas.openxmlformats.org/officeDocument/2006/relationships/image" Target="media/image426.png"/><Relationship Id="rId491" Type="http://schemas.openxmlformats.org/officeDocument/2006/relationships/image" Target="media/image427.png"/><Relationship Id="rId492" Type="http://schemas.openxmlformats.org/officeDocument/2006/relationships/image" Target="media/image428.png"/><Relationship Id="rId493" Type="http://schemas.openxmlformats.org/officeDocument/2006/relationships/image" Target="media/image429.png"/><Relationship Id="rId494" Type="http://schemas.openxmlformats.org/officeDocument/2006/relationships/image" Target="media/image430.png"/><Relationship Id="rId495" Type="http://schemas.openxmlformats.org/officeDocument/2006/relationships/image" Target="media/image431.png"/><Relationship Id="rId496" Type="http://schemas.openxmlformats.org/officeDocument/2006/relationships/image" Target="media/image432.png"/><Relationship Id="rId497" Type="http://schemas.openxmlformats.org/officeDocument/2006/relationships/image" Target="media/image433.png"/><Relationship Id="rId498" Type="http://schemas.openxmlformats.org/officeDocument/2006/relationships/image" Target="media/image434.png"/><Relationship Id="rId499" Type="http://schemas.openxmlformats.org/officeDocument/2006/relationships/image" Target="media/image435.png"/><Relationship Id="rId500" Type="http://schemas.openxmlformats.org/officeDocument/2006/relationships/image" Target="media/image436.png"/><Relationship Id="rId501" Type="http://schemas.openxmlformats.org/officeDocument/2006/relationships/image" Target="media/image437.png"/><Relationship Id="rId502" Type="http://schemas.openxmlformats.org/officeDocument/2006/relationships/image" Target="media/image438.png"/><Relationship Id="rId503" Type="http://schemas.openxmlformats.org/officeDocument/2006/relationships/image" Target="media/image439.png"/><Relationship Id="rId504" Type="http://schemas.openxmlformats.org/officeDocument/2006/relationships/image" Target="media/image440.png"/><Relationship Id="rId505" Type="http://schemas.openxmlformats.org/officeDocument/2006/relationships/image" Target="media/image441.png"/><Relationship Id="rId506" Type="http://schemas.openxmlformats.org/officeDocument/2006/relationships/image" Target="media/image442.png"/><Relationship Id="rId507" Type="http://schemas.openxmlformats.org/officeDocument/2006/relationships/image" Target="media/image443.png"/><Relationship Id="rId508" Type="http://schemas.openxmlformats.org/officeDocument/2006/relationships/image" Target="media/image444.png"/><Relationship Id="rId509" Type="http://schemas.openxmlformats.org/officeDocument/2006/relationships/image" Target="media/image445.png"/><Relationship Id="rId510" Type="http://schemas.openxmlformats.org/officeDocument/2006/relationships/image" Target="media/image446.png"/><Relationship Id="rId511" Type="http://schemas.openxmlformats.org/officeDocument/2006/relationships/image" Target="media/image447.png"/><Relationship Id="rId512" Type="http://schemas.openxmlformats.org/officeDocument/2006/relationships/image" Target="media/image448.png"/><Relationship Id="rId513" Type="http://schemas.openxmlformats.org/officeDocument/2006/relationships/image" Target="media/image449.png"/><Relationship Id="rId514" Type="http://schemas.openxmlformats.org/officeDocument/2006/relationships/image" Target="media/image450.png"/><Relationship Id="rId515" Type="http://schemas.openxmlformats.org/officeDocument/2006/relationships/image" Target="media/image451.png"/><Relationship Id="rId516" Type="http://schemas.openxmlformats.org/officeDocument/2006/relationships/image" Target="media/image452.png"/><Relationship Id="rId517" Type="http://schemas.openxmlformats.org/officeDocument/2006/relationships/image" Target="media/image453.png"/><Relationship Id="rId518" Type="http://schemas.openxmlformats.org/officeDocument/2006/relationships/image" Target="media/image454.png"/><Relationship Id="rId519" Type="http://schemas.openxmlformats.org/officeDocument/2006/relationships/image" Target="media/image455.png"/><Relationship Id="rId520" Type="http://schemas.openxmlformats.org/officeDocument/2006/relationships/image" Target="media/image456.png"/><Relationship Id="rId521" Type="http://schemas.openxmlformats.org/officeDocument/2006/relationships/image" Target="media/image457.png"/><Relationship Id="rId522" Type="http://schemas.openxmlformats.org/officeDocument/2006/relationships/image" Target="media/image458.png"/><Relationship Id="rId523" Type="http://schemas.openxmlformats.org/officeDocument/2006/relationships/image" Target="media/image459.png"/><Relationship Id="rId524" Type="http://schemas.openxmlformats.org/officeDocument/2006/relationships/image" Target="media/image460.png"/><Relationship Id="rId525" Type="http://schemas.openxmlformats.org/officeDocument/2006/relationships/image" Target="media/image461.png"/><Relationship Id="rId526" Type="http://schemas.openxmlformats.org/officeDocument/2006/relationships/image" Target="media/image462.png"/><Relationship Id="rId527" Type="http://schemas.openxmlformats.org/officeDocument/2006/relationships/image" Target="media/image463.png"/><Relationship Id="rId528" Type="http://schemas.openxmlformats.org/officeDocument/2006/relationships/image" Target="media/image464.png"/><Relationship Id="rId529" Type="http://schemas.openxmlformats.org/officeDocument/2006/relationships/image" Target="media/image465.png"/><Relationship Id="rId530" Type="http://schemas.openxmlformats.org/officeDocument/2006/relationships/image" Target="media/image466.png"/><Relationship Id="rId531" Type="http://schemas.openxmlformats.org/officeDocument/2006/relationships/image" Target="media/image467.png"/><Relationship Id="rId532" Type="http://schemas.openxmlformats.org/officeDocument/2006/relationships/image" Target="media/image468.png"/><Relationship Id="rId533" Type="http://schemas.openxmlformats.org/officeDocument/2006/relationships/image" Target="media/image469.png"/><Relationship Id="rId534" Type="http://schemas.openxmlformats.org/officeDocument/2006/relationships/image" Target="media/image470.png"/><Relationship Id="rId535" Type="http://schemas.openxmlformats.org/officeDocument/2006/relationships/image" Target="media/image471.png"/><Relationship Id="rId536" Type="http://schemas.openxmlformats.org/officeDocument/2006/relationships/image" Target="media/image472.png"/><Relationship Id="rId537" Type="http://schemas.openxmlformats.org/officeDocument/2006/relationships/image" Target="media/image473.png"/><Relationship Id="rId538" Type="http://schemas.openxmlformats.org/officeDocument/2006/relationships/image" Target="media/image474.png"/><Relationship Id="rId539" Type="http://schemas.openxmlformats.org/officeDocument/2006/relationships/image" Target="media/image475.png"/><Relationship Id="rId540" Type="http://schemas.openxmlformats.org/officeDocument/2006/relationships/image" Target="media/image476.png"/><Relationship Id="rId541" Type="http://schemas.openxmlformats.org/officeDocument/2006/relationships/image" Target="media/image477.png"/><Relationship Id="rId542" Type="http://schemas.openxmlformats.org/officeDocument/2006/relationships/image" Target="media/image478.png"/><Relationship Id="rId543" Type="http://schemas.openxmlformats.org/officeDocument/2006/relationships/image" Target="media/image479.png"/><Relationship Id="rId544" Type="http://schemas.openxmlformats.org/officeDocument/2006/relationships/image" Target="media/image480.png"/><Relationship Id="rId545" Type="http://schemas.openxmlformats.org/officeDocument/2006/relationships/image" Target="media/image481.png"/><Relationship Id="rId546" Type="http://schemas.openxmlformats.org/officeDocument/2006/relationships/image" Target="media/image482.png"/><Relationship Id="rId547" Type="http://schemas.openxmlformats.org/officeDocument/2006/relationships/image" Target="media/image483.png"/><Relationship Id="rId548" Type="http://schemas.openxmlformats.org/officeDocument/2006/relationships/image" Target="media/image484.png"/><Relationship Id="rId549" Type="http://schemas.openxmlformats.org/officeDocument/2006/relationships/image" Target="media/image485.png"/><Relationship Id="rId550" Type="http://schemas.openxmlformats.org/officeDocument/2006/relationships/image" Target="media/image486.png"/><Relationship Id="rId551" Type="http://schemas.openxmlformats.org/officeDocument/2006/relationships/image" Target="media/image487.png"/><Relationship Id="rId552" Type="http://schemas.openxmlformats.org/officeDocument/2006/relationships/image" Target="media/image488.png"/><Relationship Id="rId553" Type="http://schemas.openxmlformats.org/officeDocument/2006/relationships/image" Target="media/image489.png"/><Relationship Id="rId554" Type="http://schemas.openxmlformats.org/officeDocument/2006/relationships/image" Target="media/image490.png"/><Relationship Id="rId555" Type="http://schemas.openxmlformats.org/officeDocument/2006/relationships/image" Target="media/image491.png"/><Relationship Id="rId556" Type="http://schemas.openxmlformats.org/officeDocument/2006/relationships/image" Target="media/image492.png"/><Relationship Id="rId557" Type="http://schemas.openxmlformats.org/officeDocument/2006/relationships/image" Target="media/image493.png"/><Relationship Id="rId558" Type="http://schemas.openxmlformats.org/officeDocument/2006/relationships/image" Target="media/image494.png"/><Relationship Id="rId559" Type="http://schemas.openxmlformats.org/officeDocument/2006/relationships/image" Target="media/image495.png"/><Relationship Id="rId560" Type="http://schemas.openxmlformats.org/officeDocument/2006/relationships/image" Target="media/image496.png"/><Relationship Id="rId561" Type="http://schemas.openxmlformats.org/officeDocument/2006/relationships/image" Target="media/image497.png"/><Relationship Id="rId562" Type="http://schemas.openxmlformats.org/officeDocument/2006/relationships/image" Target="media/image498.png"/><Relationship Id="rId563" Type="http://schemas.openxmlformats.org/officeDocument/2006/relationships/image" Target="media/image499.png"/><Relationship Id="rId564" Type="http://schemas.openxmlformats.org/officeDocument/2006/relationships/image" Target="media/image500.png"/><Relationship Id="rId565" Type="http://schemas.openxmlformats.org/officeDocument/2006/relationships/image" Target="media/image501.png"/><Relationship Id="rId566" Type="http://schemas.openxmlformats.org/officeDocument/2006/relationships/image" Target="media/image502.png"/><Relationship Id="rId567" Type="http://schemas.openxmlformats.org/officeDocument/2006/relationships/image" Target="media/image503.png"/><Relationship Id="rId568" Type="http://schemas.openxmlformats.org/officeDocument/2006/relationships/image" Target="media/image504.png"/><Relationship Id="rId569" Type="http://schemas.openxmlformats.org/officeDocument/2006/relationships/image" Target="media/image505.png"/><Relationship Id="rId570" Type="http://schemas.openxmlformats.org/officeDocument/2006/relationships/image" Target="media/image506.png"/><Relationship Id="rId571" Type="http://schemas.openxmlformats.org/officeDocument/2006/relationships/image" Target="media/image507.png"/><Relationship Id="rId572" Type="http://schemas.openxmlformats.org/officeDocument/2006/relationships/image" Target="media/image508.png"/><Relationship Id="rId573" Type="http://schemas.openxmlformats.org/officeDocument/2006/relationships/image" Target="media/image509.png"/><Relationship Id="rId574" Type="http://schemas.openxmlformats.org/officeDocument/2006/relationships/image" Target="media/image510.png"/><Relationship Id="rId575" Type="http://schemas.openxmlformats.org/officeDocument/2006/relationships/image" Target="media/image511.png"/><Relationship Id="rId576" Type="http://schemas.openxmlformats.org/officeDocument/2006/relationships/image" Target="media/image512.png"/><Relationship Id="rId577" Type="http://schemas.openxmlformats.org/officeDocument/2006/relationships/image" Target="media/image513.png"/><Relationship Id="rId578" Type="http://schemas.openxmlformats.org/officeDocument/2006/relationships/image" Target="media/image514.png"/><Relationship Id="rId579" Type="http://schemas.openxmlformats.org/officeDocument/2006/relationships/image" Target="media/image515.png"/><Relationship Id="rId580" Type="http://schemas.openxmlformats.org/officeDocument/2006/relationships/image" Target="media/image516.png"/><Relationship Id="rId581" Type="http://schemas.openxmlformats.org/officeDocument/2006/relationships/image" Target="media/image517.png"/><Relationship Id="rId582" Type="http://schemas.openxmlformats.org/officeDocument/2006/relationships/image" Target="media/image518.png"/><Relationship Id="rId583" Type="http://schemas.openxmlformats.org/officeDocument/2006/relationships/image" Target="media/image519.png"/><Relationship Id="rId584" Type="http://schemas.openxmlformats.org/officeDocument/2006/relationships/image" Target="media/image520.png"/><Relationship Id="rId585" Type="http://schemas.openxmlformats.org/officeDocument/2006/relationships/image" Target="media/image521.png"/><Relationship Id="rId586" Type="http://schemas.openxmlformats.org/officeDocument/2006/relationships/image" Target="media/image522.png"/><Relationship Id="rId587" Type="http://schemas.openxmlformats.org/officeDocument/2006/relationships/image" Target="media/image523.png"/><Relationship Id="rId588" Type="http://schemas.openxmlformats.org/officeDocument/2006/relationships/image" Target="media/image524.png"/><Relationship Id="rId589" Type="http://schemas.openxmlformats.org/officeDocument/2006/relationships/image" Target="media/image525.png"/><Relationship Id="rId590" Type="http://schemas.openxmlformats.org/officeDocument/2006/relationships/image" Target="media/image526.png"/><Relationship Id="rId591" Type="http://schemas.openxmlformats.org/officeDocument/2006/relationships/image" Target="media/image527.png"/><Relationship Id="rId592" Type="http://schemas.openxmlformats.org/officeDocument/2006/relationships/image" Target="media/image528.png"/><Relationship Id="rId593" Type="http://schemas.openxmlformats.org/officeDocument/2006/relationships/image" Target="media/image529.png"/><Relationship Id="rId594" Type="http://schemas.openxmlformats.org/officeDocument/2006/relationships/image" Target="media/image530.png"/><Relationship Id="rId595" Type="http://schemas.openxmlformats.org/officeDocument/2006/relationships/image" Target="media/image531.png"/><Relationship Id="rId596" Type="http://schemas.openxmlformats.org/officeDocument/2006/relationships/image" Target="media/image532.png"/><Relationship Id="rId597" Type="http://schemas.openxmlformats.org/officeDocument/2006/relationships/image" Target="media/image533.png"/><Relationship Id="rId598" Type="http://schemas.openxmlformats.org/officeDocument/2006/relationships/image" Target="media/image534.png"/><Relationship Id="rId599" Type="http://schemas.openxmlformats.org/officeDocument/2006/relationships/image" Target="media/image535.png"/><Relationship Id="rId600" Type="http://schemas.openxmlformats.org/officeDocument/2006/relationships/image" Target="media/image536.png"/><Relationship Id="rId601" Type="http://schemas.openxmlformats.org/officeDocument/2006/relationships/image" Target="media/image537.png"/><Relationship Id="rId602" Type="http://schemas.openxmlformats.org/officeDocument/2006/relationships/image" Target="media/image538.png"/><Relationship Id="rId603" Type="http://schemas.openxmlformats.org/officeDocument/2006/relationships/image" Target="media/image539.png"/><Relationship Id="rId604" Type="http://schemas.openxmlformats.org/officeDocument/2006/relationships/image" Target="media/image540.png"/><Relationship Id="rId605" Type="http://schemas.openxmlformats.org/officeDocument/2006/relationships/image" Target="media/image541.png"/><Relationship Id="rId606" Type="http://schemas.openxmlformats.org/officeDocument/2006/relationships/image" Target="media/image542.png"/><Relationship Id="rId607" Type="http://schemas.openxmlformats.org/officeDocument/2006/relationships/image" Target="media/image543.png"/><Relationship Id="rId608" Type="http://schemas.openxmlformats.org/officeDocument/2006/relationships/image" Target="media/image544.png"/><Relationship Id="rId609" Type="http://schemas.openxmlformats.org/officeDocument/2006/relationships/image" Target="media/image545.png"/><Relationship Id="rId610" Type="http://schemas.openxmlformats.org/officeDocument/2006/relationships/image" Target="media/image546.png"/><Relationship Id="rId611" Type="http://schemas.openxmlformats.org/officeDocument/2006/relationships/image" Target="media/image547.png"/><Relationship Id="rId612" Type="http://schemas.openxmlformats.org/officeDocument/2006/relationships/image" Target="media/image548.png"/><Relationship Id="rId613" Type="http://schemas.openxmlformats.org/officeDocument/2006/relationships/image" Target="media/image549.png"/><Relationship Id="rId614" Type="http://schemas.openxmlformats.org/officeDocument/2006/relationships/image" Target="media/image550.png"/><Relationship Id="rId615" Type="http://schemas.openxmlformats.org/officeDocument/2006/relationships/image" Target="media/image551.png"/><Relationship Id="rId616" Type="http://schemas.openxmlformats.org/officeDocument/2006/relationships/image" Target="media/image552.png"/><Relationship Id="rId617" Type="http://schemas.openxmlformats.org/officeDocument/2006/relationships/image" Target="media/image553.png"/><Relationship Id="rId618" Type="http://schemas.openxmlformats.org/officeDocument/2006/relationships/image" Target="media/image554.png"/><Relationship Id="rId619" Type="http://schemas.openxmlformats.org/officeDocument/2006/relationships/image" Target="media/image555.png"/><Relationship Id="rId620" Type="http://schemas.openxmlformats.org/officeDocument/2006/relationships/image" Target="media/image556.png"/><Relationship Id="rId621" Type="http://schemas.openxmlformats.org/officeDocument/2006/relationships/image" Target="media/image557.png"/><Relationship Id="rId622" Type="http://schemas.openxmlformats.org/officeDocument/2006/relationships/image" Target="media/image558.png"/><Relationship Id="rId623" Type="http://schemas.openxmlformats.org/officeDocument/2006/relationships/image" Target="media/image559.png"/><Relationship Id="rId624" Type="http://schemas.openxmlformats.org/officeDocument/2006/relationships/image" Target="media/image560.png"/><Relationship Id="rId625" Type="http://schemas.openxmlformats.org/officeDocument/2006/relationships/image" Target="media/image561.png"/><Relationship Id="rId626" Type="http://schemas.openxmlformats.org/officeDocument/2006/relationships/image" Target="media/image562.png"/><Relationship Id="rId627" Type="http://schemas.openxmlformats.org/officeDocument/2006/relationships/image" Target="media/image563.png"/><Relationship Id="rId628" Type="http://schemas.openxmlformats.org/officeDocument/2006/relationships/image" Target="media/image564.png"/><Relationship Id="rId629" Type="http://schemas.openxmlformats.org/officeDocument/2006/relationships/image" Target="media/image565.png"/><Relationship Id="rId630" Type="http://schemas.openxmlformats.org/officeDocument/2006/relationships/image" Target="media/image566.png"/><Relationship Id="rId631" Type="http://schemas.openxmlformats.org/officeDocument/2006/relationships/image" Target="media/image567.png"/><Relationship Id="rId632" Type="http://schemas.openxmlformats.org/officeDocument/2006/relationships/image" Target="media/image568.png"/><Relationship Id="rId633" Type="http://schemas.openxmlformats.org/officeDocument/2006/relationships/image" Target="media/image569.png"/><Relationship Id="rId634" Type="http://schemas.openxmlformats.org/officeDocument/2006/relationships/image" Target="media/image570.png"/><Relationship Id="rId635" Type="http://schemas.openxmlformats.org/officeDocument/2006/relationships/image" Target="media/image571.png"/><Relationship Id="rId636" Type="http://schemas.openxmlformats.org/officeDocument/2006/relationships/image" Target="media/image572.png"/><Relationship Id="rId637" Type="http://schemas.openxmlformats.org/officeDocument/2006/relationships/image" Target="media/image573.png"/><Relationship Id="rId638" Type="http://schemas.openxmlformats.org/officeDocument/2006/relationships/image" Target="media/image574.png"/><Relationship Id="rId639" Type="http://schemas.openxmlformats.org/officeDocument/2006/relationships/image" Target="media/image575.png"/><Relationship Id="rId640" Type="http://schemas.openxmlformats.org/officeDocument/2006/relationships/image" Target="media/image576.png"/><Relationship Id="rId641" Type="http://schemas.openxmlformats.org/officeDocument/2006/relationships/image" Target="media/image577.png"/><Relationship Id="rId642" Type="http://schemas.openxmlformats.org/officeDocument/2006/relationships/image" Target="media/image578.png"/><Relationship Id="rId643" Type="http://schemas.openxmlformats.org/officeDocument/2006/relationships/image" Target="media/image579.png"/><Relationship Id="rId644" Type="http://schemas.openxmlformats.org/officeDocument/2006/relationships/image" Target="media/image580.png"/><Relationship Id="rId645" Type="http://schemas.openxmlformats.org/officeDocument/2006/relationships/image" Target="media/image581.png"/><Relationship Id="rId646" Type="http://schemas.openxmlformats.org/officeDocument/2006/relationships/image" Target="media/image582.png"/><Relationship Id="rId647" Type="http://schemas.openxmlformats.org/officeDocument/2006/relationships/image" Target="media/image583.png"/><Relationship Id="rId648" Type="http://schemas.openxmlformats.org/officeDocument/2006/relationships/image" Target="media/image584.png"/><Relationship Id="rId649" Type="http://schemas.openxmlformats.org/officeDocument/2006/relationships/image" Target="media/image585.png"/><Relationship Id="rId650" Type="http://schemas.openxmlformats.org/officeDocument/2006/relationships/image" Target="media/image586.png"/><Relationship Id="rId651" Type="http://schemas.openxmlformats.org/officeDocument/2006/relationships/image" Target="media/image587.png"/><Relationship Id="rId652" Type="http://schemas.openxmlformats.org/officeDocument/2006/relationships/image" Target="media/image588.png"/><Relationship Id="rId653" Type="http://schemas.openxmlformats.org/officeDocument/2006/relationships/image" Target="media/image589.png"/><Relationship Id="rId654" Type="http://schemas.openxmlformats.org/officeDocument/2006/relationships/image" Target="media/image590.png"/><Relationship Id="rId655" Type="http://schemas.openxmlformats.org/officeDocument/2006/relationships/image" Target="media/image591.png"/><Relationship Id="rId656" Type="http://schemas.openxmlformats.org/officeDocument/2006/relationships/image" Target="media/image592.png"/><Relationship Id="rId657" Type="http://schemas.openxmlformats.org/officeDocument/2006/relationships/image" Target="media/image593.png"/><Relationship Id="rId658" Type="http://schemas.openxmlformats.org/officeDocument/2006/relationships/image" Target="media/image594.png"/><Relationship Id="rId659" Type="http://schemas.openxmlformats.org/officeDocument/2006/relationships/image" Target="media/image595.png"/><Relationship Id="rId660" Type="http://schemas.openxmlformats.org/officeDocument/2006/relationships/image" Target="media/image596.png"/><Relationship Id="rId661" Type="http://schemas.openxmlformats.org/officeDocument/2006/relationships/image" Target="media/image597.png"/><Relationship Id="rId111" Type="http://schemas.openxmlformats.org/officeDocument/2006/relationships/hyperlink" Target="https://www.sec.gov/Archives/edgar/data/0000899460/000119312525186994/d931701dex21.htm" TargetMode="External"/><Relationship Id="rId112" Type="http://schemas.openxmlformats.org/officeDocument/2006/relationships/hyperlink" Target="https://www.sec.gov/Archives/edgar/data/899460/000119312516676980/d225552dex31.htm" TargetMode="External"/><Relationship Id="rId113" Type="http://schemas.openxmlformats.org/officeDocument/2006/relationships/hyperlink" Target="https://www.sec.gov/Archives/edgar/data/899460/000119312517066630/d313758dex31.htm" TargetMode="External"/><Relationship Id="rId114" Type="http://schemas.openxmlformats.org/officeDocument/2006/relationships/hyperlink" Target="https://www.sec.gov/Archives/edgar/data/899460/000119312517368329/d511527dex31.htm" TargetMode="External"/><Relationship Id="rId115" Type="http://schemas.openxmlformats.org/officeDocument/2006/relationships/hyperlink" Target="https://www.sec.gov/Archives/edgar/data/899460/000119312520153051/d936164dex31.htm" TargetMode="External"/><Relationship Id="rId116" Type="http://schemas.openxmlformats.org/officeDocument/2006/relationships/hyperlink" Target="https://www.sec.gov/Archives/edgar/data/899460/000119312523156575/d473553dex31.htm" TargetMode="External"/><Relationship Id="rId117" Type="http://schemas.openxmlformats.org/officeDocument/2006/relationships/hyperlink" Target="https://www.sec.gov/Archives/edgar/data/899460/000119312520153051/d936164dex32.htm" TargetMode="External"/><Relationship Id="rId118" Type="http://schemas.openxmlformats.org/officeDocument/2006/relationships/hyperlink" Target="https://www.sec.gov/Archives/edgar/data/899460/000119312517085519/d305327dex42.htm" TargetMode="External"/><Relationship Id="rId119" Type="http://schemas.openxmlformats.org/officeDocument/2006/relationships/hyperlink" Target="https://www.sec.gov/Archives/edgar/data/899460/000095017024021423/mnkd-ex4_3.htm" TargetMode="External"/><Relationship Id="rId120" Type="http://schemas.openxmlformats.org/officeDocument/2006/relationships/hyperlink" Target="https://www.sec.gov/Archives/edgar/data/899460/000119312513279522/d562665dex993.htm" TargetMode="External"/><Relationship Id="rId123" Type="http://schemas.openxmlformats.org/officeDocument/2006/relationships/hyperlink" Target="https://www.sec.gov/Archives/edgar/data/899460/000119312519215305/d757696dex41.htm" TargetMode="External"/><Relationship Id="rId124" Type="http://schemas.openxmlformats.org/officeDocument/2006/relationships/hyperlink" Target="https://www.sec.gov/Archives/edgar/data/899460/000119312521070265/d45565dex41.htm" TargetMode="External"/><Relationship Id="rId125" Type="http://schemas.openxmlformats.org/officeDocument/2006/relationships/hyperlink" Target="https://www.sec.gov/Archives/edgar/data/899460/000119312521070265/d45565dex41.htm#exa" TargetMode="External"/><Relationship Id="rId126" Type="http://schemas.openxmlformats.org/officeDocument/2006/relationships/hyperlink" Target="https://www.sec.gov/Archives/edgar/data/899460/000119312524077611/d819834dex101.htm" TargetMode="External"/><Relationship Id="rId127" Type="http://schemas.openxmlformats.org/officeDocument/2006/relationships/hyperlink" Target="https://www.sec.gov/Archives/edgar/data/899460/000119312516505366/d107849dex1038.htm" TargetMode="External"/><Relationship Id="rId128" Type="http://schemas.openxmlformats.org/officeDocument/2006/relationships/hyperlink" Target="https://www.sec.gov/Archives/edgar/data/899460/000119312517085519/d305327dex1036.htm" TargetMode="External"/><Relationship Id="rId129" Type="http://schemas.openxmlformats.org/officeDocument/2006/relationships/hyperlink" Target="https://www.sec.gov/Archives/edgar/data/899460/000095017024021423/mnkd-ex10_4.htm" TargetMode="External"/><Relationship Id="rId130" Type="http://schemas.openxmlformats.org/officeDocument/2006/relationships/hyperlink" Target="https://www.sec.gov/Archives/edgar/data/899460/000095012407005167/v34640aexv99w1.htm" TargetMode="External"/><Relationship Id="rId131" Type="http://schemas.openxmlformats.org/officeDocument/2006/relationships/hyperlink" Target="https://www.sec.gov/Archives/edgar/data/899460/000095014804000827/v98169orexv10w1.txt" TargetMode="External"/><Relationship Id="rId132" Type="http://schemas.openxmlformats.org/officeDocument/2006/relationships/hyperlink" Target="https://www.sec.gov/Archives/edgar/data/899460/000119312517116178/d350284dex991.htm" TargetMode="External"/><Relationship Id="rId133" Type="http://schemas.openxmlformats.org/officeDocument/2006/relationships/hyperlink" Target="https://www.sec.gov/Archives/edgar/data/0000899460/000095017025066429/mnkd-ex10_1.htm" TargetMode="External"/><Relationship Id="rId134" Type="http://schemas.openxmlformats.org/officeDocument/2006/relationships/hyperlink" Target="https://www.sec.gov/Archives/edgar/data/899460/000119312516676980/d225552dex101.htm" TargetMode="External"/><Relationship Id="rId135" Type="http://schemas.openxmlformats.org/officeDocument/2006/relationships/hyperlink" Target="https://www.sec.gov/Archives/edgar/data/899460/000119312513232988/d543380dex992.htm" TargetMode="External"/><Relationship Id="rId136" Type="http://schemas.openxmlformats.org/officeDocument/2006/relationships/hyperlink" Target="https://www.sec.gov/Archives/edgar/data/899460/000119312513232988/d543380dex993.htm" TargetMode="External"/><Relationship Id="rId137" Type="http://schemas.openxmlformats.org/officeDocument/2006/relationships/hyperlink" Target="https://www.sec.gov/Archives/edgar/data/899460/000119312523219188/d860669dex991.htm" TargetMode="External"/><Relationship Id="rId138" Type="http://schemas.openxmlformats.org/officeDocument/2006/relationships/hyperlink" Target="https://www.sec.gov/Archives/edgar/data/899460/000119312518241209/d576776dex992.htm" TargetMode="External"/><Relationship Id="rId139" Type="http://schemas.openxmlformats.org/officeDocument/2006/relationships/hyperlink" Target="https://www.sec.gov/Archives/edgar/data/899460/000119312518241209/d576776dex993.htm" TargetMode="External"/><Relationship Id="rId140" Type="http://schemas.openxmlformats.org/officeDocument/2006/relationships/hyperlink" Target="https://www.sec.gov/Archives/edgar/data/899460/000119312523219188/d860669dex992.htm" TargetMode="External"/><Relationship Id="rId141" Type="http://schemas.openxmlformats.org/officeDocument/2006/relationships/hyperlink" Target="https://www.sec.gov/Archives/edgar/data/899460/000119312518183644/d578515dex991.htm" TargetMode="External"/><Relationship Id="rId144" Type="http://schemas.openxmlformats.org/officeDocument/2006/relationships/hyperlink" Target="https://www.sec.gov/Archives/edgar/data/899460/000156459021008440/mnkd-ex1023_161.htm" TargetMode="External"/><Relationship Id="rId145" Type="http://schemas.openxmlformats.org/officeDocument/2006/relationships/hyperlink" Target="https://www.sec.gov/Archives/edgar/data/899460/000119312517085519/d305327dex1032.htm" TargetMode="External"/><Relationship Id="rId146" Type="http://schemas.openxmlformats.org/officeDocument/2006/relationships/hyperlink" Target="https://www.sec.gov/Archives/edgar/data/899460/000095017024123296/mnkd-ex10_1.htm" TargetMode="External"/><Relationship Id="rId147" Type="http://schemas.openxmlformats.org/officeDocument/2006/relationships/hyperlink" Target="https://www.sec.gov/Archives/edgar/data/899460/000095017024123296/mnkd-ex10_2.htm" TargetMode="External"/><Relationship Id="rId148" Type="http://schemas.openxmlformats.org/officeDocument/2006/relationships/hyperlink" Target="https://www.sec.gov/Archives/edgar/data/899460/000156459019004263/mnkd-ex1050_1079.htm" TargetMode="External"/><Relationship Id="rId149" Type="http://schemas.openxmlformats.org/officeDocument/2006/relationships/hyperlink" Target="https://www.sec.gov/Archives/edgar/data/899460/000119312519215305/d757696dex995.htm" TargetMode="External"/><Relationship Id="rId150" Type="http://schemas.openxmlformats.org/officeDocument/2006/relationships/hyperlink" Target="https://www.sec.gov/Archives/edgar/data/0000899460/000119312521171623/d153193dex991.htm" TargetMode="External"/><Relationship Id="rId151" Type="http://schemas.openxmlformats.org/officeDocument/2006/relationships/hyperlink" Target="https://www.sec.gov/Archives/edgar/data/899460/000119312523303995/d57247dex991.htm" TargetMode="External"/><Relationship Id="rId152" Type="http://schemas.openxmlformats.org/officeDocument/2006/relationships/hyperlink" Target="https://www.sec.gov/Archives/edgar/data/899460/000119312517249866/d412831dex103.htm" TargetMode="External"/><Relationship Id="rId153" Type="http://schemas.openxmlformats.org/officeDocument/2006/relationships/hyperlink" Target="https://www.sec.gov/Archives/edgar/data/899460/000156459022018245/mnkd-ex101_339.htm" TargetMode="External"/><Relationship Id="rId154" Type="http://schemas.openxmlformats.org/officeDocument/2006/relationships/hyperlink" Target="https://www.sec.gov/Archives/edgar/data/0000899460/000095017025111586/mnkd-ex10_1.htm" TargetMode="External"/><Relationship Id="rId158" Type="http://schemas.openxmlformats.org/officeDocument/2006/relationships/hyperlink" Target="https://www.sec.gov/Archives/edgar/data/899460/000095017024123296/mnkd-ex10_3.htm" TargetMode="External"/><Relationship Id="rId162" Type="http://schemas.openxmlformats.org/officeDocument/2006/relationships/hyperlink" Target="https://www.sec.gov/Archives/edgar/data/899460/000156459021055727/mnkd-ex101_251.htm" TargetMode="External"/><Relationship Id="rId163" Type="http://schemas.openxmlformats.org/officeDocument/2006/relationships/hyperlink" Target="https://www.sec.gov/Archives/edgar/data/899460/000156459021055727/mnkd-ex102_250.htm" TargetMode="External"/><Relationship Id="rId167" Type="http://schemas.openxmlformats.org/officeDocument/2006/relationships/hyperlink" Target="https://www.sec.gov/Archives/edgar/data/899460/000156459023002309/mnkd-ex1049_458.htm" TargetMode="External"/><Relationship Id="rId171" Type="http://schemas.openxmlformats.org/officeDocument/2006/relationships/hyperlink" Target="https://www.sec.gov/Archives/edgar/data/899460/000156459023002309/mnkd-ex1050_456.htm" TargetMode="External"/><Relationship Id="rId175" Type="http://schemas.openxmlformats.org/officeDocument/2006/relationships/hyperlink" Target="https://www.sec.gov/Archives/edgar/data/899460/000156459023002309/mnkd-ex1051_457.htm" TargetMode="External"/><Relationship Id="rId179" Type="http://schemas.openxmlformats.org/officeDocument/2006/relationships/hyperlink" Target="https://www.sec.gov/Archives/edgar/data/899460/000095017025066429/mnkd-ex10_2.htm" TargetMode="External"/><Relationship Id="rId183" Type="http://schemas.openxmlformats.org/officeDocument/2006/relationships/hyperlink" Target="https://www.sec.gov/Archives/edgar/data/0000899460/000095017025066429/mnkd-ex10_3.htm" TargetMode="External"/><Relationship Id="rId189" Type="http://schemas.openxmlformats.org/officeDocument/2006/relationships/hyperlink" Target="https://www.sec.gov/Archives/edgar/data/899460/000156459021055727/mnkd-ex103_410.htm" TargetMode="External"/><Relationship Id="rId192" Type="http://schemas.openxmlformats.org/officeDocument/2006/relationships/hyperlink" Target="https://www.sec.gov/Archives/edgar/data/899460/000119312524000161/d575512dex991.htm" TargetMode="External"/><Relationship Id="rId196" Type="http://schemas.openxmlformats.org/officeDocument/2006/relationships/hyperlink" Target="https://www.sec.gov/Archives/edgar/data/899460/000156459023002309/mnkd-ex1052_455.htm" TargetMode="External"/><Relationship Id="rId199" Type="http://schemas.openxmlformats.org/officeDocument/2006/relationships/hyperlink" Target="https://www.sec.gov/Archives/edgar/data/899460/000156459023002309/mnkd-ex1053_454.htm" TargetMode="External"/><Relationship Id="rId202" Type="http://schemas.openxmlformats.org/officeDocument/2006/relationships/hyperlink" Target="https://www.sec.gov/Archives/edgar/data/0000899460/000095017025103535/mnkd-ex10_2.htm" TargetMode="External"/><Relationship Id="rId206" Type="http://schemas.openxmlformats.org/officeDocument/2006/relationships/hyperlink" Target="https://www.sec.gov/Archives/edgar/data/0000899460/000119312525186994/d931701dex102.htm" TargetMode="External"/><Relationship Id="rId211" Type="http://schemas.openxmlformats.org/officeDocument/2006/relationships/hyperlink" Target="https://www.sec.gov/Archives/edgar/data/0000899460/000119312525236064/d63266dex101.htm" TargetMode="External"/><Relationship Id="rId215" Type="http://schemas.openxmlformats.org/officeDocument/2006/relationships/hyperlink" Target="https://www.sec.gov/Archives/edgar/data/0000899460/000095017025027735/mnkd-ex19_1.htm" TargetMode="External"/><Relationship Id="rId228" Type="http://schemas.openxmlformats.org/officeDocument/2006/relationships/hyperlink" Target="https://www.sec.gov/Archives/edgar/data/899460/000095017024021423/mnkd-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2026-02-26T07:20:24Z</dcterms:created>
  <dcterms:modified xsi:type="dcterms:W3CDTF">2026-02-26T07:20:24Z</dcterms:modified>
</cp:coreProperties>
</file>