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Prentiss Christopher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CASPER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DANBURY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MANNKIND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MNKD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933"/>
        <w:gridCol w:w="456"/>
        <w:gridCol w:w="671"/>
        <w:gridCol w:w="1198"/>
        <w:gridCol w:w="1000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11,572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4.09</w:t>
            </w:r>
            <w:r>
              <w:rPr/>
              <w:t xml:space="preserve"> 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329,343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10,675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4.09</w:t>
            </w:r>
            <w:r>
              <w:rPr/>
              <w:t xml:space="preserve"> 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318,668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Payment of exercise price or tax liability by delivering or withholding securities incident to the receipt, exercise or vesting of a security issued in accordance with Rule 16b-3 incident to the vesting of previously reported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1,991 shares acquired under the Issuer's Employee Stock Purchase Plan on June 30,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Prentiss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7583" TargetMode="External"/><Relationship Id="rId5" Type="http://schemas.openxmlformats.org/officeDocument/2006/relationships/hyperlink" Target="http://www.sec.gov/cgi-bin/browse-edgar?action=getcompany&amp;CIK=00008994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627</Words>
  <Characters>3412</Characters>
  <CharactersWithSpaces>3974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