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000" w:val="left"/>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6540" w:type="dxa"/>
            <w:vAlign w:val="bottom"/>
          </w:tcPr>
          <w:p>
            <w:pPr>
              <w:jc w:val="center"/>
              <w:ind w:right="3670"/>
              <w:spacing w:after="0"/>
              <w:rPr>
                <w:sz w:val="20"/>
                <w:szCs w:val="20"/>
                <w:color w:val="auto"/>
              </w:rPr>
            </w:pPr>
            <w:r>
              <w:rPr>
                <w:rFonts w:ascii="Arial" w:cs="Arial" w:eastAsia="Arial" w:hAnsi="Arial"/>
                <w:sz w:val="18"/>
                <w:szCs w:val="18"/>
                <w:i w:val="1"/>
                <w:iCs w:val="1"/>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6540" w:type="dxa"/>
            <w:vAlign w:val="bottom"/>
          </w:tcPr>
          <w:p>
            <w:pPr>
              <w:jc w:val="center"/>
              <w:ind w:right="3650"/>
              <w:spacing w:after="0"/>
              <w:rPr>
                <w:sz w:val="20"/>
                <w:szCs w:val="20"/>
                <w:color w:val="auto"/>
              </w:rPr>
            </w:pPr>
            <w:r>
              <w:rPr>
                <w:rFonts w:ascii="Arial" w:cs="Arial" w:eastAsia="Arial" w:hAnsi="Arial"/>
                <w:sz w:val="18"/>
                <w:szCs w:val="18"/>
                <w:b w:val="1"/>
                <w:bCs w:val="1"/>
                <w:color w:val="auto"/>
                <w:w w:val="90"/>
              </w:rPr>
              <w:t>28903 North Avenue Paine</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20"/>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2"/>
              </w:rPr>
              <w:t>Valencia, California</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spacing w:after="0"/>
              <w:rPr>
                <w:sz w:val="20"/>
                <w:szCs w:val="20"/>
                <w:color w:val="auto"/>
              </w:rPr>
            </w:pPr>
          </w:p>
        </w:tc>
      </w:tr>
      <w:tr>
        <w:trPr>
          <w:trHeight w:val="414"/>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(661) 775-5300</w:t>
            </w:r>
          </w:p>
        </w:tc>
        <w:tc>
          <w:tcPr>
            <w:tcW w:w="1540" w:type="dxa"/>
            <w:vAlign w:val="bottom"/>
          </w:tcPr>
          <w:p>
            <w:pPr>
              <w:spacing w:after="0"/>
              <w:rPr>
                <w:sz w:val="24"/>
                <w:szCs w:val="24"/>
                <w:color w:val="auto"/>
              </w:rPr>
            </w:pPr>
          </w:p>
        </w:tc>
      </w:tr>
      <w:tr>
        <w:trPr>
          <w:trHeight w:val="234"/>
        </w:trPr>
        <w:tc>
          <w:tcPr>
            <w:tcW w:w="654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94" w:lineRule="exact"/>
        <w:rPr>
          <w:sz w:val="20"/>
          <w:szCs w:val="20"/>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122" w:right="379" w:bottom="1440" w:gutter="0" w:footer="0" w:header="0"/>
        </w:sectPr>
      </w:pPr>
    </w:p>
    <w:p>
      <w:pPr>
        <w:spacing w:after="0" w:line="14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380" w:space="720"/>
            <w:col w:w="1480" w:space="720"/>
            <w:col w:w="3340" w:space="500"/>
            <w:col w:w="2140"/>
          </w:cols>
          <w:pgMar w:left="240" w:top="122" w:right="3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7860" w:space="280"/>
            <w:col w:w="3140"/>
          </w:cols>
          <w:pgMar w:left="240" w:top="122" w:right="379" w:bottom="1440" w:gutter="0" w:footer="0" w:header="0"/>
          <w:type w:val="continuous"/>
        </w:sectPr>
      </w:pPr>
    </w:p>
    <w:p>
      <w:pPr>
        <w:spacing w:after="0"/>
        <w:rPr>
          <w:sz w:val="20"/>
          <w:szCs w:val="20"/>
          <w:color w:val="auto"/>
        </w:rPr>
      </w:pPr>
      <w:r>
        <w:rPr>
          <w:rFonts w:ascii="Arial" w:cs="Arial" w:eastAsia="Arial" w:hAnsi="Arial"/>
          <w:sz w:val="16"/>
          <w:szCs w:val="16"/>
          <w:color w:val="auto"/>
        </w:rPr>
        <w:t>As of October 31, 2008 there were 101,714,494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40" w:type="dxa"/>
            <w:vAlign w:val="bottom"/>
            <w:gridSpan w:val="10"/>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54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2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Balance Sheets: September 30, 2008 and December 31, 2007</w:t>
              </w:r>
            </w:hyperlink>
          </w:p>
        </w:tc>
        <w:tc>
          <w:tcPr>
            <w:tcW w:w="528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9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Operations: Three and nine months ended September 30, 2008 and 2007 and the period from February 14, 1991</w:t>
              </w:r>
            </w:hyperlink>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3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(date of inception) to September 30, 2008</w:t>
              </w:r>
            </w:hyperlink>
          </w:p>
        </w:tc>
        <w:tc>
          <w:tcPr>
            <w:tcW w:w="73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540" w:type="dxa"/>
            <w:vAlign w:val="bottom"/>
            <w:gridSpan w:val="22"/>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Statements of Cash Flows: Nine months ended September 30, 2008 and 2007 and the period from February 14, 1991 (date of</w:t>
              </w:r>
            </w:hyperlink>
          </w:p>
        </w:tc>
        <w:tc>
          <w:tcPr>
            <w:tcW w:w="78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inception) to September 30, 2008</w:t>
              </w:r>
            </w:hyperlink>
          </w:p>
        </w:tc>
        <w:tc>
          <w:tcPr>
            <w:tcW w:w="7240" w:type="dxa"/>
            <w:vAlign w:val="bottom"/>
            <w:tcBorders>
              <w:top w:val="single" w:sz="8" w:color="0000EE"/>
            </w:tcBorders>
            <w:gridSpan w:val="10"/>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5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540" w:type="dxa"/>
            <w:vAlign w:val="bottom"/>
            <w:gridSpan w:val="2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5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Item 4. Controls and Procedures</w:t>
              </w:r>
            </w:hyperlink>
          </w:p>
        </w:tc>
        <w:tc>
          <w:tcPr>
            <w:tcW w:w="820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54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79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Item 1A. Risk Factors</w:t>
              </w:r>
            </w:hyperlink>
          </w:p>
        </w:tc>
        <w:tc>
          <w:tcPr>
            <w:tcW w:w="894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2. Unregistered Sales of Equity Securities and Use of Proceeds</w:t>
              </w:r>
            </w:hyperlink>
          </w:p>
        </w:tc>
        <w:tc>
          <w:tcPr>
            <w:tcW w:w="562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54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3. Defaults Upon Senior Securities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54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4. Submission of Matters to a Vote of Security Holders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10"/>
          </w:tcPr>
          <w:p>
            <w:pPr>
              <w:spacing w:after="0"/>
              <w:rPr>
                <w:sz w:val="17"/>
                <w:szCs w:val="17"/>
                <w:color w:val="auto"/>
              </w:rPr>
            </w:pPr>
          </w:p>
        </w:tc>
        <w:tc>
          <w:tcPr>
            <w:tcW w:w="622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54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SIGNATURES</w:t>
              </w:r>
            </w:hyperlink>
          </w:p>
        </w:tc>
        <w:tc>
          <w:tcPr>
            <w:tcW w:w="938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EXHIBITS 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EXHIBITS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EXHIBITS 32</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w w:val="98"/>
              </w:rPr>
              <w:t>December 31, 2007</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31,582</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368,285</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63,651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378,712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225,515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162,683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331,632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543,443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19,992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35,463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32,095</w:t>
            </w:r>
          </w:p>
        </w:tc>
        <w:tc>
          <w:tcPr>
            <w:tcW w:w="0" w:type="dxa"/>
            <w:vAlign w:val="bottom"/>
          </w:tcPr>
          <w:p>
            <w:pPr>
              <w:spacing w:after="0"/>
              <w:rPr>
                <w:sz w:val="1"/>
                <w:szCs w:val="1"/>
                <w:color w:val="auto"/>
              </w:rPr>
            </w:pPr>
          </w:p>
        </w:tc>
      </w:tr>
      <w:tr>
        <w:trPr>
          <w:trHeight w:val="223"/>
        </w:trPr>
        <w:tc>
          <w:tcPr>
            <w:tcW w:w="83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56,079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112,128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111,761</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outstanding at September 30, 2008 and December 31, 2007</w:t>
            </w:r>
          </w:p>
        </w:tc>
        <w:tc>
          <w:tcPr>
            <w:tcW w:w="26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$0.01 par value — 150,000,000 shares authorized; 101,710,590 and 101,380,823 shares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and outstanding at September 30, 2008 and December 31, 2007, respectively</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1,463,191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1,444,125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(1,300,783)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(1,081,039)</w:t>
            </w:r>
          </w:p>
        </w:tc>
        <w:tc>
          <w:tcPr>
            <w:tcW w:w="0" w:type="dxa"/>
            <w:vAlign w:val="bottom"/>
          </w:tcPr>
          <w:p>
            <w:pPr>
              <w:spacing w:after="0"/>
              <w:rPr>
                <w:sz w:val="1"/>
                <w:szCs w:val="1"/>
                <w:color w:val="auto"/>
              </w:rPr>
            </w:pPr>
          </w:p>
        </w:tc>
      </w:tr>
      <w:tr>
        <w:trPr>
          <w:trHeight w:val="230"/>
        </w:trPr>
        <w:tc>
          <w:tcPr>
            <w:tcW w:w="83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163,425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331,632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543,443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vMerge w:val="restart"/>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24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64,825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181,665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190,093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13,435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42,365</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38,207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75,569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224,030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228,300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1,332,723</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(69,080)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(75,569)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(224,010)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(228,290)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(1,329,735)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12,779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(68,496)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(73,047)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(219,744)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(218,177)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(1,300,759)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(68,496)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(73,047)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(219,744)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(218,177)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(1,300,783)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rPr>
              <w:t>Deemed dividend related to beneficial conversion feature of</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(68,496</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(73,047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(219,744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(218,177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(1,323,995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applicable to common stockholders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applicable to common stockholders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101,647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73,520</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101,495</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73,444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2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2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240" w:type="dxa"/>
            <w:vAlign w:val="bottom"/>
            <w:gridSpan w:val="2"/>
          </w:tcPr>
          <w:p>
            <w:pPr>
              <w:jc w:val="center"/>
              <w:ind w:left="210"/>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 (219,744)</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 (218,177)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 (1,300,783)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7,321</w:t>
            </w:r>
          </w:p>
        </w:tc>
        <w:tc>
          <w:tcPr>
            <w:tcW w:w="3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6,253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18,849</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12,957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Stock expense for shares issued pursuant to research agreement</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 and abandonment/disposal of property and equipment</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Accrued interest on investments, net of amortization of premiums</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Discount on stockholder notes below market rate</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Accrued interest expense on notes payable to stockholders</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Accrued interest on notes receivable</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impairment</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Loss on available-for-sale securities</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State research and development credit exchange receivable</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(294)</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(378)</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1,887</w:t>
            </w:r>
          </w:p>
        </w:tc>
        <w:tc>
          <w:tcPr>
            <w:tcW w:w="3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(1,226)</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(2)</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(185)</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8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(12,502)</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14,674</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3,343</w:t>
            </w:r>
          </w:p>
        </w:tc>
        <w:tc>
          <w:tcPr>
            <w:tcW w:w="32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(1,641)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30,702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18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(201,045)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(187,723)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(63,651)</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(39,851)</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(790,601)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104,900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(72,297)</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(45,940)</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(281,701)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Net cash (used in) provided by investing activities</w:t>
            </w:r>
          </w:p>
        </w:tc>
        <w:tc>
          <w:tcPr>
            <w:tcW w:w="7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(135,878)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1,557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1,140,071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8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(336,703)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(167,257)</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368,285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319,555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31,582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152,298</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31,582</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 income taxes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Cash paid during the period for interest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2,192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Issuance of put option by stockholder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Put option redemption by stockholder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in progress purchases in accounts payable and accrued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14,855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Transfer from fixed assets to other current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condensed financial statements of MannKind Corporation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2007 are included in the Company’s annual report on Form 10-K for the fiscal year ended December 31, 2007 filed with the SEC on March 14, 2008 (the “Annual Report”).</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nine months ended September 30, 2008 may not be indicative of the results that may be expected for the full year.</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Business </w:t>
      </w:r>
      <w:r>
        <w:rPr>
          <w:rFonts w:ascii="Arial" w:cs="Arial" w:eastAsia="Arial" w:hAnsi="Arial"/>
          <w:sz w:val="17"/>
          <w:szCs w:val="17"/>
          <w:color w:val="auto"/>
        </w:rPr>
        <w:t>— MannKind Corporation is a biopharmaceutical company focused on the discovery, development and commercialization of therapeutic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diseases such as diabetes and cancer. The Company recently announced that it has proposed “AFRESA” to the U.S. Food and Drug Administration (“FDA”) as the trade name for its lead investigational product candidate, formerly identified as the Technosphere Insulin System. The Company has completed the treatment phase of the three planned pivotal Phase 3 trials conducted in the U.S., Europe and Latin America and is preparing to file the New Drug Application (“NDA”) in early 2009 for AFRESA for the treatment of diabetes. AFRESA consists of the Company’s proprietary Technosphere particles onto which insulin molecules are loaded. These loaded particles are then aerosolized and, using the Company’s MedTone inhaler, are inhaled deep into the lung, where the insulin and carrier material enters the bloodstream. Technosphere</w:t>
      </w:r>
      <w:r>
        <w:rPr>
          <w:rFonts w:ascii="Arial" w:cs="Arial" w:eastAsia="Arial" w:hAnsi="Arial"/>
          <w:sz w:val="14"/>
          <w:szCs w:val="14"/>
          <w:color w:val="auto"/>
        </w:rPr>
        <w:t>®</w:t>
      </w:r>
      <w:r>
        <w:rPr>
          <w:rFonts w:ascii="Arial" w:cs="Arial" w:eastAsia="Arial" w:hAnsi="Arial"/>
          <w:sz w:val="17"/>
          <w:szCs w:val="17"/>
          <w:color w:val="auto"/>
        </w:rPr>
        <w:t xml:space="preserve"> and MedTone</w:t>
      </w:r>
      <w:r>
        <w:rPr>
          <w:rFonts w:ascii="Arial" w:cs="Arial" w:eastAsia="Arial" w:hAnsi="Arial"/>
          <w:sz w:val="14"/>
          <w:szCs w:val="14"/>
          <w:color w:val="auto"/>
        </w:rPr>
        <w:t>®</w:t>
      </w:r>
      <w:r>
        <w:rPr>
          <w:rFonts w:ascii="Arial" w:cs="Arial" w:eastAsia="Arial" w:hAnsi="Arial"/>
          <w:sz w:val="17"/>
          <w:szCs w:val="17"/>
          <w:color w:val="auto"/>
        </w:rPr>
        <w:t xml:space="preserve"> are registered trademarks in the United States. The Company has applied for registration of our trademark AFRESA™ in the United States.</w:t>
      </w:r>
    </w:p>
    <w:p>
      <w:pPr>
        <w:spacing w:after="0" w:line="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Since its inception through September 30, 2008, the Company has reported accumulated net losses of $1.3 billion, which include a goodwill impairment charge of $151.4 million, and negative cash flow from operations of $949.6 million. It is costly to develop therapeutic products and conduct clinical trials for these products. Based upon the Company’s current expectations, management believes the Company’s existing capital resources, including the $350.0 million loan arrangement with its principal stockholder, will enable it to continue planned operations through the fourth quarter of 2009.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AFRESA and other product candidates and to support its other ongoing activities.</w:t>
      </w:r>
    </w:p>
    <w:p>
      <w:pPr>
        <w:spacing w:after="0" w:line="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In December 2007, the Financial Accounting Standards Board (“FASB”) ratified the Emerging Issues Task Force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(“EITF”) consensus on EITF Issue No. 07-1, </w:t>
      </w:r>
      <w:r>
        <w:rPr>
          <w:rFonts w:ascii="Arial" w:cs="Arial" w:eastAsia="Arial" w:hAnsi="Arial"/>
          <w:sz w:val="18"/>
          <w:szCs w:val="18"/>
          <w:i w:val="1"/>
          <w:iCs w:val="1"/>
          <w:color w:val="auto"/>
        </w:rPr>
        <w:t>Accounting for Collaborative Arrangements,</w:t>
      </w:r>
      <w:r>
        <w:rPr>
          <w:rFonts w:ascii="Arial" w:cs="Arial" w:eastAsia="Arial" w:hAnsi="Arial"/>
          <w:sz w:val="18"/>
          <w:szCs w:val="18"/>
          <w:color w:val="auto"/>
        </w:rPr>
        <w:t xml:space="preserve"> that 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statements pursuant to EITF Issue No. 99-19, </w:t>
      </w:r>
      <w:r>
        <w:rPr>
          <w:rFonts w:ascii="Arial" w:cs="Arial" w:eastAsia="Arial" w:hAnsi="Arial"/>
          <w:sz w:val="18"/>
          <w:szCs w:val="18"/>
          <w:i w:val="1"/>
          <w:iCs w:val="1"/>
          <w:color w:val="auto"/>
        </w:rPr>
        <w:t>Reporting Revenue Gross as a Principal Versus Net as an Agent.</w:t>
      </w:r>
      <w:r>
        <w:rPr>
          <w:rFonts w:ascii="Arial" w:cs="Arial" w:eastAsia="Arial" w:hAnsi="Arial"/>
          <w:sz w:val="18"/>
          <w:szCs w:val="18"/>
          <w:color w:val="auto"/>
        </w:rPr>
        <w:t xml:space="preserve"> Additionally, the consensus provides that income statement characterization of payments between the participants in a collaborative arrangement should be based upon existing authoritative pronouncements; analogy to such pronouncements if not within their scope; or a reasonable, rational, and consistently applied accounting policy election. EITF Issue No. 07-1 is effective beginning January 1, 2009 and is to be applied retrospectively to all periods presented for collaborative arrangements existing as of the date of adoption. The Company is evaluating the impact, if any, the adoption of this consensus will have on its results of operations, financial position or cash flows.</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December 2007, the FASB issued Statement of Financial Accounting Standard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SFAS No. 160, </w:t>
      </w:r>
      <w:r>
        <w:rPr>
          <w:rFonts w:ascii="Arial" w:cs="Arial" w:eastAsia="Arial" w:hAnsi="Arial"/>
          <w:sz w:val="18"/>
          <w:szCs w:val="18"/>
          <w:i w:val="1"/>
          <w:iCs w:val="1"/>
          <w:color w:val="auto"/>
        </w:rPr>
        <w:t xml:space="preserve">“Accounting and Reporting of Noncontrolling Interests to Consolidated Financial Statements —— an amendment of ARB No. 51” </w:t>
      </w:r>
      <w:r>
        <w:rPr>
          <w:rFonts w:ascii="Arial" w:cs="Arial" w:eastAsia="Arial" w:hAnsi="Arial"/>
          <w:sz w:val="18"/>
          <w:szCs w:val="18"/>
          <w:color w:val="auto"/>
        </w:rPr>
        <w:t>(“SFAS No. 160”). These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will significantly change the accounting and reporting for business combination transactions and noncontrolling (minority) interests in consolidated financial statements, including capitalizing at the acquisition date the fair value of acquired in-process research and development, and remeasuring and writing down the assets, if necessary, in subsequent periods during their development. These new standards will be applied prospectively for business combinations that occur on or after January 1, 2009, except that presentation and disclosure requirements of SFAS No. 160 regarding noncontrolling interests shall be applied retrospectively.</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As of January 1, 2008, the Company adopted on a prospective basis certain required provisions of Statement of Financial Accounting Standards</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as amended by Financial Accounting Standards Board (FASB) Financial Staff Position (FSP) No. 157-2. Those provisions relate to the Company’s financial assets and liabilities carried at fair value and its fair value disclosures related to financial assets and liabilities. SFAS 157 defines fair value, expands related disclosure requirements and specifies a hierarchy of valuation techniques based on the nature of the inputs used to develop the fair value measures. Fair value is defined as the price that would be received to sell an asset or paid to transfer a liability in an orderly transaction between market participants at the measurement date. There are three levels of inputs to fair value measurements — Level 1, meaning the use of quoted prices for identical instruments in active markets; Level 2, meaning the use of quoted prices for similar instruments in active markets or quoted prices for identical or similar instruments in markets that are not active or are directly or indirectly observable; and Level 3, meaning the use of unobservable inputs. Observable market data should be used when available. The Company’s financial instruments are carried at fair value. For example, substantially all of the Company’s marketable securities are classified as available-for-sale securities and are carried at fair value. The Company’s valuation measurements for the available-for-sale securities are Level 2 measurements. The partial adoption of SFAS 157 did not have a significant impact on the Company’s results of operations, financial position or cash flows. The Company is evaluating the impact, if any, that the adoption of SFAS No. 157, as it relates to nonfinancial assets and liabilities will have on its results of operations, financial position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left="320"/>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4"/>
          </w:tcPr>
          <w:p>
            <w:pPr>
              <w:jc w:val="center"/>
              <w:ind w:left="14"/>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Cost</w:t>
            </w:r>
          </w:p>
        </w:tc>
        <w:tc>
          <w:tcPr>
            <w:tcW w:w="6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660" w:type="dxa"/>
            <w:vAlign w:val="bottom"/>
            <w:vMerge w:val="restart"/>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Basis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17,267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17,267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Treasury bills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46,384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46,384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63,651</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63,651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policy is to maintain a highly liquid short-term investment portfolio. The contractual maturities for commercial paper included in marketable securities are 93 and 94 days. The contractual maturities for treasury bills included in marketable securities are between three and five months. There were no proceeds from the sale of available-for-sale securities for the nine months ended September 30, 2008. Proceeds from the sale of available-for-sale securities amounted to approximately $104.9 million for the nine months ended September 30, 2007. Gross realized gains and losses for available-for-sale securities were insignificant. Gross realized gains and losses for available-for-sale securities are recorded as other income (expense). The cost of securities sold is based on the specific identification method. Unrealized gains and losses for available-for-sale securities for all periods presented in the table above were not material.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13,324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11,657</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32,095</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Total stock-based compensation expense recognized in the accompanying condensed statements of operations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and 2007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2008</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6,781</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$ 18,849</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$ 12,957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September 30, 2008, there were $25.5 million and $24.9 million of estimated unrecognized compensation costs related to options and restricted stock units, respectively, which are expected to be recognized over the remaining weighted average vesting period of 2 years.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February 6, 2008, the Compensation Committee approved a management proposal designed to encourage employee retention. The proposal involved the issuance of restricted stock units to the majority of employees and executive officers of the Company. A total of 1,678,674 restricted stock units were granted under the 2004 Equity Incentive Plan. These units will remain unvested until June 30, 2009, at which point they will fully vest. Stock compensation expense associated with these grants will be recorded on a straight line basis from February 6, 2008 through June 30, 2009 and is estimated to total approximately $11.0 million.</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22, 2008, the Company’s stockholders approved an amendment to the 2004 Equity Incentive Plan to increase the number of shares of common stock available for issuance under the plan by 5,000,000 shares.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July 9, 2008, the Company announced an Offer to Exchange Outstanding Options to Purchase Common Stock (the “Offer”) under which the Company offered eligible employees the opportunity to exchange up to an aggregate of 5,417,840 shares underlying of their out-of-the money stock options, on a grant by grant basis, for a reduced number of restricted stock units. The Offer expired on August 6, 2008. Pursuant to the Offer, the Company accepted for exchange options to purchase an aggregate of 4,493,509 shares of the Company’s common stock and issued restricted stock units covering an aggregate of 2,246,781 shares of the Company’s common stock. For the newly issued restricted stock units, both the remaining estimated unamortized stock compensation expense related to the exchanged options of approximately $13.9 million and the estimated incremental stock compensation expense resulting from the exchange of approximately $3.7 million will be amortized over the vesting periods of the newly issued restricted stock units.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statements of operations because the reported net loss in each of these periods results in their inclusion being antidilutive. Antidilutive securities, which consist of outstanding stock options, unvested restricted stock units, unexercised warrants, and shares that could be issued upon conversion of the senior convertible notes, that are not included in the diluted net loss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per share calculation consisted of an aggregate of 19,607,924 shares and 17,061,343 shares as of September 30, 2008 and 2007,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September 30, 2008, the estimated amount receivable under the program was $2.6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1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Buildings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52,719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116,972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52,438</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50,510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30,172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11,222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25,251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89,657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272,902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(47,387)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225,515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property and equipment for the three and nine months ended September 30, 2008 and 2007 was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auto"/>
            </w:tcBorders>
            <w:gridSpan w:val="4"/>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Depreciation expense</w:t>
            </w: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3,393</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6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6,954</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Capitalized interest added to property and equipment during the three and nine months ended September 30, 2008 and 2007 was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auto"/>
            </w:tcBorders>
            <w:gridSpan w:val="4"/>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1,078</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6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3,016</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nine months ended September 30, 2008, no warrants were exercised. As of September 30, 2008, warrants to purchase approximately 2,882,873 shares of common stock remained outstanding.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Supply Commitments </w:t>
      </w:r>
      <w:r>
        <w:rPr>
          <w:rFonts w:ascii="Arial" w:cs="Arial" w:eastAsia="Arial" w:hAnsi="Arial"/>
          <w:sz w:val="18"/>
          <w:szCs w:val="18"/>
          <w:color w:val="auto"/>
        </w:rPr>
        <w:t>— As of September 30, 2008, the Company had a binding annual commitment for insulin purchases aggregating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$107 million. These purchases are expected to be delivered from 2009 through 2012.</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5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 The Company is involved in various legal proceedings and other matters. In accordance with SFAS No. 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records a provision for a liability when it is both probable that a liability has been incurred and the amount of the loss can be reasonably estimated.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Related-Party Loan Arrangement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On August 2, 2006, the Company entered into a $150.0 million loan arrangement with its principal stockholder, which was amended on August 1, 2007 and replaced with a new loan arrangement on October 2, 2007. Under the new arrangement, the Company can borrow up to a total of $350.0 million before January 1, 2010. The Company has not yet borrowed under this arrangement but has given notice to its lender of its intent to draw down up to $150.0 million before February 28, 2009. From March 1, 2009 until December 31, 2009, the Company can borrow the remaining $200.0 million plus any amount not previously borrowed in one or more advances. Any advance must be not less than $50.0 million.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 12 months. If the principal stockholder exercises this right, the Company will have until the earlier of 180 days after the principal stockholder provides written notice or December 31, 2011 to prepay such advances. In the event of a default, all unpaid principal and interest either becomes immediately due and payable or may be accelerated at the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6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Under the previous loan arrangement, the Company borrowed $50.0 million on August 2, 2006 and $20.0 million on November 27, 2006. On December 12, 2006, the Company paid off the total borrowings of $70.0 million following the completion of concurrent offerings of convertible notes and common stock. As of September 30, 2008 and December 31, 2007, there was no balance outstanding or accrued interest related to the $350.0 million loan arrangement.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Senior convertible notes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As of September 30, 2008 and December 31, 2007, the Company had accrued interest of $1.3 million and $0.2 million, respectively, related to the Notes. The Notes are general, unsecured, senior obligations of the Company and effectively rank junior in right of payment to all of the Company’s secured debt, to the extent of the value of the assets securing such debt, and to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 The Company incurred approximately $3.7 million in issuance costs which are recorded as an offset to the Notes in the accompanying condensed consolidated balance sheets. These costs are being amortized to interest expense using the effective interest method over the term of the Notes.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issuance expense during the three and nine months ended September 30, 2008 and 2007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9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2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3"/>
              </w:rPr>
              <w:t>September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Amortization of debt issuance expense</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367</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As discussed in Note 16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 interim financial statements and this Management’s Discussion and Analysis of Financial Condition and Results of Operations should be read in conjunction with the financial statements and notes for the year ended December 31, 2007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MannKind Corporation is a biopharmaceutical company focused on the discovery, development and commercialization of therapeutic products for diseases such as diabetes and cancer. Our lead investigational product candidate, AFRESA,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using the Company’s MedTone inhaler, are inhaled deep into the lung, where the insulin and carrier material enters the bloodstream. We believe that the performance characteristics, unique kinetics, convenience and ease of use of AFRESA may have the potential to change the way diabetes is treated. Currently, we are conducting clinical trials to evaluate the safety and efficacy of another Technosphere-based product for the treatment of diabetes and are developing additional formulations of active compounds loaded onto Technosphere particles. We are also developing therapies for the treatment of different types of cancer. Our other product candidates are at the research stage or in pre-clinical development.</w:t>
      </w:r>
    </w:p>
    <w:p>
      <w:pPr>
        <w:spacing w:after="0" w:line="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September 30, 2008, we have incurred a cumulative net loss of $1.3 billion. To date, we have not generated any product revenues and have funded our operations primarily through the sale of equity securities.</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AFRESA.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7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AFRESA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manufacturing operations for AFRESA to meet our currently anticipated commercial production needs;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Technosphere</w:t>
      </w:r>
      <w:r>
        <w:rPr>
          <w:rFonts w:ascii="Arial" w:cs="Arial" w:eastAsia="Arial" w:hAnsi="Arial"/>
          <w:sz w:val="15"/>
          <w:szCs w:val="15"/>
          <w:color w:val="auto"/>
        </w:rPr>
        <w:t>®</w:t>
      </w:r>
      <w:r>
        <w:rPr>
          <w:rFonts w:ascii="Arial" w:cs="Arial" w:eastAsia="Arial" w:hAnsi="Arial"/>
          <w:sz w:val="18"/>
          <w:szCs w:val="18"/>
          <w:color w:val="auto"/>
        </w:rPr>
        <w:t xml:space="preserve"> and MedTone</w:t>
      </w:r>
      <w:r>
        <w:rPr>
          <w:rFonts w:ascii="Arial" w:cs="Arial" w:eastAsia="Arial" w:hAnsi="Arial"/>
          <w:sz w:val="15"/>
          <w:szCs w:val="15"/>
          <w:color w:val="auto"/>
        </w:rPr>
        <w:t>®</w:t>
      </w:r>
      <w:r>
        <w:rPr>
          <w:rFonts w:ascii="Arial" w:cs="Arial" w:eastAsia="Arial" w:hAnsi="Arial"/>
          <w:sz w:val="18"/>
          <w:szCs w:val="18"/>
          <w:color w:val="auto"/>
        </w:rPr>
        <w:t xml:space="preserve"> are our registered trademarks in the United States. We have applied for registration of our trademark AFRESA™ in the United States. We have also applied for or registered company trademarks in other jurisdictions, including Europe and Japan. This report also contains trademarks and service marks owned by other companies that are the property of their respective owners. Use or display by us of other parties’ trademarks, trade dress or products in this report is not intended to, and does not imply a relationship with, or endorsements or sponsorship of, us by the trademark or trade dress owners.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u w:val="single" w:color="auto"/>
          <w:color w:val="auto"/>
        </w:rPr>
        <w:t>www.mannkindcorp.com</w:t>
      </w:r>
      <w:r>
        <w:rPr>
          <w:rFonts w:ascii="Arial" w:cs="Arial" w:eastAsia="Arial" w:hAnsi="Arial"/>
          <w:sz w:val="18"/>
          <w:szCs w:val="18"/>
          <w:color w:val="auto"/>
        </w:rPr>
        <w:t xml:space="preserve"> to which we regularly post copies of our press releases as well as additional information about us. Our filings with the SEC are available free of charge through our website as soon as reasonably practicable after being electronically filed with or furnished to the SEC. Interested persons can subscribe on our website to email alerts that are sent automatically when we issue press releases or file our reports with the SEC. Information contained in our website does not constitute a part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17, 2008 we announced “AFRESA” as the trade name proposed to the FDA for our Technosphere</w:t>
      </w:r>
      <w:r>
        <w:rPr>
          <w:rFonts w:ascii="Arial" w:cs="Arial" w:eastAsia="Arial" w:hAnsi="Arial"/>
          <w:sz w:val="15"/>
          <w:szCs w:val="15"/>
          <w:color w:val="auto"/>
        </w:rPr>
        <w:t>®</w:t>
      </w:r>
      <w:r>
        <w:rPr>
          <w:rFonts w:ascii="Arial" w:cs="Arial" w:eastAsia="Arial" w:hAnsi="Arial"/>
          <w:sz w:val="18"/>
          <w:szCs w:val="18"/>
          <w:color w:val="auto"/>
        </w:rPr>
        <w:t xml:space="preserve"> Insulin System. Earlier that same week, we released preliminary top-line results from a Phase 3 clinical study of AFRESA in patients with type 1 diabetes. This study compared the safety and efficacy of prandial inhalations of AFRESA to prandial subcutaneous injections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insulin aspart. Both treatment groups also received daily subcutaneous injections of a basal insulin (insulin glargine). AFRESA, compared to a rapid-acting insulin analog, showed:</w:t>
      </w:r>
    </w:p>
    <w:p>
      <w:pPr>
        <w:spacing w:after="0" w:line="62"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Comparable reductions in A1C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Comparable numbers of patients reaching pre-defined A1C goals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Superior fasting blood glucose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Better early post-prandial glucose control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Fewer patients experiencing hypoglycemic events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Weight loss versus weight gain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No adverse effects on pulmonary function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16, 2008, we issued a joint announcement with Pfizer Inc that we would transition certain Exubera patients with a continuing need for inhaled insulin to AFRESA. In October 2007, Pfizer announced that it would stop marketing Exubera (insulin human [rDNA origin]) Inhalation Powder because it did not meet customers’ needs or Pfizer’s financial expectations. Since that time, most Exubera patients were transitioned to other diabetes therapies, although there remained a small number of patients with a continuing medical need for inhaled insulin. Generally, these patients fell into two categories: those with severe needle-phobia and those with a very poor response to subcutaneous insulin. We agreed with Pfizer that these patients have a particularly high medical need and would benefit from using an inhaled insulin such as AFRESA. Under our agreement with Pfizer, some of our costs relating to the transition of patients will be reimbursed by Pfizer.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or accrued from the State of Connecticut pursuant to a program under which we can exchange qualified research and development income tax credits for cash. Otherwise, we expense research and development costs as we incur them.</w:t>
      </w:r>
    </w:p>
    <w:p>
      <w:pPr>
        <w:spacing w:after="0" w:line="57"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w:t>
      </w:r>
    </w:p>
    <w:p>
      <w:pPr>
        <w:spacing w:after="0" w:line="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AFRESA through Phase 3 clinical trials and regulatory filings. Based on the results of preclinical studies, we are developing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begin.</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AFRESA, we are unable to estimate with any certainty the costs we will incur in the continued development of our product candidates for commercialization. The costs required to complete the development of AFRESA will be largely dependent on the scope of our clinical trials, the cost and efficiency of our manufacturing process and discussions with the FDA on its requirements.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the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nine months ended September 30, 2008 and 2007, we recognized $20,000 and $10,000 in revenue, respectively, under a license agreement. We did not recognize any revenue in the three months ended September 30, 2008 or 2007. We do not anticipate sales of any product prior to regulatory approval and commercialization of AFRESA.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months ended September 30, 2008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9"/>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9"/>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27,044</w:t>
            </w: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33,249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Manufacturing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18,434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20,472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(2,038)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6,549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tcPr>
          <w:p>
            <w:pPr>
              <w:jc w:val="right"/>
              <w:ind w:right="58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3,993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55,645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88,208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97,276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Manufacturing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60,119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60,534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23,921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tcPr>
          <w:p>
            <w:pPr>
              <w:jc w:val="right"/>
              <w:ind w:right="620"/>
              <w:spacing w:after="0"/>
              <w:rPr>
                <w:sz w:val="20"/>
                <w:szCs w:val="20"/>
                <w:color w:val="auto"/>
              </w:rPr>
            </w:pPr>
            <w:r>
              <w:rPr>
                <w:rFonts w:ascii="Arial" w:cs="Arial" w:eastAsia="Arial" w:hAnsi="Arial"/>
                <w:sz w:val="18"/>
                <w:szCs w:val="18"/>
                <w:color w:val="auto"/>
                <w:w w:val="98"/>
              </w:rPr>
              <w:t>(1,471)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(1,093)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vMerge w:val="restart"/>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jc w:val="right"/>
              <w:ind w:right="520"/>
              <w:spacing w:after="0"/>
              <w:rPr>
                <w:sz w:val="20"/>
                <w:szCs w:val="20"/>
                <w:color w:val="auto"/>
              </w:rPr>
            </w:pPr>
            <w:r>
              <w:rPr>
                <w:rFonts w:ascii="Arial" w:cs="Arial" w:eastAsia="Arial" w:hAnsi="Arial"/>
                <w:sz w:val="16"/>
                <w:szCs w:val="16"/>
                <w:color w:val="auto"/>
                <w:w w:val="74"/>
              </w:rPr>
              <w:t>)</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2"/>
              </w:rPr>
              <w:t>$ 181,665</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190,093</w:t>
            </w:r>
          </w:p>
        </w:tc>
        <w:tc>
          <w:tcPr>
            <w:tcW w:w="3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(8,428</w:t>
            </w:r>
          </w:p>
        </w:tc>
        <w:tc>
          <w:tcPr>
            <w:tcW w:w="660" w:type="dxa"/>
            <w:vAlign w:val="bottom"/>
            <w:vMerge w:val="continue"/>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decrease in research and development expenses for the three and nine months ended September 30, 2008 as compared to the same period in the prior year was primarily due to decreased costs associated with the clinical development of AFRESA and the related manufacturing costs associated with clinical trial materials, partially offset by increased stock-based compensation expense and increased facilities related costs. We anticipate that our research and development expenses associated with AFRESA will continue to decline as we close out our pivotal clinical studies and prepare for the filing of our NDA with the FDA. There are purchases of raw materials planned in the fourth quarter of 2008 that may result in a spending increase in that quarter.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months ended September 30, 2008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10,647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2,788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1,101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13,435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10,744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2,691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34,404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32,200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2,204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7,961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1,954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42,365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38,207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4,158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General and administrative expenses for the three months ended September 30, 2008 increased as compared to the same period in the prior year primarily due to increased employee related and consulting expenses and increased stock-based compensation expense. General and administrative expenses for the nine months ended September 30, 2008 increased as compared to the same period in the prior year primarily due to increased employee related and consulting expenses and increased stock-based compensation expense, offset by decreased professional fees. We expect general and administrative expenses, other than non-cash stock-based compensation expense, to remain essentially constant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Interest income for the three and nine months ended September 30, 2008 decreased $2.5 million and $7.9 million, respectively as compared to the same periods in the prior year primarily due to lower market interest rates and a lower investment balance.</w:t>
      </w:r>
    </w:p>
    <w:p>
      <w:pPr>
        <w:spacing w:after="0" w:line="6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Interest expense for the three and nine months ended September 30, 2008 decreased $0.7 million and $2.2 million, respectively, as compared to the same periods in the prior year primarily due to an increase in capitalized interest related to the Danbury, Connecticut plant expansion.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have funded our operations primarily through the sale of equity securities and convertible debt securities. In October 2007, we issued and sold a total of 27,014,686 shares of our common stock. Of this total, 15,940,489 shares were sold to our principal stockholder at a price per share of $9.41 and 11,074,197 shares were sold to other investors at a price per share of $9.03. The resulting aggregate net proceeds were approximately $249.8 million after expenses. In December 2006, we issued and sold 23,000,000 shares of our common stock at a price of $17.42 per share in an underwritten public offering. The resulting aggregate net proceeds to us from this common stock offering were approximately $384.7 million after expenses. In December 2006, we also sold $115.0 million aggregate principal amount of 3.75% Senior Convertible Notes due 2013. The resulting aggregate net proceeds to us from this note offering were approximately $111.3 million after expenses.</w:t>
      </w:r>
    </w:p>
    <w:p>
      <w:pPr>
        <w:spacing w:after="0" w:line="70"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In August 2006, we entered into a $150.0 million loan arrangement with our principal stockholder, which was amended on August 1, 2007 and replaced with a new loan arrangement on October 2, 2007. Under the new arrangement, we can borrow up to a total of $350.0 million before January 1, 2010. We have not yet borrowed under this arrangement, but we have given notice to our lender that we intend to draw down up to $150.0 million before February 28, 2009.</w:t>
      </w:r>
    </w:p>
    <w:p>
      <w:pPr>
        <w:ind w:right="80"/>
        <w:spacing w:after="0" w:line="273" w:lineRule="auto"/>
        <w:rPr>
          <w:sz w:val="20"/>
          <w:szCs w:val="20"/>
          <w:color w:val="auto"/>
        </w:rPr>
      </w:pPr>
      <w:r>
        <w:rPr>
          <w:rFonts w:ascii="Arial" w:cs="Arial" w:eastAsia="Arial" w:hAnsi="Arial"/>
          <w:sz w:val="17"/>
          <w:szCs w:val="17"/>
          <w:color w:val="auto"/>
        </w:rPr>
        <w:t xml:space="preserve">From March 1, 2009 until December 31, 2009, we can borrow the remaining $200.0 million plus any amount not previously borrowed in one or more advances. Any advance must be not less than $50.0 million.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Principal repayment is due on December 31, 2011. At any time after January 1, 2010, our principal stockholder can require us to prepay up 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$200.0 million in advances that have been outstanding for at least 12 months. If our principal stockholder exercises this right, we will have until the earlier of 180 days after our principal stockholder provides written notice or December 31, 2011 to prepay such advances. In the event of a default, all unpaid principal and interest either becomes immediately due and payable or may be accelerated at our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nine months ended September 30, 2008, we used $201.0 million of cash for our operations compared to using $187.7 million for our operations in the nine months ended September 30, 2007. We had a net loss of $219.7 million for the nine months ended September 30, 2008, of which $26.2 million consisted of non-cash charges such as depreciation and amortization, and stock-based compensation. We expect our negative cash flow from operations to continue at least until we obtain regulatory approval and achieve commercialization of AFRESA.</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spent $135.9 million of cash for investing activities during the nine months ended September 30, 2008, compared to generating $19.1 million for the nine months ended September 30, 2007. Cash spent for investing activities for the nine months ended September 30, 2008 was primarily due to net purchases of marketable securities and the purchase of machinery and equipment to expand our manufacturing operations and quality systems in support of our expansion of clinical trials for, and potential commercial launch of, AFRESA. Cash generated in investing activities for the nine months ended September 30, 2007 was primarily from net sales of marketable securities, offset by purchases of machinery and equipment to expand our manufacturing operations and quality systems in support of our expansion of clinical trials for AFRESA. We plan to make purchases of raw materials in the fourth quarter of 2008 that may result in a spending increase in the fourth quarter of 2008.</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financing activities provided cash of $0.2 million for the nine months ended September 30, 2008 compared to $1.4 million for the same period in 2007. Cash from financing activities in the first nine months of 2008 and 2007 was primarily from purchases under the Employee Stock Purchase Plan, and the exercise of stock options, the exercise of warrants, and purchases under the ESPP, respectively.</w:t>
      </w:r>
    </w:p>
    <w:p>
      <w:pPr>
        <w:spacing w:after="0" w:line="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September 30, 2008, we had $95.2 million in cash, cash equivalents, and marketable securities. Although we believe our existing capital resources, which includes the expanded $350.0 million loan arrangement with our principal stockholder, will be sufficient to fund our anticipated cash requirements through the fourth quarter of 2009, we will require significant additional financing in the future to fund our operations.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AFRESA and other product candidates and to support our other ongoing activities. However, due to current turbulence in the U.S. and global financial markets, it may be difficult for us to raise additional capital through the sale of equity and/or debt securities.</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intend to use our capital resources to continue the development of AFRESA and to develop additional applications for our proprietary Technosphere platform technology. In addition, portions of our capital resources will be devoted to expanding our other product development programs for the treatment of solid-tumor cancers. We are expending a portion of our capital resources to scale up our manufacturing capabilities in our Danbury facilities. During the quarter ending September 30, 2008 we completed a new facility for the commercial manufacture of AFRESA. The facility is now in the process of being qualified and readied for preapproval inspection by the FDA. We also intend to use our capital resources for general corporate purposes, which may include in-licensing or acquiring additional technologies.</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AFRESA. To date, we have not reached agreement with any of these companies. On April 10, 2008, we announced our decision to suspend partnership discussions as we believed that, given the existing market conditions, we would be unable to achieve an appropriate valuation for AFRESA until Phase 3 data is available that confirms our belief in the superior safety and efficacy profile of AFRESA. If and when we re-engage in such discussions, we believe that we will have to expend significant additional time and effort before we could reach an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may have to substantially reduce our development efforts, which would delay or otherwise impede the commercialization of AFRESA.</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However, due to current turbulence in the U.S. and global financial markets, it may be difficult for us to raise additional capital through the sale of equity and/or debt securities.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AFRESA development activities, or further reduction of costs for facilities and administration.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engage in any off-balance sheet arrangements and none existed as of September 30,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disclosed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December 2007, the FASB ratified the EITF consensus on EITF Issue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that 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7"/>
          <w:szCs w:val="17"/>
          <w:i w:val="1"/>
          <w:iCs w:val="1"/>
          <w:color w:val="auto"/>
        </w:rPr>
        <w:t>Reporting Revenue Gross as a Principal Versus Net as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Agent. </w:t>
      </w:r>
      <w:r>
        <w:rPr>
          <w:rFonts w:ascii="Arial" w:cs="Arial" w:eastAsia="Arial" w:hAnsi="Arial"/>
          <w:sz w:val="17"/>
          <w:szCs w:val="17"/>
          <w:color w:val="auto"/>
        </w:rPr>
        <w:t>Additionally, the consensus provides that income statement characterization of payments between the participants in a collaborative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based upon existing authoritative pronouncements; analogy to such pronouncements if not within their scope; or a reasonable, rational, and consistently applied accounting policy election. EITF Issue No. 07-1 is effective beginning January 1, 2009 and is to be applied retrospectively to all periods presented for collaborative arrangements existing as of the date of adoption. We are evaluating the impact, if any, the adoption of this consensus will have on our results of operations, financial position or cash flows.</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2007, the FASB issued SFAS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SFAS No. 160, </w:t>
      </w:r>
      <w:r>
        <w:rPr>
          <w:rFonts w:ascii="Arial" w:cs="Arial" w:eastAsia="Arial" w:hAnsi="Arial"/>
          <w:sz w:val="17"/>
          <w:szCs w:val="17"/>
          <w:i w:val="1"/>
          <w:iCs w:val="1"/>
          <w:color w:val="auto"/>
        </w:rPr>
        <w:t>“Accounting and Reporting of Noncontrolling Interests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Consolidated Financial Statements —— an amendment of ARB No. 51” </w:t>
      </w:r>
      <w:r>
        <w:rPr>
          <w:rFonts w:ascii="Arial" w:cs="Arial" w:eastAsia="Arial" w:hAnsi="Arial"/>
          <w:sz w:val="17"/>
          <w:szCs w:val="17"/>
          <w:color w:val="auto"/>
        </w:rPr>
        <w:t>(“SFAS No. 160”). These standards will significantly change the accounting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for business combination transactions and noncontrolling (minority) interests in consolidated financial statements, including capitalizing at the acquisition date the fair value of acquired IPR&amp;D, and remeasuring and writing down the assets, if necessary, in subsequent periods during their development. These new standards will be applied prospectively for business combinations that occur on or after January 1, 2009, except that presentation and disclosure requirements of SFAS No. 160 regarding noncontrolling interests shall be applied retrospectively.</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As of January 1, 2008, we adopted on a prospective basis certain required provisions of Statement of Financial Accounting Standards No.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(“SFAS No. 157”), as amended by Financial Accounting Standards Board (FASB) Financial Staff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Position (FSP) No. 157-2. Those provisions relate to our financial assets and liabilities carried at fair value and our fair value disclosures related to financial assets and liabilities. SFAS 157 defines fair value, expands related disclosure requirements and specifies a hierarchy of valuation techniques based on the nature of the inputs used to develop the fair value measures. The partial adoption of SFAS 157 did not have a significant impact on our results of operations, financial position or cash flows. We are evaluating the impact, if any, that the adoption of SFAS No. 157, as it relates to nonfinancial assets and liabilities, will have on our results of operations, financial position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have not used derivative financial instruments in the past to hedge market risk. We are exposed to market risk related to changes in interest rates impacting our cash investment portfolio as well as the interest rate on our credit facility. The interest rate on our credit facility is a fixed rate equal to the one-year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of such advance plus 3% per annum. If we were to draw the available amount on our $350.0 million credit facility and interest rates were to increase from levels at September 30, 2008, we could experience a higher level of interest expense than assumed in our current operating plan.</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w:t>
      </w:r>
    </w:p>
    <w:p>
      <w:pPr>
        <w:spacing w:after="0" w:line="6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September 30, 2008, we estimate that the fair value of our investment portfolio would decline by an immaterial amount.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(the “Securities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 13a-15(b) of the Securities Exchange Act) as of September 30, 2008. Based on that evaluation, our chief executive officer and chief financial officer concluded that our disclosure controls and procedures were effective at the reasonable assurance level.</w:t>
      </w:r>
    </w:p>
    <w:p>
      <w:pPr>
        <w:spacing w:after="0" w:line="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September 30, 2008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before you decide to buy or maintain an investment in our common stock. We believe the risks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AFRESA are still in early stages of development. Our product candidates will require significant additional development, clinical trials, regulatory clearances and additional investment before they can be commercialized. We anticipate that AFRESA will not be commercially available for at least two years, if at all.</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been profitable and, as of September 30, 2008, we had an accumulated deficit of $1.3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AFRESA,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AFRESA as our lead product candidate, we have begun to conduct clinical trials for additional product candidates. Our existing capital resources will not be sufficient to support the expense of completing development of AFRESA or any of our other product candidates.</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Based upon our current expectations, we believe that our existing capital resources, including the loan arrangement with our principal stockholder, will enable us to continue planned operations through the fourth quarter of 2009.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AFRESA and other product candidates and to support our other ongoing activities. However, due to current turbulence in the U.S. and global financial markets, it may be difficult for us to raise additional capital through the sale of equity and/or debt securities. The amount of additional funds we need will depend on a number of factors, including:</w:t>
      </w:r>
    </w:p>
    <w:p>
      <w:pPr>
        <w:spacing w:after="0" w:line="70" w:lineRule="exact"/>
        <w:rPr>
          <w:sz w:val="20"/>
          <w:szCs w:val="20"/>
          <w:color w:val="auto"/>
        </w:rPr>
      </w:pPr>
    </w:p>
    <w:p>
      <w:pPr>
        <w:ind w:left="660" w:right="5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AFRESA or our other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studies to demonstrate safety and efficacy if our current studies do not deliver results sufficient for FDA approval and commercialization.</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AFRESA development activities, or further reduction of costs for facilities and administration.</w:t>
      </w:r>
    </w:p>
    <w:p>
      <w:pPr>
        <w:spacing w:after="0" w:line="73"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and commercialization of our lead product candidate, AFRESA, which is in clinical development, and our other product candidates, which are in early clinical or preclinical development.*</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 date, we have not completed the development of any product candidates through to commercialization. AFRESA is currently undergoing clinical trials, while our other product candidates are generally in early clinical or preclinical development. We anticipate that in the near term, our ability to generate revenues will depend solely on the successful development and commercialization of AFRESA.</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AFRESA, which has not yet received regulatory approval and which may never be commercialized. Before we can market and sell AFRESA, we must receive the necessary approvals from the FDA and similar foreign regulatory agencies before AFRESA can be marketed in the United States or elsewhere. Even if we were to receive regulatory approval, we ultimately may be unable to gain market acceptance of AFRESA for a variety of reasons, including the treatment and dosage regimen, potential adverse effects, the availability of alternative treatments and cost effectiveness. If we fail to commercialize AFRESA, our business, financial condition and results of operations will be materially and adversely affected.</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AFRESA,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AFRESA or develop or expand our other product candidates, or are significantly delayed in doing so, our business and results of operations will be harmed and the value of our stock could decline.</w:t>
      </w:r>
    </w:p>
    <w:p>
      <w:pPr>
        <w:spacing w:after="0" w:line="5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our business would be harmed and the market price of our common stock could decline.*</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660" w:right="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AFRESA;</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AFRESA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8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AFRESA. Many of our competitors have existing infrastructure and relationships with managed care organizations and reimbursement authorities which can be used to their advantage.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AFRESA less competitive, uneconomical or obsolete. Our future success will depend not only on our ability to develop our product candidates but to improve them and to keep pace with emerging industry developments. We cannot assure you that we will be able to do so.</w:t>
      </w:r>
    </w:p>
    <w:p>
      <w:pPr>
        <w:spacing w:after="0" w:line="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AFRESA, we may not be able to execute on our business model.*</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AFRESA. To date, we have not reached agreement with any of these companies on a collaboration. On April 10, 2008, we announced our decision to suspend partnership discussions as we believed that, given the existing market conditions, we would be unable to achieve an appropriate valuation for AFRESA until Phase 3 data is available that confirms our belief in the superior safety and efficacy profile of AFRESA. If and when we re-engage in such discussions, we believe that we will have to expend significant additional time and effort before we could reach an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AFRESA.</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5" w:lineRule="exact"/>
        <w:rPr>
          <w:sz w:val="20"/>
          <w:szCs w:val="20"/>
          <w:color w:val="auto"/>
        </w:rPr>
      </w:pPr>
    </w:p>
    <w:p>
      <w:pPr>
        <w:ind w:left="240" w:right="82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AFRESA and if our third-party collaborators do not perform satisfactorily or if our collaborations fail, development or commercialization of AFRESA may be delayed and our business could be harmed.*</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currently rely on clinical research organizations and hospitals to conduct, supervise or monitor some or all aspects of clinical trials involving AFRESA. Further, we may also enter into license agreements, partnerships or other collaborative arrangements to support the financing, development and marketing of AFRESA.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AFRESA and our other product candidates. We cannot offer assurances that we will be able to enter into satisfactory arrangements with third parties as contemplated or that any of our existing or future collaborations will be successful.</w:t>
      </w:r>
    </w:p>
    <w:p>
      <w:pPr>
        <w:spacing w:after="0" w:line="73"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b w:val="1"/>
          <w:bCs w:val="1"/>
          <w:i w:val="1"/>
          <w:iCs w:val="1"/>
          <w:color w:val="auto"/>
        </w:rPr>
        <w:t>Testing of AFRESA or another product candidate may not yield successful results, and even if it does, we may still be unable to commercialize that product candidate.*</w:t>
      </w:r>
    </w:p>
    <w:p>
      <w:pPr>
        <w:spacing w:after="0" w:line="6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AFRESA and our other product candidates through extensive nonclinical and clinical testing. We may experience numerous unforeseen events during, or as a result of, the testing process that could delay or prevent commercialization of AFRESA or any of our other product candidates, including the following: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2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completed a pivotal Phase 3 safety study of AFRESA to evaluate pulmonary function over a period of two years, but AFRESA is intended for multiple uses per day. Due to the size and timeframe over which existing and planned clinical trials are conducted, the results of clinical trials, including our existing Phase 3 trials, may not be indicative of the effects of the use of AFRESA over longer terms. If use of AFRESA results in adverse health effects or reduced efficacy or both, the FDA or other regulatory agencies may terminate our ability to market and sell AFRESA, may narrow the approved indications for use or otherwise require restrictive product labeling or marketing, or may require further clinical trials, which may be time-consuming and expensive and may not produce favorable results.</w:t>
      </w:r>
    </w:p>
    <w:p>
      <w:pPr>
        <w:spacing w:after="0" w:line="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AFRESA at any time. Any suspension or termination of our clinical trials or marketing activities may harm our business and results of operations and the market price of our common stock may decline.</w:t>
      </w:r>
    </w:p>
    <w:p>
      <w:pPr>
        <w:spacing w:after="0" w:line="73"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If we are unable to transition successfully from an early-stage development company to a company that commercializes therapeutics, our operations would suffer.*</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at a critical juncture in our development, as we prepare to submit our first NDA. We require a well-structured plan to make this transition. We have a number of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have implemented the following measures, among others, to accommodate our transition, complete development of AFRESA and successfully implement our commercialization strategy for AFRESA:</w:t>
      </w:r>
    </w:p>
    <w:p>
      <w:pPr>
        <w:spacing w:after="0" w:line="8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 manufacturing capabilities to be ready for FDA inspection and commercial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 the key clinical data needed to obtain regulatory approval and compete successfully in the marketplace.</w:t>
      </w:r>
    </w:p>
    <w:p>
      <w:pPr>
        <w:spacing w:after="0" w:line="117" w:lineRule="exact"/>
        <w:rPr>
          <w:sz w:val="20"/>
          <w:szCs w:val="20"/>
          <w:color w:val="auto"/>
        </w:rPr>
      </w:pPr>
    </w:p>
    <w:p>
      <w:pPr>
        <w:ind w:left="240" w:right="240"/>
        <w:spacing w:after="0" w:line="375"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AFRESA in a timely and sufficient manner, or they fail to comply with applicable regulations, our business and results of operations would be harmed and the market price of our common stock could decline.*</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AFRESA to be commercially viable, we need access to sufficient, reliable and affordable supplies of insulin, our MedTone inhaler, the related cartridges and other materials. In November 2007, we entered into a long-term supply agreement with N.V. Organon, which is currently our sole supplier for insulin. We are aware of several other suppliers of bulk insulin, but to date we have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 entered into a commercial relationship with any of them. We have obtained our AFRESA pre-cursor raw material from Evonik Industries, a major chemical manufacturer with facilities in Europe and North America, and we are evaluating a second manufacturer to supply us with commercial quantities of this raw material. We also utilize our in-house chemical manufacturing plant as a back up facility. We believe both manufacturers have the capacity to supply our current clinical and future commercial requirements. We currently obtain our MedTone inhaler and cartridges from Vaupell, Inc., and have also qualified a second source for our cartridges. We must rely on our suppliers to comply with relevant regulatory and other legal requirements, including the production of insulin in accordance with cGMP and the production of MedTone inhaler and related cartridges in accordance with device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AFRESA may be delayed. Any such events would delay the submission of AFRESA for regulatory approval or market introduction and subsequent sales and, if so, our business and results of operations will be harmed and the market price of our common stock may decline.</w:t>
      </w:r>
    </w:p>
    <w:p>
      <w:pPr>
        <w:spacing w:after="0" w:line="61" w:lineRule="exact"/>
        <w:rPr>
          <w:sz w:val="20"/>
          <w:szCs w:val="20"/>
          <w:color w:val="auto"/>
        </w:rPr>
      </w:pPr>
    </w:p>
    <w:p>
      <w:pPr>
        <w:ind w:left="240" w:right="80"/>
        <w:spacing w:after="0" w:line="375" w:lineRule="auto"/>
        <w:rPr>
          <w:sz w:val="20"/>
          <w:szCs w:val="20"/>
          <w:color w:val="auto"/>
        </w:rPr>
      </w:pPr>
      <w:r>
        <w:rPr>
          <w:rFonts w:ascii="Arial" w:cs="Arial" w:eastAsia="Arial" w:hAnsi="Arial"/>
          <w:sz w:val="15"/>
          <w:szCs w:val="15"/>
          <w:b w:val="1"/>
          <w:bCs w:val="1"/>
          <w:i w:val="1"/>
          <w:iCs w:val="1"/>
          <w:color w:val="auto"/>
        </w:rPr>
        <w:t>We have never manufactured AFRESA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obtained our AFRESA precursor raw material primarily from Evonik Industries and are evaluating a second manufacturer to supply us with commercial quantities. We use our Danbury, Connecticut facility to formulate AFRESA, fill plastic cartridges with AFRESA and blister package the cartridges for our clinical trials. We are presently increasing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terms or schedule, our facilities expansion could be delayed or its costs increased.</w:t>
      </w:r>
    </w:p>
    <w:p>
      <w:pPr>
        <w:spacing w:after="0" w:line="8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have never manufactured AFRESA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AFRESA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AFRESA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Additionally, if we manufacture commercial material at a different facility than the site of manufacture of clinical trial materials or if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50" w:lineRule="exact"/>
        <w:rPr>
          <w:sz w:val="20"/>
          <w:szCs w:val="20"/>
          <w:color w:val="auto"/>
        </w:rPr>
      </w:pPr>
    </w:p>
    <w:p>
      <w:pPr>
        <w:ind w:left="240" w:right="740"/>
        <w:spacing w:after="0" w:line="277" w:lineRule="auto"/>
        <w:rPr>
          <w:sz w:val="20"/>
          <w:szCs w:val="20"/>
          <w:color w:val="auto"/>
        </w:rPr>
      </w:pPr>
      <w:r>
        <w:rPr>
          <w:rFonts w:ascii="Arial" w:cs="Arial" w:eastAsia="Arial" w:hAnsi="Arial"/>
          <w:sz w:val="18"/>
          <w:szCs w:val="18"/>
          <w:b w:val="1"/>
          <w:bCs w:val="1"/>
          <w:i w:val="1"/>
          <w:iCs w:val="1"/>
          <w:color w:val="auto"/>
        </w:rPr>
        <w:t>We deal with hazardous materials and must comply with environmental laws and regulations, which can be expensive and restrict how we do business.*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completed the final stages of the soil cleanup plan in the third quarter of 2008 which cost approximately $2.25 million. We have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We are currently pursuing collection of the clean-up costs and expenses from the seller or the party responsible for the contamination. If we are unable to collect the full amount of these costs and expenses, our business and results of operations may be harmed.</w:t>
      </w:r>
    </w:p>
    <w:p>
      <w:pPr>
        <w:spacing w:after="0" w:line="84"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broad base of physicians, including primary care physicians and endocrinologists, treat patients with diabetes. A large sales force will be required in order to educate these physicians about the benefits and advantages of AFRESA and to provide adequate support for them. Therefore, we plan to enter into collaborations with one or more pharmaceutical companies to market, distribute and sell AFRESA, if it is approved. If we fail to enter into collaborations, we would be required to establish our own direct sales, marketing and distribution capabilities. Establishing these capabilities can be time-consuming and expensive.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 research or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61"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AFRESA and our other product candidates are new and unproven. Even if any of our product candidates obtains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AFRESA and our other product candidates will depend on many factors, including the:</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7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80"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customers for our products, our products might not be used or purchased, which would adversely affect our revenues.*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AFRESA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testing, manufacturing, marketing and sale of AFRESA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AFRESA. In addition, we carry local policies per trial in each country in which we conduct clinical trials that require us to carry coverage based on local statutory requirements. We intend to obtain product liability coverage for commercial sales in the future if AFRESA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complete development or commercialization of any of our product candidates and, if so, our business and results of operations would be harmed and the market price of our common stock may decline.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5"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Alfred Mann, our Chairman and Chief Executive Officer, is also serving as the Chairman of Advanced Bionics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AFRESA,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73"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Based on our discussions with the FDA at a recent pre-NDA meeting we expect that we will need to conduct a study prior to submitting our NDA that assesses the bioequivalency of the inhaler used in our clinical trials to date with the modified version of the same inhaler that we intend to use for commercial purposes. Although the FDA did not request any other trials prior to NDA submission, after receiving our data the agency could ask for additional studies. We cannot be certain when such studies might be requested,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AFRESA.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requirements governing the conduct of clinical trials and manufacturing and marketing of our product candidates, including AFRESA, outside the United States vary widely from country to country. Foreign approvals may take longer to obtain than FDA approvals and can require, among other things, additional testing and different clinical trial designs. Foreign regulatory approval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AFRESA in different ways, including: Exubera may be used as a reference for safety and efficacy evaluations of AFRESA, and the approval standards set for Exubera may be applied to other products that follow including AFRESA. The FDA has advised us that it will regulate AFRESA as a “combination product” because of the complex nature of the system that includes the combination of a new drug (AFRESA) and a new medical device (the MedTone inhaler used to administer the insulin). The FDA indicated that the review of a future drug marketing application for AFRESA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AFRESA will be reviewed and approved.</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AFRESA as a combination product therapy may lengthen the product development and regulatory approval process, increase our development costs and delay or prevent the commercialization of AFRESA.</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developing AFRESA as a new treatment for diabetes utilizing unique, proprietary components. As a combination product, any changes to either the MedTone inhaler, or AFRESA,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AFRESA. Our product candidates that are currently in development for the treatment of cancer also face similar obstacles and costs.</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currently expect that our inhaler will be reviewed for approval as part of the NDA for AFRESA. No assurances exist that we will not be required to obtain separate device clearances or approval for use of our inhaler with AFRESA. This may result in our being subject to medical device review user fees and to other device requirements to market our inhaler and may result in significant delays in commercialization. Even if the device component is approved as part of our NDA for AFRESA, numerous device regulatory requirements still apply to the device part of the drug-device combination.</w:t>
      </w:r>
    </w:p>
    <w:p>
      <w:pPr>
        <w:spacing w:after="0" w:line="63"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will not be able to commercialize AFRESA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4" w:lineRule="exact"/>
        <w:rPr>
          <w:sz w:val="20"/>
          <w:szCs w:val="20"/>
          <w:color w:val="auto"/>
        </w:rPr>
      </w:pPr>
    </w:p>
    <w:p>
      <w:pPr>
        <w:ind w:left="240" w:right="8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AFRESA or limit the target population for our other product candidates. Based on currently available clinical studies, we believe that AFRESA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AFRESA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AFRESA may not have competitive advantages when compared to other insulin products.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United States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United States Congressional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AFRESA.</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AFRESA. We also depend on suppliers for other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materials that comprise AFRESA,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AFRESA.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81" w:lineRule="exact"/>
        <w:rPr>
          <w:sz w:val="20"/>
          <w:szCs w:val="20"/>
          <w:color w:val="auto"/>
        </w:rPr>
      </w:pPr>
    </w:p>
    <w:p>
      <w:pPr>
        <w:ind w:left="240" w:right="30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our lead product candidate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AFRESA. As well, the public perception of our lead product candidates might be adversely affected, which could harm our business and results of operations and cause the market price of our common stock to decline, even if the concern relates to another company’s products or product candidates.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70"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left="240" w:right="260"/>
        <w:spacing w:after="0" w:line="375" w:lineRule="auto"/>
        <w:rPr>
          <w:sz w:val="20"/>
          <w:szCs w:val="20"/>
          <w:color w:val="auto"/>
        </w:rPr>
      </w:pPr>
      <w:r>
        <w:rPr>
          <w:rFonts w:ascii="Arial" w:cs="Arial" w:eastAsia="Arial" w:hAnsi="Arial"/>
          <w:sz w:val="15"/>
          <w:szCs w:val="15"/>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AFRESA and cancer vaccine products under development, we have identified certain third-party patents having claims relating to pulmonary insulin delivery that may trigger an allegation of infringement upon the commercial manufacture and sale of AFRESA.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product entirely and/or design around the patents, if possible. In either event, our business would be harmed and our profitability could be materially adversely impacted.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Our stock price is volatile. </w:t>
      </w:r>
      <w:r>
        <w:rPr>
          <w:rFonts w:ascii="Arial" w:cs="Arial" w:eastAsia="Arial" w:hAnsi="Arial"/>
          <w:sz w:val="18"/>
          <w:szCs w:val="18"/>
          <w:color w:val="auto"/>
        </w:rPr>
        <w: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current turbulence in the U.S. and global financial markets could adversely affect our stock price and our ability to raise additional capital through the sale of equity and/or debt securities.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80"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AFRESA or other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discussion of AFRESA, our other product candidates, competitors’ products, or our stock price by the financial and scientific press, the healthcare community and online investor communities such as chat rooms;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7"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73"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October 31, 2008, Mr. Mann beneficially owned approximately 48.3% of our outstanding shares of capital stock. We believe members of Mr. Mann’s family beneficially owned at least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6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6" w:lineRule="exact"/>
        <w:rPr>
          <w:sz w:val="20"/>
          <w:szCs w:val="20"/>
          <w:color w:val="auto"/>
        </w:rPr>
      </w:pPr>
    </w:p>
    <w:p>
      <w:pPr>
        <w:ind w:left="240" w:right="6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by us that were not registered under the Securities Act of 1933, as amended, during the third quarter of 2008.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5040"/>
        <w:spacing w:after="0" w:line="407"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0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20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3.3(3)</w:t>
            </w:r>
          </w:p>
        </w:tc>
        <w:tc>
          <w:tcPr>
            <w:tcW w:w="10500" w:type="dxa"/>
            <w:vAlign w:val="bottom"/>
          </w:tcPr>
          <w:p>
            <w:pPr>
              <w:ind w:left="20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4.1(1)</w:t>
            </w:r>
          </w:p>
        </w:tc>
        <w:tc>
          <w:tcPr>
            <w:tcW w:w="10500" w:type="dxa"/>
            <w:vAlign w:val="bottom"/>
          </w:tcPr>
          <w:p>
            <w:pPr>
              <w:ind w:left="20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4.2(1)</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Registration Rights Agreement, dated October 15, 1998 by and among CTL ImmunoTherapies Corp., Medical Research Group, LLC, McLean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Watson Advisory Inc. and Alfred E. Mann, as amended.</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4.3(4)</w:t>
            </w:r>
          </w:p>
        </w:tc>
        <w:tc>
          <w:tcPr>
            <w:tcW w:w="10500" w:type="dxa"/>
            <w:vAlign w:val="bottom"/>
          </w:tcPr>
          <w:p>
            <w:pPr>
              <w:ind w:left="200"/>
              <w:spacing w:after="0"/>
              <w:rPr>
                <w:sz w:val="20"/>
                <w:szCs w:val="20"/>
                <w:color w:val="auto"/>
              </w:rPr>
            </w:pPr>
            <w:r>
              <w:rPr>
                <w:rFonts w:ascii="Arial" w:cs="Arial" w:eastAsia="Arial" w:hAnsi="Arial"/>
                <w:sz w:val="18"/>
                <w:szCs w:val="18"/>
                <w:color w:val="auto"/>
              </w:rPr>
              <w:t>Indenture by and between MannKind Corporation and Wells Fargo Bank, N.A., dated November 1, 2006.</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4.4(5)</w:t>
            </w:r>
          </w:p>
        </w:tc>
        <w:tc>
          <w:tcPr>
            <w:tcW w:w="10500" w:type="dxa"/>
            <w:vAlign w:val="bottom"/>
          </w:tcPr>
          <w:p>
            <w:pPr>
              <w:ind w:left="200"/>
              <w:spacing w:after="0"/>
              <w:rPr>
                <w:sz w:val="20"/>
                <w:szCs w:val="20"/>
                <w:color w:val="auto"/>
              </w:rPr>
            </w:pPr>
            <w:r>
              <w:rPr>
                <w:rFonts w:ascii="Arial" w:cs="Arial" w:eastAsia="Arial" w:hAnsi="Arial"/>
                <w:sz w:val="18"/>
                <w:szCs w:val="18"/>
                <w:color w:val="auto"/>
                <w:w w:val="94"/>
              </w:rPr>
              <w:t>First Supplemental Indenture dated December 12, 2006 by and between MannKind Corporation and Wells Fargo Bank, N.A. as Trustee.</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4.5(5)</w:t>
            </w:r>
          </w:p>
        </w:tc>
        <w:tc>
          <w:tcPr>
            <w:tcW w:w="10500" w:type="dxa"/>
            <w:vAlign w:val="bottom"/>
          </w:tcPr>
          <w:p>
            <w:pPr>
              <w:ind w:left="200"/>
              <w:spacing w:after="0"/>
              <w:rPr>
                <w:sz w:val="20"/>
                <w:szCs w:val="20"/>
                <w:color w:val="auto"/>
              </w:rPr>
            </w:pPr>
            <w:r>
              <w:rPr>
                <w:rFonts w:ascii="Arial" w:cs="Arial" w:eastAsia="Arial" w:hAnsi="Arial"/>
                <w:sz w:val="18"/>
                <w:szCs w:val="18"/>
                <w:color w:val="auto"/>
              </w:rPr>
              <w:t>Form of 3.75% Senior Convertible Notes due 2013 dated December 12, 2006.</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Certification of the Chief Executive Officer Pursuant to Rules 13a-14(a) or 15d-14(a) of the Securities Exchange Act of 1934, as amended.</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200"/>
              <w:spacing w:after="0"/>
              <w:rPr>
                <w:sz w:val="20"/>
                <w:szCs w:val="20"/>
                <w:color w:val="auto"/>
              </w:rPr>
            </w:pPr>
            <w:r>
              <w:rPr>
                <w:rFonts w:ascii="Arial" w:cs="Arial" w:eastAsia="Arial" w:hAnsi="Arial"/>
                <w:sz w:val="18"/>
                <w:szCs w:val="18"/>
                <w:color w:val="auto"/>
                <w:w w:val="94"/>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4.3(1)</w:t>
            </w:r>
          </w:p>
        </w:tc>
        <w:tc>
          <w:tcPr>
            <w:tcW w:w="10500" w:type="dxa"/>
            <w:vAlign w:val="bottom"/>
          </w:tcPr>
          <w:p>
            <w:pPr>
              <w:ind w:left="20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4.4(1)</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Registration Rights Agreement, dated October 15, 1998 by and among CTL ImmunoTherapies Corp., Medical Research Group, LLC, McLean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Watson Advisory Inc. and Alfred E. Mann, as amended.</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4.5(6)</w:t>
            </w:r>
          </w:p>
        </w:tc>
        <w:tc>
          <w:tcPr>
            <w:tcW w:w="10500" w:type="dxa"/>
            <w:vAlign w:val="bottom"/>
          </w:tcPr>
          <w:p>
            <w:pPr>
              <w:ind w:left="200"/>
              <w:spacing w:after="0"/>
              <w:rPr>
                <w:sz w:val="20"/>
                <w:szCs w:val="20"/>
                <w:color w:val="auto"/>
              </w:rPr>
            </w:pPr>
            <w:r>
              <w:rPr>
                <w:rFonts w:ascii="Arial" w:cs="Arial" w:eastAsia="Arial" w:hAnsi="Arial"/>
                <w:sz w:val="18"/>
                <w:szCs w:val="18"/>
                <w:color w:val="auto"/>
              </w:rPr>
              <w:t>Indenture by and between MannKind Corporation and Wells Fargo Bank, N.A., dated November 1, 2006.</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200"/>
              <w:spacing w:after="0"/>
              <w:rPr>
                <w:sz w:val="20"/>
                <w:szCs w:val="20"/>
                <w:color w:val="auto"/>
              </w:rPr>
            </w:pPr>
            <w:r>
              <w:rPr>
                <w:rFonts w:ascii="Arial" w:cs="Arial" w:eastAsia="Arial" w:hAnsi="Arial"/>
                <w:sz w:val="18"/>
                <w:szCs w:val="18"/>
                <w:color w:val="auto"/>
                <w:w w:val="94"/>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right="220" w:hanging="912"/>
        <w:spacing w:after="0" w:line="308"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9" w:lineRule="exact"/>
        <w:rPr>
          <w:sz w:val="20"/>
          <w:szCs w:val="20"/>
          <w:color w:val="auto"/>
        </w:rPr>
      </w:pPr>
    </w:p>
    <w:p>
      <w:pPr>
        <w:jc w:val="center"/>
        <w:ind w:left="5620" w:hanging="5612"/>
        <w:spacing w:after="0" w:line="481" w:lineRule="auto"/>
        <w:tabs>
          <w:tab w:leader="none" w:pos="4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12, 2006.</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November 5, 2008</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19"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September 30, 2008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60" w:firstLine="8"/>
        <w:spacing w:after="0" w:line="308" w:lineRule="auto"/>
        <w:tabs>
          <w:tab w:leader="none" w:pos="17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5,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8"/>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September 30, 2008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60" w:firstLine="8"/>
        <w:spacing w:after="0" w:line="308" w:lineRule="auto"/>
        <w:tabs>
          <w:tab w:leader="none" w:pos="17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5,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08"/>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September 30, 2008,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have set their hands hereto as of the 5th day of November,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 Alfred E. Mann</w:t>
            </w:r>
          </w:p>
        </w:tc>
        <w:tc>
          <w:tcPr>
            <w:tcW w:w="5400" w:type="dxa"/>
            <w:vAlign w:val="bottom"/>
            <w:gridSpan w:val="2"/>
          </w:tcPr>
          <w:p>
            <w:pPr>
              <w:ind w:left="1000"/>
              <w:spacing w:after="0"/>
              <w:rPr>
                <w:sz w:val="20"/>
                <w:szCs w:val="20"/>
                <w:color w:val="auto"/>
              </w:rPr>
            </w:pPr>
            <w:r>
              <w:rPr>
                <w:rFonts w:ascii="Arial" w:cs="Arial" w:eastAsia="Arial" w:hAnsi="Arial"/>
                <w:sz w:val="18"/>
                <w:szCs w:val="18"/>
                <w:color w:val="auto"/>
              </w:rPr>
              <w:t>/s/ Matthew J. Pfeffer</w:t>
            </w:r>
          </w:p>
        </w:tc>
      </w:tr>
      <w:tr>
        <w:trPr>
          <w:trHeight w:val="209"/>
        </w:trPr>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100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400" w:type="dxa"/>
            <w:vAlign w:val="bottom"/>
            <w:gridSpan w:val="2"/>
          </w:tcPr>
          <w:p>
            <w:pPr>
              <w:ind w:left="1000"/>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3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2019-12-14T00:10:41Z</dcterms:created>
  <dcterms:modified xsi:type="dcterms:W3CDTF">2019-12-14T00:10:41Z</dcterms:modified>
</cp:coreProperties>
</file>