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nkd-20230930.htm"/>
      <w:bookmarkStart w:id="1" w:name="ksmnkd20230930"/>
      <w:bookmarkEnd w:id="0"/>
      <w:bookmarkEnd w:id="1"/>
      <w:r>
        <w:rPr/>
        <w:t> </w:t>
      </w:r>
    </w:p>
    <w:p>
      <w:pPr>
        <w:pStyle w:val="TextBody"/>
        <w:pBdr>
          <w:top w:val="double" w:sz="6" w:space="1" w:color="000000"/>
        </w:pBdr>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September 30, 2023</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000-50865</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8"/>
        </w:rPr>
        <w:t>MannKind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07" w:type="dxa"/>
        <w:jc w:val="left"/>
        <w:tblInd w:w="0" w:type="dxa"/>
        <w:tblLayout w:type="fixed"/>
        <w:tblCellMar>
          <w:top w:w="28" w:type="dxa"/>
          <w:left w:w="28" w:type="dxa"/>
          <w:bottom w:w="28" w:type="dxa"/>
          <w:right w:w="28" w:type="dxa"/>
        </w:tblCellMar>
      </w:tblPr>
      <w:tblGrid>
        <w:gridCol w:w="2926"/>
        <w:gridCol w:w="1681"/>
      </w:tblGrid>
      <w:tr>
        <w:trPr/>
        <w:tc>
          <w:tcPr>
            <w:tcW w:w="292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68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13-3607736</w:t>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incorporation or organization)</w:t>
            </w:r>
          </w:p>
        </w:tc>
        <w:tc>
          <w:tcPr>
            <w:tcW w:w="168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Identification No.)</w:t>
            </w:r>
          </w:p>
        </w:tc>
      </w:tr>
      <w:tr>
        <w:trPr/>
        <w:tc>
          <w:tcPr>
            <w:tcW w:w="2926"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jc w:val="center"/>
              <w:rPr>
                <w:rFonts w:ascii="Times New Roman" w:hAnsi="Times New Roman"/>
                <w:sz w:val="20"/>
              </w:rPr>
            </w:pPr>
            <w:r>
              <w:rPr>
                <w:rFonts w:ascii="Times New Roman" w:hAnsi="Times New Roman"/>
                <w:b/>
                <w:color w:val="000000"/>
                <w:sz w:val="20"/>
              </w:rPr>
              <w:t>1 Casper Street</w:t>
            </w:r>
            <w:r>
              <w:rPr>
                <w:rFonts w:ascii="Times New Roman" w:hAnsi="Times New Roman"/>
                <w:color w:val="000000"/>
                <w:sz w:val="20"/>
              </w:rPr>
              <w:t xml:space="preserve"> </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Danbury, Connecticut</w:t>
            </w:r>
          </w:p>
        </w:tc>
        <w:tc>
          <w:tcPr>
            <w:tcW w:w="168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06810</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68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(818) 661-5000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18"/>
        </w:rPr>
      </w:pPr>
      <w:r>
        <w:rPr>
          <w:rFonts w:ascii="Times New Roman" w:hAnsi="Times New Roman"/>
          <w:b w:val="false"/>
          <w:color w:val="000000"/>
          <w:sz w:val="18"/>
        </w:rPr>
        <w:t>N/A</w:t>
      </w:r>
    </w:p>
    <w:p>
      <w:pPr>
        <w:pStyle w:val="TextBody"/>
        <w:bidi w:val="0"/>
        <w:spacing w:before="60" w:after="283"/>
        <w:jc w:val="center"/>
        <w:rPr>
          <w:rFonts w:ascii="Times New Roman" w:hAnsi="Times New Roman"/>
          <w:b w:val="false"/>
          <w:color w:val="000000"/>
          <w:sz w:val="18"/>
        </w:rPr>
      </w:pPr>
      <w:r>
        <w:rPr>
          <w:rFonts w:ascii="Times New Roman" w:hAnsi="Times New Roman"/>
          <w:b w:val="false"/>
          <w:color w:val="000000"/>
          <w:sz w:val="18"/>
        </w:rPr>
        <w:t>(Former name, former address and former fiscal year, if changed since last report)</w:t>
      </w:r>
    </w:p>
    <w:p>
      <w:pPr>
        <w:pStyle w:val="TextBody"/>
        <w:bidi w:val="0"/>
        <w:spacing w:before="60" w:after="283"/>
        <w:jc w:val="center"/>
        <w:rPr>
          <w:rFonts w:ascii="Times New Roman" w:hAnsi="Times New Roman"/>
          <w:b w:val="false"/>
          <w:color w:val="000000"/>
          <w:sz w:val="18"/>
        </w:rPr>
      </w:pPr>
      <w:r>
        <w:rPr>
          <w:rFonts w:ascii="Times New Roman" w:hAnsi="Times New Roman"/>
          <w:b w:val="false"/>
          <w:color w:val="000000"/>
          <w:sz w:val="18"/>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 par value $0.01 per share</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MNKD</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Stock Market LLC</w:t>
            </w:r>
          </w:p>
        </w:tc>
      </w:tr>
    </w:tbl>
    <w:p>
      <w:pPr>
        <w:pStyle w:val="TextBody"/>
        <w:bidi w:val="0"/>
        <w:spacing w:before="60" w:after="283"/>
        <w:jc w:val="left"/>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039" w:type="dxa"/>
        <w:jc w:val="left"/>
        <w:tblInd w:w="0" w:type="dxa"/>
        <w:tblLayout w:type="fixed"/>
        <w:tblCellMar>
          <w:top w:w="28" w:type="dxa"/>
          <w:left w:w="28" w:type="dxa"/>
          <w:bottom w:w="28" w:type="dxa"/>
          <w:right w:w="28" w:type="dxa"/>
        </w:tblCellMar>
      </w:tblPr>
      <w:tblGrid>
        <w:gridCol w:w="1921"/>
        <w:gridCol w:w="386"/>
        <w:gridCol w:w="2311"/>
        <w:gridCol w:w="421"/>
      </w:tblGrid>
      <w:tr>
        <w:trPr/>
        <w:tc>
          <w:tcPr>
            <w:tcW w:w="192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Large accelerated filer</w:t>
            </w:r>
          </w:p>
        </w:tc>
        <w:tc>
          <w:tcPr>
            <w:tcW w:w="38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Accelerated filer</w:t>
            </w:r>
          </w:p>
        </w:tc>
        <w:tc>
          <w:tcPr>
            <w:tcW w:w="42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Non-accelerated filer</w:t>
            </w:r>
          </w:p>
        </w:tc>
        <w:tc>
          <w:tcPr>
            <w:tcW w:w="38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Smaller reporting company</w:t>
            </w:r>
          </w:p>
        </w:tc>
        <w:tc>
          <w:tcPr>
            <w:tcW w:w="421" w:type="dxa"/>
            <w:tcBorders/>
            <w:vAlign w:val="center"/>
          </w:tcPr>
          <w:p>
            <w:pPr>
              <w:pStyle w:val="TableContents"/>
              <w:bidi w:val="0"/>
              <w:spacing w:before="0" w:after="283"/>
              <w:jc w:val="left"/>
              <w:rPr>
                <w:color w:val="000000"/>
              </w:rPr>
            </w:pPr>
            <w:r>
              <w:rPr>
                <w:color w:val="000000"/>
              </w:rPr>
              <w:t xml:space="preserve">☐ </w:t>
            </w:r>
          </w:p>
        </w:tc>
      </w:tr>
      <w:tr>
        <w:trPr/>
        <w:tc>
          <w:tcPr>
            <w:tcW w:w="1921"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311" w:type="dxa"/>
            <w:tcBorders/>
            <w:vAlign w:val="center"/>
          </w:tcPr>
          <w:p>
            <w:pPr>
              <w:pStyle w:val="TableContents"/>
              <w:pBdr/>
              <w:bidi w:val="0"/>
              <w:spacing w:before="0" w:after="283"/>
              <w:ind w:left="0" w:right="0" w:hanging="240"/>
              <w:jc w:val="left"/>
              <w:rPr>
                <w:rFonts w:ascii="Times New Roman" w:hAnsi="Times New Roman"/>
                <w:b w:val="false"/>
                <w:color w:val="000000"/>
                <w:sz w:val="20"/>
              </w:rPr>
            </w:pPr>
            <w:r>
              <w:rPr>
                <w:rFonts w:ascii="Times New Roman" w:hAnsi="Times New Roman"/>
                <w:b w:val="false"/>
                <w:color w:val="000000"/>
                <w:sz w:val="20"/>
              </w:rPr>
              <w:t>Emerging growth company</w:t>
            </w:r>
          </w:p>
        </w:tc>
        <w:tc>
          <w:tcPr>
            <w:tcW w:w="421" w:type="dxa"/>
            <w:tcBorders/>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20"/>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val="false"/>
          <w:color w:val="000000"/>
          <w:sz w:val="20"/>
        </w:rPr>
        <w:t>As of October 27, 2023, there were 269,574,654</w:t>
      </w:r>
      <w:r>
        <w:rPr>
          <w:rFonts w:ascii="Times New Roman" w:hAnsi="Times New Roman"/>
          <w:color w:val="000000"/>
          <w:sz w:val="20"/>
        </w:rPr>
        <w:t xml:space="preserve"> </w:t>
      </w:r>
      <w:r>
        <w:rPr>
          <w:rFonts w:ascii="Times New Roman" w:hAnsi="Times New Roman"/>
          <w:b w:val="false"/>
          <w:color w:val="000000"/>
          <w:sz w:val="20"/>
        </w:rPr>
        <w:t>shares of the registrant’s common stock, $0.01 par value per share, outstanding.</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w:t>
      </w:r>
    </w:p>
    <w:p>
      <w:pPr>
        <w:pStyle w:val="TextBody"/>
        <w:bidi w:val="0"/>
        <w:spacing w:before="120" w:after="283"/>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September 30, 2023</w:t>
      </w:r>
      <w:r>
        <w:rPr>
          <w:rFonts w:ascii="Times New Roman" w:hAnsi="Times New Roman"/>
          <w:color w:val="000000"/>
          <w:sz w:val="20"/>
        </w:rPr>
        <w:t xml:space="preserve"> </w:t>
      </w:r>
    </w:p>
    <w:p>
      <w:pPr>
        <w:pStyle w:val="TextBody"/>
        <w:bidi w:val="0"/>
        <w:spacing w:before="12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694"/>
        <w:gridCol w:w="511"/>
      </w:tblGrid>
      <w:tr>
        <w:trPr/>
        <w:tc>
          <w:tcPr>
            <w:tcW w:w="9694"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4" w:type="dxa"/>
            <w:tcBorders/>
            <w:vAlign w:val="center"/>
          </w:tcPr>
          <w:p>
            <w:pPr>
              <w:pStyle w:val="TableContents"/>
              <w:bidi w:val="0"/>
              <w:spacing w:before="0" w:after="283"/>
              <w:jc w:val="left"/>
              <w:rPr/>
            </w:pPr>
            <w:hyperlink w:anchor="part_1_financial_information">
              <w:r>
                <w:rPr>
                  <w:rStyle w:val="InternetLink"/>
                  <w:rFonts w:ascii="Times New Roman" w:hAnsi="Times New Roman"/>
                  <w:b w:val="false"/>
                  <w:color w:val="0000FF"/>
                  <w:sz w:val="20"/>
                  <w:u w:val="single"/>
                </w:rPr>
                <w:t>PART I: FINANCIAL INFORMATION</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9694"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694" w:type="dxa"/>
            <w:tcBorders/>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Item 1. Financial Statements (Unaudited)</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9694" w:type="dxa"/>
            <w:tcBorders/>
            <w:vAlign w:val="center"/>
          </w:tcPr>
          <w:p>
            <w:pPr>
              <w:pStyle w:val="TableContents"/>
              <w:bidi w:val="0"/>
              <w:spacing w:before="0" w:after="283"/>
              <w:jc w:val="left"/>
              <w:rPr/>
            </w:pPr>
            <w:hyperlink w:anchor="condensed_consol_stmt_of_operations">
              <w:r>
                <w:rPr>
                  <w:rStyle w:val="InternetLink"/>
                  <w:rFonts w:ascii="Times New Roman" w:hAnsi="Times New Roman"/>
                  <w:b w:val="false"/>
                  <w:color w:val="0000FF"/>
                  <w:sz w:val="20"/>
                  <w:u w:val="single"/>
                </w:rPr>
                <w:t>Condensed Consolidated Statements of Operations: Three and nine months ended September 30, 2023 and 2022</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9694" w:type="dxa"/>
            <w:tcBorders/>
            <w:vAlign w:val="center"/>
          </w:tcPr>
          <w:p>
            <w:pPr>
              <w:pStyle w:val="TableContents"/>
              <w:bidi w:val="0"/>
              <w:spacing w:before="0" w:after="283"/>
              <w:jc w:val="left"/>
              <w:rPr>
                <w:rFonts w:ascii="Times New Roman" w:hAnsi="Times New Roman"/>
                <w:b w:val="false"/>
                <w:color w:val="0000FF"/>
                <w:sz w:val="20"/>
                <w:u w:val="single"/>
              </w:rPr>
            </w:pPr>
            <w:r>
              <w:rPr>
                <w:rFonts w:ascii="Times New Roman" w:hAnsi="Times New Roman"/>
                <w:b w:val="false"/>
                <w:color w:val="0000FF"/>
                <w:sz w:val="20"/>
                <w:u w:val="single"/>
              </w:rPr>
              <w:t>Condensed Consolidated Statements of Comprehensive Income (Loss): Three and nine months ended September 30, 2023 and 2022</w:t>
            </w:r>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9694" w:type="dxa"/>
            <w:tcBorders/>
            <w:vAlign w:val="center"/>
          </w:tcPr>
          <w:p>
            <w:pPr>
              <w:pStyle w:val="TableContents"/>
              <w:bidi w:val="0"/>
              <w:spacing w:before="0" w:after="283"/>
              <w:jc w:val="left"/>
              <w:rPr/>
            </w:pPr>
            <w:hyperlink w:anchor="condensed_consol_balance_sheets">
              <w:r>
                <w:rPr>
                  <w:rStyle w:val="InternetLink"/>
                  <w:rFonts w:ascii="Times New Roman" w:hAnsi="Times New Roman"/>
                  <w:b w:val="false"/>
                  <w:color w:val="0000FF"/>
                  <w:sz w:val="20"/>
                  <w:u w:val="single"/>
                </w:rPr>
                <w:t>Condensed Consolidated Balance Sheets: September 30, 2023 and December 31, 2022</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9694" w:type="dxa"/>
            <w:tcBorders/>
            <w:vAlign w:val="center"/>
          </w:tcPr>
          <w:p>
            <w:pPr>
              <w:pStyle w:val="TableContents"/>
              <w:bidi w:val="0"/>
              <w:spacing w:before="0" w:after="283"/>
              <w:jc w:val="left"/>
              <w:rPr/>
            </w:pPr>
            <w:hyperlink w:anchor="consolidated_statements_stockholders">
              <w:r>
                <w:rPr>
                  <w:rStyle w:val="InternetLink"/>
                  <w:rFonts w:ascii="Times New Roman" w:hAnsi="Times New Roman"/>
                  <w:b w:val="false"/>
                  <w:color w:val="0000FF"/>
                  <w:sz w:val="20"/>
                  <w:u w:val="single"/>
                </w:rPr>
                <w:t>Condensed Consolidated Statements of Stockholders’ Deficit: Three and nine months ended September 30, 2023 and 2022</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9694" w:type="dxa"/>
            <w:tcBorders/>
            <w:vAlign w:val="center"/>
          </w:tcPr>
          <w:p>
            <w:pPr>
              <w:pStyle w:val="TableContents"/>
              <w:bidi w:val="0"/>
              <w:spacing w:before="0" w:after="283"/>
              <w:jc w:val="left"/>
              <w:rPr/>
            </w:pPr>
            <w:hyperlink w:anchor="condensed_consolidated_statements_cash_f">
              <w:r>
                <w:rPr>
                  <w:rStyle w:val="InternetLink"/>
                  <w:rFonts w:ascii="Times New Roman" w:hAnsi="Times New Roman"/>
                  <w:b w:val="false"/>
                  <w:color w:val="0000FF"/>
                  <w:sz w:val="20"/>
                  <w:u w:val="single"/>
                </w:rPr>
                <w:t>Condensed Consolidated Statements of Cash Flows: Nine months ended September 30, 2023 and 2022</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9694" w:type="dxa"/>
            <w:tcBorders/>
            <w:vAlign w:val="center"/>
          </w:tcPr>
          <w:p>
            <w:pPr>
              <w:pStyle w:val="TableContents"/>
              <w:bidi w:val="0"/>
              <w:spacing w:before="0" w:after="283"/>
              <w:jc w:val="left"/>
              <w:rPr/>
            </w:pPr>
            <w:hyperlink w:anchor="notes_to_condensed_consolidated_financia">
              <w:r>
                <w:rPr>
                  <w:rStyle w:val="InternetLink"/>
                  <w:rFonts w:ascii="Times New Roman" w:hAnsi="Times New Roman"/>
                  <w:b w:val="false"/>
                  <w:color w:val="0000FF"/>
                  <w:sz w:val="20"/>
                  <w:u w:val="single"/>
                </w:rPr>
                <w:t>Notes to Condensed Consolidated Financial Statements</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r>
      <w:tr>
        <w:trPr/>
        <w:tc>
          <w:tcPr>
            <w:tcW w:w="9694"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Item 2. Management’s Discussion and Analysis of Financial Condition and Results of Operations</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r>
      <w:tr>
        <w:trPr/>
        <w:tc>
          <w:tcPr>
            <w:tcW w:w="9694"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Item 3. Quantitative and Qualitative Disclosures About Market Risk</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9694" w:type="dxa"/>
            <w:tcBorders/>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Item 4. Controls and Procedures</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9694"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694" w:type="dxa"/>
            <w:tcBorders/>
            <w:vAlign w:val="center"/>
          </w:tcPr>
          <w:p>
            <w:pPr>
              <w:pStyle w:val="TableContents"/>
              <w:bidi w:val="0"/>
              <w:spacing w:before="0" w:after="283"/>
              <w:jc w:val="left"/>
              <w:rPr/>
            </w:pPr>
            <w:hyperlink w:anchor="part_ii_or_information">
              <w:r>
                <w:rPr>
                  <w:rStyle w:val="InternetLink"/>
                  <w:rFonts w:ascii="Times New Roman" w:hAnsi="Times New Roman"/>
                  <w:b w:val="false"/>
                  <w:color w:val="0000FF"/>
                  <w:sz w:val="20"/>
                  <w:u w:val="single"/>
                </w:rPr>
                <w:t>PART II: OTHER INFORMATION</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r>
      <w:tr>
        <w:trPr/>
        <w:tc>
          <w:tcPr>
            <w:tcW w:w="9694"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694"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Item 1. Legal Proceedings</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r>
      <w:tr>
        <w:trPr/>
        <w:tc>
          <w:tcPr>
            <w:tcW w:w="9694" w:type="dxa"/>
            <w:tcBorders/>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Item 1A. Risk Factors</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r>
      <w:tr>
        <w:trPr/>
        <w:tc>
          <w:tcPr>
            <w:tcW w:w="9694"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Item 2. Unregistered Sales of Equity Securities and Use of Proceeds</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r>
      <w:tr>
        <w:trPr/>
        <w:tc>
          <w:tcPr>
            <w:tcW w:w="9694"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Item 3. Defaults Upon Senior Securities</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r>
      <w:tr>
        <w:trPr/>
        <w:tc>
          <w:tcPr>
            <w:tcW w:w="9694" w:type="dxa"/>
            <w:tcBorders/>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Item 4. Mine Safety Disclosures</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r>
      <w:tr>
        <w:trPr/>
        <w:tc>
          <w:tcPr>
            <w:tcW w:w="9694" w:type="dxa"/>
            <w:tcBorders/>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Item 5. Other Information</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r>
      <w:tr>
        <w:trPr/>
        <w:tc>
          <w:tcPr>
            <w:tcW w:w="9694"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Item 6. Exhibits</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9694"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694" w:type="dxa"/>
            <w:tcBorders/>
            <w:vAlign w:val="center"/>
          </w:tcPr>
          <w:p>
            <w:pPr>
              <w:pStyle w:val="TableContents"/>
              <w:bidi w:val="0"/>
              <w:spacing w:before="0" w:after="283"/>
              <w:jc w:val="left"/>
              <w:rPr/>
            </w:pPr>
            <w:hyperlink w:anchor="signature">
              <w:r>
                <w:rPr>
                  <w:rStyle w:val="InternetLink"/>
                  <w:rFonts w:ascii="Times New Roman" w:hAnsi="Times New Roman"/>
                  <w:b w:val="false"/>
                  <w:color w:val="0000FF"/>
                  <w:sz w:val="20"/>
                  <w:u w:val="single"/>
                </w:rPr>
                <w:t>SIGNATURES</w:t>
              </w:r>
            </w:hyperlink>
          </w:p>
        </w:tc>
        <w:tc>
          <w:tcPr>
            <w:tcW w:w="51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1_financial_information"/>
      <w:bookmarkEnd w:id="2"/>
      <w:r>
        <w:rPr>
          <w:rFonts w:ascii="Times New Roman" w:hAnsi="Times New Roman"/>
          <w:b/>
          <w:color w:val="000000"/>
          <w:sz w:val="20"/>
        </w:rPr>
        <w:t>PART 1: FINANCIAL INFORMATION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MANNKIND CORPORATION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_stmt_of_operations"/>
      <w:bookmarkEnd w:id="4"/>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344"/>
        <w:gridCol w:w="346"/>
        <w:gridCol w:w="211"/>
        <w:gridCol w:w="781"/>
        <w:gridCol w:w="166"/>
        <w:gridCol w:w="146"/>
        <w:gridCol w:w="211"/>
        <w:gridCol w:w="781"/>
        <w:gridCol w:w="166"/>
        <w:gridCol w:w="146"/>
        <w:gridCol w:w="211"/>
        <w:gridCol w:w="781"/>
        <w:gridCol w:w="166"/>
        <w:gridCol w:w="146"/>
        <w:gridCol w:w="211"/>
        <w:gridCol w:w="781"/>
        <w:gridCol w:w="611"/>
      </w:tblGrid>
      <w:tr>
        <w:trPr/>
        <w:tc>
          <w:tcPr>
            <w:tcW w:w="4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4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4"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4904"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611" w:type="dxa"/>
            <w:tcBorders/>
            <w:shd w:fill="FFFFFF" w:val="clear"/>
            <w:vAlign w:val="center"/>
          </w:tcPr>
          <w:p>
            <w:pPr>
              <w:pStyle w:val="TableContents"/>
              <w:bidi w:val="0"/>
              <w:spacing w:before="0" w:after="283"/>
              <w:jc w:val="center"/>
              <w:rPr/>
            </w:pPr>
            <w:r>
              <w:rPr/>
              <w:t> </w:t>
            </w:r>
          </w:p>
        </w:tc>
      </w:tr>
      <w:tr>
        <w:trPr/>
        <w:tc>
          <w:tcPr>
            <w:tcW w:w="43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3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revenue – commercial product sales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38,807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Revenue – collaborations and services</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18,380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Royalties – collaborations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4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revenues</w:t>
            </w:r>
          </w:p>
        </w:tc>
        <w:tc>
          <w:tcPr>
            <w:tcW w:w="3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Expenses:</w:t>
            </w:r>
          </w:p>
        </w:tc>
        <w:tc>
          <w:tcPr>
            <w:tcW w:w="3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34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Cost of goods sold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11,922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revenue – collaborations and services</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29,451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12,565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Selling</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42,137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27,241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Gain on foreign currency transaction</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(8,285</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34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expenses</w:t>
            </w:r>
          </w:p>
        </w:tc>
        <w:tc>
          <w:tcPr>
            <w:tcW w:w="3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46,156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42,435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139,670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115,031</w:t>
            </w:r>
          </w:p>
        </w:tc>
        <w:tc>
          <w:tcPr>
            <w:tcW w:w="6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3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from operations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3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net</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 on financing liability</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(7,280</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(12,474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(12,202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3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Gain on available-for-sale securities</w:t>
            </w:r>
          </w:p>
        </w:tc>
        <w:tc>
          <w:tcPr>
            <w:tcW w:w="3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34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expense</w:t>
            </w:r>
          </w:p>
        </w:tc>
        <w:tc>
          <w:tcPr>
            <w:tcW w:w="3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before income tax expense</w:t>
            </w:r>
          </w:p>
        </w:tc>
        <w:tc>
          <w:tcPr>
            <w:tcW w:w="3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(69,453</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Benefit from income taxes</w:t>
            </w:r>
          </w:p>
        </w:tc>
        <w:tc>
          <w:tcPr>
            <w:tcW w:w="3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(69,453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per share – basic</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Weighted average shares used to compute net income (loss) </w:t>
              <w:br/>
              <w:t>per share – basic</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268,732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254,974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per share – diluted</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Weighted average shares used to compute net income (loss) </w:t>
              <w:br/>
              <w:t>per share – diluted</w:t>
            </w:r>
          </w:p>
        </w:tc>
        <w:tc>
          <w:tcPr>
            <w:tcW w:w="3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254,974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val="false"/>
          <w:color w:val="000000"/>
          <w:sz w:val="20"/>
        </w:rPr>
        <w:t>See notes to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MANNKIND CORPORATION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COMPREHENSIVE INCOME (LOSS)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bookmarkStart w:id="5" w:name="condensed_cons_stmts_of_comp_loss"/>
      <w:bookmarkEnd w:id="5"/>
      <w:r>
        <w:rPr>
          <w:rFonts w:ascii="Times New Roman" w:hAnsi="Times New Roman"/>
          <w:b/>
          <w:color w:val="000000"/>
          <w:sz w:val="20"/>
        </w:rPr>
        <w:t>(Unaudited)</w:t>
      </w:r>
      <w:r>
        <w:rPr>
          <w:rFonts w:ascii="Times New Roman" w:hAnsi="Times New Roman"/>
          <w:color w:val="000000"/>
          <w:sz w:val="20"/>
        </w:rPr>
        <w:t xml:space="preserve"> </w:t>
      </w:r>
    </w:p>
    <w:tbl>
      <w:tblPr>
        <w:tblW w:w="9687" w:type="dxa"/>
        <w:jc w:val="left"/>
        <w:tblInd w:w="0" w:type="dxa"/>
        <w:tblLayout w:type="fixed"/>
        <w:tblCellMar>
          <w:top w:w="28" w:type="dxa"/>
          <w:left w:w="28" w:type="dxa"/>
          <w:bottom w:w="28" w:type="dxa"/>
          <w:right w:w="28" w:type="dxa"/>
        </w:tblCellMar>
      </w:tblPr>
      <w:tblGrid>
        <w:gridCol w:w="4611"/>
        <w:gridCol w:w="146"/>
        <w:gridCol w:w="211"/>
        <w:gridCol w:w="571"/>
        <w:gridCol w:w="146"/>
        <w:gridCol w:w="146"/>
        <w:gridCol w:w="211"/>
        <w:gridCol w:w="736"/>
        <w:gridCol w:w="166"/>
        <w:gridCol w:w="146"/>
        <w:gridCol w:w="211"/>
        <w:gridCol w:w="736"/>
        <w:gridCol w:w="166"/>
        <w:gridCol w:w="146"/>
        <w:gridCol w:w="211"/>
        <w:gridCol w:w="736"/>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(14,432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(69,453</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6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gain (loss) on available-for-sale securities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income (loss)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6" w:name="condensed_consol_balance_sheets"/>
      <w:bookmarkEnd w:id="6"/>
      <w:r>
        <w:rPr>
          <w:rFonts w:ascii="Times New Roman" w:hAnsi="Times New Roman"/>
          <w:b/>
          <w:color w:val="000000"/>
          <w:sz w:val="20"/>
        </w:rPr>
        <w:t>CONDENSED CONSOLIDATED BALANCE SHEETS</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117"/>
        <w:gridCol w:w="146"/>
        <w:gridCol w:w="268"/>
        <w:gridCol w:w="1262"/>
        <w:gridCol w:w="166"/>
        <w:gridCol w:w="146"/>
        <w:gridCol w:w="260"/>
        <w:gridCol w:w="1226"/>
        <w:gridCol w:w="614"/>
      </w:tblGrid>
      <w:tr>
        <w:trPr/>
        <w:tc>
          <w:tcPr>
            <w:tcW w:w="6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1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2"/>
            <w:tcBorders/>
            <w:shd w:fill="FFFFFF" w:val="clear"/>
            <w:vAlign w:val="center"/>
          </w:tcPr>
          <w:p>
            <w:pPr>
              <w:pStyle w:val="TableContents"/>
              <w:bidi w:val="0"/>
              <w:spacing w:before="0" w:after="283"/>
              <w:jc w:val="center"/>
              <w:rPr/>
            </w:pPr>
            <w:r>
              <w:rPr/>
              <w:t> </w:t>
            </w:r>
          </w:p>
        </w:tc>
        <w:tc>
          <w:tcPr>
            <w:tcW w:w="614" w:type="dxa"/>
            <w:tcBorders/>
            <w:shd w:fill="FFFFFF" w:val="clear"/>
            <w:vAlign w:val="center"/>
          </w:tcPr>
          <w:p>
            <w:pPr>
              <w:pStyle w:val="TableContents"/>
              <w:bidi w:val="0"/>
              <w:spacing w:before="0" w:after="283"/>
              <w:jc w:val="center"/>
              <w:rPr/>
            </w:pPr>
            <w:r>
              <w:rPr/>
              <w:t> </w:t>
            </w:r>
          </w:p>
        </w:tc>
      </w:tr>
      <w:tr>
        <w:trPr/>
        <w:tc>
          <w:tcPr>
            <w:tcW w:w="61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2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 thousands except share </w:t>
              <w:br/>
              <w:t>and per share data)</w:t>
            </w:r>
          </w:p>
        </w:tc>
        <w:tc>
          <w:tcPr>
            <w:tcW w:w="614" w:type="dxa"/>
            <w:tcBorders/>
            <w:shd w:fill="FFFFFF" w:val="clear"/>
            <w:vAlign w:val="center"/>
          </w:tcPr>
          <w:p>
            <w:pPr>
              <w:pStyle w:val="TableContents"/>
              <w:bidi w:val="0"/>
              <w:spacing w:before="0" w:after="283"/>
              <w:jc w:val="center"/>
              <w:rPr/>
            </w:pPr>
            <w:r>
              <w:rPr/>
              <w:t> </w:t>
            </w:r>
          </w:p>
        </w:tc>
      </w:tr>
      <w:tr>
        <w:trPr/>
        <w:tc>
          <w:tcPr>
            <w:tcW w:w="6117"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6"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1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200"/>
              <w:jc w:val="right"/>
              <w:rPr/>
            </w:pPr>
            <w:r>
              <w:rPr/>
              <w:t> </w:t>
            </w:r>
          </w:p>
        </w:tc>
      </w:tr>
      <w:tr>
        <w:trPr/>
        <w:tc>
          <w:tcPr>
            <w:tcW w:w="611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83,016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69,767</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11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101,079</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11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2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16,801</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11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21,772</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11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25,477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1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225,575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234,896</w:t>
            </w:r>
          </w:p>
        </w:tc>
        <w:tc>
          <w:tcPr>
            <w:tcW w:w="614" w:type="dxa"/>
            <w:tcBorders/>
            <w:shd w:fill="FFFFFF" w:val="clear"/>
            <w:vAlign w:val="center"/>
          </w:tcPr>
          <w:p>
            <w:pPr>
              <w:pStyle w:val="TableContents"/>
              <w:bidi w:val="0"/>
              <w:spacing w:before="0" w:after="283"/>
              <w:jc w:val="lef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2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45,126</w:t>
            </w:r>
          </w:p>
        </w:tc>
        <w:tc>
          <w:tcPr>
            <w:tcW w:w="614" w:type="dxa"/>
            <w:tcBorders/>
            <w:shd w:fill="CFF0FC"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2,428</w:t>
            </w:r>
          </w:p>
        </w:tc>
        <w:tc>
          <w:tcPr>
            <w:tcW w:w="614" w:type="dxa"/>
            <w:tcBorders/>
            <w:shd w:fill="FFFFFF" w:val="clear"/>
            <w:vAlign w:val="center"/>
          </w:tcPr>
          <w:p>
            <w:pPr>
              <w:pStyle w:val="TableContents"/>
              <w:bidi w:val="0"/>
              <w:spacing w:before="0" w:after="283"/>
              <w:jc w:val="lef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intangible asset</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2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1,153</w:t>
            </w:r>
          </w:p>
        </w:tc>
        <w:tc>
          <w:tcPr>
            <w:tcW w:w="614" w:type="dxa"/>
            <w:tcBorders/>
            <w:shd w:fill="CFF0FC"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1,961</w:t>
            </w:r>
          </w:p>
        </w:tc>
        <w:tc>
          <w:tcPr>
            <w:tcW w:w="614" w:type="dxa"/>
            <w:tcBorders/>
            <w:shd w:fill="FFFFFF" w:val="clear"/>
            <w:vAlign w:val="center"/>
          </w:tcPr>
          <w:p>
            <w:pPr>
              <w:pStyle w:val="TableContents"/>
              <w:bidi w:val="0"/>
              <w:spacing w:before="0" w:after="283"/>
              <w:jc w:val="lef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1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295,282</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17"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6"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117"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6"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200"/>
              <w:jc w:val="right"/>
              <w:rPr/>
            </w:pPr>
            <w:r>
              <w:rPr/>
              <w:t> </w:t>
            </w:r>
          </w:p>
        </w:tc>
      </w:tr>
      <w:tr>
        <w:trPr/>
        <w:tc>
          <w:tcPr>
            <w:tcW w:w="611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11,052</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11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2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35,553</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11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liability – current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9,565</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11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Midcap credit facility – current</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2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611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 – current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1,733</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611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Recognized loss on purchase commitments – current</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1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67,296</w:t>
            </w:r>
          </w:p>
        </w:tc>
        <w:tc>
          <w:tcPr>
            <w:tcW w:w="614" w:type="dxa"/>
            <w:tcBorders/>
            <w:shd w:fill="FFFFFF" w:val="clear"/>
            <w:vAlign w:val="center"/>
          </w:tcPr>
          <w:p>
            <w:pPr>
              <w:pStyle w:val="TableContents"/>
              <w:bidi w:val="0"/>
              <w:spacing w:before="0" w:after="283"/>
              <w:jc w:val="lef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Mann Group convertible note</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2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8,829</w:t>
            </w:r>
          </w:p>
        </w:tc>
        <w:tc>
          <w:tcPr>
            <w:tcW w:w="614" w:type="dxa"/>
            <w:tcBorders/>
            <w:shd w:fill="CFF0FC"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interest – Mann Group convertible note</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614" w:type="dxa"/>
            <w:tcBorders/>
            <w:shd w:fill="FFFFFF" w:val="clear"/>
            <w:vAlign w:val="center"/>
          </w:tcPr>
          <w:p>
            <w:pPr>
              <w:pStyle w:val="TableContents"/>
              <w:bidi w:val="0"/>
              <w:spacing w:before="0" w:after="283"/>
              <w:jc w:val="lef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Financing liability – long term</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2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94,375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94,512</w:t>
            </w:r>
          </w:p>
        </w:tc>
        <w:tc>
          <w:tcPr>
            <w:tcW w:w="614" w:type="dxa"/>
            <w:tcBorders/>
            <w:shd w:fill="CFF0FC"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Midcap credit facility – long term</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39,264</w:t>
            </w:r>
          </w:p>
        </w:tc>
        <w:tc>
          <w:tcPr>
            <w:tcW w:w="614" w:type="dxa"/>
            <w:tcBorders/>
            <w:shd w:fill="FFFFFF" w:val="clear"/>
            <w:vAlign w:val="center"/>
          </w:tcPr>
          <w:p>
            <w:pPr>
              <w:pStyle w:val="TableContents"/>
              <w:bidi w:val="0"/>
              <w:spacing w:before="0" w:after="283"/>
              <w:jc w:val="lef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2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226,487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225,397</w:t>
            </w:r>
          </w:p>
        </w:tc>
        <w:tc>
          <w:tcPr>
            <w:tcW w:w="614" w:type="dxa"/>
            <w:tcBorders/>
            <w:shd w:fill="CFF0FC"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Recognized loss on purchase commitments – long term</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50,534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62,916</w:t>
            </w:r>
          </w:p>
        </w:tc>
        <w:tc>
          <w:tcPr>
            <w:tcW w:w="614" w:type="dxa"/>
            <w:tcBorders/>
            <w:shd w:fill="FFFFFF" w:val="clear"/>
            <w:vAlign w:val="center"/>
          </w:tcPr>
          <w:p>
            <w:pPr>
              <w:pStyle w:val="TableContents"/>
              <w:bidi w:val="0"/>
              <w:spacing w:before="0" w:after="283"/>
              <w:jc w:val="lef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liability</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2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5,343</w:t>
            </w:r>
          </w:p>
        </w:tc>
        <w:tc>
          <w:tcPr>
            <w:tcW w:w="614" w:type="dxa"/>
            <w:tcBorders/>
            <w:shd w:fill="CFF0FC"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 long term</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37,684</w:t>
            </w:r>
          </w:p>
        </w:tc>
        <w:tc>
          <w:tcPr>
            <w:tcW w:w="614" w:type="dxa"/>
            <w:tcBorders/>
            <w:shd w:fill="FFFFFF" w:val="clear"/>
            <w:vAlign w:val="center"/>
          </w:tcPr>
          <w:p>
            <w:pPr>
              <w:pStyle w:val="TableContents"/>
              <w:bidi w:val="0"/>
              <w:spacing w:before="0" w:after="283"/>
              <w:jc w:val="lef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Milestone liabilities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2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4,524</w:t>
            </w:r>
          </w:p>
        </w:tc>
        <w:tc>
          <w:tcPr>
            <w:tcW w:w="614" w:type="dxa"/>
            <w:tcBorders/>
            <w:shd w:fill="CFF0FC" w:val="clear"/>
            <w:vAlign w:val="center"/>
          </w:tcPr>
          <w:p>
            <w:pPr>
              <w:pStyle w:val="TableContents"/>
              <w:bidi w:val="0"/>
              <w:spacing w:before="0" w:after="283"/>
              <w:ind w:left="0" w:right="0" w:firstLine="400"/>
              <w:jc w:val="left"/>
              <w:rPr/>
            </w:pPr>
            <w:r>
              <w:rPr/>
              <w:t> </w:t>
            </w:r>
          </w:p>
        </w:tc>
      </w:tr>
      <w:tr>
        <w:trPr/>
        <w:tc>
          <w:tcPr>
            <w:tcW w:w="611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6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572,107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545,820</w:t>
            </w:r>
          </w:p>
        </w:tc>
        <w:tc>
          <w:tcPr>
            <w:tcW w:w="61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Commitments and contingencies</w:t>
            </w:r>
            <w:r>
              <w:rPr>
                <w:rFonts w:ascii="Times New Roman" w:hAnsi="Times New Roman"/>
                <w:color w:val="000000"/>
                <w:sz w:val="20"/>
              </w:rPr>
              <w:t> </w:t>
            </w:r>
            <w:r>
              <w:rPr>
                <w:rFonts w:ascii="Times New Roman" w:hAnsi="Times New Roman"/>
                <w:b w:val="false"/>
                <w:color w:val="000000"/>
                <w:sz w:val="20"/>
              </w:rPr>
              <w:t>(Note 15)</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86"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61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deficit:</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86"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Undesignated preferred stock, $0.01</w:t>
            </w:r>
            <w:r>
              <w:rPr>
                <w:rFonts w:ascii="Times New Roman" w:hAnsi="Times New Roman"/>
                <w:color w:val="000000"/>
                <w:sz w:val="20"/>
              </w:rPr>
              <w:t> </w:t>
            </w:r>
            <w:r>
              <w:rPr>
                <w:rFonts w:ascii="Times New Roman" w:hAnsi="Times New Roman"/>
                <w:b w:val="false"/>
                <w:color w:val="000000"/>
                <w:sz w:val="20"/>
              </w:rPr>
              <w:t>par value – 10,000,000</w:t>
            </w:r>
            <w:r>
              <w:rPr>
                <w:rFonts w:ascii="Times New Roman" w:hAnsi="Times New Roman"/>
                <w:color w:val="000000"/>
                <w:sz w:val="20"/>
              </w:rPr>
              <w:t> </w:t>
            </w:r>
            <w:r>
              <w:rPr>
                <w:rFonts w:ascii="Times New Roman" w:hAnsi="Times New Roman"/>
                <w:b w:val="false"/>
                <w:color w:val="000000"/>
                <w:sz w:val="20"/>
              </w:rPr>
              <w:t>shares</w:t>
              <w:br/>
              <w:t>   authorized; no</w:t>
            </w:r>
            <w:r>
              <w:rPr>
                <w:rFonts w:ascii="Times New Roman" w:hAnsi="Times New Roman"/>
                <w:color w:val="000000"/>
                <w:sz w:val="20"/>
              </w:rPr>
              <w:t> </w:t>
            </w:r>
            <w:r>
              <w:rPr>
                <w:rFonts w:ascii="Times New Roman" w:hAnsi="Times New Roman"/>
                <w:b w:val="false"/>
                <w:color w:val="000000"/>
                <w:sz w:val="20"/>
              </w:rPr>
              <w:t>shares issued or outstanding as of September 30, 2023</w:t>
              <w:br/>
              <w:t>   and December 31, 2022</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26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Common stock, $0.01</w:t>
            </w:r>
            <w:r>
              <w:rPr>
                <w:rFonts w:ascii="Times New Roman" w:hAnsi="Times New Roman"/>
                <w:color w:val="000000"/>
                <w:sz w:val="20"/>
              </w:rPr>
              <w:t> </w:t>
            </w:r>
            <w:r>
              <w:rPr>
                <w:rFonts w:ascii="Times New Roman" w:hAnsi="Times New Roman"/>
                <w:b w:val="false"/>
                <w:color w:val="000000"/>
                <w:sz w:val="20"/>
              </w:rPr>
              <w:t>par value – 800,000,000</w:t>
            </w:r>
            <w:r>
              <w:rPr>
                <w:rFonts w:ascii="Times New Roman" w:hAnsi="Times New Roman"/>
                <w:color w:val="000000"/>
                <w:sz w:val="20"/>
              </w:rPr>
              <w:t> </w:t>
            </w:r>
            <w:r>
              <w:rPr>
                <w:rFonts w:ascii="Times New Roman" w:hAnsi="Times New Roman"/>
                <w:b w:val="false"/>
                <w:color w:val="000000"/>
                <w:sz w:val="20"/>
              </w:rPr>
              <w:t>and 400,000,000</w:t>
            </w:r>
            <w:r>
              <w:rPr>
                <w:rFonts w:ascii="Times New Roman" w:hAnsi="Times New Roman"/>
                <w:color w:val="000000"/>
                <w:sz w:val="20"/>
              </w:rPr>
              <w:t> </w:t>
            </w:r>
            <w:r>
              <w:rPr>
                <w:rFonts w:ascii="Times New Roman" w:hAnsi="Times New Roman"/>
                <w:b w:val="false"/>
                <w:color w:val="000000"/>
                <w:sz w:val="20"/>
              </w:rPr>
              <w:t xml:space="preserve">shares </w:t>
              <w:br/>
              <w:t>   authorized as of September 30, 2023 and December 31, 2022, respectively,</w:t>
              <w:br/>
              <w:t>   and 269,543,539</w:t>
            </w:r>
            <w:r>
              <w:rPr>
                <w:rFonts w:ascii="Times New Roman" w:hAnsi="Times New Roman"/>
                <w:color w:val="000000"/>
                <w:sz w:val="20"/>
              </w:rPr>
              <w:t> </w:t>
            </w:r>
            <w:r>
              <w:rPr>
                <w:rFonts w:ascii="Times New Roman" w:hAnsi="Times New Roman"/>
                <w:b w:val="false"/>
                <w:color w:val="000000"/>
                <w:sz w:val="20"/>
              </w:rPr>
              <w:t>and 263,793,305</w:t>
            </w:r>
            <w:r>
              <w:rPr>
                <w:rFonts w:ascii="Times New Roman" w:hAnsi="Times New Roman"/>
                <w:color w:val="000000"/>
                <w:sz w:val="20"/>
              </w:rPr>
              <w:t> </w:t>
            </w:r>
            <w:r>
              <w:rPr>
                <w:rFonts w:ascii="Times New Roman" w:hAnsi="Times New Roman"/>
                <w:b w:val="false"/>
                <w:color w:val="000000"/>
                <w:sz w:val="20"/>
              </w:rPr>
              <w:t>shares issued and outstanding as of</w:t>
              <w:br/>
              <w: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2,638</w:t>
            </w:r>
          </w:p>
        </w:tc>
        <w:tc>
          <w:tcPr>
            <w:tcW w:w="614" w:type="dxa"/>
            <w:tcBorders/>
            <w:shd w:fill="FFFFFF" w:val="clear"/>
            <w:vAlign w:val="center"/>
          </w:tcPr>
          <w:p>
            <w:pPr>
              <w:pStyle w:val="TableContents"/>
              <w:bidi w:val="0"/>
              <w:spacing w:before="0" w:after="283"/>
              <w:jc w:val="lef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12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2,975,891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2,964,293</w:t>
            </w:r>
          </w:p>
        </w:tc>
        <w:tc>
          <w:tcPr>
            <w:tcW w:w="614" w:type="dxa"/>
            <w:tcBorders/>
            <w:shd w:fill="CFF0FC" w:val="clear"/>
            <w:vAlign w:val="center"/>
          </w:tcPr>
          <w:p>
            <w:pPr>
              <w:pStyle w:val="TableContents"/>
              <w:bidi w:val="0"/>
              <w:spacing w:before="0" w:after="283"/>
              <w:jc w:val="left"/>
              <w:rPr/>
            </w:pPr>
            <w:r>
              <w:rPr/>
              <w:t> </w:t>
            </w:r>
          </w:p>
        </w:tc>
      </w:tr>
      <w:tr>
        <w:trPr/>
        <w:tc>
          <w:tcPr>
            <w:tcW w:w="61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other comprehensive income</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r>
        <w:trPr/>
        <w:tc>
          <w:tcPr>
            <w:tcW w:w="6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(3,230,808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(3,217,469</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1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deficit</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(250,538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11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 and stockholders' deficit</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295,282</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val="false"/>
          <w:color w:val="000000"/>
          <w:sz w:val="20"/>
        </w:rPr>
        <w:t>See notes to condensed consolidated financial statements.</w:t>
      </w:r>
      <w:r>
        <w:rPr>
          <w:rFonts w:ascii="Times New Roman" w:hAnsi="Times New Roman"/>
          <w:color w:val="000000"/>
          <w:sz w:val="20"/>
        </w:rPr>
        <w:t xml:space="preserve"> </w:t>
      </w:r>
    </w:p>
    <w:p>
      <w:pPr>
        <w:pStyle w:val="TextBody"/>
        <w:bidi w:val="0"/>
        <w:spacing w:before="40" w:after="283"/>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7" w:name="consolidated_statements_stockholders"/>
      <w:bookmarkEnd w:id="7"/>
      <w:r>
        <w:rPr>
          <w:rFonts w:ascii="Times New Roman" w:hAnsi="Times New Roman"/>
          <w:b/>
          <w:color w:val="000000"/>
          <w:sz w:val="20"/>
        </w:rPr>
        <w:t>CONDENSED CONSOLIDATED STATEMENTS OF STOCKHOLDERS’ DEFICIT</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617"/>
        <w:gridCol w:w="146"/>
        <w:gridCol w:w="146"/>
        <w:gridCol w:w="586"/>
        <w:gridCol w:w="146"/>
        <w:gridCol w:w="146"/>
        <w:gridCol w:w="181"/>
        <w:gridCol w:w="436"/>
        <w:gridCol w:w="146"/>
        <w:gridCol w:w="146"/>
        <w:gridCol w:w="203"/>
        <w:gridCol w:w="781"/>
        <w:gridCol w:w="151"/>
        <w:gridCol w:w="146"/>
        <w:gridCol w:w="358"/>
        <w:gridCol w:w="902"/>
        <w:gridCol w:w="151"/>
        <w:gridCol w:w="146"/>
        <w:gridCol w:w="236"/>
        <w:gridCol w:w="965"/>
        <w:gridCol w:w="151"/>
        <w:gridCol w:w="146"/>
        <w:gridCol w:w="181"/>
        <w:gridCol w:w="631"/>
        <w:gridCol w:w="361"/>
      </w:tblGrid>
      <w:tr>
        <w:trPr/>
        <w:tc>
          <w:tcPr>
            <w:tcW w:w="2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6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4"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61" w:type="dxa"/>
            <w:tcBorders/>
            <w:shd w:fill="FFFFFF" w:val="clear"/>
            <w:vAlign w:val="center"/>
          </w:tcPr>
          <w:p>
            <w:pPr>
              <w:pStyle w:val="TableContents"/>
              <w:bidi w:val="0"/>
              <w:spacing w:before="0" w:after="283"/>
              <w:jc w:val="center"/>
              <w:rPr/>
            </w:pPr>
            <w:r>
              <w:rPr/>
              <w:t> </w:t>
            </w:r>
          </w:p>
        </w:tc>
      </w:tr>
      <w:tr>
        <w:trPr/>
        <w:tc>
          <w:tcPr>
            <w:tcW w:w="26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81" w:type="dxa"/>
            <w:gridSpan w:val="2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61" w:type="dxa"/>
            <w:tcBorders/>
            <w:shd w:fill="FFFFFF" w:val="clear"/>
            <w:vAlign w:val="center"/>
          </w:tcPr>
          <w:p>
            <w:pPr>
              <w:pStyle w:val="TableContents"/>
              <w:bidi w:val="0"/>
              <w:spacing w:before="0" w:after="283"/>
              <w:jc w:val="center"/>
              <w:rPr/>
            </w:pPr>
            <w:r>
              <w:rPr/>
              <w:t> </w:t>
            </w:r>
          </w:p>
        </w:tc>
      </w:tr>
      <w:tr>
        <w:trPr/>
        <w:tc>
          <w:tcPr>
            <w:tcW w:w="261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251,478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2,918,205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(3,130,069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(209,349</w:t>
            </w:r>
          </w:p>
        </w:tc>
        <w:tc>
          <w:tcPr>
            <w:tcW w:w="361"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61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issuance of common stock associated</w:t>
              <w:br/>
              <w:t>   with stock options and restricted stock</w:t>
              <w:br/>
              <w:t>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129</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61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Issuance of common stock under the employee </w:t>
              <w:br/>
              <w:t>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740</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61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2,806</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61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from market</w:t>
              <w:br/>
              <w:t>   price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684</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61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Cumulative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(1,076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(1,076</w:t>
            </w:r>
          </w:p>
        </w:tc>
        <w:tc>
          <w:tcPr>
            <w:tcW w:w="361"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61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(25,998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(25,998</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61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252,413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2,922,555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(1,076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(3,156,067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(232,064</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61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pursuant to</w:t>
              <w:br/>
              <w:t xml:space="preserve">   conversion of Mann Group </w:t>
              <w:br/>
              <w:t>   convertible note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9,557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9,596</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61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Issuance of common stock pursuant to </w:t>
              <w:br/>
              <w:t>   conversion of the Mann Group</w:t>
              <w:br/>
              <w:t>   convertible note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520</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61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issuance of common stock associated</w:t>
              <w:br/>
              <w:t>   with stock options and restricted stock</w:t>
              <w:br/>
              <w:t>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(385</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(377</w:t>
            </w:r>
          </w:p>
        </w:tc>
        <w:tc>
          <w:tcPr>
            <w:tcW w:w="361"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61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4,422</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61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Cumulative loss on available-for-sale</w:t>
              <w:br/>
              <w: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w:t>
            </w:r>
          </w:p>
        </w:tc>
        <w:tc>
          <w:tcPr>
            <w:tcW w:w="361"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61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(29,023</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61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257,277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2,936,667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(3,185,090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(247,056</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61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associated</w:t>
              <w:br/>
              <w:t>   with at-the-market placement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19,739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19,790</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61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costs associated with at-the-market</w:t>
              <w:br/>
              <w:t>   placement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(381</w:t>
            </w:r>
          </w:p>
        </w:tc>
        <w:tc>
          <w:tcPr>
            <w:tcW w:w="361"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61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Issuance of common stock pursuant to </w:t>
              <w:br/>
              <w:t>   conversion of the Mann Group</w:t>
              <w:br/>
              <w:t>   convertible note interest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99</w:t>
            </w:r>
          </w:p>
        </w:tc>
        <w:tc>
          <w:tcPr>
            <w:tcW w:w="361" w:type="dxa"/>
            <w:tcBorders/>
            <w:shd w:fill="FFFFFF" w:val="clear"/>
            <w:vAlign w:val="center"/>
          </w:tcPr>
          <w:p>
            <w:pPr>
              <w:pStyle w:val="TableContents"/>
              <w:bidi w:val="0"/>
              <w:spacing w:before="0" w:after="283"/>
              <w:ind w:left="0" w:right="0" w:firstLine="160"/>
              <w:jc w:val="left"/>
              <w:rPr/>
            </w:pPr>
            <w:r>
              <w:rPr/>
              <w:t> </w:t>
            </w:r>
          </w:p>
        </w:tc>
      </w:tr>
      <w:tr>
        <w:trPr/>
        <w:tc>
          <w:tcPr>
            <w:tcW w:w="261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Issuance of common stock under </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873</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61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issuance of common stock associated</w:t>
              <w:br/>
              <w:t>   with stock options and restricted stock</w:t>
              <w:br/>
              <w:t>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(197</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(192</w:t>
            </w:r>
          </w:p>
        </w:tc>
        <w:tc>
          <w:tcPr>
            <w:tcW w:w="361"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617"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6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3,622</w:t>
            </w:r>
          </w:p>
        </w:tc>
        <w:tc>
          <w:tcPr>
            <w:tcW w:w="361" w:type="dxa"/>
            <w:tcBorders/>
            <w:shd w:fill="CFF0FC" w:val="clear"/>
            <w:vAlign w:val="center"/>
          </w:tcPr>
          <w:p>
            <w:pPr>
              <w:pStyle w:val="TableContents"/>
              <w:bidi w:val="0"/>
              <w:spacing w:before="0" w:after="283"/>
              <w:ind w:left="0" w:right="0" w:firstLine="160"/>
              <w:jc w:val="left"/>
              <w:rPr/>
            </w:pPr>
            <w:r>
              <w:rPr/>
              <w:t> </w:t>
            </w:r>
          </w:p>
        </w:tc>
      </w:tr>
      <w:tr>
        <w:trPr/>
        <w:tc>
          <w:tcPr>
            <w:tcW w:w="2617"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(14,432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(14,432</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61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263,156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2,960,419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(1,206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(3,199,522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(237,677</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bl>
    <w:p>
      <w:pPr>
        <w:pStyle w:val="TextBody"/>
        <w:bidi w:val="0"/>
        <w:spacing w:before="120" w:after="283"/>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98"/>
        <w:gridCol w:w="146"/>
        <w:gridCol w:w="146"/>
        <w:gridCol w:w="586"/>
        <w:gridCol w:w="146"/>
        <w:gridCol w:w="146"/>
        <w:gridCol w:w="181"/>
        <w:gridCol w:w="436"/>
        <w:gridCol w:w="146"/>
        <w:gridCol w:w="146"/>
        <w:gridCol w:w="204"/>
        <w:gridCol w:w="784"/>
        <w:gridCol w:w="151"/>
        <w:gridCol w:w="146"/>
        <w:gridCol w:w="451"/>
        <w:gridCol w:w="819"/>
        <w:gridCol w:w="146"/>
        <w:gridCol w:w="146"/>
        <w:gridCol w:w="239"/>
        <w:gridCol w:w="974"/>
        <w:gridCol w:w="151"/>
        <w:gridCol w:w="146"/>
        <w:gridCol w:w="181"/>
        <w:gridCol w:w="631"/>
        <w:gridCol w:w="359"/>
      </w:tblGrid>
      <w:tr>
        <w:trPr/>
        <w:tc>
          <w:tcPr>
            <w:tcW w:w="2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5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8"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9" w:type="dxa"/>
            <w:tcBorders/>
            <w:shd w:fill="FFFFFF" w:val="clear"/>
            <w:vAlign w:val="center"/>
          </w:tcPr>
          <w:p>
            <w:pPr>
              <w:pStyle w:val="TableContents"/>
              <w:bidi w:val="0"/>
              <w:spacing w:before="0" w:after="283"/>
              <w:jc w:val="center"/>
              <w:rPr/>
            </w:pPr>
            <w:r>
              <w:rPr/>
              <w:t> </w:t>
            </w:r>
          </w:p>
        </w:tc>
      </w:tr>
      <w:tr>
        <w:trPr/>
        <w:tc>
          <w:tcPr>
            <w:tcW w:w="25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02" w:type="dxa"/>
            <w:gridSpan w:val="2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59" w:type="dxa"/>
            <w:tcBorders/>
            <w:shd w:fill="FFFFFF" w:val="clear"/>
            <w:vAlign w:val="center"/>
          </w:tcPr>
          <w:p>
            <w:pPr>
              <w:pStyle w:val="TableContents"/>
              <w:bidi w:val="0"/>
              <w:spacing w:before="0" w:after="283"/>
              <w:jc w:val="center"/>
              <w:rPr/>
            </w:pPr>
            <w:r>
              <w:rPr/>
              <w:t> </w:t>
            </w:r>
          </w:p>
        </w:tc>
      </w:tr>
      <w:tr>
        <w:trPr/>
        <w:tc>
          <w:tcPr>
            <w:tcW w:w="2598"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263,793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2,964,293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8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7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(3,217,469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(250,538</w:t>
            </w:r>
          </w:p>
        </w:tc>
        <w:tc>
          <w:tcPr>
            <w:tcW w:w="359"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598"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associated</w:t>
              <w:br/>
              <w:t>   with at-the-market placement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1,199</w:t>
            </w:r>
          </w:p>
        </w:tc>
        <w:tc>
          <w:tcPr>
            <w:tcW w:w="359" w:type="dxa"/>
            <w:tcBorders/>
            <w:shd w:fill="FFFFFF" w:val="clear"/>
            <w:vAlign w:val="center"/>
          </w:tcPr>
          <w:p>
            <w:pPr>
              <w:pStyle w:val="TableContents"/>
              <w:bidi w:val="0"/>
              <w:spacing w:before="0" w:after="283"/>
              <w:ind w:left="0" w:right="0" w:firstLine="160"/>
              <w:jc w:val="left"/>
              <w:rPr/>
            </w:pPr>
            <w:r>
              <w:rPr/>
              <w:t> </w:t>
            </w:r>
          </w:p>
        </w:tc>
      </w:tr>
      <w:tr>
        <w:trPr/>
        <w:tc>
          <w:tcPr>
            <w:tcW w:w="2598"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costs associated with at-the-market</w:t>
              <w:br/>
              <w:t>   placement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w:t>
            </w:r>
          </w:p>
        </w:tc>
        <w:tc>
          <w:tcPr>
            <w:tcW w:w="359"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598"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issuance of common stock associated</w:t>
              <w:br/>
              <w:t>   with stock options and restricted stock units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w:t>
            </w:r>
          </w:p>
        </w:tc>
        <w:tc>
          <w:tcPr>
            <w:tcW w:w="359" w:type="dxa"/>
            <w:tcBorders/>
            <w:shd w:fill="FFFFFF" w:val="clear"/>
            <w:vAlign w:val="center"/>
          </w:tcPr>
          <w:p>
            <w:pPr>
              <w:pStyle w:val="TableContents"/>
              <w:bidi w:val="0"/>
              <w:spacing w:before="0" w:after="283"/>
              <w:ind w:left="0" w:right="0" w:firstLine="160"/>
              <w:jc w:val="left"/>
              <w:rPr/>
            </w:pPr>
            <w:r>
              <w:rPr/>
              <w:t> </w:t>
            </w:r>
          </w:p>
        </w:tc>
      </w:tr>
      <w:tr>
        <w:trPr/>
        <w:tc>
          <w:tcPr>
            <w:tcW w:w="2598"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Issuance of common stock pursuant to </w:t>
              <w:br/>
              <w:t>   conversion of the Mann Group</w:t>
              <w:br/>
              <w:t>   convertible note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w:t>
            </w:r>
          </w:p>
        </w:tc>
        <w:tc>
          <w:tcPr>
            <w:tcW w:w="359" w:type="dxa"/>
            <w:tcBorders/>
            <w:shd w:fill="CFF0FC" w:val="clear"/>
            <w:vAlign w:val="center"/>
          </w:tcPr>
          <w:p>
            <w:pPr>
              <w:pStyle w:val="TableContents"/>
              <w:bidi w:val="0"/>
              <w:spacing w:before="0" w:after="283"/>
              <w:ind w:left="0" w:right="0" w:firstLine="160"/>
              <w:jc w:val="left"/>
              <w:rPr/>
            </w:pPr>
            <w:r>
              <w:rPr/>
              <w:t> </w:t>
            </w:r>
          </w:p>
        </w:tc>
      </w:tr>
      <w:tr>
        <w:trPr/>
        <w:tc>
          <w:tcPr>
            <w:tcW w:w="2598"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Stock-based compensation expense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3,655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3,655</w:t>
            </w:r>
          </w:p>
        </w:tc>
        <w:tc>
          <w:tcPr>
            <w:tcW w:w="359" w:type="dxa"/>
            <w:tcBorders/>
            <w:shd w:fill="FFFFFF" w:val="clear"/>
            <w:vAlign w:val="center"/>
          </w:tcPr>
          <w:p>
            <w:pPr>
              <w:pStyle w:val="TableContents"/>
              <w:bidi w:val="0"/>
              <w:spacing w:before="0" w:after="283"/>
              <w:ind w:left="0" w:right="0" w:firstLine="160"/>
              <w:jc w:val="left"/>
              <w:rPr/>
            </w:pPr>
            <w:r>
              <w:rPr/>
              <w:t> </w:t>
            </w:r>
          </w:p>
        </w:tc>
      </w:tr>
      <w:tr>
        <w:trPr/>
        <w:tc>
          <w:tcPr>
            <w:tcW w:w="2598"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(9,795</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598"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264,279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2,969,225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(3,227,264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(255,396</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598"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associated</w:t>
              <w:br/>
              <w:t>   at-the-market placement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1,583</w:t>
            </w:r>
          </w:p>
        </w:tc>
        <w:tc>
          <w:tcPr>
            <w:tcW w:w="359" w:type="dxa"/>
            <w:tcBorders/>
            <w:shd w:fill="CFF0FC" w:val="clear"/>
            <w:vAlign w:val="center"/>
          </w:tcPr>
          <w:p>
            <w:pPr>
              <w:pStyle w:val="TableContents"/>
              <w:bidi w:val="0"/>
              <w:spacing w:before="0" w:after="283"/>
              <w:ind w:left="0" w:right="0" w:firstLine="160"/>
              <w:jc w:val="left"/>
              <w:rPr/>
            </w:pPr>
            <w:r>
              <w:rPr/>
              <w:t> </w:t>
            </w:r>
          </w:p>
        </w:tc>
      </w:tr>
      <w:tr>
        <w:trPr/>
        <w:tc>
          <w:tcPr>
            <w:tcW w:w="2598"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costs associated with at-the-market</w:t>
              <w:br/>
              <w:t>   placement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w:t>
            </w:r>
          </w:p>
        </w:tc>
        <w:tc>
          <w:tcPr>
            <w:tcW w:w="359"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598"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Issuance of common stock pursuant to </w:t>
              <w:br/>
              <w:t>   conversion of the Mann Group</w:t>
              <w:br/>
              <w:t>   convertible note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w:t>
            </w:r>
          </w:p>
        </w:tc>
        <w:tc>
          <w:tcPr>
            <w:tcW w:w="359" w:type="dxa"/>
            <w:tcBorders/>
            <w:shd w:fill="CFF0FC" w:val="clear"/>
            <w:vAlign w:val="center"/>
          </w:tcPr>
          <w:p>
            <w:pPr>
              <w:pStyle w:val="TableContents"/>
              <w:bidi w:val="0"/>
              <w:spacing w:before="0" w:after="283"/>
              <w:ind w:left="0" w:right="0" w:firstLine="160"/>
              <w:jc w:val="left"/>
              <w:rPr/>
            </w:pPr>
            <w:r>
              <w:rPr/>
              <w:t> </w:t>
            </w:r>
          </w:p>
        </w:tc>
      </w:tr>
      <w:tr>
        <w:trPr/>
        <w:tc>
          <w:tcPr>
            <w:tcW w:w="2598"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issuance of common stock associated</w:t>
              <w:br/>
              <w:t>   with stock options and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(8,576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(8,544</w:t>
            </w:r>
          </w:p>
        </w:tc>
        <w:tc>
          <w:tcPr>
            <w:tcW w:w="359"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598"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Issuance of common stock under </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923</w:t>
            </w:r>
          </w:p>
        </w:tc>
        <w:tc>
          <w:tcPr>
            <w:tcW w:w="359" w:type="dxa"/>
            <w:tcBorders/>
            <w:shd w:fill="CFF0FC" w:val="clear"/>
            <w:vAlign w:val="center"/>
          </w:tcPr>
          <w:p>
            <w:pPr>
              <w:pStyle w:val="TableContents"/>
              <w:bidi w:val="0"/>
              <w:spacing w:before="0" w:after="283"/>
              <w:ind w:left="0" w:right="0" w:firstLine="160"/>
              <w:jc w:val="left"/>
              <w:rPr/>
            </w:pPr>
            <w:r>
              <w:rPr/>
              <w:t> </w:t>
            </w:r>
          </w:p>
        </w:tc>
      </w:tr>
      <w:tr>
        <w:trPr/>
        <w:tc>
          <w:tcPr>
            <w:tcW w:w="2598"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5,580</w:t>
            </w:r>
          </w:p>
        </w:tc>
        <w:tc>
          <w:tcPr>
            <w:tcW w:w="359" w:type="dxa"/>
            <w:tcBorders/>
            <w:shd w:fill="FFFFFF" w:val="clear"/>
            <w:vAlign w:val="center"/>
          </w:tcPr>
          <w:p>
            <w:pPr>
              <w:pStyle w:val="TableContents"/>
              <w:bidi w:val="0"/>
              <w:spacing w:before="0" w:after="283"/>
              <w:ind w:left="0" w:right="0" w:firstLine="160"/>
              <w:jc w:val="left"/>
              <w:rPr/>
            </w:pPr>
            <w:r>
              <w:rPr/>
              <w:t> </w:t>
            </w:r>
          </w:p>
        </w:tc>
      </w:tr>
      <w:tr>
        <w:trPr/>
        <w:tc>
          <w:tcPr>
            <w:tcW w:w="2598"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from market</w:t>
              <w:br/>
              <w:t>   price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152</w:t>
            </w:r>
          </w:p>
        </w:tc>
        <w:tc>
          <w:tcPr>
            <w:tcW w:w="359" w:type="dxa"/>
            <w:tcBorders/>
            <w:shd w:fill="CFF0FC" w:val="clear"/>
            <w:vAlign w:val="center"/>
          </w:tcPr>
          <w:p>
            <w:pPr>
              <w:pStyle w:val="TableContents"/>
              <w:bidi w:val="0"/>
              <w:spacing w:before="0" w:after="283"/>
              <w:ind w:left="0" w:right="0" w:firstLine="160"/>
              <w:jc w:val="left"/>
              <w:rPr/>
            </w:pPr>
            <w:r>
              <w:rPr/>
              <w:t> </w:t>
            </w:r>
          </w:p>
        </w:tc>
      </w:tr>
      <w:tr>
        <w:trPr/>
        <w:tc>
          <w:tcPr>
            <w:tcW w:w="2598"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Cumulative gain on available-for-sale</w:t>
              <w:br/>
              <w:t>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443</w:t>
            </w:r>
          </w:p>
        </w:tc>
        <w:tc>
          <w:tcPr>
            <w:tcW w:w="359" w:type="dxa"/>
            <w:tcBorders/>
            <w:shd w:fill="FFFFFF" w:val="clear"/>
            <w:vAlign w:val="center"/>
          </w:tcPr>
          <w:p>
            <w:pPr>
              <w:pStyle w:val="TableContents"/>
              <w:bidi w:val="0"/>
              <w:spacing w:before="0" w:after="283"/>
              <w:ind w:left="0" w:right="0" w:firstLine="160"/>
              <w:jc w:val="left"/>
              <w:rPr/>
            </w:pPr>
            <w:r>
              <w:rPr/>
              <w:t> </w:t>
            </w:r>
          </w:p>
        </w:tc>
      </w:tr>
      <w:tr>
        <w:trPr/>
        <w:tc>
          <w:tcPr>
            <w:tcW w:w="2598"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(5,265</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598"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268,235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2,968,917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(3,232,529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(260,487</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598"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associated</w:t>
              <w:br/>
              <w:t>   at-the-market placement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4,105</w:t>
            </w:r>
          </w:p>
        </w:tc>
        <w:tc>
          <w:tcPr>
            <w:tcW w:w="359" w:type="dxa"/>
            <w:tcBorders/>
            <w:shd w:fill="CFF0FC" w:val="clear"/>
            <w:vAlign w:val="center"/>
          </w:tcPr>
          <w:p>
            <w:pPr>
              <w:pStyle w:val="TableContents"/>
              <w:bidi w:val="0"/>
              <w:spacing w:before="0" w:after="283"/>
              <w:ind w:left="0" w:right="0" w:firstLine="160"/>
              <w:jc w:val="left"/>
              <w:rPr/>
            </w:pPr>
            <w:r>
              <w:rPr/>
              <w:t> </w:t>
            </w:r>
          </w:p>
        </w:tc>
      </w:tr>
      <w:tr>
        <w:trPr/>
        <w:tc>
          <w:tcPr>
            <w:tcW w:w="2598"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costs associated with at-the-market</w:t>
              <w:br/>
              <w:t>   placement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(67</w:t>
            </w:r>
          </w:p>
        </w:tc>
        <w:tc>
          <w:tcPr>
            <w:tcW w:w="359"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598"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 xml:space="preserve">Issuance of common stock pursuant to </w:t>
              <w:br/>
              <w:t>   conversion of the Mann Group</w:t>
              <w:br/>
              <w:t>   convertible note interest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w:t>
            </w:r>
          </w:p>
        </w:tc>
        <w:tc>
          <w:tcPr>
            <w:tcW w:w="359" w:type="dxa"/>
            <w:tcBorders/>
            <w:shd w:fill="CFF0FC" w:val="clear"/>
            <w:vAlign w:val="center"/>
          </w:tcPr>
          <w:p>
            <w:pPr>
              <w:pStyle w:val="TableContents"/>
              <w:bidi w:val="0"/>
              <w:spacing w:before="0" w:after="283"/>
              <w:ind w:left="0" w:right="0" w:firstLine="160"/>
              <w:jc w:val="left"/>
              <w:rPr/>
            </w:pPr>
            <w:r>
              <w:rPr/>
              <w:t> </w:t>
            </w:r>
          </w:p>
        </w:tc>
      </w:tr>
      <w:tr>
        <w:trPr/>
        <w:tc>
          <w:tcPr>
            <w:tcW w:w="2598"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issuance of common stock associated</w:t>
              <w:br/>
              <w:t>   with stock options and restricted stock</w:t>
              <w:br/>
              <w:t>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(1,712</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(1,708</w:t>
            </w:r>
          </w:p>
        </w:tc>
        <w:tc>
          <w:tcPr>
            <w:tcW w:w="359"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2598"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4,601</w:t>
            </w:r>
          </w:p>
        </w:tc>
        <w:tc>
          <w:tcPr>
            <w:tcW w:w="359" w:type="dxa"/>
            <w:tcBorders/>
            <w:shd w:fill="CFF0FC" w:val="clear"/>
            <w:vAlign w:val="center"/>
          </w:tcPr>
          <w:p>
            <w:pPr>
              <w:pStyle w:val="TableContents"/>
              <w:bidi w:val="0"/>
              <w:spacing w:before="0" w:after="283"/>
              <w:ind w:left="0" w:right="0" w:firstLine="160"/>
              <w:jc w:val="left"/>
              <w:rPr/>
            </w:pPr>
            <w:r>
              <w:rPr/>
              <w:t> </w:t>
            </w:r>
          </w:p>
        </w:tc>
      </w:tr>
      <w:tr>
        <w:trPr/>
        <w:tc>
          <w:tcPr>
            <w:tcW w:w="2598"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1,721</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8"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269,543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2,975,891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(3,230,808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(251,779</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val="false"/>
          <w:color w:val="000000"/>
          <w:sz w:val="20"/>
        </w:rPr>
        <w:t>See notes to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MANNKIND CORPORATION AND SUBSIDIARIES</w:t>
      </w:r>
    </w:p>
    <w:p>
      <w:pPr>
        <w:pStyle w:val="TextBody"/>
        <w:bidi w:val="0"/>
        <w:jc w:val="center"/>
        <w:rPr>
          <w:rFonts w:ascii="Times New Roman" w:hAnsi="Times New Roman"/>
          <w:sz w:val="20"/>
        </w:rPr>
      </w:pPr>
      <w:bookmarkStart w:id="8" w:name="condensed_consolidated_statements_cash_f"/>
      <w:bookmarkEnd w:id="8"/>
      <w:r>
        <w:rPr>
          <w:rFonts w:ascii="Times New Roman" w:hAnsi="Times New Roman"/>
          <w:b/>
          <w:color w:val="000000"/>
          <w:sz w:val="18"/>
        </w:rPr>
        <w:t>CONDENSED CONSOLIDATED STATEMENTS OF CASH FLOWS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18"/>
        </w:rPr>
        <w:t>(Unaudited)</w:t>
      </w:r>
      <w:r>
        <w:rPr>
          <w:rFonts w:ascii="Times New Roman" w:hAnsi="Times New Roman"/>
          <w:color w:val="000000"/>
          <w:sz w:val="20"/>
        </w:rPr>
        <w:t xml:space="preserve"> </w:t>
      </w:r>
    </w:p>
    <w:tbl>
      <w:tblPr>
        <w:tblW w:w="9336" w:type="dxa"/>
        <w:jc w:val="left"/>
        <w:tblInd w:w="0" w:type="dxa"/>
        <w:tblLayout w:type="fixed"/>
        <w:tblCellMar>
          <w:top w:w="28" w:type="dxa"/>
          <w:left w:w="28" w:type="dxa"/>
          <w:bottom w:w="28" w:type="dxa"/>
          <w:right w:w="28" w:type="dxa"/>
        </w:tblCellMar>
      </w:tblPr>
      <w:tblGrid>
        <w:gridCol w:w="6081"/>
        <w:gridCol w:w="146"/>
        <w:gridCol w:w="212"/>
        <w:gridCol w:w="653"/>
        <w:gridCol w:w="177"/>
        <w:gridCol w:w="171"/>
        <w:gridCol w:w="212"/>
        <w:gridCol w:w="688"/>
        <w:gridCol w:w="996"/>
      </w:tblGrid>
      <w:tr>
        <w:trPr/>
        <w:tc>
          <w:tcPr>
            <w:tcW w:w="6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6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Nine Months Ended September 30,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13"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996" w:type="dxa"/>
            <w:tcBorders/>
            <w:shd w:fill="FFFFFF" w:val="clear"/>
            <w:vAlign w:val="center"/>
          </w:tcPr>
          <w:p>
            <w:pPr>
              <w:pStyle w:val="TableContents"/>
              <w:bidi w:val="0"/>
              <w:spacing w:before="0" w:after="283"/>
              <w:jc w:val="center"/>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FLOWS FROM OPERATING ACTIVITIES:</w:t>
            </w:r>
          </w:p>
        </w:tc>
        <w:tc>
          <w:tcPr>
            <w:tcW w:w="146" w:type="dxa"/>
            <w:tcBorders/>
            <w:shd w:fill="CFF0FC" w:val="clear"/>
            <w:vAlign w:val="center"/>
          </w:tcPr>
          <w:p>
            <w:pPr>
              <w:pStyle w:val="TableContents"/>
              <w:bidi w:val="0"/>
              <w:spacing w:before="0" w:after="283"/>
              <w:jc w:val="right"/>
              <w:rPr/>
            </w:pPr>
            <w:r>
              <w:rPr/>
              <w:t> </w:t>
            </w:r>
          </w:p>
        </w:tc>
        <w:tc>
          <w:tcPr>
            <w:tcW w:w="865"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900"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200"/>
              <w:jc w:val="righ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(13,339</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(69,453</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Adjustments to reconcile net loss to net cash provided by (used in)</w:t>
              <w:br/>
              <w:t>   operating activities:</w:t>
            </w:r>
          </w:p>
        </w:tc>
        <w:tc>
          <w:tcPr>
            <w:tcW w:w="146" w:type="dxa"/>
            <w:tcBorders/>
            <w:shd w:fill="CFF0FC" w:val="clear"/>
            <w:vAlign w:val="center"/>
          </w:tcPr>
          <w:p>
            <w:pPr>
              <w:pStyle w:val="TableContents"/>
              <w:bidi w:val="0"/>
              <w:spacing w:before="0" w:after="283"/>
              <w:jc w:val="right"/>
              <w:rPr/>
            </w:pPr>
            <w:r>
              <w:rPr/>
              <w:t> </w:t>
            </w:r>
          </w:p>
        </w:tc>
        <w:tc>
          <w:tcPr>
            <w:tcW w:w="865"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900"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400"/>
              <w:jc w:val="righ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13,836</w:t>
            </w:r>
          </w:p>
        </w:tc>
        <w:tc>
          <w:tcPr>
            <w:tcW w:w="177"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10,850</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Write-off of inventory</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3,659</w:t>
            </w:r>
          </w:p>
        </w:tc>
        <w:tc>
          <w:tcPr>
            <w:tcW w:w="177"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1,368</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Depreciation and amortization</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3,310</w:t>
            </w:r>
          </w:p>
        </w:tc>
        <w:tc>
          <w:tcPr>
            <w:tcW w:w="177"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2,308</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Amortization of debt discount and issuance costs</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1,570</w:t>
            </w:r>
          </w:p>
        </w:tc>
        <w:tc>
          <w:tcPr>
            <w:tcW w:w="177"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1,567</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Amortization of right-of-use assets</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978</w:t>
            </w:r>
          </w:p>
        </w:tc>
        <w:tc>
          <w:tcPr>
            <w:tcW w:w="177"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2,655</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Interest expense on Mann Group convertible note</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165</w:t>
            </w:r>
          </w:p>
        </w:tc>
        <w:tc>
          <w:tcPr>
            <w:tcW w:w="177"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270</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Interest expense on financing liability</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w:t>
            </w:r>
          </w:p>
        </w:tc>
        <w:tc>
          <w:tcPr>
            <w:tcW w:w="177"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3,357</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Gain on available-for-sale securities</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(932</w:t>
            </w:r>
          </w:p>
        </w:tc>
        <w:tc>
          <w:tcPr>
            <w:tcW w:w="17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Gain on foreign currency transaction</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(860</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(8,285</w:t>
            </w:r>
          </w:p>
        </w:tc>
        <w:tc>
          <w:tcPr>
            <w:tcW w:w="99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Other, net</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(433</w:t>
            </w:r>
          </w:p>
        </w:tc>
        <w:tc>
          <w:tcPr>
            <w:tcW w:w="17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629</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60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Changes in operating assets and liabilities:</w:t>
            </w:r>
          </w:p>
        </w:tc>
        <w:tc>
          <w:tcPr>
            <w:tcW w:w="146" w:type="dxa"/>
            <w:tcBorders/>
            <w:shd w:fill="FFFFFF" w:val="clear"/>
            <w:vAlign w:val="center"/>
          </w:tcPr>
          <w:p>
            <w:pPr>
              <w:pStyle w:val="TableContents"/>
              <w:bidi w:val="0"/>
              <w:spacing w:before="0" w:after="283"/>
              <w:jc w:val="right"/>
              <w:rPr/>
            </w:pPr>
            <w:r>
              <w:rPr/>
              <w:t> </w:t>
            </w:r>
          </w:p>
        </w:tc>
        <w:tc>
          <w:tcPr>
            <w:tcW w:w="865"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right"/>
              <w:rPr/>
            </w:pPr>
            <w:r>
              <w:rPr/>
              <w:t> </w:t>
            </w:r>
          </w:p>
        </w:tc>
        <w:tc>
          <w:tcPr>
            <w:tcW w:w="900"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600"/>
              <w:jc w:val="right"/>
              <w:rPr/>
            </w:pPr>
            <w:r>
              <w:rPr/>
              <w:t> </w:t>
            </w:r>
          </w:p>
        </w:tc>
      </w:tr>
      <w:tr>
        <w:trPr/>
        <w:tc>
          <w:tcPr>
            <w:tcW w:w="608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Accounts receivable, net</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(5,021</w:t>
            </w:r>
          </w:p>
        </w:tc>
        <w:tc>
          <w:tcPr>
            <w:tcW w:w="17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(18,499</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Inventory</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(9,004</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(1,337</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Prepaid expenses and other current assets</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(8,516</w:t>
            </w:r>
          </w:p>
        </w:tc>
        <w:tc>
          <w:tcPr>
            <w:tcW w:w="17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(8,087</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Other assets</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(568</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Accounts payable</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5,702</w:t>
            </w:r>
          </w:p>
        </w:tc>
        <w:tc>
          <w:tcPr>
            <w:tcW w:w="177"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2,916</w:t>
            </w:r>
          </w:p>
        </w:tc>
        <w:tc>
          <w:tcPr>
            <w:tcW w:w="996" w:type="dxa"/>
            <w:tcBorders/>
            <w:shd w:fill="CFF0FC" w:val="clear"/>
            <w:vAlign w:val="center"/>
          </w:tcPr>
          <w:p>
            <w:pPr>
              <w:pStyle w:val="TableContents"/>
              <w:bidi w:val="0"/>
              <w:spacing w:before="0" w:after="283"/>
              <w:ind w:left="0" w:right="0" w:firstLine="600"/>
              <w:jc w:val="left"/>
              <w:rPr/>
            </w:pPr>
            <w:r>
              <w:rPr/>
              <w:t> </w:t>
            </w:r>
          </w:p>
        </w:tc>
      </w:tr>
      <w:tr>
        <w:trPr/>
        <w:tc>
          <w:tcPr>
            <w:tcW w:w="608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Accrued expenses and other current liabilities</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(3,824</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835</w:t>
            </w:r>
          </w:p>
        </w:tc>
        <w:tc>
          <w:tcPr>
            <w:tcW w:w="996" w:type="dxa"/>
            <w:tcBorders/>
            <w:shd w:fill="FFFFFF" w:val="clear"/>
            <w:vAlign w:val="center"/>
          </w:tcPr>
          <w:p>
            <w:pPr>
              <w:pStyle w:val="TableContents"/>
              <w:bidi w:val="0"/>
              <w:spacing w:before="0" w:after="283"/>
              <w:ind w:left="0" w:right="0" w:firstLine="600"/>
              <w:jc w:val="left"/>
              <w:rPr/>
            </w:pPr>
            <w:r>
              <w:rPr/>
              <w:t> </w:t>
            </w:r>
          </w:p>
        </w:tc>
      </w:tr>
      <w:tr>
        <w:trPr/>
        <w:tc>
          <w:tcPr>
            <w:tcW w:w="608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Deferred revenue</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33,722</w:t>
            </w:r>
          </w:p>
        </w:tc>
        <w:tc>
          <w:tcPr>
            <w:tcW w:w="177"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13,412</w:t>
            </w:r>
          </w:p>
        </w:tc>
        <w:tc>
          <w:tcPr>
            <w:tcW w:w="996" w:type="dxa"/>
            <w:tcBorders/>
            <w:shd w:fill="CFF0FC" w:val="clear"/>
            <w:vAlign w:val="center"/>
          </w:tcPr>
          <w:p>
            <w:pPr>
              <w:pStyle w:val="TableContents"/>
              <w:bidi w:val="0"/>
              <w:spacing w:before="0" w:after="283"/>
              <w:ind w:left="0" w:right="0" w:firstLine="600"/>
              <w:jc w:val="left"/>
              <w:rPr/>
            </w:pPr>
            <w:r>
              <w:rPr/>
              <w:t> </w:t>
            </w:r>
          </w:p>
        </w:tc>
      </w:tr>
      <w:tr>
        <w:trPr/>
        <w:tc>
          <w:tcPr>
            <w:tcW w:w="608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Recognized loss on purchase commitments</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(6,810</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(4,306</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Operating lease liabilities</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(1,778</w:t>
            </w:r>
          </w:p>
        </w:tc>
        <w:tc>
          <w:tcPr>
            <w:tcW w:w="17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(2,985</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Deposits from customer</w:t>
            </w:r>
          </w:p>
        </w:tc>
        <w:tc>
          <w:tcPr>
            <w:tcW w:w="146"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(4,950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16"/>
              </w:rPr>
            </w:pPr>
            <w:r>
              <w:rPr>
                <w:rFonts w:ascii="Times New Roman" w:hAnsi="Times New Roman"/>
                <w:b w:val="false"/>
                <w:color w:val="000000"/>
                <w:sz w:val="16"/>
              </w:rPr>
              <w:t>Net cash provided by (used in) operating activities</w:t>
            </w:r>
          </w:p>
        </w:tc>
        <w:tc>
          <w:tcPr>
            <w:tcW w:w="146" w:type="dxa"/>
            <w:tcBorders/>
            <w:shd w:fill="CFF0FC" w:val="cle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12,416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(78,303</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FLOWS FROM INVESTING ACTIVITIES:</w:t>
            </w:r>
          </w:p>
        </w:tc>
        <w:tc>
          <w:tcPr>
            <w:tcW w:w="146" w:type="dxa"/>
            <w:tcBorders/>
            <w:shd w:fill="FFFFFF" w:val="clear"/>
            <w:vAlign w:val="center"/>
          </w:tcPr>
          <w:p>
            <w:pPr>
              <w:pStyle w:val="TableContents"/>
              <w:bidi w:val="0"/>
              <w:spacing w:before="0" w:after="283"/>
              <w:jc w:val="right"/>
              <w:rPr/>
            </w:pPr>
            <w:r>
              <w:rPr/>
              <w:t> </w:t>
            </w:r>
          </w:p>
        </w:tc>
        <w:tc>
          <w:tcPr>
            <w:tcW w:w="865"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Proceeds from maturity of debt securities</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92,608</w:t>
            </w:r>
          </w:p>
        </w:tc>
        <w:tc>
          <w:tcPr>
            <w:tcW w:w="177"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82,584</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 of held-to-maturity debt securities</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(50,516</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(70,128</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 of property and equipment</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(36,567</w:t>
            </w:r>
          </w:p>
        </w:tc>
        <w:tc>
          <w:tcPr>
            <w:tcW w:w="17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(2,493</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Acquisition of V-Go</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color w:val="000000"/>
              </w:rPr>
            </w:pPr>
            <w:r>
              <w:rPr>
                <w:color w:val="000000"/>
              </w:rPr>
              <w:t>—</w:t>
            </w:r>
          </w:p>
        </w:tc>
        <w:tc>
          <w:tcPr>
            <w:tcW w:w="177"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(15,099</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Proceeds from insurance claim</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382</w:t>
            </w:r>
          </w:p>
        </w:tc>
        <w:tc>
          <w:tcPr>
            <w:tcW w:w="177"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Purchase of available-for-sale securities</w:t>
            </w:r>
          </w:p>
        </w:tc>
        <w:tc>
          <w:tcPr>
            <w:tcW w:w="146"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(5,000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16"/>
              </w:rPr>
            </w:pPr>
            <w:r>
              <w:rPr>
                <w:rFonts w:ascii="Times New Roman" w:hAnsi="Times New Roman"/>
                <w:b w:val="false"/>
                <w:color w:val="000000"/>
                <w:sz w:val="16"/>
              </w:rPr>
              <w:t>Net cash provided by (used in) investing activities</w:t>
            </w:r>
          </w:p>
        </w:tc>
        <w:tc>
          <w:tcPr>
            <w:tcW w:w="146" w:type="dxa"/>
            <w:tcBorders/>
            <w:shd w:fill="CFF0FC" w:val="cle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5,907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(10,136</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FLOWS FROM FINANCING ACTIVITIES:</w:t>
            </w:r>
          </w:p>
        </w:tc>
        <w:tc>
          <w:tcPr>
            <w:tcW w:w="146" w:type="dxa"/>
            <w:tcBorders/>
            <w:shd w:fill="FFFFFF" w:val="clear"/>
            <w:vAlign w:val="center"/>
          </w:tcPr>
          <w:p>
            <w:pPr>
              <w:pStyle w:val="TableContents"/>
              <w:bidi w:val="0"/>
              <w:spacing w:before="0" w:after="283"/>
              <w:jc w:val="right"/>
              <w:rPr/>
            </w:pPr>
            <w:r>
              <w:rPr/>
              <w:t> </w:t>
            </w:r>
          </w:p>
        </w:tc>
        <w:tc>
          <w:tcPr>
            <w:tcW w:w="865"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00"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Proceeds from at-the-market-offering</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6,887</w:t>
            </w:r>
          </w:p>
        </w:tc>
        <w:tc>
          <w:tcPr>
            <w:tcW w:w="177"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19,790</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 costs associated with at-the-market offering</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(108</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(381</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Proceeds from market price stock purchase plan and employee stock purchase plan</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1,075</w:t>
            </w:r>
          </w:p>
        </w:tc>
        <w:tc>
          <w:tcPr>
            <w:tcW w:w="177"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684</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Payments for taxes related to net issuance of common stock associated with</w:t>
              <w:br/>
              <w:t>   restricted stock units and stock options</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(10,200</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(440</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 on financing liability</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(137</w:t>
            </w:r>
          </w:p>
        </w:tc>
        <w:tc>
          <w:tcPr>
            <w:tcW w:w="17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Milestone payment</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(924</w:t>
            </w:r>
          </w:p>
        </w:tc>
        <w:tc>
          <w:tcPr>
            <w:tcW w:w="177"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(1,088</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Payment on MidCap credit facility</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(1,667</w:t>
            </w:r>
          </w:p>
        </w:tc>
        <w:tc>
          <w:tcPr>
            <w:tcW w:w="177"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800"/>
              <w:jc w:val="left"/>
              <w:rPr/>
            </w:pPr>
            <w:r>
              <w:rPr/>
              <w:t> </w:t>
            </w:r>
          </w:p>
        </w:tc>
      </w:tr>
      <w:tr>
        <w:trPr/>
        <w:tc>
          <w:tcPr>
            <w:tcW w:w="6081" w:type="dxa"/>
            <w:tcBorders/>
            <w:shd w:fill="FFFFFF" w:val="clear"/>
            <w:vAlign w:val="center"/>
          </w:tcPr>
          <w:p>
            <w:pPr>
              <w:pStyle w:val="TableContents"/>
              <w:bidi w:val="0"/>
              <w:spacing w:before="0" w:after="283"/>
              <w:ind w:left="800" w:right="0" w:firstLine="800"/>
              <w:jc w:val="left"/>
              <w:rPr>
                <w:rFonts w:ascii="Times New Roman" w:hAnsi="Times New Roman"/>
                <w:b w:val="false"/>
                <w:color w:val="000000"/>
                <w:sz w:val="16"/>
              </w:rPr>
            </w:pPr>
            <w:r>
              <w:rPr>
                <w:rFonts w:ascii="Times New Roman" w:hAnsi="Times New Roman"/>
                <w:b w:val="false"/>
                <w:color w:val="000000"/>
                <w:sz w:val="16"/>
              </w:rPr>
              <w:t>Net cash provided by (used in) financing activities</w:t>
            </w:r>
          </w:p>
        </w:tc>
        <w:tc>
          <w:tcPr>
            <w:tcW w:w="146" w:type="dxa"/>
            <w:tcBorders/>
            <w:shd w:fill="FFFFFF" w:val="clear"/>
            <w:vAlign w:val="center"/>
          </w:tcPr>
          <w:p>
            <w:pPr>
              <w:pStyle w:val="TableContents"/>
              <w:bidi w:val="0"/>
              <w:spacing w:before="0" w:after="283"/>
              <w:jc w:val="right"/>
              <w:rPr/>
            </w:pPr>
            <w:r>
              <w:rPr/>
              <w:t> </w:t>
            </w:r>
          </w:p>
        </w:tc>
        <w:tc>
          <w:tcPr>
            <w:tcW w:w="2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5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(5,074</w:t>
            </w:r>
          </w:p>
        </w:tc>
        <w:tc>
          <w:tcPr>
            <w:tcW w:w="177"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71" w:type="dxa"/>
            <w:tcBorders/>
            <w:shd w:fill="FFFFFF" w:val="clear"/>
            <w:vAlign w:val="center"/>
          </w:tcPr>
          <w:p>
            <w:pPr>
              <w:pStyle w:val="TableContents"/>
              <w:bidi w:val="0"/>
              <w:spacing w:before="0" w:after="283"/>
              <w:jc w:val="right"/>
              <w:rPr/>
            </w:pPr>
            <w:r>
              <w:rPr/>
              <w:t> </w:t>
            </w:r>
          </w:p>
        </w:tc>
        <w:tc>
          <w:tcPr>
            <w:tcW w:w="2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18,563</w:t>
            </w:r>
          </w:p>
        </w:tc>
        <w:tc>
          <w:tcPr>
            <w:tcW w:w="99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146" w:type="dxa"/>
            <w:tcBorders/>
            <w:shd w:fill="CFF0FC" w:val="cle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13,249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(69,876</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60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BEGINNING OF PERIOD</w:t>
            </w:r>
          </w:p>
        </w:tc>
        <w:tc>
          <w:tcPr>
            <w:tcW w:w="146"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69,767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124,184</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END OF PERIOD</w:t>
            </w:r>
          </w:p>
        </w:tc>
        <w:tc>
          <w:tcPr>
            <w:tcW w:w="146" w:type="dxa"/>
            <w:tcBorders/>
            <w:shd w:fill="CFF0FC" w:val="cle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83,016</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54,308</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tbl>
      <w:tblPr>
        <w:tblW w:w="7407" w:type="dxa"/>
        <w:jc w:val="left"/>
        <w:tblInd w:w="0" w:type="dxa"/>
        <w:tblLayout w:type="fixed"/>
        <w:tblCellMar>
          <w:top w:w="28" w:type="dxa"/>
          <w:left w:w="28" w:type="dxa"/>
          <w:bottom w:w="28" w:type="dxa"/>
          <w:right w:w="28" w:type="dxa"/>
        </w:tblCellMar>
      </w:tblPr>
      <w:tblGrid>
        <w:gridCol w:w="4856"/>
        <w:gridCol w:w="146"/>
        <w:gridCol w:w="228"/>
        <w:gridCol w:w="645"/>
        <w:gridCol w:w="184"/>
        <w:gridCol w:w="184"/>
        <w:gridCol w:w="228"/>
        <w:gridCol w:w="645"/>
        <w:gridCol w:w="291"/>
      </w:tblGrid>
      <w:tr>
        <w:trPr/>
        <w:tc>
          <w:tcPr>
            <w:tcW w:w="4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4"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485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DISCLOSURES:</w:t>
            </w:r>
          </w:p>
        </w:tc>
        <w:tc>
          <w:tcPr>
            <w:tcW w:w="146" w:type="dxa"/>
            <w:tcBorders/>
            <w:shd w:fill="CFF0FC" w:val="clear"/>
            <w:vAlign w:val="center"/>
          </w:tcPr>
          <w:p>
            <w:pPr>
              <w:pStyle w:val="TableContents"/>
              <w:bidi w:val="0"/>
              <w:spacing w:before="0" w:after="283"/>
              <w:jc w:val="right"/>
              <w:rPr/>
            </w:pPr>
            <w:r>
              <w:rPr/>
              <w:t> </w:t>
            </w:r>
          </w:p>
        </w:tc>
        <w:tc>
          <w:tcPr>
            <w:tcW w:w="873"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873"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48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6"/>
              </w:rPr>
              <w:t>Interest paid in cash</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4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7,978</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4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5,143</w:t>
            </w:r>
          </w:p>
        </w:tc>
        <w:tc>
          <w:tcPr>
            <w:tcW w:w="291" w:type="dxa"/>
            <w:tcBorders/>
            <w:shd w:fill="FFFFFF" w:val="clear"/>
            <w:vAlign w:val="center"/>
          </w:tcPr>
          <w:p>
            <w:pPr>
              <w:pStyle w:val="TableContents"/>
              <w:bidi w:val="0"/>
              <w:spacing w:before="0" w:after="283"/>
              <w:jc w:val="left"/>
              <w:rPr/>
            </w:pPr>
            <w:r>
              <w:rPr/>
              <w:t> </w:t>
            </w:r>
          </w:p>
        </w:tc>
      </w:tr>
      <w:tr>
        <w:trPr/>
        <w:tc>
          <w:tcPr>
            <w:tcW w:w="485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CFF0FC" w:val="clear"/>
            <w:vAlign w:val="center"/>
          </w:tcPr>
          <w:p>
            <w:pPr>
              <w:pStyle w:val="TableContents"/>
              <w:bidi w:val="0"/>
              <w:spacing w:before="0" w:after="283"/>
              <w:jc w:val="right"/>
              <w:rPr/>
            </w:pPr>
            <w:r>
              <w:rPr/>
              <w:t> </w:t>
            </w:r>
          </w:p>
        </w:tc>
        <w:tc>
          <w:tcPr>
            <w:tcW w:w="873" w:type="dxa"/>
            <w:gridSpan w:val="2"/>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right"/>
              <w:rPr/>
            </w:pPr>
            <w:r>
              <w:rPr/>
              <w:t> </w:t>
            </w:r>
          </w:p>
        </w:tc>
        <w:tc>
          <w:tcPr>
            <w:tcW w:w="873"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8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Reclassification of Midcap credit facility from long-term to current</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21,667</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Reclassification of investments from long-term to current</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5,085</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72,090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Non-cash construction in progress, property and equipment</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2,490</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1,433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Right-of-use asset modification</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728</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3,794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Goodwill adjustment for a net reduction in liabilities</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497</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Payments on debt and interest through common stock issuance</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165</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10,215</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Issuance of common stock under employee stock purchase plan</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color w:val="000000"/>
              </w:rPr>
            </w:pPr>
            <w:r>
              <w:rPr>
                <w:color w:val="000000"/>
              </w:rPr>
              <w:t>—</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1,613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5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Addition of right-of-use-asset</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color w:val="000000"/>
              </w:rPr>
            </w:pPr>
            <w:r>
              <w:rPr>
                <w:color w:val="000000"/>
              </w:rPr>
              <w:t>—</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1,812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Contingent milestone liability</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color w:val="000000"/>
              </w:rPr>
            </w:pPr>
            <w:r>
              <w:rPr>
                <w:color w:val="000000"/>
              </w:rPr>
              <w:t>—</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610</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b w:val="false"/>
          <w:color w:val="000000"/>
          <w:sz w:val="18"/>
        </w:rPr>
      </w:pPr>
      <w:r>
        <w:rPr>
          <w:rFonts w:ascii="Times New Roman" w:hAnsi="Times New Roman"/>
          <w:b w:val="false"/>
          <w:color w:val="000000"/>
          <w:sz w:val="18"/>
        </w:rPr>
        <w:t>See notes to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sz w:val="20"/>
        </w:rPr>
      </w:pPr>
      <w:bookmarkStart w:id="9" w:name="notes_to_condensed_consolidated_financia"/>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1. Description of Business and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2022, filed with the SEC on February 23, 2023 (the “Annual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2023 may not be indicative of the results that may be expected for the full year.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Financial Statement Estimates</w:t>
      </w:r>
      <w:r>
        <w:rPr>
          <w:rFonts w:ascii="Times New Roman" w:hAnsi="Times New Roman"/>
          <w:color w:val="000000"/>
          <w:sz w:val="20"/>
        </w:rPr>
        <w:t xml:space="preserve"> — </w:t>
      </w:r>
      <w:r>
        <w:rPr>
          <w:rFonts w:ascii="Times New Roman" w:hAnsi="Times New Roman"/>
          <w:b w:val="false"/>
          <w:color w:val="000000"/>
          <w:sz w:val="20"/>
        </w:rPr>
        <w:t>The preparation of financial statements in conformity with GAAP requires management to make estimates and 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include revenue recognition, including gross-to-net adjustments, stand-alone selling price considerations for recognition of collaboration revenue,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Business </w:t>
      </w:r>
      <w:r>
        <w:rPr>
          <w:rFonts w:ascii="Times New Roman" w:hAnsi="Times New Roman"/>
          <w:color w:val="000000"/>
          <w:sz w:val="20"/>
        </w:rPr>
        <w:t xml:space="preserve">— </w:t>
      </w:r>
      <w:r>
        <w:rPr>
          <w:rFonts w:ascii="Times New Roman" w:hAnsi="Times New Roman"/>
          <w:b w:val="false"/>
          <w:color w:val="000000"/>
          <w:sz w:val="20"/>
        </w:rPr>
        <w:t>MannKind is a biopharmaceutical company focused on the development and commercialization of innovative therapeutic products and devices to address serious unmet medical needs for those living with endocrine and orphan lung diseases. The Company’s signature technologies, Technosphere dry-powder formulations and Dreamboat inhalation devices, offer rapid and convenient delivery of medicines to the deep lung where they can exert an effect locally or enter the systemic circulation. 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the orphan lung disease pipeline, Tyvaso DPI (treprostinil) inhalation powder, received approval from the U.S. Food and Drug Administration (“FDA”) in May 2022 for the treatment of pulmonary arterial hypertension (PAH) and for the treatment of pulmonary hypertension associated with interstitial lung disease (PH-ILD). The Company's development and marketing partner, United Therapeutics ("UT") began commercializing Tyvaso DPI in June 2022 and is obligated to pay the Company a royalty on net sales of the product. The Company also receives a margin on supplies of Tyvaso DPI that it manufactures for UT.</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Basis of Presentation</w:t>
      </w:r>
      <w:r>
        <w:rPr>
          <w:rFonts w:ascii="Times New Roman" w:hAnsi="Times New Roman"/>
          <w:color w:val="000000"/>
          <w:sz w:val="20"/>
        </w:rPr>
        <w:t xml:space="preserve"> — </w:t>
      </w:r>
      <w:r>
        <w:rPr>
          <w:rFonts w:ascii="Times New Roman" w:hAnsi="Times New Roman"/>
          <w:b w:val="false"/>
          <w:color w:val="000000"/>
          <w:sz w:val="20"/>
        </w:rPr>
        <w:t>The condensed consolidated financial statements have been prepared in accordance with GAAP.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Principles of Consolidation</w:t>
      </w:r>
      <w:r>
        <w:rPr>
          <w:rFonts w:ascii="Times New Roman" w:hAnsi="Times New Roman"/>
          <w:color w:val="000000"/>
          <w:sz w:val="20"/>
        </w:rPr>
        <w:t xml:space="preserve"> — </w:t>
      </w:r>
      <w:r>
        <w:rPr>
          <w:rFonts w:ascii="Times New Roman" w:hAnsi="Times New Roman"/>
          <w:b w:val="false"/>
          <w:color w:val="000000"/>
          <w:sz w:val="20"/>
        </w:rPr>
        <w:t>The condensed consolidated financial statements include the accounts of the Company and its wholly-owned subsidiaries. Intercompany balances and transactions have been eliminated.</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Reclassifications</w:t>
      </w:r>
      <w:r>
        <w:rPr>
          <w:rFonts w:ascii="Times New Roman" w:hAnsi="Times New Roman"/>
          <w:color w:val="000000"/>
          <w:sz w:val="20"/>
        </w:rPr>
        <w:t xml:space="preserve"> — </w:t>
      </w:r>
      <w:r>
        <w:rPr>
          <w:rFonts w:ascii="Times New Roman" w:hAnsi="Times New Roman"/>
          <w:b w:val="false"/>
          <w:color w:val="000000"/>
          <w:sz w:val="20"/>
        </w:rPr>
        <w:t>Certain prior year reported amounts have been reclassified to conform with the current year presentation. Changes were made to the condensed consolidated statements of cash flows to present the amortization of debt discount and issuance costs separately; disclose net investment accretion under other, net; and present non-cash interest on financing liability on a net basis within cash flows from operations. In addition, changes were made to the condensed consolidated statements of operations to present selling expenses separately from general and administrative expenses.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Segment Information</w:t>
      </w:r>
      <w:r>
        <w:rPr>
          <w:rFonts w:ascii="Times New Roman" w:hAnsi="Times New Roman"/>
          <w:color w:val="000000"/>
          <w:sz w:val="20"/>
        </w:rPr>
        <w:t xml:space="preserve"> — </w:t>
      </w:r>
      <w:r>
        <w:rPr>
          <w:rFonts w:ascii="Times New Roman" w:hAnsi="Times New Roman"/>
          <w:b w:val="false"/>
          <w:color w:val="000000"/>
          <w:sz w:val="20"/>
        </w:rPr>
        <w:t>Operating segments are identified as 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w:t>
      </w:r>
      <w:r>
        <w:rPr>
          <w:rFonts w:ascii="Times New Roman" w:hAnsi="Times New Roman"/>
          <w:color w:val="000000"/>
          <w:sz w:val="20"/>
        </w:rPr>
        <w:t xml:space="preserve"> </w:t>
      </w:r>
      <w:r>
        <w:rPr>
          <w:rFonts w:ascii="Times New Roman" w:hAnsi="Times New Roman"/>
          <w:b w:val="false"/>
          <w:color w:val="000000"/>
          <w:sz w:val="20"/>
        </w:rPr>
        <w:t>segment operating in the United States of America.</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Revenue Recognition</w:t>
      </w:r>
      <w:r>
        <w:rPr>
          <w:rFonts w:ascii="Times New Roman" w:hAnsi="Times New Roman"/>
          <w:color w:val="000000"/>
          <w:sz w:val="20"/>
        </w:rPr>
        <w:t xml:space="preserve"> — </w:t>
      </w:r>
      <w:r>
        <w:rPr>
          <w:rFonts w:ascii="Times New Roman" w:hAnsi="Times New Roman"/>
          <w:b w:val="false"/>
          <w:color w:val="000000"/>
          <w:sz w:val="20"/>
        </w:rPr>
        <w:t>The Company recognizes revenue when its customers obtain control of promised goods or services, in an amount that reflects the consideration which the Company expects to be entitled in exchange for those goods or services.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To determine revenue recognition for arrangements that are within the scope of Accounting Standards Codification (“ASC”) 606, </w:t>
      </w:r>
      <w:r>
        <w:rPr>
          <w:rFonts w:ascii="Times New Roman" w:hAnsi="Times New Roman"/>
          <w:b w:val="false"/>
          <w:i/>
          <w:color w:val="000000"/>
          <w:sz w:val="20"/>
        </w:rPr>
        <w:t xml:space="preserve">Revenue from Contracts with Customers </w:t>
      </w:r>
      <w:r>
        <w:rPr>
          <w:rFonts w:ascii="Times New Roman" w:hAnsi="Times New Roman"/>
          <w:b w:val="false"/>
          <w:color w:val="000000"/>
          <w:sz w:val="20"/>
        </w:rPr>
        <w:t>(“ASC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(ii) collaboration arrangements.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Revenue Recognition — Net Revenue – Commercial Product Sales —</w:t>
      </w:r>
      <w:r>
        <w:rPr>
          <w:rFonts w:ascii="Times New Roman" w:hAnsi="Times New Roman"/>
          <w:color w:val="000000"/>
          <w:sz w:val="20"/>
        </w:rPr>
        <w:t xml:space="preserve"> </w:t>
      </w:r>
      <w:r>
        <w:rPr>
          <w:rFonts w:ascii="Times New Roman" w:hAnsi="Times New Roman"/>
          <w:b w:val="false"/>
          <w:color w:val="000000"/>
          <w:sz w:val="20"/>
        </w:rPr>
        <w:t>The Company sells its products to a limited number of wholesale distributors, specialty and retail pharmacies, and durable medical equipment suppliers (“DME”)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 Company recognizes revenue on product sales when the Customer obtains control of the Company's product, which occurs at delivery for wholesale distributors and generally at delivery for specialty pharmacies. The Company recognizes revenue on product sales to a retail pharmacy as the product is dispensed to patients. Product revenues are recorded net of applicable reserves, including discounts, allowances, rebates, returns and other incentives. See </w:t>
      </w:r>
      <w:r>
        <w:rPr>
          <w:rFonts w:ascii="Times New Roman" w:hAnsi="Times New Roman"/>
          <w:b w:val="false"/>
          <w:i/>
          <w:color w:val="000000"/>
          <w:sz w:val="20"/>
        </w:rPr>
        <w:t xml:space="preserve">Reserves for Variable Consideration </w:t>
      </w:r>
      <w:r>
        <w:rPr>
          <w:rFonts w:ascii="Times New Roman" w:hAnsi="Times New Roman"/>
          <w:b w:val="false"/>
          <w:color w:val="000000"/>
          <w:sz w:val="20"/>
        </w:rPr>
        <w:t>below.</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Free Goods Program — </w:t>
      </w:r>
      <w:r>
        <w:rPr>
          <w:rFonts w:ascii="Times New Roman" w:hAnsi="Times New Roman"/>
          <w:b w:val="false"/>
          <w:color w:val="000000"/>
          <w:sz w:val="20"/>
        </w:rPr>
        <w:t>From time to time, the Company offers programs to potential new patients that allow them to obtain free goods (prescription fills) from a pharmacy. The Company excludes such amounts related to these programs from both gross and net revenue. The cost of product associated with the free goods program is recognized as cost of goods sold in the condensed consolidated statements of operations.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Reserves for Variable Consideration </w:t>
      </w:r>
      <w:r>
        <w:rPr>
          <w:rFonts w:ascii="Times New Roman" w:hAnsi="Times New Roman"/>
          <w:color w:val="000000"/>
          <w:sz w:val="20"/>
        </w:rPr>
        <w:t xml:space="preserve">— </w:t>
      </w:r>
      <w:r>
        <w:rPr>
          <w:rFonts w:ascii="Times New Roman" w:hAnsi="Times New Roman"/>
          <w:b w:val="false"/>
          <w:color w:val="000000"/>
          <w:sz w:val="20"/>
        </w:rPr>
        <w:t>Revenues from product sales are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estimates, the Company will adjust these estimates, which would affect net revenue from commercial product sales and earnings in the period such variances become known.</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Trade Discounts and Allowances </w:t>
      </w:r>
      <w:r>
        <w:rPr>
          <w:rFonts w:ascii="Times New Roman" w:hAnsi="Times New Roman"/>
          <w:color w:val="000000"/>
          <w:sz w:val="20"/>
        </w:rPr>
        <w:t xml:space="preserve">— </w:t>
      </w:r>
      <w:r>
        <w:rPr>
          <w:rFonts w:ascii="Times New Roman" w:hAnsi="Times New Roman"/>
          <w:b w:val="false"/>
          <w:color w:val="000000"/>
          <w:sz w:val="20"/>
        </w:rPr>
        <w:t>The Company generally provides Customers with discounts which include incentives, such as prompt pay discounts, 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Product Returns </w:t>
      </w:r>
      <w:r>
        <w:rPr>
          <w:rFonts w:ascii="Times New Roman" w:hAnsi="Times New Roman"/>
          <w:color w:val="000000"/>
          <w:sz w:val="20"/>
        </w:rPr>
        <w:t xml:space="preserve">— </w:t>
      </w:r>
      <w:r>
        <w:rPr>
          <w:rFonts w:ascii="Times New Roman" w:hAnsi="Times New Roman"/>
          <w:b w:val="false"/>
          <w:color w:val="000000"/>
          <w:sz w:val="20"/>
        </w:rPr>
        <w:t>Consistent with industry practice, the Company generally offers Customers a right of return for unopened product that has been purchased from the Company for a period beginning six months</w:t>
      </w:r>
      <w:r>
        <w:rPr>
          <w:rFonts w:ascii="Times New Roman" w:hAnsi="Times New Roman"/>
          <w:color w:val="000000"/>
          <w:sz w:val="20"/>
        </w:rPr>
        <w:t xml:space="preserve"> </w:t>
      </w:r>
      <w:r>
        <w:rPr>
          <w:rFonts w:ascii="Times New Roman" w:hAnsi="Times New Roman"/>
          <w:b w:val="false"/>
          <w:color w:val="000000"/>
          <w:sz w:val="20"/>
        </w:rPr>
        <w:t>prior to and ending 12</w:t>
      </w:r>
      <w:r>
        <w:rPr>
          <w:rFonts w:ascii="Times New Roman" w:hAnsi="Times New Roman"/>
          <w:color w:val="000000"/>
          <w:sz w:val="20"/>
        </w:rPr>
        <w:t xml:space="preserve"> </w:t>
      </w:r>
      <w:r>
        <w:rPr>
          <w:rFonts w:ascii="Times New Roman" w:hAnsi="Times New Roman"/>
          <w:b w:val="false"/>
          <w:color w:val="000000"/>
          <w:sz w:val="20"/>
        </w:rPr>
        <w:t>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have been made in the past and may be necessary in the future based on revised estimates to the Company’s assumptions.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Provider Chargebacks and Discounts </w:t>
      </w:r>
      <w:r>
        <w:rPr>
          <w:rFonts w:ascii="Times New Roman" w:hAnsi="Times New Roman"/>
          <w:color w:val="000000"/>
          <w:sz w:val="20"/>
        </w:rPr>
        <w:t xml:space="preserve">— </w:t>
      </w:r>
      <w:r>
        <w:rPr>
          <w:rFonts w:ascii="Times New Roman" w:hAnsi="Times New Roman"/>
          <w:b w:val="false"/>
          <w:color w:val="000000"/>
          <w:sz w:val="20"/>
        </w:rPr>
        <w:t>Chargebacks for fees and discounts to providers represent the estimated obligations resulting from contractual 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Government Rebates </w:t>
      </w:r>
      <w:r>
        <w:rPr>
          <w:rFonts w:ascii="Times New Roman" w:hAnsi="Times New Roman"/>
          <w:color w:val="000000"/>
          <w:sz w:val="20"/>
        </w:rPr>
        <w:t xml:space="preserve">— </w:t>
      </w:r>
      <w:r>
        <w:rPr>
          <w:rFonts w:ascii="Times New Roman" w:hAnsi="Times New Roman"/>
          <w:b w:val="false"/>
          <w:color w:val="000000"/>
          <w:sz w:val="20"/>
        </w:rPr>
        <w:t>The Company is subject to discount obligations under Medicare and state Medicaid programs. These reserves are recorded in the 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Payer Rebates </w:t>
      </w:r>
      <w:r>
        <w:rPr>
          <w:rFonts w:ascii="Times New Roman" w:hAnsi="Times New Roman"/>
          <w:color w:val="000000"/>
          <w:sz w:val="20"/>
        </w:rPr>
        <w:t xml:space="preserve">— </w:t>
      </w:r>
      <w:r>
        <w:rPr>
          <w:rFonts w:ascii="Times New Roman" w:hAnsi="Times New Roman"/>
          <w:b w:val="false"/>
          <w:color w:val="000000"/>
          <w:sz w:val="20"/>
        </w:rPr>
        <w:t>The Company contracts with certain private payer organizations, primarily insurance companies and pharmacy benefit managers, for the 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Other Incentives </w:t>
      </w:r>
      <w:r>
        <w:rPr>
          <w:rFonts w:ascii="Times New Roman" w:hAnsi="Times New Roman"/>
          <w:color w:val="000000"/>
          <w:sz w:val="20"/>
        </w:rPr>
        <w:t xml:space="preserve">— </w:t>
      </w:r>
      <w:r>
        <w:rPr>
          <w:rFonts w:ascii="Times New Roman" w:hAnsi="Times New Roman"/>
          <w:b w:val="false"/>
          <w:color w:val="000000"/>
          <w:sz w:val="20"/>
        </w:rPr>
        <w:t>Other incentives which the Company offers include voluntary patient support programs, such as the Company's co-pay assistance 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Revenue Recognition — Revenue – Collaborations and Services </w:t>
      </w:r>
      <w:r>
        <w:rPr>
          <w:rFonts w:ascii="Times New Roman" w:hAnsi="Times New Roman"/>
          <w:color w:val="000000"/>
          <w:sz w:val="20"/>
        </w:rPr>
        <w:t xml:space="preserve">— </w:t>
      </w:r>
      <w:r>
        <w:rPr>
          <w:rFonts w:ascii="Times New Roman" w:hAnsi="Times New Roman"/>
          <w:b w:val="false"/>
          <w:color w:val="000000"/>
          <w:sz w:val="20"/>
        </w:rPr>
        <w:t xml:space="preserve">The Company enters into licensing, research or other agreements under which the 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the Company's significant collaboration and service agreement with UT that includes a long-term commercial supply agreement (as amended, the “CSA”), the Company has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See Note 10 – </w:t>
      </w:r>
      <w:r>
        <w:rPr>
          <w:rFonts w:ascii="Times New Roman" w:hAnsi="Times New Roman"/>
          <w:b w:val="false"/>
          <w:i/>
          <w:color w:val="000000"/>
          <w:sz w:val="20"/>
        </w:rPr>
        <w:t>Collaboration, Licensing and Other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w:t>
      </w:r>
      <w:r>
        <w:rPr>
          <w:rFonts w:ascii="Times New Roman" w:hAnsi="Times New Roman"/>
          <w:color w:val="000000"/>
          <w:sz w:val="20"/>
        </w:rPr>
        <w:t xml:space="preserve"> </w:t>
      </w:r>
      <w:r>
        <w:rPr>
          <w:rFonts w:ascii="Times New Roman" w:hAnsi="Times New Roman"/>
          <w:b w:val="false"/>
          <w:color w:val="000000"/>
          <w:sz w:val="20"/>
        </w:rPr>
        <w:t xml:space="preserve">months. Amounts that the Company expects will not be recognized within the next 12 months are classified as long-term deferred revenue. For further information, see Note 10 – </w:t>
      </w:r>
      <w:r>
        <w:rPr>
          <w:rFonts w:ascii="Times New Roman" w:hAnsi="Times New Roman"/>
          <w:b w:val="false"/>
          <w:i/>
          <w:color w:val="000000"/>
          <w:sz w:val="20"/>
        </w:rPr>
        <w:t>Collaboration, Licensing and Other Arrangements.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Company’s collaborative agreements, for accounting purposes, represent contracts with customers and therefore are not subject to accounting literature on collaborative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collaborative agreements must generally be accounted for pursuant to ASC 606.</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collaboration agreements that allow collaboration partners to select additional optioned products or services, the Company evaluates whether such options contain material rights (i.e., have exercise prices that are discounted compared to what the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CSA agreement with UT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pStyle w:val="TextBody"/>
        <w:bidi w:val="0"/>
        <w:spacing w:before="240" w:after="240"/>
        <w:jc w:val="left"/>
        <w:rPr>
          <w:rFonts w:ascii="Times New Roman" w:hAnsi="Times New Roman"/>
          <w:sz w:val="20"/>
        </w:rPr>
      </w:pPr>
      <w:r>
        <w:rPr>
          <w:rFonts w:ascii="Times New Roman" w:hAnsi="Times New Roman"/>
          <w:b w:val="false"/>
          <w:i/>
          <w:color w:val="000000"/>
          <w:sz w:val="20"/>
        </w:rPr>
        <w:t>Revenue Recognition – Royalties —</w:t>
      </w:r>
      <w:r>
        <w:rPr>
          <w:rFonts w:ascii="Times New Roman" w:hAnsi="Times New Roman"/>
          <w:color w:val="000000"/>
          <w:sz w:val="20"/>
        </w:rPr>
        <w:t xml:space="preserve"> </w:t>
      </w:r>
      <w:r>
        <w:rPr>
          <w:rFonts w:ascii="Times New Roman" w:hAnsi="Times New Roman"/>
          <w:b w:val="false"/>
          <w:color w:val="000000"/>
          <w:sz w:val="20"/>
        </w:rPr>
        <w:t>The Company recognizes royalty revenue for a sales-based or usage-based royalty if it is promised in exchange for an intellectual property license. The royalty revenue is recognized as the latter of the subsequent sale of the product occurs or if the performance obligation to which the royalty has been allocated has been satisfied or partially satisfied. The Company’s collaborative agreement with UT entitles it to receive low double-digit royalties on net sales of Tyvaso DPI for the license of the Company’s IP that was considered to be interdependent with the development activities that supported the approval of Tyvaso DPI.</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The Company’s net revenue and cost of revenue and goods sold as shown on the condensed consolidated statement of operations is comprised of revenue generated from product sales, services and royalties as shown below (in thousands):</w:t>
      </w:r>
    </w:p>
    <w:tbl>
      <w:tblPr>
        <w:tblW w:w="7212" w:type="dxa"/>
        <w:jc w:val="left"/>
        <w:tblInd w:w="0" w:type="dxa"/>
        <w:tblLayout w:type="fixed"/>
        <w:tblCellMar>
          <w:top w:w="28" w:type="dxa"/>
          <w:left w:w="28" w:type="dxa"/>
          <w:bottom w:w="28" w:type="dxa"/>
          <w:right w:w="28" w:type="dxa"/>
        </w:tblCellMar>
      </w:tblPr>
      <w:tblGrid>
        <w:gridCol w:w="1946"/>
        <w:gridCol w:w="146"/>
        <w:gridCol w:w="211"/>
        <w:gridCol w:w="676"/>
        <w:gridCol w:w="146"/>
        <w:gridCol w:w="146"/>
        <w:gridCol w:w="211"/>
        <w:gridCol w:w="676"/>
        <w:gridCol w:w="146"/>
        <w:gridCol w:w="146"/>
        <w:gridCol w:w="211"/>
        <w:gridCol w:w="781"/>
        <w:gridCol w:w="146"/>
        <w:gridCol w:w="146"/>
        <w:gridCol w:w="211"/>
        <w:gridCol w:w="676"/>
        <w:gridCol w:w="59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19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Product sales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88,731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54,602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9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Services </w:t>
            </w:r>
            <w:r>
              <w:rPr>
                <w:rFonts w:ascii="Times New Roman" w:hAnsi="Times New Roman"/>
                <w:b w:val="false"/>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9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Royalties </w:t>
            </w:r>
            <w:r>
              <w:rPr>
                <w:rFonts w:ascii="Times New Roman" w:hAnsi="Times New Roman"/>
                <w:b w:val="false"/>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net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63,711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Amounts represent the net sales of Afrezza and V-Go to wholesalers and specialty pharmacies and Tyvaso DPI to UT.</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(2)</w:t>
      </w:r>
    </w:p>
    <w:p>
      <w:pPr>
        <w:pStyle w:val="TextBody"/>
        <w:bidi w:val="0"/>
        <w:spacing w:before="0" w:after="0"/>
        <w:jc w:val="left"/>
        <w:rPr>
          <w:rFonts w:ascii="Times New Roman" w:hAnsi="Times New Roman"/>
          <w:sz w:val="20"/>
        </w:rPr>
      </w:pPr>
      <w:r>
        <w:rPr>
          <w:rFonts w:ascii="Times New Roman" w:hAnsi="Times New Roman"/>
          <w:b w:val="false"/>
          <w:color w:val="000000"/>
          <w:sz w:val="18"/>
        </w:rPr>
        <w:t xml:space="preserve">Amounts represent revenue generated from the Company's collaboration arrangements, including Next-Gen R&amp;D Services (as defined in Note 10) for UT as well as arrangements with other collaboration partners. See Note 10 – </w:t>
      </w:r>
      <w:r>
        <w:rPr>
          <w:rFonts w:ascii="Times New Roman" w:hAnsi="Times New Roman"/>
          <w:b w:val="false"/>
          <w:i/>
          <w:color w:val="000000"/>
          <w:sz w:val="18"/>
        </w:rPr>
        <w:t>Collaboration, Licensing and Other Arrangements</w:t>
      </w:r>
      <w:r>
        <w:rPr>
          <w:rFonts w:ascii="Times New Roman" w:hAnsi="Times New Roman"/>
          <w:b w:val="false"/>
          <w:color w:val="000000"/>
          <w:sz w:val="18"/>
        </w:rPr>
        <w:t xml:space="preserve">. </w:t>
      </w:r>
    </w:p>
    <w:p>
      <w:pPr>
        <w:pStyle w:val="TextBody"/>
        <w:bidi w:val="0"/>
        <w:spacing w:before="0" w:after="240"/>
        <w:jc w:val="left"/>
        <w:rPr>
          <w:rFonts w:ascii="Times New Roman" w:hAnsi="Times New Roman"/>
          <w:b w:val="false"/>
          <w:color w:val="000000"/>
          <w:sz w:val="14"/>
        </w:rPr>
      </w:pPr>
      <w:r>
        <w:rPr>
          <w:rFonts w:ascii="Times New Roman" w:hAnsi="Times New Roman"/>
          <w:b w:val="false"/>
          <w:color w:val="000000"/>
          <w:sz w:val="14"/>
        </w:rPr>
        <w:t>(3)</w:t>
      </w:r>
    </w:p>
    <w:p>
      <w:pPr>
        <w:pStyle w:val="TextBody"/>
        <w:bidi w:val="0"/>
        <w:spacing w:before="0" w:after="240"/>
        <w:jc w:val="left"/>
        <w:rPr>
          <w:rFonts w:ascii="Times New Roman" w:hAnsi="Times New Roman"/>
          <w:b w:val="false"/>
          <w:color w:val="000000"/>
          <w:sz w:val="18"/>
        </w:rPr>
      </w:pPr>
      <w:r>
        <w:rPr>
          <w:rFonts w:ascii="Times New Roman" w:hAnsi="Times New Roman"/>
          <w:b w:val="false"/>
          <w:color w:val="000000"/>
          <w:sz w:val="18"/>
        </w:rPr>
        <w:t xml:space="preserve">Amounts represent royalties on UT’s net sales of Tyvaso DPI. </w:t>
      </w:r>
    </w:p>
    <w:tbl>
      <w:tblPr>
        <w:tblW w:w="9252" w:type="dxa"/>
        <w:jc w:val="left"/>
        <w:tblInd w:w="0" w:type="dxa"/>
        <w:tblLayout w:type="fixed"/>
        <w:tblCellMar>
          <w:top w:w="28" w:type="dxa"/>
          <w:left w:w="28" w:type="dxa"/>
          <w:bottom w:w="28" w:type="dxa"/>
          <w:right w:w="28" w:type="dxa"/>
        </w:tblCellMar>
      </w:tblPr>
      <w:tblGrid>
        <w:gridCol w:w="4091"/>
        <w:gridCol w:w="146"/>
        <w:gridCol w:w="211"/>
        <w:gridCol w:w="676"/>
        <w:gridCol w:w="146"/>
        <w:gridCol w:w="146"/>
        <w:gridCol w:w="211"/>
        <w:gridCol w:w="676"/>
        <w:gridCol w:w="146"/>
        <w:gridCol w:w="146"/>
        <w:gridCol w:w="211"/>
        <w:gridCol w:w="676"/>
        <w:gridCol w:w="146"/>
        <w:gridCol w:w="146"/>
        <w:gridCol w:w="211"/>
        <w:gridCol w:w="676"/>
        <w:gridCol w:w="591"/>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 and cost of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39,424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Services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cost of goods sold and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follows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Milestone Payments </w:t>
      </w:r>
      <w:r>
        <w:rPr>
          <w:rFonts w:ascii="Times New Roman" w:hAnsi="Times New Roman"/>
          <w:color w:val="000000"/>
          <w:sz w:val="20"/>
        </w:rPr>
        <w:t xml:space="preserve">— </w:t>
      </w:r>
      <w:r>
        <w:rPr>
          <w:rFonts w:ascii="Times New Roman" w:hAnsi="Times New Roman"/>
          <w:b w:val="false"/>
          <w:color w:val="000000"/>
          <w:sz w:val="20"/>
        </w:rPr>
        <w:t>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Cost of Goods Sold </w:t>
      </w:r>
      <w:r>
        <w:rPr>
          <w:rFonts w:ascii="Times New Roman" w:hAnsi="Times New Roman"/>
          <w:color w:val="000000"/>
          <w:sz w:val="20"/>
        </w:rPr>
        <w:t xml:space="preserve">— </w:t>
      </w:r>
      <w:r>
        <w:rPr>
          <w:rFonts w:ascii="Times New Roman" w:hAnsi="Times New Roman"/>
          <w:b w:val="false"/>
          <w:color w:val="000000"/>
          <w:sz w:val="20"/>
        </w:rPr>
        <w:t>Cost of goods sold includes material, labor costs and manufacturing overhead. Cost of goods sold also includes a component of current 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2016.</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Cost of Revenues – Collaborations and Services</w:t>
      </w:r>
      <w:r>
        <w:rPr>
          <w:rFonts w:ascii="Times New Roman" w:hAnsi="Times New Roman"/>
          <w:color w:val="000000"/>
          <w:sz w:val="20"/>
        </w:rPr>
        <w:t xml:space="preserve"> — </w:t>
      </w:r>
      <w:r>
        <w:rPr>
          <w:rFonts w:ascii="Times New Roman" w:hAnsi="Times New Roman"/>
          <w:b w:val="false"/>
          <w:color w:val="000000"/>
          <w:sz w:val="20"/>
        </w:rPr>
        <w:t>Cost of revenues for collaborations and services includes material, labor costs, manufacturing overhead, and excess capacity costs. These costs, in addition to the write-offs of inventory, are recorded as expenses in the period in which they are incurred, rather than as a portion of inventory costs. Cost of revenues for collaborations and services also includes the cost of product development.</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Research and Development ("R&amp;D")</w:t>
      </w:r>
      <w:r>
        <w:rPr>
          <w:rFonts w:ascii="Times New Roman" w:hAnsi="Times New Roman"/>
          <w:color w:val="000000"/>
          <w:sz w:val="20"/>
        </w:rPr>
        <w:t xml:space="preserve"> — </w:t>
      </w:r>
      <w:r>
        <w:rPr>
          <w:rFonts w:ascii="Times New Roman" w:hAnsi="Times New Roman"/>
          <w:b w:val="false"/>
          <w:color w:val="000000"/>
          <w:sz w:val="20"/>
        </w:rPr>
        <w:t>Clinical trial expenses result from obligations under contracts with vendors, consultants and clinical site agreements in addition to internal costs associated with conducting clinical trials. R&amp;D costs are expensed as incurred. Clinical study and certain research costs are recognized over the service periods specified in the contracts and adjusted as necessary based upon an ongoing review of the level of effort and costs actually incurred. Nonrefundable advance payments for services to be received in the future for use in R&amp;D activities are recorded as prepaid assets and expensed in the period when the services are performed.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Cash and Cash Equivalents</w:t>
      </w:r>
      <w:r>
        <w:rPr>
          <w:rFonts w:ascii="Times New Roman" w:hAnsi="Times New Roman"/>
          <w:color w:val="000000"/>
          <w:sz w:val="20"/>
        </w:rPr>
        <w:t xml:space="preserve"> — </w:t>
      </w:r>
      <w:r>
        <w:rPr>
          <w:rFonts w:ascii="Times New Roman" w:hAnsi="Times New Roman"/>
          <w:b w:val="false"/>
          <w:color w:val="000000"/>
          <w:sz w:val="20"/>
        </w:rPr>
        <w:t>The Company considers all highly liquid investments with original or remaining maturities of 90 days or less at the time of purchase, that are readily convertible into cash to be cash equivalents. As of September 30, 2023 and December 31, 2022, cash equivalents were comprised of money market funds, corporate bonds and commercial paper with original maturities less than 90 days from the date of purchase.</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Held-to-Maturity Investments</w:t>
      </w:r>
      <w:r>
        <w:rPr>
          <w:rFonts w:ascii="Times New Roman" w:hAnsi="Times New Roman"/>
          <w:color w:val="000000"/>
          <w:sz w:val="20"/>
        </w:rPr>
        <w:t xml:space="preserve"> — </w:t>
      </w:r>
      <w:r>
        <w:rPr>
          <w:rFonts w:ascii="Times New Roman" w:hAnsi="Times New Roman"/>
          <w:b w:val="false"/>
          <w:color w:val="000000"/>
          <w:sz w:val="20"/>
        </w:rPr>
        <w:t>The Company’s investments generally consist of commercial paper, corporate notes or bonds and U.S. Treasury securities. As of September 30, 2023 and December 31, 2022, the Company held short-term and long-term investments of debt securities, including commercial paper and bonds.</w:t>
      </w:r>
      <w:r>
        <w:rPr>
          <w:rFonts w:ascii="Times New Roman" w:hAnsi="Times New Roman"/>
          <w:color w:val="000000"/>
          <w:sz w:val="20"/>
        </w:rPr>
        <w:t xml:space="preserve"> </w:t>
      </w:r>
      <w:r>
        <w:rPr>
          <w:rFonts w:ascii="Times New Roman" w:hAnsi="Times New Roman"/>
          <w:b w:val="false"/>
          <w:color w:val="000000"/>
          <w:sz w:val="20"/>
        </w:rPr>
        <w:t>The Company assesses whether it has any intention to sell the investment before maturity, whether any declines in fair value are the result of credit losses, as well as whether there were other-than-temporary impairments associated with the available for sale investment. The Company intends to hold its investments until maturity; therefore, these investments are stated at amortized cost. The investments with maturities less than 12 months are included in short-term investments and investments with maturities in excess of twelve months are included in long-term investments in the condensed consolidated balance sheets. The amortization or accretion of the Company’s investments is recognized as interest income in the condensed consolidated statements of operations.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Available-for-Sale Investment</w:t>
      </w:r>
      <w:r>
        <w:rPr>
          <w:rFonts w:ascii="Times New Roman" w:hAnsi="Times New Roman"/>
          <w:color w:val="000000"/>
          <w:sz w:val="20"/>
        </w:rPr>
        <w:t xml:space="preserve"> — </w:t>
      </w:r>
      <w:r>
        <w:rPr>
          <w:rFonts w:ascii="Times New Roman" w:hAnsi="Times New Roman"/>
          <w:b w:val="false"/>
          <w:color w:val="000000"/>
          <w:sz w:val="20"/>
        </w:rPr>
        <w:t>In June 2021, the Company purchased a $3.0</w:t>
      </w:r>
      <w:r>
        <w:rPr>
          <w:rFonts w:ascii="Times New Roman" w:hAnsi="Times New Roman"/>
          <w:color w:val="000000"/>
          <w:sz w:val="20"/>
        </w:rPr>
        <w:t xml:space="preserve"> </w:t>
      </w:r>
      <w:r>
        <w:rPr>
          <w:rFonts w:ascii="Times New Roman" w:hAnsi="Times New Roman"/>
          <w:b w:val="false"/>
          <w:color w:val="000000"/>
          <w:sz w:val="20"/>
        </w:rPr>
        <w:t>million convertible promissory note (the “Thirona convertible note”) issued by Thirona Bio, Inc. (“Thirona”). In January 2022, the Company purchased an additional $5.0</w:t>
      </w:r>
      <w:r>
        <w:rPr>
          <w:rFonts w:ascii="Times New Roman" w:hAnsi="Times New Roman"/>
          <w:color w:val="000000"/>
          <w:sz w:val="20"/>
        </w:rPr>
        <w:t xml:space="preserve"> </w:t>
      </w:r>
      <w:r>
        <w:rPr>
          <w:rFonts w:ascii="Times New Roman" w:hAnsi="Times New Roman"/>
          <w:b w:val="false"/>
          <w:color w:val="000000"/>
          <w:sz w:val="20"/>
        </w:rPr>
        <w:t xml:space="preserve">million convertible promissory note issued by Thirona. Unless earlier converted into conversion shares pursuant to the note purchase agreement, the principal and accrued interest shall be due and payable by Thirona on demand by the Company at any time after the maturity date. The Thirona convertible notes were amended in February 2023, which extended the maturity date from December 31, 2022 to June 30, 2024. The Thirona convertible notes are general unsecured obligations of Thirona and accrue interest at a rate of 6% per annum. The Thirona convertible notes are classified as available-for-sale securities and are included in prepaid expenses and other current assets in the condensed consolidated balance sheets. The Company assesses whether it has any intention to sell the investment, determines fair value of its available-for-sale investments using level 3 inputs as well as assesses whether there were other-than-temporary impairments associated with the available-for-sale investment. Unrealized holding gains and losses are excluded from earnings and reported in other comprehensive income until realized. In June 2021, the Company and Thirona also entered into a collaboration agreement to develop a compound for the treatment of fibrotic lung diseases. See Note 10 – </w:t>
      </w:r>
      <w:r>
        <w:rPr>
          <w:rFonts w:ascii="Times New Roman" w:hAnsi="Times New Roman"/>
          <w:b w:val="false"/>
          <w:i/>
          <w:color w:val="000000"/>
          <w:sz w:val="20"/>
        </w:rPr>
        <w:t>Collaboration, Licensing and Other Arrangements</w:t>
      </w:r>
      <w:r>
        <w:rPr>
          <w:rFonts w:ascii="Times New Roman" w:hAnsi="Times New Roman"/>
          <w:b w:val="false"/>
          <w:color w:val="000000"/>
          <w:sz w:val="20"/>
        </w:rPr>
        <w:t>.</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Concentration of Credit Risk</w:t>
      </w:r>
      <w:r>
        <w:rPr>
          <w:rFonts w:ascii="Times New Roman" w:hAnsi="Times New Roman"/>
          <w:color w:val="000000"/>
          <w:sz w:val="20"/>
        </w:rPr>
        <w:t xml:space="preserve"> — </w:t>
      </w:r>
      <w:r>
        <w:rPr>
          <w:rFonts w:ascii="Times New Roman" w:hAnsi="Times New Roman"/>
          <w:b w:val="false"/>
          <w:color w:val="000000"/>
          <w:sz w:val="20"/>
        </w:rPr>
        <w:t>Financial instruments that potentially subject the Company to concentration of credit risk consist of cash and cash equivalents and investments. Cash and cash equivalents are held in high credit quality institutions. Cash equivalents consist of interest-bearing money market funds and U.S. Treasury securities with original or remaining maturities of 90 days or less at the time of purchase. Investments generally consist of commercial paper, corporate notes or bonds and U.S. Treasury securities. The cash equivalents and investments are regularly monitored by management.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Accounts Receivable and Allowance for Credit Losses </w:t>
      </w:r>
      <w:r>
        <w:rPr>
          <w:rFonts w:ascii="Times New Roman" w:hAnsi="Times New Roman"/>
          <w:color w:val="000000"/>
          <w:sz w:val="20"/>
        </w:rPr>
        <w:t xml:space="preserve">— </w:t>
      </w:r>
      <w:r>
        <w:rPr>
          <w:rFonts w:ascii="Times New Roman" w:hAnsi="Times New Roman"/>
          <w:b w:val="false"/>
          <w:color w:val="000000"/>
          <w:sz w:val="20"/>
        </w:rPr>
        <w:t>Accounts receivable are recorded at the invoiced amount and are not interest bearing. Accounts 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Pre-Launch Inventory </w:t>
      </w:r>
      <w:r>
        <w:rPr>
          <w:rFonts w:ascii="Times New Roman" w:hAnsi="Times New Roman"/>
          <w:color w:val="000000"/>
          <w:sz w:val="20"/>
        </w:rPr>
        <w:t xml:space="preserve">— </w:t>
      </w:r>
      <w:r>
        <w:rPr>
          <w:rFonts w:ascii="Times New Roman" w:hAnsi="Times New Roman"/>
          <w:b w:val="false"/>
          <w:color w:val="000000"/>
          <w:sz w:val="20"/>
        </w:rPr>
        <w:t>An improvement to the manufacturing process for the Company’s primary excipient, fumaryl diketopiperazine (“FDKP”) was demonstrated to be viable and 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R&amp;D expense in the period incurred.</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Inventories</w:t>
      </w:r>
      <w:r>
        <w:rPr>
          <w:rFonts w:ascii="Times New Roman" w:hAnsi="Times New Roman"/>
          <w:color w:val="000000"/>
          <w:sz w:val="20"/>
        </w:rPr>
        <w:t xml:space="preserve"> — </w:t>
      </w:r>
      <w:r>
        <w:rPr>
          <w:rFonts w:ascii="Times New Roman" w:hAnsi="Times New Roman"/>
          <w:b w:val="false"/>
          <w:color w:val="000000"/>
          <w:sz w:val="20"/>
        </w:rPr>
        <w:t>Inventories are stated at the lower of cost or net realizable value. The Company determines the cost of inventory using the first-in, first-out, 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Property and Equipment</w:t>
      </w:r>
      <w:r>
        <w:rPr>
          <w:rFonts w:ascii="Times New Roman" w:hAnsi="Times New Roman"/>
          <w:color w:val="000000"/>
          <w:sz w:val="20"/>
        </w:rPr>
        <w:t xml:space="preserve"> — </w:t>
      </w:r>
      <w:r>
        <w:rPr>
          <w:rFonts w:ascii="Times New Roman" w:hAnsi="Times New Roman"/>
          <w:b w:val="false"/>
          <w:color w:val="000000"/>
          <w:sz w:val="20"/>
        </w:rPr>
        <w:t xml:space="preserve">Property and equipment is recorded at historical cost, net of accumulated depreciation. Depreciation expense is recorded over the assets’ useful lives on a straight-line basis. See Note 6 – </w:t>
      </w:r>
      <w:r>
        <w:rPr>
          <w:rFonts w:ascii="Times New Roman" w:hAnsi="Times New Roman"/>
          <w:b w:val="false"/>
          <w:i/>
          <w:color w:val="000000"/>
          <w:sz w:val="20"/>
        </w:rPr>
        <w:t>Property and Equipment</w:t>
      </w:r>
      <w:r>
        <w:rPr>
          <w:rFonts w:ascii="Times New Roman" w:hAnsi="Times New Roman"/>
          <w:b w:val="false"/>
          <w:color w:val="000000"/>
          <w:sz w:val="20"/>
        </w:rPr>
        <w:t>.</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Impairment of Long-Lived Assets</w:t>
      </w:r>
      <w:r>
        <w:rPr>
          <w:rFonts w:ascii="Times New Roman" w:hAnsi="Times New Roman"/>
          <w:color w:val="000000"/>
          <w:sz w:val="20"/>
        </w:rPr>
        <w:t xml:space="preserve"> — </w:t>
      </w:r>
      <w:r>
        <w:rPr>
          <w:rFonts w:ascii="Times New Roman" w:hAnsi="Times New Roman"/>
          <w:b w:val="false"/>
          <w:color w:val="000000"/>
          <w:sz w:val="20"/>
        </w:rPr>
        <w:t>Long-lived assets include property and equipment, operating lease right-of-use assets and other intangible assets. The Company evaluates long-lived assets for impairment whenever events or changes in circumstances indicate that the carrying value of an asset may not be recoverable. Assets are considered to be impaired if the carrying value is considered to be unrecoverable.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Acquisitions — </w:t>
      </w:r>
      <w:r>
        <w:rPr>
          <w:rFonts w:ascii="Times New Roman" w:hAnsi="Times New Roman"/>
          <w:b w:val="false"/>
          <w:color w:val="000000"/>
          <w:sz w:val="20"/>
        </w:rPr>
        <w:t>The Company first determines whether a set of assets acquired constitute a business and should be accounted for as a business combination. If the assets acquired do not constitute a business, the Company accounts for the transaction as an asset acquisition. Business combinations are accounted for by means of the acquisition method of accounting. Under the acquisition method, assets acquired, including in-process R&amp;D (“IPR&amp;D”) projects, and liabilities assumed are recorded at their respective fair values as of the acquisition date in the Company’s condensed consolidated financial statements. The excess of the fair value of consideration transferred over the fair value of the net assets acquired is recorded as goodwill.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 In contrast, asset acquisitions are accounted for by using a cost accumulation and allocation model. Under this model, the cost of the acquisition is allocated to the assets acquired and liabilities assumed. IPR&amp;D projects with no alternative future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use are recorded in R&amp;D expense upon acquisition, and contingent consideration obligations incurred in connection with an asset acquisition are recorded when it is probable that they will occur and they can be reasonably estimated. See Note 2 – </w:t>
      </w:r>
      <w:r>
        <w:rPr>
          <w:rFonts w:ascii="Times New Roman" w:hAnsi="Times New Roman"/>
          <w:b w:val="false"/>
          <w:i/>
          <w:color w:val="000000"/>
          <w:sz w:val="20"/>
        </w:rPr>
        <w:t>Acquisition</w:t>
      </w:r>
      <w:r>
        <w:rPr>
          <w:rFonts w:ascii="Times New Roman" w:hAnsi="Times New Roman"/>
          <w:b w:val="false"/>
          <w:color w:val="000000"/>
          <w:sz w:val="20"/>
        </w:rPr>
        <w:t>.</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Goodwill and Other Intangible Assets — </w:t>
      </w:r>
      <w:r>
        <w:rPr>
          <w:rFonts w:ascii="Times New Roman" w:hAnsi="Times New Roman"/>
          <w:b w:val="false"/>
          <w:color w:val="000000"/>
          <w:sz w:val="20"/>
        </w:rPr>
        <w:t>The fair value of acquired intangible assets is determined using an income-based approach referred to as the excess earnings method utilizing Level 3 fair value inputs. Market participant valuations assume a global view considering all potential jurisdictions and indications based on discounted after-tax cash flow projections, risk adjusted for estimated probability of technical and regulatory success.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Recognized Loss on Purchase Commitments</w:t>
      </w:r>
      <w:r>
        <w:rPr>
          <w:rFonts w:ascii="Times New Roman" w:hAnsi="Times New Roman"/>
          <w:color w:val="000000"/>
          <w:sz w:val="20"/>
        </w:rPr>
        <w:t xml:space="preserve"> — </w:t>
      </w:r>
      <w:r>
        <w:rPr>
          <w:rFonts w:ascii="Times New Roman" w:hAnsi="Times New Roman"/>
          <w:b w:val="false"/>
          <w:color w:val="000000"/>
          <w:sz w:val="20"/>
        </w:rPr>
        <w:t>The Company assesses whether losses on long-term purchase commitments should be accrued. Losses that 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Milestone Rights Liability</w:t>
      </w:r>
      <w:r>
        <w:rPr>
          <w:rFonts w:ascii="Times New Roman" w:hAnsi="Times New Roman"/>
          <w:color w:val="000000"/>
          <w:sz w:val="20"/>
        </w:rPr>
        <w:t xml:space="preserve"> — </w:t>
      </w:r>
      <w:r>
        <w:rPr>
          <w:rFonts w:ascii="Times New Roman" w:hAnsi="Times New Roman"/>
          <w:b w:val="false"/>
          <w:color w:val="000000"/>
          <w:sz w:val="20"/>
        </w:rPr>
        <w:t>In July 2013, in conjunction with the execution of a (now repaid) loan agreement with Deerfield Private Design Fund II, L.P. 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SÁRL (the “Original Milestone Purchasers”). The foregoing milestone rights provided the Original Milestone Purchasers certain rights to receive payments of up to $90.0</w:t>
      </w:r>
      <w:r>
        <w:rPr>
          <w:rFonts w:ascii="Times New Roman" w:hAnsi="Times New Roman"/>
          <w:color w:val="000000"/>
          <w:sz w:val="20"/>
        </w:rPr>
        <w:t xml:space="preserve"> </w:t>
      </w:r>
      <w:r>
        <w:rPr>
          <w:rFonts w:ascii="Times New Roman" w:hAnsi="Times New Roman"/>
          <w:b w:val="false"/>
          <w:color w:val="000000"/>
          <w:sz w:val="20"/>
        </w:rPr>
        <w:t>million upon the occurrence of specified strategic and Afrezza sales milestones, $55.0</w:t>
      </w:r>
      <w:r>
        <w:rPr>
          <w:rFonts w:ascii="Times New Roman" w:hAnsi="Times New Roman"/>
          <w:color w:val="000000"/>
          <w:sz w:val="20"/>
        </w:rPr>
        <w:t xml:space="preserve"> </w:t>
      </w:r>
      <w:r>
        <w:rPr>
          <w:rFonts w:ascii="Times New Roman" w:hAnsi="Times New Roman"/>
          <w:b w:val="false"/>
          <w:color w:val="000000"/>
          <w:sz w:val="20"/>
        </w:rPr>
        <w:t xml:space="preserve">million of which remains payable as of September 30, 2023,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are now entitled to all rights under the Milestone Rights Agreement. The Milestone Rights liability is reported at fair value at the date of the agreement which is periodically offset against payments. See Note 11 – </w:t>
      </w:r>
      <w:r>
        <w:rPr>
          <w:rFonts w:ascii="Times New Roman" w:hAnsi="Times New Roman"/>
          <w:b w:val="false"/>
          <w:i/>
          <w:color w:val="000000"/>
          <w:sz w:val="20"/>
        </w:rPr>
        <w:t>Fair Value of Financial Instruments</w:t>
      </w:r>
      <w:r>
        <w:rPr>
          <w:rFonts w:ascii="Times New Roman" w:hAnsi="Times New Roman"/>
          <w:b w:val="false"/>
          <w:color w:val="000000"/>
          <w:sz w:val="20"/>
        </w:rPr>
        <w: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condensed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A $5.0</w:t>
      </w:r>
      <w:r>
        <w:rPr>
          <w:rFonts w:ascii="Times New Roman" w:hAnsi="Times New Roman"/>
          <w:color w:val="000000"/>
          <w:sz w:val="20"/>
        </w:rPr>
        <w:t xml:space="preserve"> </w:t>
      </w:r>
      <w:r>
        <w:rPr>
          <w:rFonts w:ascii="Times New Roman" w:hAnsi="Times New Roman"/>
          <w:b w:val="false"/>
          <w:color w:val="000000"/>
          <w:sz w:val="20"/>
        </w:rPr>
        <w:t xml:space="preserve">million milestone rights payment was made during the three months ended September 30, 2023. (See Note 8 – </w:t>
      </w:r>
      <w:r>
        <w:rPr>
          <w:rFonts w:ascii="Times New Roman" w:hAnsi="Times New Roman"/>
          <w:b w:val="false"/>
          <w:i/>
          <w:color w:val="000000"/>
          <w:sz w:val="20"/>
        </w:rPr>
        <w:t xml:space="preserve">Accrued Expenses and Other Current Liabilities </w:t>
      </w:r>
      <w:r>
        <w:rPr>
          <w:rFonts w:ascii="Times New Roman" w:hAnsi="Times New Roman"/>
          <w:b w:val="false"/>
          <w:color w:val="000000"/>
          <w:sz w:val="20"/>
        </w:rPr>
        <w:t xml:space="preserve">and Note 9 – </w:t>
      </w:r>
      <w:r>
        <w:rPr>
          <w:rFonts w:ascii="Times New Roman" w:hAnsi="Times New Roman"/>
          <w:b w:val="false"/>
          <w:i/>
          <w:color w:val="000000"/>
          <w:sz w:val="20"/>
        </w:rPr>
        <w:t>Borrowings.</w:t>
      </w:r>
      <w:r>
        <w:rPr>
          <w:rFonts w:ascii="Times New Roman" w:hAnsi="Times New Roman"/>
          <w:b w:val="false"/>
          <w:color w:val="000000"/>
          <w:sz w:val="20"/>
        </w:rPr>
        <w: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Fair Value of Financial Instruments </w:t>
      </w:r>
      <w:r>
        <w:rPr>
          <w:rFonts w:ascii="Times New Roman" w:hAnsi="Times New Roman"/>
          <w:color w:val="000000"/>
          <w:sz w:val="20"/>
        </w:rPr>
        <w:t xml:space="preserve">— </w:t>
      </w:r>
      <w:r>
        <w:rPr>
          <w:rFonts w:ascii="Times New Roman" w:hAnsi="Times New Roman"/>
          <w:b w:val="false"/>
          <w:color w:val="000000"/>
          <w:sz w:val="20"/>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1 — Quoted prices for identical instruments in active markets.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3 — Significant inputs to the valuation model are unobservable.</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Income Taxes</w:t>
      </w:r>
      <w:r>
        <w:rPr>
          <w:rFonts w:ascii="Times New Roman" w:hAnsi="Times New Roman"/>
          <w:color w:val="000000"/>
          <w:sz w:val="20"/>
        </w:rPr>
        <w:t xml:space="preserve"> — </w:t>
      </w:r>
      <w:r>
        <w:rPr>
          <w:rFonts w:ascii="Times New Roman" w:hAnsi="Times New Roman"/>
          <w:b w:val="false"/>
          <w:color w:val="000000"/>
          <w:sz w:val="20"/>
        </w:rPr>
        <w:t>The provisions for federal, foreign, state and local income taxes are calculated on pre-tax income based on current tax law and include the 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Contingencies</w:t>
      </w:r>
      <w:r>
        <w:rPr>
          <w:rFonts w:ascii="Times New Roman" w:hAnsi="Times New Roman"/>
          <w:color w:val="000000"/>
          <w:sz w:val="20"/>
        </w:rPr>
        <w:t xml:space="preserve"> — </w:t>
      </w:r>
      <w:r>
        <w:rPr>
          <w:rFonts w:ascii="Times New Roman" w:hAnsi="Times New Roman"/>
          <w:b w:val="false"/>
          <w:color w:val="000000"/>
          <w:sz w:val="20"/>
        </w:rPr>
        <w:t>The Company records a loss contingency for a liability when it is both probable that a liability has been incurred and the amount of 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Stock-Based Compensation </w:t>
      </w:r>
      <w:r>
        <w:rPr>
          <w:rFonts w:ascii="Times New Roman" w:hAnsi="Times New Roman"/>
          <w:color w:val="000000"/>
          <w:sz w:val="20"/>
        </w:rPr>
        <w:t xml:space="preserve">— </w:t>
      </w:r>
      <w:r>
        <w:rPr>
          <w:rFonts w:ascii="Times New Roman" w:hAnsi="Times New Roman"/>
          <w:b w:val="false"/>
          <w:color w:val="000000"/>
          <w:sz w:val="20"/>
        </w:rPr>
        <w:t>Share-based payments to employees, including grants of restricted stock units ("RSUs,") performance-based non-qualified stock options awards (“PNQs”), restricted stock units with market conditions (“Market RSUs”), options and the compensatory elements of employee stock purchase plans, are recognized in the condensed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Net Income (Loss) Per Share of Common Stock</w:t>
      </w:r>
      <w:r>
        <w:rPr>
          <w:rFonts w:ascii="Times New Roman" w:hAnsi="Times New Roman"/>
          <w:color w:val="000000"/>
          <w:sz w:val="20"/>
        </w:rPr>
        <w:t xml:space="preserve"> — </w:t>
      </w:r>
      <w:r>
        <w:rPr>
          <w:rFonts w:ascii="Times New Roman" w:hAnsi="Times New Roman"/>
          <w:b w:val="false"/>
          <w:color w:val="000000"/>
          <w:sz w:val="20"/>
        </w:rPr>
        <w:t>Basic net income or loss per share excludes dilution for potentially dilutive securities and is computed by 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Recently Issued Accounting Standards</w:t>
      </w:r>
      <w:r>
        <w:rPr>
          <w:rFonts w:ascii="Times New Roman" w:hAnsi="Times New Roman"/>
          <w:color w:val="000000"/>
          <w:sz w:val="20"/>
        </w:rPr>
        <w:t xml:space="preserve"> — </w:t>
      </w:r>
      <w:r>
        <w:rPr>
          <w:rFonts w:ascii="Times New Roman" w:hAnsi="Times New Roman"/>
          <w:b w:val="false"/>
          <w:color w:val="000000"/>
          <w:sz w:val="20"/>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Acquisition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May 2022, the Company purchased certain assets and assumed certain liabilities associated with the V-Go wearable insulin delivery device from Zealand Pharma A/S and Zealand Pharma US, Inc. (together “Zealand”).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terms of the agreement with Zealand, the Company paid up-front consideration of $15.3</w:t>
      </w:r>
      <w:r>
        <w:rPr>
          <w:rFonts w:ascii="Times New Roman" w:hAnsi="Times New Roman"/>
          <w:color w:val="000000"/>
          <w:sz w:val="20"/>
        </w:rPr>
        <w:t xml:space="preserve"> </w:t>
      </w:r>
      <w:r>
        <w:rPr>
          <w:rFonts w:ascii="Times New Roman" w:hAnsi="Times New Roman"/>
          <w:b w:val="false"/>
          <w:color w:val="000000"/>
          <w:sz w:val="20"/>
        </w:rPr>
        <w:t>million for certain assets and assumed liabilities related to V-Go. In addition, the Company will be obligated to make one-time sales-based milestone payments to Zealand totaling up to a maximum of $10.0</w:t>
      </w:r>
      <w:r>
        <w:rPr>
          <w:rFonts w:ascii="Times New Roman" w:hAnsi="Times New Roman"/>
          <w:color w:val="000000"/>
          <w:sz w:val="20"/>
        </w:rPr>
        <w:t xml:space="preserve"> </w:t>
      </w:r>
      <w:r>
        <w:rPr>
          <w:rFonts w:ascii="Times New Roman" w:hAnsi="Times New Roman"/>
          <w:b w:val="false"/>
          <w:color w:val="000000"/>
          <w:sz w:val="20"/>
        </w:rPr>
        <w:t>million upon the achievement of specified annual revenue milestones between $40</w:t>
      </w:r>
      <w:r>
        <w:rPr>
          <w:rFonts w:ascii="Times New Roman" w:hAnsi="Times New Roman"/>
          <w:color w:val="000000"/>
          <w:sz w:val="20"/>
        </w:rPr>
        <w:t xml:space="preserve"> </w:t>
      </w:r>
      <w:r>
        <w:rPr>
          <w:rFonts w:ascii="Times New Roman" w:hAnsi="Times New Roman"/>
          <w:b w:val="false"/>
          <w:color w:val="000000"/>
          <w:sz w:val="20"/>
        </w:rPr>
        <w:t>million and $100</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The total purchase consideration for V-Go was as follows (in thousands):</w:t>
      </w:r>
    </w:p>
    <w:tbl>
      <w:tblPr>
        <w:tblW w:w="5215" w:type="dxa"/>
        <w:jc w:val="left"/>
        <w:tblInd w:w="0" w:type="dxa"/>
        <w:tblLayout w:type="fixed"/>
        <w:tblCellMar>
          <w:top w:w="28" w:type="dxa"/>
          <w:left w:w="28" w:type="dxa"/>
          <w:bottom w:w="28" w:type="dxa"/>
          <w:right w:w="28" w:type="dxa"/>
        </w:tblCellMar>
      </w:tblPr>
      <w:tblGrid>
        <w:gridCol w:w="3591"/>
        <w:gridCol w:w="146"/>
        <w:gridCol w:w="211"/>
        <w:gridCol w:w="676"/>
        <w:gridCol w:w="5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Fair value of consideration:</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15,341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Fair value of contingent consideration</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jc w:val="left"/>
        <w:rPr>
          <w:rFonts w:ascii="Times New Roman" w:hAnsi="Times New Roman"/>
          <w:sz w:val="20"/>
        </w:rPr>
      </w:pPr>
      <w:r>
        <w:rPr>
          <w:rFonts w:ascii="Times New Roman" w:hAnsi="Times New Roman"/>
          <w:b w:val="false"/>
          <w:color w:val="000000"/>
          <w:sz w:val="18"/>
        </w:rPr>
        <w:t>Subsequent changes in the fair value are reported in general and administrative expenses. As of September 30, 2023, the fair value of the contingent milestone liability was $0.6</w:t>
      </w:r>
      <w:r>
        <w:rPr>
          <w:rFonts w:ascii="Times New Roman" w:hAnsi="Times New Roman"/>
          <w:color w:val="000000"/>
          <w:sz w:val="20"/>
        </w:rPr>
        <w:t xml:space="preserve"> </w:t>
      </w:r>
      <w:r>
        <w:rPr>
          <w:rFonts w:ascii="Times New Roman" w:hAnsi="Times New Roman"/>
          <w:b w:val="false"/>
          <w:color w:val="000000"/>
          <w:sz w:val="18"/>
        </w:rPr>
        <w:t>million. The fair value of the contingent milestone liability as of December 31, 2022 was consistent with the fair value on the acquisition date.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fair value of the contingent milestone liability was estimated using the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3.92%, dividend yield of 0%, volatility of 43%, period of 15</w:t>
      </w:r>
      <w:r>
        <w:rPr>
          <w:rFonts w:ascii="Times New Roman" w:hAnsi="Times New Roman"/>
          <w:color w:val="000000"/>
          <w:sz w:val="20"/>
        </w:rPr>
        <w:t xml:space="preserve"> </w:t>
      </w:r>
      <w:r>
        <w:rPr>
          <w:rFonts w:ascii="Times New Roman" w:hAnsi="Times New Roman"/>
          <w:b w:val="false"/>
          <w:color w:val="000000"/>
          <w:sz w:val="20"/>
        </w:rPr>
        <w:t>years and credit risk of 17%.</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transaction was accounted for using the acquisition method of accounting, which requires, among other things, the assets acquired and liabilities assumed to be recognized at their respective fair values as of the acquisition date. The excess of the purchase price over those fair values was recorded as goodwill, which will be amortized over a period of 15</w:t>
      </w:r>
      <w:r>
        <w:rPr>
          <w:rFonts w:ascii="Times New Roman" w:hAnsi="Times New Roman"/>
          <w:color w:val="000000"/>
          <w:sz w:val="20"/>
        </w:rPr>
        <w:t xml:space="preserve"> </w:t>
      </w:r>
      <w:r>
        <w:rPr>
          <w:rFonts w:ascii="Times New Roman" w:hAnsi="Times New Roman"/>
          <w:b w:val="false"/>
          <w:color w:val="000000"/>
          <w:sz w:val="20"/>
        </w:rPr>
        <w:t>years for tax purposes. The estimates and assumptions used include the projected timing and amount of future cash flows and discount rates to reflect the risk inherent in the future cash flows. In May 2023, the Company finalized the fair value for assets acquired and liabilities assumed for V-Go.</w:t>
      </w:r>
    </w:p>
    <w:p>
      <w:pPr>
        <w:pStyle w:val="TextBody"/>
        <w:bidi w:val="0"/>
        <w:spacing w:before="240" w:after="240"/>
        <w:jc w:val="left"/>
        <w:rPr>
          <w:rFonts w:ascii="Times New Roman" w:hAnsi="Times New Roman"/>
          <w:sz w:val="20"/>
        </w:rPr>
      </w:pPr>
      <w:r>
        <w:rPr>
          <w:rFonts w:ascii="Times New Roman" w:hAnsi="Times New Roman"/>
          <w:b w:val="false"/>
          <w:color w:val="000000"/>
          <w:sz w:val="20"/>
        </w:rPr>
        <w:t>Inventory of $11.2</w:t>
      </w:r>
      <w:r>
        <w:rPr>
          <w:rFonts w:ascii="Times New Roman" w:hAnsi="Times New Roman"/>
          <w:color w:val="000000"/>
          <w:sz w:val="20"/>
        </w:rPr>
        <w:t xml:space="preserve"> </w:t>
      </w:r>
      <w:r>
        <w:rPr>
          <w:rFonts w:ascii="Times New Roman" w:hAnsi="Times New Roman"/>
          <w:b w:val="false"/>
          <w:color w:val="000000"/>
          <w:sz w:val="20"/>
        </w:rPr>
        <w:t xml:space="preserve">million consisted of raw materials, semi-finished goods and finished goods. The fair value of the inventory was determined based on the estimated selling price to be generated from the finished goods, less costs to sell, including a reasonable margin, which are level 3 inputs not observable in the market. Property and equipment and assumed liabilities were recorded at their carrying amounts which were deemed to approximate their fair values based on level 3 unobservable inputs. The fair values of the right-of-use assets and lease liabilities for assumed operating leases were assessed in accordance with ASC 842, </w:t>
      </w:r>
      <w:r>
        <w:rPr>
          <w:rFonts w:ascii="Times New Roman" w:hAnsi="Times New Roman"/>
          <w:b w:val="false"/>
          <w:i/>
          <w:color w:val="000000"/>
          <w:sz w:val="20"/>
        </w:rPr>
        <w:t>Leases</w:t>
      </w:r>
      <w:r>
        <w:rPr>
          <w:rFonts w:ascii="Times New Roman" w:hAnsi="Times New Roman"/>
          <w:b w:val="false"/>
          <w:color w:val="000000"/>
          <w:sz w:val="20"/>
        </w:rPr>
        <w:t>, based on discounted cash flow from lease payments, utilizing the Company’s incremental borrowing rate of 7.25%.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fair value of the intangible asset was determined by applying the income approach based on significant level 3 unobservable inputs. The income approach estimates fair value based on the present value of cash flow that the assets could be expected to generate in the future. The Company developed internal estimates for expected cash flows in the present value calculation using inputs and significant assumptions that include historical revenues and earnings, long-term growth rate, discount rate, contributory asset charges and future tax rates, among others.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information below reflects the amounts of identifiable assets acquired and liabilities assumed as of May 31, 2023 (in thousands):</w:t>
      </w:r>
      <w:r>
        <w:rPr>
          <w:rFonts w:ascii="Times New Roman" w:hAnsi="Times New Roman"/>
          <w:color w:val="000000"/>
          <w:sz w:val="20"/>
        </w:rPr>
        <w:t xml:space="preserve"> </w:t>
      </w:r>
    </w:p>
    <w:tbl>
      <w:tblPr>
        <w:tblW w:w="5230" w:type="dxa"/>
        <w:jc w:val="left"/>
        <w:tblInd w:w="0" w:type="dxa"/>
        <w:tblLayout w:type="fixed"/>
        <w:tblCellMar>
          <w:top w:w="28" w:type="dxa"/>
          <w:left w:w="28" w:type="dxa"/>
          <w:bottom w:w="28" w:type="dxa"/>
          <w:right w:w="28" w:type="dxa"/>
        </w:tblCellMar>
      </w:tblPr>
      <w:tblGrid>
        <w:gridCol w:w="3606"/>
        <w:gridCol w:w="146"/>
        <w:gridCol w:w="211"/>
        <w:gridCol w:w="676"/>
        <w:gridCol w:w="5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591" w:type="dxa"/>
            <w:tcBorders/>
            <w:shd w:fill="CFF0FC" w:val="clear"/>
            <w:vAlign w:val="center"/>
          </w:tcPr>
          <w:p>
            <w:pPr>
              <w:pStyle w:val="TableContents"/>
              <w:bidi w:val="0"/>
              <w:spacing w:before="0" w:after="283"/>
              <w:ind w:left="0" w:right="0" w:firstLine="200"/>
              <w:jc w:val="center"/>
              <w:rPr/>
            </w:pPr>
            <w:r>
              <w:rPr/>
              <w:t> </w:t>
            </w:r>
          </w:p>
        </w:tc>
      </w:tr>
      <w:tr>
        <w:trPr/>
        <w:tc>
          <w:tcPr>
            <w:tcW w:w="360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Inventory</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6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60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Goodwill</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6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Intangible asset - Developed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6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0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60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Liabilities assumed</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6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0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0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assets acquired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jc w:val="left"/>
        <w:rPr>
          <w:rFonts w:ascii="Times New Roman" w:hAnsi="Times New Roman"/>
          <w:sz w:val="20"/>
        </w:rPr>
      </w:pPr>
      <w:r>
        <w:rPr>
          <w:rFonts w:ascii="Times New Roman" w:hAnsi="Times New Roman"/>
          <w:b w:val="false"/>
          <w:color w:val="000000"/>
          <w:sz w:val="18"/>
        </w:rPr>
        <w:t>Through May 2023, goodwill related to the acquisition of V-Go was adjusted for a reduction in rebate-related liabilities partially offset by a reserve for inventory obsolescence.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acquisition-related costs incurred during the three and nine months ended September 30, 2023.</w:t>
      </w:r>
    </w:p>
    <w:p>
      <w:pPr>
        <w:pStyle w:val="TextBody"/>
        <w:bidi w:val="0"/>
        <w:spacing w:before="360" w:after="283"/>
        <w:jc w:val="left"/>
        <w:rPr>
          <w:rFonts w:ascii="Times New Roman" w:hAnsi="Times New Roman"/>
          <w:sz w:val="20"/>
        </w:rPr>
      </w:pPr>
      <w:r>
        <w:rPr>
          <w:rFonts w:ascii="Times New Roman" w:hAnsi="Times New Roman"/>
          <w:b/>
          <w:color w:val="000000"/>
          <w:sz w:val="20"/>
        </w:rPr>
        <w:t>3.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Cash Equivalents </w:t>
      </w:r>
      <w:r>
        <w:rPr>
          <w:rFonts w:ascii="Times New Roman" w:hAnsi="Times New Roman"/>
          <w:color w:val="000000"/>
          <w:sz w:val="20"/>
        </w:rPr>
        <w:t xml:space="preserve">— </w:t>
      </w:r>
      <w:r>
        <w:rPr>
          <w:rFonts w:ascii="Times New Roman" w:hAnsi="Times New Roman"/>
          <w:b w:val="false"/>
          <w:color w:val="000000"/>
          <w:sz w:val="20"/>
        </w:rPr>
        <w:t>Cash equivalents consist of highly liquid investments with original or remaining maturities of 90 days or less at the time of purchase that are readily convertible into cash.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Available-for-Sale Investment</w:t>
      </w:r>
      <w:r>
        <w:rPr>
          <w:rFonts w:ascii="Times New Roman" w:hAnsi="Times New Roman"/>
          <w:color w:val="000000"/>
          <w:sz w:val="20"/>
        </w:rPr>
        <w:t xml:space="preserve"> — </w:t>
      </w:r>
      <w:r>
        <w:rPr>
          <w:rFonts w:ascii="Times New Roman" w:hAnsi="Times New Roman"/>
          <w:b w:val="false"/>
          <w:color w:val="000000"/>
          <w:sz w:val="20"/>
        </w:rPr>
        <w:t>The Thirona convertible notes are classified as available-for-sale securities and are included in prepaid expenses and other current assets in the condensed consolidated balance sheets. Available-for-sale investments are subsequently measured at fair value with realized gains and losses reported in other income (expense) in the condensed consolidated statements of operations. Unrealized holding gains and losses are excluded from earnings and reported in other comprehensive income (loss) until realized. The Company determines fair value of its available-for-sale investments using level 3 inputs. The Company evaluates the fair value of its investment in Thirona by applying a Monte Carlo simulation model. For the three and nine months ended September 30, 2023, the Company recognized $0.1</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respectively, of interest income on investment and $0.1</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of interest income on investment for the three and nine months ended September 30, 2022, respectively. As of September 30, 2023 and December 31, 2022, the fair value of the Company's investment in Thirona was $8.4</w:t>
      </w:r>
      <w:r>
        <w:rPr>
          <w:rFonts w:ascii="Times New Roman" w:hAnsi="Times New Roman"/>
          <w:color w:val="000000"/>
          <w:sz w:val="20"/>
        </w:rPr>
        <w:t xml:space="preserve"> </w:t>
      </w:r>
      <w:r>
        <w:rPr>
          <w:rFonts w:ascii="Times New Roman" w:hAnsi="Times New Roman"/>
          <w:b w:val="false"/>
          <w:color w:val="000000"/>
          <w:sz w:val="20"/>
        </w:rPr>
        <w:t>million and $7.1</w:t>
      </w:r>
      <w:r>
        <w:rPr>
          <w:rFonts w:ascii="Times New Roman" w:hAnsi="Times New Roman"/>
          <w:color w:val="000000"/>
          <w:sz w:val="20"/>
        </w:rPr>
        <w:t xml:space="preserve"> </w:t>
      </w:r>
      <w:r>
        <w:rPr>
          <w:rFonts w:ascii="Times New Roman" w:hAnsi="Times New Roman"/>
          <w:b w:val="false"/>
          <w:color w:val="000000"/>
          <w:sz w:val="20"/>
        </w:rPr>
        <w:t>million, respectively. For the nine months ended September 30, 2022, the Company recognized a gain of $0.9</w:t>
      </w:r>
      <w:r>
        <w:rPr>
          <w:rFonts w:ascii="Times New Roman" w:hAnsi="Times New Roman"/>
          <w:color w:val="000000"/>
          <w:sz w:val="20"/>
        </w:rPr>
        <w:t xml:space="preserve"> </w:t>
      </w:r>
      <w:r>
        <w:rPr>
          <w:rFonts w:ascii="Times New Roman" w:hAnsi="Times New Roman"/>
          <w:b w:val="false"/>
          <w:color w:val="000000"/>
          <w:sz w:val="20"/>
        </w:rPr>
        <w:t>million on its investment in Thirona as a result of the recovery of a temporary impairment in our condensed consolidated statement of operations, as well as an unrealized holding gain of $0.4</w:t>
      </w:r>
      <w:r>
        <w:rPr>
          <w:rFonts w:ascii="Times New Roman" w:hAnsi="Times New Roman"/>
          <w:color w:val="000000"/>
          <w:sz w:val="20"/>
        </w:rPr>
        <w:t xml:space="preserve"> </w:t>
      </w:r>
      <w:r>
        <w:rPr>
          <w:rFonts w:ascii="Times New Roman" w:hAnsi="Times New Roman"/>
          <w:b w:val="false"/>
          <w:color w:val="000000"/>
          <w:sz w:val="20"/>
        </w:rPr>
        <w:t>million in our condensed consolidated statement of comprehensive income (loss).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Held-to-Maturity Investments </w:t>
      </w:r>
      <w:r>
        <w:rPr>
          <w:rFonts w:ascii="Times New Roman" w:hAnsi="Times New Roman"/>
          <w:color w:val="000000"/>
          <w:sz w:val="20"/>
        </w:rPr>
        <w:t xml:space="preserve">— </w:t>
      </w:r>
      <w:r>
        <w:rPr>
          <w:rFonts w:ascii="Times New Roman" w:hAnsi="Times New Roman"/>
          <w:b w:val="false"/>
          <w:color w:val="000000"/>
          <w:sz w:val="20"/>
        </w:rPr>
        <w:t>Investments consist of highly liquid investments that are intended to facilitate liquidity and capital preservation. The amortization or accretion of the Company’s investments is recognized as interest income in the condensed consolidated statements of operations. For the three and nine months ended September 30, 2023, the Company recognized $1.0</w:t>
      </w:r>
      <w:r>
        <w:rPr>
          <w:rFonts w:ascii="Times New Roman" w:hAnsi="Times New Roman"/>
          <w:color w:val="000000"/>
          <w:sz w:val="20"/>
        </w:rPr>
        <w:t xml:space="preserve"> </w:t>
      </w:r>
      <w:r>
        <w:rPr>
          <w:rFonts w:ascii="Times New Roman" w:hAnsi="Times New Roman"/>
          <w:b w:val="false"/>
          <w:color w:val="000000"/>
          <w:sz w:val="20"/>
        </w:rPr>
        <w:t>million and $3.2</w:t>
      </w:r>
      <w:r>
        <w:rPr>
          <w:rFonts w:ascii="Times New Roman" w:hAnsi="Times New Roman"/>
          <w:color w:val="000000"/>
          <w:sz w:val="20"/>
        </w:rPr>
        <w:t xml:space="preserve"> </w:t>
      </w:r>
      <w:r>
        <w:rPr>
          <w:rFonts w:ascii="Times New Roman" w:hAnsi="Times New Roman"/>
          <w:b w:val="false"/>
          <w:color w:val="000000"/>
          <w:sz w:val="20"/>
        </w:rPr>
        <w:t>million, respectively, of interest income on investments and $0.5</w:t>
      </w:r>
      <w:r>
        <w:rPr>
          <w:rFonts w:ascii="Times New Roman" w:hAnsi="Times New Roman"/>
          <w:color w:val="000000"/>
          <w:sz w:val="20"/>
        </w:rPr>
        <w:t xml:space="preserve"> </w:t>
      </w:r>
      <w:r>
        <w:rPr>
          <w:rFonts w:ascii="Times New Roman" w:hAnsi="Times New Roman"/>
          <w:b w:val="false"/>
          <w:color w:val="000000"/>
          <w:sz w:val="20"/>
        </w:rPr>
        <w:t>million and $0.9</w:t>
      </w:r>
      <w:r>
        <w:rPr>
          <w:rFonts w:ascii="Times New Roman" w:hAnsi="Times New Roman"/>
          <w:color w:val="000000"/>
          <w:sz w:val="20"/>
        </w:rPr>
        <w:t xml:space="preserve"> </w:t>
      </w:r>
      <w:r>
        <w:rPr>
          <w:rFonts w:ascii="Times New Roman" w:hAnsi="Times New Roman"/>
          <w:b w:val="false"/>
          <w:color w:val="000000"/>
          <w:sz w:val="20"/>
        </w:rPr>
        <w:t>million, respectively, of amortization on certain investments. For the three and nine months ended September 30, 2022, the Company recognized $0.7</w:t>
      </w:r>
      <w:r>
        <w:rPr>
          <w:rFonts w:ascii="Times New Roman" w:hAnsi="Times New Roman"/>
          <w:color w:val="000000"/>
          <w:sz w:val="20"/>
        </w:rPr>
        <w:t xml:space="preserve"> </w:t>
      </w:r>
      <w:r>
        <w:rPr>
          <w:rFonts w:ascii="Times New Roman" w:hAnsi="Times New Roman"/>
          <w:b w:val="false"/>
          <w:color w:val="000000"/>
          <w:sz w:val="20"/>
        </w:rPr>
        <w:t>million and $1.6</w:t>
      </w:r>
      <w:r>
        <w:rPr>
          <w:rFonts w:ascii="Times New Roman" w:hAnsi="Times New Roman"/>
          <w:color w:val="000000"/>
          <w:sz w:val="20"/>
        </w:rPr>
        <w:t xml:space="preserve"> </w:t>
      </w:r>
      <w:r>
        <w:rPr>
          <w:rFonts w:ascii="Times New Roman" w:hAnsi="Times New Roman"/>
          <w:b w:val="false"/>
          <w:color w:val="000000"/>
          <w:sz w:val="20"/>
        </w:rPr>
        <w:t>million, respectively, of interest income on investments, and $0.2</w:t>
      </w:r>
      <w:r>
        <w:rPr>
          <w:rFonts w:ascii="Times New Roman" w:hAnsi="Times New Roman"/>
          <w:color w:val="000000"/>
          <w:sz w:val="20"/>
        </w:rPr>
        <w:t xml:space="preserve"> </w:t>
      </w:r>
      <w:r>
        <w:rPr>
          <w:rFonts w:ascii="Times New Roman" w:hAnsi="Times New Roman"/>
          <w:b w:val="false"/>
          <w:color w:val="000000"/>
          <w:sz w:val="20"/>
        </w:rPr>
        <w:t>million and $0.6</w:t>
      </w:r>
      <w:r>
        <w:rPr>
          <w:rFonts w:ascii="Times New Roman" w:hAnsi="Times New Roman"/>
          <w:color w:val="000000"/>
          <w:sz w:val="20"/>
        </w:rPr>
        <w:t xml:space="preserve"> </w:t>
      </w:r>
      <w:r>
        <w:rPr>
          <w:rFonts w:ascii="Times New Roman" w:hAnsi="Times New Roman"/>
          <w:b w:val="false"/>
          <w:color w:val="000000"/>
          <w:sz w:val="20"/>
        </w:rPr>
        <w:t>million, respectively, of amortization on certain investments. No</w:t>
      </w:r>
      <w:r>
        <w:rPr>
          <w:rFonts w:ascii="Times New Roman" w:hAnsi="Times New Roman"/>
          <w:color w:val="000000"/>
          <w:sz w:val="20"/>
        </w:rPr>
        <w:t xml:space="preserve"> </w:t>
      </w:r>
      <w:r>
        <w:rPr>
          <w:rFonts w:ascii="Times New Roman" w:hAnsi="Times New Roman"/>
          <w:b w:val="false"/>
          <w:color w:val="000000"/>
          <w:sz w:val="20"/>
        </w:rPr>
        <w:t>allowance for credit losses on held-to-maturity securities was required as of September 30, 2023.</w:t>
      </w:r>
    </w:p>
    <w:p>
      <w:pPr>
        <w:pStyle w:val="TextBody"/>
        <w:bidi w:val="0"/>
        <w:spacing w:before="240" w:after="240"/>
        <w:jc w:val="left"/>
        <w:rPr>
          <w:rFonts w:ascii="Times New Roman" w:hAnsi="Times New Roman"/>
          <w:sz w:val="20"/>
        </w:rPr>
      </w:pPr>
      <w:r>
        <w:rPr>
          <w:rFonts w:ascii="Times New Roman" w:hAnsi="Times New Roman"/>
          <w:b w:val="false"/>
          <w:color w:val="000000"/>
          <w:sz w:val="20"/>
        </w:rPr>
        <w:t>The contractual maturities of the Company’s held to maturity investments are summarized below (in thousands):</w:t>
      </w:r>
      <w:r>
        <w:rPr>
          <w:rFonts w:ascii="Times New Roman" w:hAnsi="Times New Roman"/>
          <w:color w:val="000000"/>
          <w:sz w:val="20"/>
        </w:rPr>
        <w:t xml:space="preserve"> </w:t>
      </w:r>
    </w:p>
    <w:tbl>
      <w:tblPr>
        <w:tblW w:w="8687" w:type="dxa"/>
        <w:jc w:val="left"/>
        <w:tblInd w:w="0" w:type="dxa"/>
        <w:tblLayout w:type="fixed"/>
        <w:tblCellMar>
          <w:top w:w="28" w:type="dxa"/>
          <w:left w:w="28" w:type="dxa"/>
          <w:bottom w:w="28" w:type="dxa"/>
          <w:right w:w="28" w:type="dxa"/>
        </w:tblCellMar>
      </w:tblPr>
      <w:tblGrid>
        <w:gridCol w:w="3106"/>
        <w:gridCol w:w="146"/>
        <w:gridCol w:w="211"/>
        <w:gridCol w:w="781"/>
        <w:gridCol w:w="146"/>
        <w:gridCol w:w="146"/>
        <w:gridCol w:w="211"/>
        <w:gridCol w:w="781"/>
        <w:gridCol w:w="146"/>
        <w:gridCol w:w="146"/>
        <w:gridCol w:w="211"/>
        <w:gridCol w:w="781"/>
        <w:gridCol w:w="146"/>
        <w:gridCol w:w="146"/>
        <w:gridCol w:w="211"/>
        <w:gridCol w:w="781"/>
        <w:gridCol w:w="5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Due in one year or less</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126,616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126,603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152,862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156,976</w:t>
            </w:r>
          </w:p>
        </w:tc>
        <w:tc>
          <w:tcPr>
            <w:tcW w:w="591" w:type="dxa"/>
            <w:tcBorders/>
            <w:shd w:fill="CFF0FC" w:val="cle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Due after one year through five years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1,948</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0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129,887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129,861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154,823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158,924</w:t>
            </w:r>
          </w:p>
        </w:tc>
        <w:tc>
          <w:tcPr>
            <w:tcW w:w="5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jc w:val="left"/>
        <w:rPr>
          <w:rFonts w:ascii="Times New Roman" w:hAnsi="Times New Roman"/>
          <w:sz w:val="20"/>
        </w:rPr>
      </w:pPr>
      <w:r>
        <w:rPr>
          <w:rFonts w:ascii="Times New Roman" w:hAnsi="Times New Roman"/>
          <w:b w:val="false"/>
          <w:color w:val="000000"/>
          <w:sz w:val="18"/>
        </w:rPr>
        <w:t>The investments due in one year or less include cash equivalents of $68.6</w:t>
      </w:r>
      <w:r>
        <w:rPr>
          <w:rFonts w:ascii="Times New Roman" w:hAnsi="Times New Roman"/>
          <w:color w:val="000000"/>
          <w:sz w:val="20"/>
        </w:rPr>
        <w:t xml:space="preserve"> </w:t>
      </w:r>
      <w:r>
        <w:rPr>
          <w:rFonts w:ascii="Times New Roman" w:hAnsi="Times New Roman"/>
          <w:b w:val="false"/>
          <w:color w:val="000000"/>
          <w:sz w:val="18"/>
        </w:rPr>
        <w:t>million as of September 30, 2023</w:t>
      </w:r>
      <w:r>
        <w:rPr>
          <w:rFonts w:ascii="Times New Roman" w:hAnsi="Times New Roman"/>
          <w:color w:val="000000"/>
          <w:sz w:val="20"/>
        </w:rPr>
        <w:t xml:space="preserve"> </w:t>
      </w:r>
      <w:r>
        <w:rPr>
          <w:rFonts w:ascii="Times New Roman" w:hAnsi="Times New Roman"/>
          <w:b w:val="false"/>
          <w:color w:val="000000"/>
          <w:sz w:val="20"/>
        </w:rPr>
        <w:t xml:space="preserve">and </w:t>
      </w:r>
      <w:r>
        <w:rPr>
          <w:rFonts w:ascii="Times New Roman" w:hAnsi="Times New Roman"/>
          <w:b w:val="false"/>
          <w:color w:val="000000"/>
          <w:sz w:val="18"/>
        </w:rPr>
        <w:t>$51.8</w:t>
      </w:r>
      <w:r>
        <w:rPr>
          <w:rFonts w:ascii="Times New Roman" w:hAnsi="Times New Roman"/>
          <w:color w:val="000000"/>
          <w:sz w:val="20"/>
        </w:rPr>
        <w:t xml:space="preserve"> </w:t>
      </w:r>
      <w:r>
        <w:rPr>
          <w:rFonts w:ascii="Times New Roman" w:hAnsi="Times New Roman"/>
          <w:b w:val="false"/>
          <w:color w:val="000000"/>
          <w:sz w:val="18"/>
        </w:rPr>
        <w:t>million as of December 31, 2022.</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fair value of the cash equivalents, long-term and short-term investments are disclosed below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4"/>
        <w:gridCol w:w="146"/>
        <w:gridCol w:w="1284"/>
        <w:gridCol w:w="146"/>
        <w:gridCol w:w="280"/>
        <w:gridCol w:w="1040"/>
        <w:gridCol w:w="146"/>
        <w:gridCol w:w="146"/>
        <w:gridCol w:w="597"/>
        <w:gridCol w:w="1068"/>
        <w:gridCol w:w="166"/>
        <w:gridCol w:w="146"/>
        <w:gridCol w:w="211"/>
        <w:gridCol w:w="781"/>
        <w:gridCol w:w="594"/>
      </w:tblGrid>
      <w:tr>
        <w:trPr/>
        <w:tc>
          <w:tcPr>
            <w:tcW w:w="3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4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Gains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bonds and paper</w:t>
            </w:r>
          </w:p>
        </w:tc>
        <w:tc>
          <w:tcPr>
            <w:tcW w:w="146"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50,246</w:t>
            </w:r>
          </w:p>
        </w:tc>
        <w:tc>
          <w:tcPr>
            <w:tcW w:w="594" w:type="dxa"/>
            <w:tcBorders/>
            <w:shd w:fill="CFF0FC" w:val="clear"/>
            <w:vAlign w:val="center"/>
          </w:tcPr>
          <w:p>
            <w:pPr>
              <w:pStyle w:val="TableContents"/>
              <w:bidi w:val="0"/>
              <w:spacing w:before="0" w:after="283"/>
              <w:jc w:val="left"/>
              <w:rPr/>
            </w:pPr>
            <w:r>
              <w:rPr/>
              <w:t> </w:t>
            </w:r>
          </w:p>
        </w:tc>
      </w:tr>
      <w:tr>
        <w:trPr/>
        <w:tc>
          <w:tcPr>
            <w:tcW w:w="34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70,648</w:t>
            </w:r>
          </w:p>
        </w:tc>
        <w:tc>
          <w:tcPr>
            <w:tcW w:w="594" w:type="dxa"/>
            <w:tcBorders/>
            <w:shd w:fill="FFFFFF" w:val="clear"/>
            <w:vAlign w:val="center"/>
          </w:tcPr>
          <w:p>
            <w:pPr>
              <w:pStyle w:val="TableContents"/>
              <w:bidi w:val="0"/>
              <w:spacing w:before="0" w:after="283"/>
              <w:jc w:val="left"/>
              <w:rPr/>
            </w:pPr>
            <w:r>
              <w:rPr/>
              <w:t> </w:t>
            </w:r>
          </w:p>
        </w:tc>
      </w:tr>
      <w:tr>
        <w:trPr/>
        <w:tc>
          <w:tcPr>
            <w:tcW w:w="34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Treasuries</w:t>
            </w:r>
          </w:p>
        </w:tc>
        <w:tc>
          <w:tcPr>
            <w:tcW w:w="146"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8,967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5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cash equivalents and investments</w:t>
            </w:r>
          </w:p>
        </w:tc>
        <w:tc>
          <w:tcPr>
            <w:tcW w:w="14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129,887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129,861</w:t>
            </w:r>
          </w:p>
        </w:tc>
        <w:tc>
          <w:tcPr>
            <w:tcW w:w="594" w:type="dxa"/>
            <w:tcBorders/>
            <w:shd w:fill="FFFFFF" w:val="clear"/>
            <w:vAlign w:val="center"/>
          </w:tcPr>
          <w:p>
            <w:pPr>
              <w:pStyle w:val="TableContents"/>
              <w:bidi w:val="0"/>
              <w:spacing w:before="0" w:after="283"/>
              <w:jc w:val="left"/>
              <w:rPr/>
            </w:pPr>
            <w:r>
              <w:rPr/>
              <w:t> </w:t>
            </w:r>
          </w:p>
        </w:tc>
      </w:tr>
      <w:tr>
        <w:trPr/>
        <w:tc>
          <w:tcPr>
            <w:tcW w:w="34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cash equivalents</w:t>
            </w:r>
          </w:p>
        </w:tc>
        <w:tc>
          <w:tcPr>
            <w:tcW w:w="146"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68,616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5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61,245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454"/>
        <w:gridCol w:w="146"/>
        <w:gridCol w:w="1284"/>
        <w:gridCol w:w="146"/>
        <w:gridCol w:w="280"/>
        <w:gridCol w:w="1040"/>
        <w:gridCol w:w="146"/>
        <w:gridCol w:w="146"/>
        <w:gridCol w:w="416"/>
        <w:gridCol w:w="1248"/>
        <w:gridCol w:w="166"/>
        <w:gridCol w:w="146"/>
        <w:gridCol w:w="211"/>
        <w:gridCol w:w="781"/>
        <w:gridCol w:w="595"/>
      </w:tblGrid>
      <w:tr>
        <w:trPr/>
        <w:tc>
          <w:tcPr>
            <w:tcW w:w="3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4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Gains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bonds and paper</w:t>
            </w:r>
          </w:p>
        </w:tc>
        <w:tc>
          <w:tcPr>
            <w:tcW w:w="146"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66,168</w:t>
            </w:r>
          </w:p>
        </w:tc>
        <w:tc>
          <w:tcPr>
            <w:tcW w:w="595" w:type="dxa"/>
            <w:tcBorders/>
            <w:shd w:fill="CFF0FC" w:val="clear"/>
            <w:vAlign w:val="center"/>
          </w:tcPr>
          <w:p>
            <w:pPr>
              <w:pStyle w:val="TableContents"/>
              <w:bidi w:val="0"/>
              <w:spacing w:before="0" w:after="283"/>
              <w:jc w:val="left"/>
              <w:rPr/>
            </w:pPr>
            <w:r>
              <w:rPr/>
              <w:t> </w:t>
            </w:r>
          </w:p>
        </w:tc>
      </w:tr>
      <w:tr>
        <w:trPr/>
        <w:tc>
          <w:tcPr>
            <w:tcW w:w="34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51,783</w:t>
            </w:r>
          </w:p>
        </w:tc>
        <w:tc>
          <w:tcPr>
            <w:tcW w:w="595" w:type="dxa"/>
            <w:tcBorders/>
            <w:shd w:fill="FFFFFF" w:val="clear"/>
            <w:vAlign w:val="center"/>
          </w:tcPr>
          <w:p>
            <w:pPr>
              <w:pStyle w:val="TableContents"/>
              <w:bidi w:val="0"/>
              <w:spacing w:before="0" w:after="283"/>
              <w:jc w:val="left"/>
              <w:rPr/>
            </w:pPr>
            <w:r>
              <w:rPr/>
              <w:t> </w:t>
            </w:r>
          </w:p>
        </w:tc>
      </w:tr>
      <w:tr>
        <w:trPr/>
        <w:tc>
          <w:tcPr>
            <w:tcW w:w="34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Treasuries</w:t>
            </w:r>
          </w:p>
        </w:tc>
        <w:tc>
          <w:tcPr>
            <w:tcW w:w="146"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35,691</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5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cash equivalents and investments</w:t>
            </w:r>
          </w:p>
        </w:tc>
        <w:tc>
          <w:tcPr>
            <w:tcW w:w="14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154,823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153,642</w:t>
            </w:r>
          </w:p>
        </w:tc>
        <w:tc>
          <w:tcPr>
            <w:tcW w:w="595" w:type="dxa"/>
            <w:tcBorders/>
            <w:shd w:fill="FFFFFF" w:val="clear"/>
            <w:vAlign w:val="center"/>
          </w:tcPr>
          <w:p>
            <w:pPr>
              <w:pStyle w:val="TableContents"/>
              <w:bidi w:val="0"/>
              <w:spacing w:before="0" w:after="283"/>
              <w:jc w:val="left"/>
              <w:rPr/>
            </w:pPr>
            <w:r>
              <w:rPr/>
              <w:t> </w:t>
            </w:r>
          </w:p>
        </w:tc>
      </w:tr>
      <w:tr>
        <w:trPr/>
        <w:tc>
          <w:tcPr>
            <w:tcW w:w="34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cash equivalents</w:t>
            </w:r>
          </w:p>
        </w:tc>
        <w:tc>
          <w:tcPr>
            <w:tcW w:w="146" w:type="dxa"/>
            <w:tcBorders/>
            <w:shd w:fill="CFF0FC" w:val="clear"/>
            <w:vAlign w:val="center"/>
          </w:tcPr>
          <w:p>
            <w:pPr>
              <w:pStyle w:val="TableContents"/>
              <w:bidi w:val="0"/>
              <w:spacing w:before="0" w:after="283"/>
              <w:jc w:val="left"/>
              <w:rPr/>
            </w:pPr>
            <w:r>
              <w:rPr/>
              <w:t> </w:t>
            </w:r>
          </w:p>
        </w:tc>
        <w:tc>
          <w:tcPr>
            <w:tcW w:w="12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51,783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5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Investments</w:t>
            </w:r>
          </w:p>
        </w:tc>
        <w:tc>
          <w:tcPr>
            <w:tcW w:w="14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101,859</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there was $0.4</w:t>
      </w:r>
      <w:r>
        <w:rPr>
          <w:rFonts w:ascii="Times New Roman" w:hAnsi="Times New Roman"/>
          <w:color w:val="000000"/>
          <w:sz w:val="20"/>
        </w:rPr>
        <w:t xml:space="preserve"> </w:t>
      </w:r>
      <w:r>
        <w:rPr>
          <w:rFonts w:ascii="Times New Roman" w:hAnsi="Times New Roman"/>
          <w:b w:val="false"/>
          <w:color w:val="000000"/>
          <w:sz w:val="20"/>
        </w:rPr>
        <w:t>million of amounts receivable included in our condensed consolidated balance sheets as prepaid expenses and other current assets, which consisted of $0.3</w:t>
      </w:r>
      <w:r>
        <w:rPr>
          <w:rFonts w:ascii="Times New Roman" w:hAnsi="Times New Roman"/>
          <w:color w:val="000000"/>
          <w:sz w:val="20"/>
        </w:rPr>
        <w:t xml:space="preserve"> </w:t>
      </w:r>
      <w:r>
        <w:rPr>
          <w:rFonts w:ascii="Times New Roman" w:hAnsi="Times New Roman"/>
          <w:b w:val="false"/>
          <w:color w:val="000000"/>
          <w:sz w:val="20"/>
        </w:rPr>
        <w:t>million of accrued interest receivable and $0.1</w:t>
      </w:r>
      <w:r>
        <w:rPr>
          <w:rFonts w:ascii="Times New Roman" w:hAnsi="Times New Roman"/>
          <w:color w:val="000000"/>
          <w:sz w:val="20"/>
        </w:rPr>
        <w:t xml:space="preserve"> </w:t>
      </w:r>
      <w:r>
        <w:rPr>
          <w:rFonts w:ascii="Times New Roman" w:hAnsi="Times New Roman"/>
          <w:b w:val="false"/>
          <w:color w:val="000000"/>
          <w:sz w:val="20"/>
        </w:rPr>
        <w:t>million of amount receivable on matured investment. As of December 31, 2022, there was $0.6</w:t>
      </w:r>
      <w:r>
        <w:rPr>
          <w:rFonts w:ascii="Times New Roman" w:hAnsi="Times New Roman"/>
          <w:color w:val="000000"/>
          <w:sz w:val="20"/>
        </w:rPr>
        <w:t xml:space="preserve"> </w:t>
      </w:r>
      <w:r>
        <w:rPr>
          <w:rFonts w:ascii="Times New Roman" w:hAnsi="Times New Roman"/>
          <w:b w:val="false"/>
          <w:color w:val="000000"/>
          <w:sz w:val="20"/>
        </w:rPr>
        <w:t>million of accrued interest receivable and $5.1</w:t>
      </w:r>
      <w:r>
        <w:rPr>
          <w:rFonts w:ascii="Times New Roman" w:hAnsi="Times New Roman"/>
          <w:color w:val="000000"/>
          <w:sz w:val="20"/>
        </w:rPr>
        <w:t xml:space="preserve"> </w:t>
      </w:r>
      <w:r>
        <w:rPr>
          <w:rFonts w:ascii="Times New Roman" w:hAnsi="Times New Roman"/>
          <w:b w:val="false"/>
          <w:color w:val="000000"/>
          <w:sz w:val="20"/>
        </w:rPr>
        <w:t>million of amount receivable on matured investment.</w:t>
      </w:r>
    </w:p>
    <w:p>
      <w:pPr>
        <w:pStyle w:val="TextBody"/>
        <w:bidi w:val="0"/>
        <w:spacing w:before="360" w:after="283"/>
        <w:jc w:val="left"/>
        <w:rPr>
          <w:rFonts w:ascii="Times New Roman" w:hAnsi="Times New Roman"/>
          <w:sz w:val="20"/>
        </w:rPr>
      </w:pPr>
      <w:r>
        <w:rPr>
          <w:rFonts w:ascii="Times New Roman" w:hAnsi="Times New Roman"/>
          <w:b/>
          <w:color w:val="000000"/>
          <w:sz w:val="20"/>
        </w:rPr>
        <w:t>4. Accounts Receivable</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Accounts receivable, net consists of the following (in thousands):</w:t>
      </w:r>
      <w:r>
        <w:rPr>
          <w:rFonts w:ascii="Times New Roman" w:hAnsi="Times New Roman"/>
          <w:color w:val="000000"/>
          <w:sz w:val="20"/>
        </w:rPr>
        <w:t xml:space="preserve"> </w:t>
      </w:r>
    </w:p>
    <w:tbl>
      <w:tblPr>
        <w:tblW w:w="9040" w:type="dxa"/>
        <w:jc w:val="left"/>
        <w:tblInd w:w="0" w:type="dxa"/>
        <w:tblLayout w:type="fixed"/>
        <w:tblCellMar>
          <w:top w:w="28" w:type="dxa"/>
          <w:left w:w="28" w:type="dxa"/>
          <w:bottom w:w="28" w:type="dxa"/>
          <w:right w:w="28" w:type="dxa"/>
        </w:tblCellMar>
      </w:tblPr>
      <w:tblGrid>
        <w:gridCol w:w="4746"/>
        <w:gridCol w:w="146"/>
        <w:gridCol w:w="367"/>
        <w:gridCol w:w="1178"/>
        <w:gridCol w:w="166"/>
        <w:gridCol w:w="146"/>
        <w:gridCol w:w="357"/>
        <w:gridCol w:w="1143"/>
        <w:gridCol w:w="791"/>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 commercial</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791" w:type="dxa"/>
            <w:tcBorders/>
            <w:shd w:fill="CFF0FC" w:val="clear"/>
            <w:vAlign w:val="center"/>
          </w:tcPr>
          <w:p>
            <w:pPr>
              <w:pStyle w:val="TableContents"/>
              <w:bidi w:val="0"/>
              <w:spacing w:before="0" w:after="283"/>
              <w:ind w:left="0" w:right="0" w:firstLine="200"/>
              <w:jc w:val="center"/>
              <w:rPr/>
            </w:pPr>
            <w:r>
              <w:rPr/>
              <w:t> </w:t>
            </w:r>
          </w:p>
        </w:tc>
      </w:tr>
      <w:tr>
        <w:trPr/>
        <w:tc>
          <w:tcPr>
            <w:tcW w:w="47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 gross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19,359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Wholesaler distribution fees and prompt pay discounts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(2,536</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7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Reserve for returns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74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accounts receivable – commercial, net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12,715</w:t>
            </w:r>
          </w:p>
        </w:tc>
        <w:tc>
          <w:tcPr>
            <w:tcW w:w="791" w:type="dxa"/>
            <w:tcBorders/>
            <w:shd w:fill="CFF0FC" w:val="clear"/>
            <w:vAlign w:val="center"/>
          </w:tcPr>
          <w:p>
            <w:pPr>
              <w:pStyle w:val="TableContents"/>
              <w:bidi w:val="0"/>
              <w:spacing w:before="0" w:after="283"/>
              <w:jc w:val="left"/>
              <w:rPr/>
            </w:pPr>
            <w:r>
              <w:rPr/>
              <w:t> </w:t>
            </w:r>
          </w:p>
        </w:tc>
      </w:tr>
      <w:tr>
        <w:trPr/>
        <w:tc>
          <w:tcPr>
            <w:tcW w:w="4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 collaborations and services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4,086</w:t>
            </w:r>
          </w:p>
        </w:tc>
        <w:tc>
          <w:tcPr>
            <w:tcW w:w="791" w:type="dxa"/>
            <w:tcBorders/>
            <w:shd w:fill="FFFFFF" w:val="clear"/>
            <w:vAlign w:val="center"/>
          </w:tcPr>
          <w:p>
            <w:pPr>
              <w:pStyle w:val="TableContents"/>
              <w:bidi w:val="0"/>
              <w:spacing w:before="0" w:after="283"/>
              <w:ind w:left="0" w:right="0" w:firstLine="600"/>
              <w:jc w:val="left"/>
              <w:rPr/>
            </w:pPr>
            <w:r>
              <w:rPr/>
              <w:t> </w:t>
            </w:r>
          </w:p>
        </w:tc>
      </w:tr>
      <w:tr>
        <w:trPr/>
        <w:tc>
          <w:tcPr>
            <w:tcW w:w="474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accounts receivable, net</w:t>
            </w:r>
          </w:p>
        </w:tc>
        <w:tc>
          <w:tcPr>
            <w:tcW w:w="146" w:type="dxa"/>
            <w:tcBorders/>
            <w:shd w:fill="CFF0FC" w:val="clear"/>
            <w:vAlign w:val="center"/>
          </w:tcPr>
          <w:p>
            <w:pPr>
              <w:pStyle w:val="TableContents"/>
              <w:bidi w:val="0"/>
              <w:spacing w:before="0" w:after="283"/>
              <w:jc w:val="left"/>
              <w:rPr/>
            </w:pPr>
            <w:r>
              <w:rPr/>
              <w:t> </w:t>
            </w:r>
          </w:p>
        </w:tc>
        <w:tc>
          <w:tcPr>
            <w:tcW w:w="3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21,822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16,801</w:t>
            </w:r>
          </w:p>
        </w:tc>
        <w:tc>
          <w:tcPr>
            <w:tcW w:w="7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As of September 30, 2023 and December 31, 2022, the allowance for doubtful accounts for commercial accounts receivable was </w:t>
      </w:r>
      <w:r>
        <w:rPr>
          <w:rFonts w:ascii="Times New Roman" w:hAnsi="Times New Roman"/>
          <w:b w:val="false"/>
          <w:i/>
          <w:color w:val="000000"/>
          <w:sz w:val="20"/>
        </w:rPr>
        <w:t>de minimis</w:t>
      </w:r>
      <w:r>
        <w:rPr>
          <w:rFonts w:ascii="Times New Roman" w:hAnsi="Times New Roman"/>
          <w:b w:val="false"/>
          <w:color w:val="000000"/>
          <w:sz w:val="20"/>
        </w:rPr>
        <w:t>. The Company had three</w:t>
      </w:r>
      <w:r>
        <w:rPr>
          <w:rFonts w:ascii="Times New Roman" w:hAnsi="Times New Roman"/>
          <w:color w:val="000000"/>
          <w:sz w:val="20"/>
        </w:rPr>
        <w:t xml:space="preserve"> </w:t>
      </w:r>
      <w:r>
        <w:rPr>
          <w:rFonts w:ascii="Times New Roman" w:hAnsi="Times New Roman"/>
          <w:b w:val="false"/>
          <w:color w:val="000000"/>
          <w:sz w:val="20"/>
        </w:rPr>
        <w:t>wholesale distributors representing approximately 79% of commercial accounts receivable as of September 30, 2023</w:t>
      </w:r>
      <w:r>
        <w:rPr>
          <w:rFonts w:ascii="Times New Roman" w:hAnsi="Times New Roman"/>
          <w:color w:val="000000"/>
          <w:sz w:val="20"/>
        </w:rPr>
        <w:t xml:space="preserve"> </w:t>
      </w:r>
      <w:r>
        <w:rPr>
          <w:rFonts w:ascii="Times New Roman" w:hAnsi="Times New Roman"/>
          <w:b w:val="false"/>
          <w:color w:val="000000"/>
          <w:sz w:val="20"/>
        </w:rPr>
        <w:t>and approximately 71% of gross sales for each of the three and nine months ended September 30, 2023. As of December 31, 2022, the Company had three</w:t>
      </w:r>
      <w:r>
        <w:rPr>
          <w:rFonts w:ascii="Times New Roman" w:hAnsi="Times New Roman"/>
          <w:color w:val="000000"/>
          <w:sz w:val="20"/>
        </w:rPr>
        <w:t xml:space="preserve"> </w:t>
      </w:r>
      <w:r>
        <w:rPr>
          <w:rFonts w:ascii="Times New Roman" w:hAnsi="Times New Roman"/>
          <w:b w:val="false"/>
          <w:color w:val="000000"/>
          <w:sz w:val="20"/>
        </w:rPr>
        <w:t>wholesale distributors representing approximately 79% of commercial accounts receivables.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and December 31, 2022, there was no</w:t>
      </w:r>
      <w:r>
        <w:rPr>
          <w:rFonts w:ascii="Times New Roman" w:hAnsi="Times New Roman"/>
          <w:color w:val="000000"/>
          <w:sz w:val="20"/>
        </w:rPr>
        <w:t xml:space="preserve"> </w:t>
      </w:r>
      <w:r>
        <w:rPr>
          <w:rFonts w:ascii="Times New Roman" w:hAnsi="Times New Roman"/>
          <w:b w:val="false"/>
          <w:color w:val="000000"/>
          <w:sz w:val="20"/>
        </w:rPr>
        <w:t>allowance for credit losses for accounts receivable for collaborations and services. The Company had one collaboration partner, UT, that comprised 100% of the collaboration and services net accounts receivable as of September 30, 2023 and December 31, 2022</w:t>
      </w:r>
      <w:r>
        <w:rPr>
          <w:rFonts w:ascii="Times New Roman" w:hAnsi="Times New Roman"/>
          <w:color w:val="000000"/>
          <w:sz w:val="20"/>
        </w:rPr>
        <w:t xml:space="preserve"> </w:t>
      </w:r>
      <w:r>
        <w:rPr>
          <w:rFonts w:ascii="Times New Roman" w:hAnsi="Times New Roman"/>
          <w:b w:val="false"/>
          <w:color w:val="000000"/>
          <w:sz w:val="20"/>
        </w:rPr>
        <w:t>and approximately 100% of gross revenue from collaborations and services for the three and nine months ended September 30,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Inventories consist of the following (in thousands):</w:t>
      </w:r>
      <w:r>
        <w:rPr>
          <w:rFonts w:ascii="Times New Roman" w:hAnsi="Times New Roman"/>
          <w:color w:val="000000"/>
          <w:sz w:val="20"/>
        </w:rPr>
        <w:t xml:space="preserve"> </w:t>
      </w:r>
    </w:p>
    <w:tbl>
      <w:tblPr>
        <w:tblW w:w="5470" w:type="dxa"/>
        <w:jc w:val="left"/>
        <w:tblInd w:w="0" w:type="dxa"/>
        <w:tblLayout w:type="fixed"/>
        <w:tblCellMar>
          <w:top w:w="28" w:type="dxa"/>
          <w:left w:w="28" w:type="dxa"/>
          <w:bottom w:w="28" w:type="dxa"/>
          <w:right w:w="28" w:type="dxa"/>
        </w:tblCellMar>
      </w:tblPr>
      <w:tblGrid>
        <w:gridCol w:w="1596"/>
        <w:gridCol w:w="146"/>
        <w:gridCol w:w="367"/>
        <w:gridCol w:w="1178"/>
        <w:gridCol w:w="146"/>
        <w:gridCol w:w="146"/>
        <w:gridCol w:w="357"/>
        <w:gridCol w:w="1143"/>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5,739</w:t>
            </w:r>
          </w:p>
        </w:tc>
        <w:tc>
          <w:tcPr>
            <w:tcW w:w="391" w:type="dxa"/>
            <w:tcBorders/>
            <w:shd w:fill="CFF0FC" w:val="clear"/>
            <w:vAlign w:val="center"/>
          </w:tcPr>
          <w:p>
            <w:pPr>
              <w:pStyle w:val="TableContents"/>
              <w:bidi w:val="0"/>
              <w:spacing w:before="0" w:after="283"/>
              <w:jc w:val="left"/>
              <w:rPr/>
            </w:pPr>
            <w:r>
              <w:rPr/>
              <w:t> </w:t>
            </w:r>
          </w:p>
        </w:tc>
      </w:tr>
      <w:tr>
        <w:trPr/>
        <w:tc>
          <w:tcPr>
            <w:tcW w:w="15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Work-in-process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13,815</w:t>
            </w:r>
          </w:p>
        </w:tc>
        <w:tc>
          <w:tcPr>
            <w:tcW w:w="391" w:type="dxa"/>
            <w:tcBorders/>
            <w:shd w:fill="FFFFFF" w:val="clear"/>
            <w:vAlign w:val="center"/>
          </w:tcPr>
          <w:p>
            <w:pPr>
              <w:pStyle w:val="TableContents"/>
              <w:bidi w:val="0"/>
              <w:spacing w:before="0" w:after="283"/>
              <w:jc w:val="left"/>
              <w:rPr/>
            </w:pPr>
            <w:r>
              <w:rPr/>
              <w:t> </w:t>
            </w:r>
          </w:p>
        </w:tc>
      </w:tr>
      <w:tr>
        <w:trPr/>
        <w:tc>
          <w:tcPr>
            <w:tcW w:w="1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inventory</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Work-in-process and finished goods as of September 30, 2023 and December 31, 2022</w:t>
      </w:r>
      <w:r>
        <w:rPr>
          <w:rFonts w:ascii="Times New Roman" w:hAnsi="Times New Roman"/>
          <w:color w:val="000000"/>
          <w:sz w:val="20"/>
        </w:rPr>
        <w:t xml:space="preserve"> </w:t>
      </w:r>
      <w:r>
        <w:rPr>
          <w:rFonts w:ascii="Times New Roman" w:hAnsi="Times New Roman"/>
          <w:b w:val="false"/>
          <w:color w:val="000000"/>
          <w:sz w:val="20"/>
        </w:rPr>
        <w:t>include conversion costs and exclude the cost of insulin. All insulin inventory on hand was written off and the projected loss on the purchase commitment contract to purchase future insulin was accrued as of the end of 2016. Raw materials inventory included $0.8</w:t>
      </w:r>
      <w:r>
        <w:rPr>
          <w:rFonts w:ascii="Times New Roman" w:hAnsi="Times New Roman"/>
          <w:color w:val="000000"/>
          <w:sz w:val="20"/>
        </w:rPr>
        <w:t xml:space="preserve"> </w:t>
      </w:r>
      <w:r>
        <w:rPr>
          <w:rFonts w:ascii="Times New Roman" w:hAnsi="Times New Roman"/>
          <w:b w:val="false"/>
          <w:color w:val="000000"/>
          <w:sz w:val="20"/>
        </w:rPr>
        <w:t>million of pre-launch inventory as of September 30, 2023 and December 31, 2022, which consisted of FDKP received in November 2019. The Company expects to request approval from the FDA for the new source of FDKP in 2024.</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September 30, 2023 and December 31, 2022. Inventory that was forecasted to become obsolete due to expiration as well as inventory that does not meet acceptable standards is recorded in costs of goods sold in the condensed consolidated statements of operations. As a result of this assessment, there was an inventory write-off of $0.3</w:t>
      </w:r>
      <w:r>
        <w:rPr>
          <w:rFonts w:ascii="Times New Roman" w:hAnsi="Times New Roman"/>
          <w:color w:val="000000"/>
          <w:sz w:val="20"/>
        </w:rPr>
        <w:t xml:space="preserve"> </w:t>
      </w:r>
      <w:r>
        <w:rPr>
          <w:rFonts w:ascii="Times New Roman" w:hAnsi="Times New Roman"/>
          <w:b w:val="false"/>
          <w:color w:val="000000"/>
          <w:sz w:val="20"/>
        </w:rPr>
        <w:t>million and $3.7</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For the three and nine months ended September 30, 2022, there was an inventory write-off of $0.9</w:t>
      </w:r>
      <w:r>
        <w:rPr>
          <w:rFonts w:ascii="Times New Roman" w:hAnsi="Times New Roman"/>
          <w:color w:val="000000"/>
          <w:sz w:val="20"/>
        </w:rPr>
        <w:t xml:space="preserve"> </w:t>
      </w:r>
      <w:r>
        <w:rPr>
          <w:rFonts w:ascii="Times New Roman" w:hAnsi="Times New Roman"/>
          <w:b w:val="false"/>
          <w:color w:val="000000"/>
          <w:sz w:val="20"/>
        </w:rPr>
        <w:t>million and $1.4</w:t>
      </w:r>
      <w:r>
        <w:rPr>
          <w:rFonts w:ascii="Times New Roman" w:hAnsi="Times New Roman"/>
          <w:color w:val="000000"/>
          <w:sz w:val="20"/>
        </w:rPr>
        <w:t xml:space="preserve"> </w:t>
      </w:r>
      <w:r>
        <w:rPr>
          <w:rFonts w:ascii="Times New Roman" w:hAnsi="Times New Roman"/>
          <w:b w:val="false"/>
          <w:color w:val="000000"/>
          <w:sz w:val="20"/>
        </w:rPr>
        <w:t>million as a result of this assessment.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6. Property and Equipment</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Property and equipment consists of the following (dollars in thousands):</w:t>
      </w:r>
      <w:r>
        <w:rPr>
          <w:rFonts w:ascii="Times New Roman" w:hAnsi="Times New Roman"/>
          <w:color w:val="000000"/>
          <w:sz w:val="20"/>
        </w:rPr>
        <w:t xml:space="preserve"> </w:t>
      </w:r>
    </w:p>
    <w:tbl>
      <w:tblPr>
        <w:tblW w:w="8872" w:type="dxa"/>
        <w:jc w:val="left"/>
        <w:tblInd w:w="0" w:type="dxa"/>
        <w:tblLayout w:type="fixed"/>
        <w:tblCellMar>
          <w:top w:w="28" w:type="dxa"/>
          <w:left w:w="28" w:type="dxa"/>
          <w:bottom w:w="28" w:type="dxa"/>
          <w:right w:w="28" w:type="dxa"/>
        </w:tblCellMar>
      </w:tblPr>
      <w:tblGrid>
        <w:gridCol w:w="3346"/>
        <w:gridCol w:w="146"/>
        <w:gridCol w:w="391"/>
        <w:gridCol w:w="929"/>
        <w:gridCol w:w="146"/>
        <w:gridCol w:w="146"/>
        <w:gridCol w:w="310"/>
        <w:gridCol w:w="1235"/>
        <w:gridCol w:w="166"/>
        <w:gridCol w:w="146"/>
        <w:gridCol w:w="319"/>
        <w:gridCol w:w="1181"/>
        <w:gridCol w:w="4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57" w:type="dxa"/>
            <w:gridSpan w:val="6"/>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Buildings</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17,389</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Building improvements</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38,952</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Machinery and equipment</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58,542</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fixtures and office equipment</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2,976</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 equipment and software</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8,246</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181,696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143,686</w:t>
            </w:r>
          </w:p>
        </w:tc>
        <w:tc>
          <w:tcPr>
            <w:tcW w:w="4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b w:val="false"/>
          <w:color w:val="000000"/>
          <w:sz w:val="20"/>
        </w:rPr>
        <w:t>Depreciation expense related to property and equipment was as follows (in thousands):</w:t>
      </w:r>
      <w:r>
        <w:rPr>
          <w:rFonts w:ascii="Times New Roman" w:hAnsi="Times New Roman"/>
          <w:color w:val="000000"/>
          <w:sz w:val="20"/>
        </w:rPr>
        <w:t xml:space="preserve"> </w:t>
      </w:r>
    </w:p>
    <w:tbl>
      <w:tblPr>
        <w:tblW w:w="6097" w:type="dxa"/>
        <w:jc w:val="left"/>
        <w:tblInd w:w="0" w:type="dxa"/>
        <w:tblLayout w:type="fixed"/>
        <w:tblCellMar>
          <w:top w:w="28" w:type="dxa"/>
          <w:left w:w="28" w:type="dxa"/>
          <w:bottom w:w="28" w:type="dxa"/>
          <w:right w:w="28" w:type="dxa"/>
        </w:tblCellMar>
      </w:tblPr>
      <w:tblGrid>
        <w:gridCol w:w="1906"/>
        <w:gridCol w:w="146"/>
        <w:gridCol w:w="211"/>
        <w:gridCol w:w="571"/>
        <w:gridCol w:w="146"/>
        <w:gridCol w:w="146"/>
        <w:gridCol w:w="211"/>
        <w:gridCol w:w="421"/>
        <w:gridCol w:w="146"/>
        <w:gridCol w:w="146"/>
        <w:gridCol w:w="211"/>
        <w:gridCol w:w="571"/>
        <w:gridCol w:w="146"/>
        <w:gridCol w:w="146"/>
        <w:gridCol w:w="211"/>
        <w:gridCol w:w="57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In November 2021, the Company sold certain land, building and improvements located in Danbury, CT (the “Property”) to an affiliate of Creative Manufacturing Properties (the “Purchaser”) for a sales price of $102.3</w:t>
      </w:r>
      <w:r>
        <w:rPr>
          <w:rFonts w:ascii="Times New Roman" w:hAnsi="Times New Roman"/>
          <w:color w:val="000000"/>
          <w:sz w:val="20"/>
        </w:rPr>
        <w:t xml:space="preserve"> </w:t>
      </w:r>
      <w:r>
        <w:rPr>
          <w:rFonts w:ascii="Times New Roman" w:hAnsi="Times New Roman"/>
          <w:b w:val="false"/>
          <w:color w:val="000000"/>
          <w:sz w:val="20"/>
        </w:rPr>
        <w:t>million, subject to terms and conditions contained in a purchase and sale agreement. Effective with the closing of this transaction, the Company entered into a 20-year lease agreement with the Purchaser (the “Sale-Leaseback Transaction”). The sale of the Property and subsequent lease did not result in the transfer of control of the Property to the Purchaser; therefore, the Sale-Leaseback Transaction qualified as a failed sale leaseback transaction whereby the lease is accounted for as a finance lease and the Property remains as a long-lived asset of the Company and is depreciated at its remaining useful life of 20</w:t>
      </w:r>
      <w:r>
        <w:rPr>
          <w:rFonts w:ascii="Times New Roman" w:hAnsi="Times New Roman"/>
          <w:color w:val="000000"/>
          <w:sz w:val="20"/>
        </w:rPr>
        <w:t xml:space="preserve"> </w:t>
      </w:r>
      <w:r>
        <w:rPr>
          <w:rFonts w:ascii="Times New Roman" w:hAnsi="Times New Roman"/>
          <w:b w:val="false"/>
          <w:color w:val="000000"/>
          <w:sz w:val="20"/>
        </w:rPr>
        <w:t xml:space="preserve">years or less. See Note 15 – </w:t>
      </w:r>
      <w:r>
        <w:rPr>
          <w:rFonts w:ascii="Times New Roman" w:hAnsi="Times New Roman"/>
          <w:b w:val="false"/>
          <w:i/>
          <w:color w:val="000000"/>
          <w:sz w:val="20"/>
        </w:rPr>
        <w:t>Commitments and Contingencies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Goodwill and Other Intangible Asset</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Goodwill</w:t>
      </w:r>
      <w:r>
        <w:rPr>
          <w:rFonts w:ascii="Times New Roman" w:hAnsi="Times New Roman"/>
          <w:color w:val="000000"/>
          <w:sz w:val="20"/>
        </w:rPr>
        <w:t xml:space="preserve"> — </w:t>
      </w:r>
      <w:r>
        <w:rPr>
          <w:rFonts w:ascii="Times New Roman" w:hAnsi="Times New Roman"/>
          <w:b w:val="false"/>
          <w:color w:val="000000"/>
          <w:sz w:val="20"/>
        </w:rPr>
        <w:t>Goodwill represents the excess of the purchase price over the identifiable tangible and intangible assets acquired plus liabilities assumed arising from business combinations. The balance of goodwill was approximately $1.9</w:t>
      </w:r>
      <w:r>
        <w:rPr>
          <w:rFonts w:ascii="Times New Roman" w:hAnsi="Times New Roman"/>
          <w:color w:val="000000"/>
          <w:sz w:val="20"/>
        </w:rPr>
        <w:t xml:space="preserve"> </w:t>
      </w:r>
      <w:r>
        <w:rPr>
          <w:rFonts w:ascii="Times New Roman" w:hAnsi="Times New Roman"/>
          <w:b w:val="false"/>
          <w:color w:val="000000"/>
          <w:sz w:val="20"/>
        </w:rPr>
        <w:t>million and $2.4</w:t>
      </w:r>
      <w:r>
        <w:rPr>
          <w:rFonts w:ascii="Times New Roman" w:hAnsi="Times New Roman"/>
          <w:color w:val="000000"/>
          <w:sz w:val="20"/>
        </w:rPr>
        <w:t xml:space="preserve"> </w:t>
      </w:r>
      <w:r>
        <w:rPr>
          <w:rFonts w:ascii="Times New Roman" w:hAnsi="Times New Roman"/>
          <w:b w:val="false"/>
          <w:color w:val="000000"/>
          <w:sz w:val="20"/>
        </w:rPr>
        <w:t xml:space="preserve">million as of September 30, 2023 and December 31, 2022, respectively, as a result of the Company's acquisition of V-Go in May 2022. Through May 2023, goodwill related to the acquisition of V-Go was adjusted for a reduction in rebate-related liabilities partially offset by a reserve for inventory obsolescence. Goodwill is tested at least annually for impairment by assessing qualitative factors in determining whether it is more likely than not that the fair value of net assets is below their carrying amounts. See Note 1 – </w:t>
      </w:r>
      <w:r>
        <w:rPr>
          <w:rFonts w:ascii="Times New Roman" w:hAnsi="Times New Roman"/>
          <w:b w:val="false"/>
          <w:i/>
          <w:color w:val="000000"/>
          <w:sz w:val="20"/>
        </w:rPr>
        <w:t>Description of Business and Significant Accounting Policies</w:t>
      </w:r>
      <w:r>
        <w:rPr>
          <w:rFonts w:ascii="Times New Roman" w:hAnsi="Times New Roman"/>
          <w:b w:val="false"/>
          <w:color w:val="000000"/>
          <w:sz w:val="20"/>
        </w:rPr>
        <w:t>.</w:t>
      </w:r>
    </w:p>
    <w:p>
      <w:pPr>
        <w:pStyle w:val="TextBody"/>
        <w:bidi w:val="0"/>
        <w:spacing w:before="240" w:after="240"/>
        <w:jc w:val="left"/>
        <w:rPr>
          <w:rFonts w:ascii="Times New Roman" w:hAnsi="Times New Roman"/>
          <w:sz w:val="20"/>
        </w:rPr>
      </w:pPr>
      <w:r>
        <w:rPr>
          <w:rFonts w:ascii="Times New Roman" w:hAnsi="Times New Roman"/>
          <w:b w:val="false"/>
          <w:i/>
          <w:color w:val="000000"/>
          <w:sz w:val="20"/>
        </w:rPr>
        <w:t xml:space="preserve">Other Intangible Asset </w:t>
      </w:r>
      <w:r>
        <w:rPr>
          <w:rFonts w:ascii="Times New Roman" w:hAnsi="Times New Roman"/>
          <w:color w:val="000000"/>
          <w:sz w:val="20"/>
        </w:rPr>
        <w:t xml:space="preserve">— </w:t>
      </w:r>
      <w:r>
        <w:rPr>
          <w:rFonts w:ascii="Times New Roman" w:hAnsi="Times New Roman"/>
          <w:b w:val="false"/>
          <w:color w:val="000000"/>
          <w:sz w:val="20"/>
        </w:rPr>
        <w:t>Other intangible asset consisted of the following (dollars in thousands):</w:t>
      </w:r>
    </w:p>
    <w:tbl>
      <w:tblPr>
        <w:tblW w:w="10205" w:type="dxa"/>
        <w:jc w:val="left"/>
        <w:tblInd w:w="0" w:type="dxa"/>
        <w:tblLayout w:type="fixed"/>
        <w:tblCellMar>
          <w:top w:w="28" w:type="dxa"/>
          <w:left w:w="28" w:type="dxa"/>
          <w:bottom w:w="28" w:type="dxa"/>
          <w:right w:w="28" w:type="dxa"/>
        </w:tblCellMar>
      </w:tblPr>
      <w:tblGrid>
        <w:gridCol w:w="1472"/>
        <w:gridCol w:w="146"/>
        <w:gridCol w:w="282"/>
        <w:gridCol w:w="611"/>
        <w:gridCol w:w="146"/>
        <w:gridCol w:w="146"/>
        <w:gridCol w:w="211"/>
        <w:gridCol w:w="571"/>
        <w:gridCol w:w="146"/>
        <w:gridCol w:w="146"/>
        <w:gridCol w:w="329"/>
        <w:gridCol w:w="752"/>
        <w:gridCol w:w="166"/>
        <w:gridCol w:w="146"/>
        <w:gridCol w:w="267"/>
        <w:gridCol w:w="724"/>
        <w:gridCol w:w="146"/>
        <w:gridCol w:w="146"/>
        <w:gridCol w:w="211"/>
        <w:gridCol w:w="571"/>
        <w:gridCol w:w="146"/>
        <w:gridCol w:w="146"/>
        <w:gridCol w:w="388"/>
        <w:gridCol w:w="693"/>
        <w:gridCol w:w="166"/>
        <w:gridCol w:w="146"/>
        <w:gridCol w:w="267"/>
        <w:gridCol w:w="724"/>
        <w:gridCol w:w="194"/>
      </w:tblGrid>
      <w:tr>
        <w:trPr/>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1,153</w:t>
            </w:r>
          </w:p>
        </w:tc>
        <w:tc>
          <w:tcPr>
            <w:tcW w:w="194"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Amortization expense related to the other intangible asset was </w:t>
      </w:r>
      <w:r>
        <w:rPr>
          <w:rFonts w:ascii="Times New Roman" w:hAnsi="Times New Roman"/>
          <w:b w:val="false"/>
          <w:i/>
          <w:color w:val="000000"/>
          <w:sz w:val="20"/>
        </w:rPr>
        <w:t>de minimis</w:t>
      </w:r>
      <w:r>
        <w:rPr>
          <w:rFonts w:ascii="Times New Roman" w:hAnsi="Times New Roman"/>
          <w:color w:val="000000"/>
          <w:sz w:val="20"/>
        </w:rPr>
        <w:t xml:space="preserve"> </w:t>
      </w:r>
      <w:r>
        <w:rPr>
          <w:rFonts w:ascii="Times New Roman" w:hAnsi="Times New Roman"/>
          <w:b w:val="false"/>
          <w:color w:val="000000"/>
          <w:sz w:val="20"/>
        </w:rPr>
        <w:t>for the nine months ended September 30, 2023.</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estimated annual amortization expense for the other intangible asset for the years ended December 31, 2023 through 2027 will be approximately $0.1</w:t>
      </w:r>
      <w:r>
        <w:rPr>
          <w:rFonts w:ascii="Times New Roman" w:hAnsi="Times New Roman"/>
          <w:color w:val="000000"/>
          <w:sz w:val="20"/>
        </w:rPr>
        <w:t xml:space="preserve"> </w:t>
      </w:r>
      <w:r>
        <w:rPr>
          <w:rFonts w:ascii="Times New Roman" w:hAnsi="Times New Roman"/>
          <w:b w:val="false"/>
          <w:color w:val="000000"/>
          <w:sz w:val="20"/>
        </w:rPr>
        <w:t>million per year and $0.6</w:t>
      </w:r>
      <w:r>
        <w:rPr>
          <w:rFonts w:ascii="Times New Roman" w:hAnsi="Times New Roman"/>
          <w:color w:val="000000"/>
          <w:sz w:val="20"/>
        </w:rPr>
        <w:t xml:space="preserve"> </w:t>
      </w:r>
      <w:r>
        <w:rPr>
          <w:rFonts w:ascii="Times New Roman" w:hAnsi="Times New Roman"/>
          <w:b w:val="false"/>
          <w:color w:val="000000"/>
          <w:sz w:val="20"/>
        </w:rPr>
        <w:t>million, thereafter.</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The Company evaluates its other intangible asset for potential impairment when events or changes in circumstances indicate that the carrying amount of an asset or asset group may not be recoverable. See Note 1 – </w:t>
      </w:r>
      <w:r>
        <w:rPr>
          <w:rFonts w:ascii="Times New Roman" w:hAnsi="Times New Roman"/>
          <w:b w:val="false"/>
          <w:i/>
          <w:color w:val="000000"/>
          <w:sz w:val="20"/>
        </w:rPr>
        <w:t>Description of Business and Significant Accounting Policies</w:t>
      </w:r>
      <w:r>
        <w:rPr>
          <w:rFonts w:ascii="Times New Roman" w:hAnsi="Times New Roman"/>
          <w:b w:val="false"/>
          <w:color w:val="000000"/>
          <w:sz w:val="20"/>
        </w:rPr>
        <w:t>.</w:t>
      </w:r>
    </w:p>
    <w:p>
      <w:pPr>
        <w:pStyle w:val="TextBody"/>
        <w:bidi w:val="0"/>
        <w:spacing w:before="360" w:after="283"/>
        <w:jc w:val="left"/>
        <w:rPr>
          <w:rFonts w:ascii="Times New Roman" w:hAnsi="Times New Roman"/>
          <w:sz w:val="20"/>
        </w:rPr>
      </w:pPr>
      <w:r>
        <w:rPr>
          <w:rFonts w:ascii="Times New Roman" w:hAnsi="Times New Roman"/>
          <w:b/>
          <w:color w:val="000000"/>
          <w:sz w:val="20"/>
        </w:rPr>
        <w:t>8. Accrued Expenses and Other Current Liabilities</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Accrued expenses and other current liabilities were comprised of the following (in thousands):</w:t>
      </w:r>
      <w:r>
        <w:rPr>
          <w:rFonts w:ascii="Times New Roman" w:hAnsi="Times New Roman"/>
          <w:color w:val="000000"/>
          <w:sz w:val="20"/>
        </w:rPr>
        <w:t xml:space="preserve"> </w:t>
      </w:r>
    </w:p>
    <w:tbl>
      <w:tblPr>
        <w:tblW w:w="8465" w:type="dxa"/>
        <w:jc w:val="left"/>
        <w:tblInd w:w="0" w:type="dxa"/>
        <w:tblLayout w:type="fixed"/>
        <w:tblCellMar>
          <w:top w:w="28" w:type="dxa"/>
          <w:left w:w="28" w:type="dxa"/>
          <w:bottom w:w="28" w:type="dxa"/>
          <w:right w:w="28" w:type="dxa"/>
        </w:tblCellMar>
      </w:tblPr>
      <w:tblGrid>
        <w:gridCol w:w="4591"/>
        <w:gridCol w:w="146"/>
        <w:gridCol w:w="367"/>
        <w:gridCol w:w="1178"/>
        <w:gridCol w:w="146"/>
        <w:gridCol w:w="146"/>
        <w:gridCol w:w="357"/>
        <w:gridCol w:w="1143"/>
        <w:gridCol w:w="3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Salary and related expenses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14,906</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Discounts and allowances for commercial product sales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8,504</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2,201</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portion of milestone rights liability</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924</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lease liability</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1,304</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Professional fees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1,136</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Returns reserve for acquired product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1,013</w:t>
            </w:r>
          </w:p>
        </w:tc>
        <w:tc>
          <w:tcPr>
            <w:tcW w:w="3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Danbury facility buildout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w:t>
            </w:r>
          </w:p>
        </w:tc>
        <w:tc>
          <w:tcPr>
            <w:tcW w:w="3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w:t>
      </w:r>
      <w:r>
        <w:rPr>
          <w:rFonts w:ascii="Times New Roman" w:hAnsi="Times New Roman"/>
          <w:b w:val="false"/>
          <w:color w:val="000000"/>
          <w:sz w:val="20"/>
        </w:rPr>
        <w:t>.</w:t>
      </w:r>
      <w:r>
        <w:rPr>
          <w:rFonts w:ascii="Times New Roman" w:hAnsi="Times New Roman"/>
          <w:color w:val="000000"/>
          <w:sz w:val="20"/>
        </w:rPr>
        <w:t xml:space="preserve"> </w:t>
      </w:r>
      <w:r>
        <w:rPr>
          <w:rFonts w:ascii="Times New Roman" w:hAnsi="Times New Roman"/>
          <w:b/>
          <w:color w:val="000000"/>
          <w:sz w:val="20"/>
        </w:rPr>
        <w:t>Borrowings</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Carrying amount of the Company's borrowings consist of the following (in thousands):</w:t>
      </w:r>
      <w:r>
        <w:rPr>
          <w:rFonts w:ascii="Times New Roman" w:hAnsi="Times New Roman"/>
          <w:color w:val="000000"/>
          <w:sz w:val="20"/>
        </w:rPr>
        <w:t xml:space="preserve"> </w:t>
      </w:r>
    </w:p>
    <w:tbl>
      <w:tblPr>
        <w:tblW w:w="6865" w:type="dxa"/>
        <w:jc w:val="left"/>
        <w:tblInd w:w="0" w:type="dxa"/>
        <w:tblLayout w:type="fixed"/>
        <w:tblCellMar>
          <w:top w:w="28" w:type="dxa"/>
          <w:left w:w="28" w:type="dxa"/>
          <w:bottom w:w="28" w:type="dxa"/>
          <w:right w:w="28" w:type="dxa"/>
        </w:tblCellMar>
      </w:tblPr>
      <w:tblGrid>
        <w:gridCol w:w="2991"/>
        <w:gridCol w:w="146"/>
        <w:gridCol w:w="328"/>
        <w:gridCol w:w="1217"/>
        <w:gridCol w:w="146"/>
        <w:gridCol w:w="146"/>
        <w:gridCol w:w="319"/>
        <w:gridCol w:w="1181"/>
        <w:gridCol w:w="391"/>
      </w:tblGrid>
      <w:tr>
        <w:trPr/>
        <w:tc>
          <w:tcPr>
            <w:tcW w:w="2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3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226,487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225,397</w:t>
            </w:r>
          </w:p>
        </w:tc>
        <w:tc>
          <w:tcPr>
            <w:tcW w:w="391" w:type="dxa"/>
            <w:tcBorders/>
            <w:shd w:fill="CFF0FC" w:val="clear"/>
            <w:vAlign w:val="center"/>
          </w:tcPr>
          <w:p>
            <w:pPr>
              <w:pStyle w:val="TableContents"/>
              <w:bidi w:val="0"/>
              <w:spacing w:before="0" w:after="283"/>
              <w:jc w:val="left"/>
              <w:rPr/>
            </w:pPr>
            <w:r>
              <w:rPr/>
              <w:t> </w:t>
            </w:r>
          </w:p>
        </w:tc>
      </w:tr>
      <w:tr>
        <w:trPr/>
        <w:tc>
          <w:tcPr>
            <w:tcW w:w="29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MidCap credit facility</w:t>
            </w:r>
          </w:p>
        </w:tc>
        <w:tc>
          <w:tcPr>
            <w:tcW w:w="146"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39,264</w:t>
            </w:r>
          </w:p>
        </w:tc>
        <w:tc>
          <w:tcPr>
            <w:tcW w:w="391" w:type="dxa"/>
            <w:tcBorders/>
            <w:shd w:fill="FFFFFF" w:val="clear"/>
            <w:vAlign w:val="center"/>
          </w:tcPr>
          <w:p>
            <w:pPr>
              <w:pStyle w:val="TableContents"/>
              <w:bidi w:val="0"/>
              <w:spacing w:before="0" w:after="283"/>
              <w:jc w:val="left"/>
              <w:rPr/>
            </w:pPr>
            <w:r>
              <w:rPr/>
              <w:t> </w:t>
            </w:r>
          </w:p>
        </w:tc>
      </w:tr>
      <w:tr>
        <w:trPr/>
        <w:tc>
          <w:tcPr>
            <w:tcW w:w="29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Mann Group convertible note</w:t>
            </w:r>
          </w:p>
        </w:tc>
        <w:tc>
          <w:tcPr>
            <w:tcW w:w="146" w:type="dxa"/>
            <w:tcBorders/>
            <w:shd w:fill="CFF0FC" w:val="cle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debt – net carrying amount</w:t>
            </w:r>
          </w:p>
        </w:tc>
        <w:tc>
          <w:tcPr>
            <w:tcW w:w="146" w:type="dxa"/>
            <w:tcBorders/>
            <w:shd w:fill="FFFFFF" w:val="cle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273,237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273,490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b w:val="false"/>
          <w:color w:val="000000"/>
          <w:sz w:val="20"/>
        </w:rPr>
        <w:t>The following table provides a summary of the Company’s principal balance of debt and key terms: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063"/>
        <w:gridCol w:w="146"/>
        <w:gridCol w:w="1474"/>
        <w:gridCol w:w="146"/>
        <w:gridCol w:w="1443"/>
        <w:gridCol w:w="146"/>
        <w:gridCol w:w="1154"/>
        <w:gridCol w:w="146"/>
        <w:gridCol w:w="256"/>
        <w:gridCol w:w="166"/>
        <w:gridCol w:w="1232"/>
        <w:gridCol w:w="146"/>
        <w:gridCol w:w="256"/>
        <w:gridCol w:w="166"/>
        <w:gridCol w:w="1265"/>
      </w:tblGrid>
      <w:tr>
        <w:trPr/>
        <w:tc>
          <w:tcPr>
            <w:tcW w:w="2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20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7"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Terms</w:t>
            </w:r>
          </w:p>
        </w:tc>
      </w:tr>
      <w:tr>
        <w:trPr/>
        <w:tc>
          <w:tcPr>
            <w:tcW w:w="20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Interest</w:t>
              <w:br/>
              <w:t>   Rate</w:t>
            </w:r>
          </w:p>
        </w:tc>
        <w:tc>
          <w:tcPr>
            <w:tcW w:w="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Conversion Price</w:t>
            </w:r>
          </w:p>
        </w:tc>
      </w:tr>
      <w:tr>
        <w:trPr/>
        <w:tc>
          <w:tcPr>
            <w:tcW w:w="206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1474"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$230.0</w:t>
            </w:r>
            <w:r>
              <w:rPr>
                <w:rFonts w:ascii="Times New Roman" w:hAnsi="Times New Roman"/>
                <w:color w:val="000000"/>
                <w:sz w:val="20"/>
              </w:rPr>
              <w:t> </w:t>
            </w:r>
            <w:r>
              <w:rPr>
                <w:rFonts w:ascii="Times New Roman" w:hAnsi="Times New Roman"/>
                <w:b w:val="false"/>
                <w:color w:val="000000"/>
                <w:sz w:val="20"/>
              </w:rPr>
              <w:t>million</w:t>
            </w:r>
          </w:p>
        </w:tc>
        <w:tc>
          <w:tcPr>
            <w:tcW w:w="146" w:type="dxa"/>
            <w:tcBorders/>
            <w:shd w:fill="CFF0FC" w:val="clear"/>
            <w:vAlign w:val="center"/>
          </w:tcPr>
          <w:p>
            <w:pPr>
              <w:pStyle w:val="TableContents"/>
              <w:bidi w:val="0"/>
              <w:spacing w:before="0" w:after="283"/>
              <w:jc w:val="left"/>
              <w:rPr/>
            </w:pPr>
            <w:r>
              <w:rPr/>
              <w:t> </w:t>
            </w:r>
          </w:p>
        </w:tc>
        <w:tc>
          <w:tcPr>
            <w:tcW w:w="1443"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$230.0</w:t>
            </w:r>
            <w:r>
              <w:rPr>
                <w:rFonts w:ascii="Times New Roman" w:hAnsi="Times New Roman"/>
                <w:color w:val="000000"/>
                <w:sz w:val="20"/>
              </w:rPr>
              <w:t> </w:t>
            </w:r>
            <w:r>
              <w:rPr>
                <w:rFonts w:ascii="Times New Roman" w:hAnsi="Times New Roman"/>
                <w:b w:val="false"/>
                <w:color w:val="000000"/>
                <w:sz w:val="20"/>
              </w:rPr>
              <w:t>million</w:t>
            </w:r>
          </w:p>
        </w:tc>
        <w:tc>
          <w:tcPr>
            <w:tcW w:w="146" w:type="dxa"/>
            <w:tcBorders/>
            <w:shd w:fill="CFF0FC" w:val="clear"/>
            <w:vAlign w:val="center"/>
          </w:tcPr>
          <w:p>
            <w:pPr>
              <w:pStyle w:val="TableContents"/>
              <w:bidi w:val="0"/>
              <w:spacing w:before="0" w:after="283"/>
              <w:jc w:val="left"/>
              <w:rPr/>
            </w:pPr>
            <w:r>
              <w:rPr/>
              <w:t> </w:t>
            </w:r>
          </w:p>
        </w:tc>
        <w:tc>
          <w:tcPr>
            <w:tcW w:w="115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2.50%</w:t>
            </w:r>
          </w:p>
        </w:tc>
        <w:tc>
          <w:tcPr>
            <w:tcW w:w="4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23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March 2026</w:t>
            </w:r>
          </w:p>
        </w:tc>
        <w:tc>
          <w:tcPr>
            <w:tcW w:w="4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265"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$5.21</w:t>
            </w:r>
            <w:r>
              <w:rPr>
                <w:rFonts w:ascii="Times New Roman" w:hAnsi="Times New Roman"/>
                <w:color w:val="000000"/>
                <w:sz w:val="20"/>
              </w:rPr>
              <w:t> </w:t>
            </w:r>
            <w:r>
              <w:rPr>
                <w:rFonts w:ascii="Times New Roman" w:hAnsi="Times New Roman"/>
                <w:b w:val="false"/>
                <w:color w:val="000000"/>
                <w:sz w:val="20"/>
              </w:rPr>
              <w:br/>
              <w:t>per share</w:t>
            </w:r>
          </w:p>
        </w:tc>
      </w:tr>
      <w:tr>
        <w:trPr/>
        <w:tc>
          <w:tcPr>
            <w:tcW w:w="20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MidCap credit facility</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$38.3</w:t>
            </w:r>
            <w:r>
              <w:rPr>
                <w:rFonts w:ascii="Times New Roman" w:hAnsi="Times New Roman"/>
                <w:color w:val="000000"/>
                <w:sz w:val="20"/>
              </w:rPr>
              <w:t> </w:t>
            </w:r>
            <w:r>
              <w:rPr>
                <w:rFonts w:ascii="Times New Roman" w:hAnsi="Times New Roman"/>
                <w:b w:val="false"/>
                <w:color w:val="000000"/>
                <w:sz w:val="20"/>
              </w:rPr>
              <w:t>million</w:t>
            </w:r>
          </w:p>
        </w:tc>
        <w:tc>
          <w:tcPr>
            <w:tcW w:w="146" w:type="dxa"/>
            <w:tcBorders/>
            <w:shd w:fill="FFFFFF" w:val="clear"/>
            <w:vAlign w:val="center"/>
          </w:tcPr>
          <w:p>
            <w:pPr>
              <w:pStyle w:val="TableContents"/>
              <w:bidi w:val="0"/>
              <w:spacing w:before="0" w:after="283"/>
              <w:jc w:val="left"/>
              <w:rPr/>
            </w:pPr>
            <w:r>
              <w:rPr/>
              <w:t> </w:t>
            </w:r>
          </w:p>
        </w:tc>
        <w:tc>
          <w:tcPr>
            <w:tcW w:w="1443"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$40.0</w:t>
            </w:r>
            <w:r>
              <w:rPr>
                <w:rFonts w:ascii="Times New Roman" w:hAnsi="Times New Roman"/>
                <w:color w:val="000000"/>
                <w:sz w:val="20"/>
              </w:rPr>
              <w:t> </w:t>
            </w:r>
            <w:r>
              <w:rPr>
                <w:rFonts w:ascii="Times New Roman" w:hAnsi="Times New Roman"/>
                <w:b w:val="false"/>
                <w:color w:val="000000"/>
                <w:sz w:val="20"/>
              </w:rPr>
              <w:t>million</w:t>
            </w:r>
          </w:p>
        </w:tc>
        <w:tc>
          <w:tcPr>
            <w:tcW w:w="146"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one-month</w:t>
              <w:br/>
              <w:t>SOFR</w:t>
              <w:br/>
              <w:t>(1% floor)</w:t>
              <w:br/>
              <w:t>plus 6.25%;</w:t>
              <w:br/>
              <w:t>cap of 8.25%</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232"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August 2025</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26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w:t>
            </w:r>
          </w:p>
        </w:tc>
      </w:tr>
      <w:tr>
        <w:trPr/>
        <w:tc>
          <w:tcPr>
            <w:tcW w:w="206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Mann Group convertible note</w:t>
            </w:r>
          </w:p>
        </w:tc>
        <w:tc>
          <w:tcPr>
            <w:tcW w:w="146" w:type="dxa"/>
            <w:tcBorders/>
            <w:shd w:fill="CFF0FC" w:val="clear"/>
            <w:vAlign w:val="center"/>
          </w:tcPr>
          <w:p>
            <w:pPr>
              <w:pStyle w:val="TableContents"/>
              <w:bidi w:val="0"/>
              <w:spacing w:before="0" w:after="283"/>
              <w:jc w:val="left"/>
              <w:rPr/>
            </w:pPr>
            <w:r>
              <w:rPr/>
              <w:t> </w:t>
            </w:r>
          </w:p>
        </w:tc>
        <w:tc>
          <w:tcPr>
            <w:tcW w:w="1474"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$8.8</w:t>
            </w:r>
            <w:r>
              <w:rPr>
                <w:rFonts w:ascii="Times New Roman" w:hAnsi="Times New Roman"/>
                <w:color w:val="000000"/>
                <w:sz w:val="20"/>
              </w:rPr>
              <w:t> </w:t>
            </w:r>
            <w:r>
              <w:rPr>
                <w:rFonts w:ascii="Times New Roman" w:hAnsi="Times New Roman"/>
                <w:b w:val="false"/>
                <w:color w:val="000000"/>
                <w:sz w:val="20"/>
              </w:rPr>
              <w:t>million</w:t>
            </w:r>
          </w:p>
        </w:tc>
        <w:tc>
          <w:tcPr>
            <w:tcW w:w="146" w:type="dxa"/>
            <w:tcBorders/>
            <w:shd w:fill="CFF0FC" w:val="clear"/>
            <w:vAlign w:val="center"/>
          </w:tcPr>
          <w:p>
            <w:pPr>
              <w:pStyle w:val="TableContents"/>
              <w:bidi w:val="0"/>
              <w:spacing w:before="0" w:after="283"/>
              <w:jc w:val="left"/>
              <w:rPr/>
            </w:pPr>
            <w:r>
              <w:rPr/>
              <w:t> </w:t>
            </w:r>
          </w:p>
        </w:tc>
        <w:tc>
          <w:tcPr>
            <w:tcW w:w="1443"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$8.8</w:t>
            </w:r>
            <w:r>
              <w:rPr>
                <w:rFonts w:ascii="Times New Roman" w:hAnsi="Times New Roman"/>
                <w:color w:val="000000"/>
                <w:sz w:val="20"/>
              </w:rPr>
              <w:t> </w:t>
            </w:r>
            <w:r>
              <w:rPr>
                <w:rFonts w:ascii="Times New Roman" w:hAnsi="Times New Roman"/>
                <w:b w:val="false"/>
                <w:color w:val="000000"/>
                <w:sz w:val="20"/>
              </w:rPr>
              <w:t>million</w:t>
            </w:r>
          </w:p>
        </w:tc>
        <w:tc>
          <w:tcPr>
            <w:tcW w:w="146" w:type="dxa"/>
            <w:tcBorders/>
            <w:shd w:fill="CFF0FC" w:val="clear"/>
            <w:vAlign w:val="center"/>
          </w:tcPr>
          <w:p>
            <w:pPr>
              <w:pStyle w:val="TableContents"/>
              <w:bidi w:val="0"/>
              <w:spacing w:before="0" w:after="283"/>
              <w:jc w:val="left"/>
              <w:rPr/>
            </w:pPr>
            <w:r>
              <w:rPr/>
              <w:t> </w:t>
            </w:r>
          </w:p>
        </w:tc>
        <w:tc>
          <w:tcPr>
            <w:tcW w:w="115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2.50%</w:t>
            </w:r>
          </w:p>
        </w:tc>
        <w:tc>
          <w:tcPr>
            <w:tcW w:w="4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23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December 2025</w:t>
            </w:r>
          </w:p>
        </w:tc>
        <w:tc>
          <w:tcPr>
            <w:tcW w:w="4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26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$2.50</w:t>
              <w:br/>
              <w:t>per share</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 xml:space="preserve">In August 2022, the Company amended the MidCap credit facility and transitioned the benchmark interest rate from LIBOR to the Secured Overnight Financing Rate (“SOFR”).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The maturities of the Company’s borrowings as of September 30, 2023 are as follows (in thousands):</w:t>
      </w:r>
    </w:p>
    <w:tbl>
      <w:tblPr>
        <w:tblW w:w="4110" w:type="dxa"/>
        <w:jc w:val="left"/>
        <w:tblInd w:w="0" w:type="dxa"/>
        <w:tblLayout w:type="fixed"/>
        <w:tblCellMar>
          <w:top w:w="28" w:type="dxa"/>
          <w:left w:w="28" w:type="dxa"/>
          <w:bottom w:w="28" w:type="dxa"/>
          <w:right w:w="28" w:type="dxa"/>
        </w:tblCellMar>
      </w:tblPr>
      <w:tblGrid>
        <w:gridCol w:w="2361"/>
        <w:gridCol w:w="346"/>
        <w:gridCol w:w="211"/>
        <w:gridCol w:w="781"/>
        <w:gridCol w:w="411"/>
      </w:tblGrid>
      <w:tr>
        <w:trPr/>
        <w:tc>
          <w:tcPr>
            <w:tcW w:w="2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w:t>
            </w:r>
          </w:p>
        </w:tc>
        <w:tc>
          <w:tcPr>
            <w:tcW w:w="411" w:type="dxa"/>
            <w:tcBorders/>
            <w:shd w:fill="CFF0FC" w:val="clear"/>
            <w:vAlign w:val="center"/>
          </w:tcPr>
          <w:p>
            <w:pPr>
              <w:pStyle w:val="TableContents"/>
              <w:bidi w:val="0"/>
              <w:spacing w:before="0" w:after="283"/>
              <w:jc w:val="left"/>
              <w:rPr/>
            </w:pPr>
            <w:r>
              <w:rPr/>
              <w:t> </w:t>
            </w:r>
          </w:p>
        </w:tc>
      </w:tr>
      <w:tr>
        <w:trPr/>
        <w:tc>
          <w:tcPr>
            <w:tcW w:w="23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20,000</w:t>
            </w:r>
          </w:p>
        </w:tc>
        <w:tc>
          <w:tcPr>
            <w:tcW w:w="411" w:type="dxa"/>
            <w:tcBorders/>
            <w:shd w:fill="FFFFFF" w:val="clear"/>
            <w:vAlign w:val="center"/>
          </w:tcPr>
          <w:p>
            <w:pPr>
              <w:pStyle w:val="TableContents"/>
              <w:bidi w:val="0"/>
              <w:spacing w:before="0" w:after="283"/>
              <w:jc w:val="left"/>
              <w:rPr/>
            </w:pPr>
            <w:r>
              <w:rPr/>
              <w:t> </w:t>
            </w:r>
          </w:p>
        </w:tc>
      </w:tr>
      <w:tr>
        <w:trPr/>
        <w:tc>
          <w:tcPr>
            <w:tcW w:w="2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22,163</w:t>
            </w:r>
          </w:p>
        </w:tc>
        <w:tc>
          <w:tcPr>
            <w:tcW w:w="411" w:type="dxa"/>
            <w:tcBorders/>
            <w:shd w:fill="CFF0FC" w:val="clear"/>
            <w:vAlign w:val="center"/>
          </w:tcPr>
          <w:p>
            <w:pPr>
              <w:pStyle w:val="TableContents"/>
              <w:bidi w:val="0"/>
              <w:spacing w:before="0" w:after="283"/>
              <w:jc w:val="left"/>
              <w:rPr/>
            </w:pPr>
            <w:r>
              <w:rPr/>
              <w:t> </w:t>
            </w:r>
          </w:p>
        </w:tc>
      </w:tr>
      <w:tr>
        <w:trPr/>
        <w:tc>
          <w:tcPr>
            <w:tcW w:w="23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230,000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3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 principal payments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277,163</w:t>
            </w:r>
          </w:p>
        </w:tc>
        <w:tc>
          <w:tcPr>
            <w:tcW w:w="4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Unamortized discount</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Debt issuance costs</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 debt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273,237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Senior convertible notes </w:t>
      </w:r>
      <w:r>
        <w:rPr>
          <w:rFonts w:ascii="Times New Roman" w:hAnsi="Times New Roman"/>
          <w:color w:val="000000"/>
          <w:sz w:val="20"/>
        </w:rPr>
        <w:t xml:space="preserve">– </w:t>
      </w:r>
      <w:r>
        <w:rPr>
          <w:rFonts w:ascii="Times New Roman" w:hAnsi="Times New Roman"/>
          <w:b w:val="false"/>
          <w:color w:val="000000"/>
          <w:sz w:val="20"/>
        </w:rPr>
        <w:t>In March 2021, the Company issued $230.0</w:t>
      </w:r>
      <w:r>
        <w:rPr>
          <w:rFonts w:ascii="Times New Roman" w:hAnsi="Times New Roman"/>
          <w:color w:val="000000"/>
          <w:sz w:val="20"/>
        </w:rPr>
        <w:t xml:space="preserve"> </w:t>
      </w:r>
      <w:r>
        <w:rPr>
          <w:rFonts w:ascii="Times New Roman" w:hAnsi="Times New Roman"/>
          <w:b w:val="false"/>
          <w:color w:val="000000"/>
          <w:sz w:val="20"/>
        </w:rPr>
        <w:t>million aggregate principal amount of Senior convertible notes in a private offering. The Senior convertible notes were issued pursuant to an indenture, dated March 4, 2021 (the “Indenture”), between the Company and U.S. Bank National Association, as trustee.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Senior convertible notes are general unsecured obligations of the Company and will mature on March 1, 2026, unless earlier converted, redeemed or repurchased.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w:t>
      </w:r>
      <w:r>
        <w:rPr>
          <w:rFonts w:ascii="Times New Roman" w:hAnsi="Times New Roman"/>
          <w:color w:val="000000"/>
          <w:sz w:val="20"/>
        </w:rPr>
        <w:t xml:space="preserve"> </w:t>
      </w:r>
      <w:r>
        <w:rPr>
          <w:rFonts w:ascii="Times New Roman" w:hAnsi="Times New Roman"/>
          <w:b w:val="false"/>
          <w:color w:val="000000"/>
          <w:sz w:val="20"/>
        </w:rPr>
        <w:t>per share, for at least 20</w:t>
      </w:r>
      <w:r>
        <w:rPr>
          <w:rFonts w:ascii="Times New Roman" w:hAnsi="Times New Roman"/>
          <w:color w:val="000000"/>
          <w:sz w:val="20"/>
        </w:rPr>
        <w:t xml:space="preserve"> </w:t>
      </w:r>
      <w:r>
        <w:rPr>
          <w:rFonts w:ascii="Times New Roman" w:hAnsi="Times New Roman"/>
          <w:b w:val="false"/>
          <w:color w:val="000000"/>
          <w:sz w:val="20"/>
        </w:rPr>
        <w:t>trading days (whether or not consecutive) during a period of 30</w:t>
      </w:r>
      <w:r>
        <w:rPr>
          <w:rFonts w:ascii="Times New Roman" w:hAnsi="Times New Roman"/>
          <w:color w:val="000000"/>
          <w:sz w:val="20"/>
        </w:rPr>
        <w:t xml:space="preserve"> </w:t>
      </w:r>
      <w:r>
        <w:rPr>
          <w:rFonts w:ascii="Times New Roman" w:hAnsi="Times New Roman"/>
          <w:b w:val="false"/>
          <w:color w:val="000000"/>
          <w:sz w:val="20"/>
        </w:rPr>
        <w:t>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w:t>
      </w:r>
      <w:r>
        <w:rPr>
          <w:rFonts w:ascii="Times New Roman" w:hAnsi="Times New Roman"/>
          <w:color w:val="000000"/>
          <w:sz w:val="20"/>
        </w:rPr>
        <w:t xml:space="preserve"> </w:t>
      </w:r>
      <w:r>
        <w:rPr>
          <w:rFonts w:ascii="Times New Roman" w:hAnsi="Times New Roman"/>
          <w:b w:val="false"/>
          <w:color w:val="000000"/>
          <w:sz w:val="20"/>
        </w:rPr>
        <w:t>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initial conversion rate is 191.8281</w:t>
      </w:r>
      <w:r>
        <w:rPr>
          <w:rFonts w:ascii="Times New Roman" w:hAnsi="Times New Roman"/>
          <w:color w:val="000000"/>
          <w:sz w:val="20"/>
        </w:rPr>
        <w:t xml:space="preserve"> </w:t>
      </w:r>
      <w:r>
        <w:rPr>
          <w:rFonts w:ascii="Times New Roman" w:hAnsi="Times New Roman"/>
          <w:b w:val="false"/>
          <w:color w:val="000000"/>
          <w:sz w:val="20"/>
        </w:rPr>
        <w:t>shares of common stock per $1,000</w:t>
      </w:r>
      <w:r>
        <w:rPr>
          <w:rFonts w:ascii="Times New Roman" w:hAnsi="Times New Roman"/>
          <w:color w:val="000000"/>
          <w:sz w:val="20"/>
        </w:rPr>
        <w:t xml:space="preserve"> </w:t>
      </w:r>
      <w:r>
        <w:rPr>
          <w:rFonts w:ascii="Times New Roman" w:hAnsi="Times New Roman"/>
          <w:b w:val="false"/>
          <w:color w:val="000000"/>
          <w:sz w:val="20"/>
        </w:rPr>
        <w:t>principal amount of Notes (equivalent to an initial conversion price of approximately $5.21</w:t>
      </w:r>
      <w:r>
        <w:rPr>
          <w:rFonts w:ascii="Times New Roman" w:hAnsi="Times New Roman"/>
          <w:color w:val="000000"/>
          <w:sz w:val="20"/>
        </w:rPr>
        <w:t xml:space="preserve"> </w:t>
      </w:r>
      <w:r>
        <w:rPr>
          <w:rFonts w:ascii="Times New Roman" w:hAnsi="Times New Roman"/>
          <w:b w:val="false"/>
          <w:color w:val="000000"/>
          <w:sz w:val="20"/>
        </w:rPr>
        <w:t>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may not redeem the Senior convertible notes prior to March 6, 2024. The Company may redeem for cash all or any portion of the Senior convertible notes, at its option, on or after March 6, 2024</w:t>
      </w:r>
      <w:r>
        <w:rPr>
          <w:rFonts w:ascii="Times New Roman" w:hAnsi="Times New Roman"/>
          <w:color w:val="000000"/>
          <w:sz w:val="20"/>
        </w:rPr>
        <w:t xml:space="preserve"> </w:t>
      </w:r>
      <w:r>
        <w:rPr>
          <w:rFonts w:ascii="Times New Roman" w:hAnsi="Times New Roman"/>
          <w:b w:val="false"/>
          <w:color w:val="000000"/>
          <w:sz w:val="20"/>
        </w:rPr>
        <w:t>and prior to the 36th scheduled trading day immediately preceding the maturity date, if the last reported sale price of common stock has been at least 130% of the conversion price for the Senior convertible notes then in effect for at least 20</w:t>
      </w:r>
      <w:r>
        <w:rPr>
          <w:rFonts w:ascii="Times New Roman" w:hAnsi="Times New Roman"/>
          <w:color w:val="000000"/>
          <w:sz w:val="20"/>
        </w:rPr>
        <w:t xml:space="preserve"> </w:t>
      </w:r>
      <w:r>
        <w:rPr>
          <w:rFonts w:ascii="Times New Roman" w:hAnsi="Times New Roman"/>
          <w:b w:val="false"/>
          <w:color w:val="000000"/>
          <w:sz w:val="20"/>
        </w:rPr>
        <w:t>trading days (whether or not consecutive) during any 30</w:t>
      </w:r>
      <w:r>
        <w:rPr>
          <w:rFonts w:ascii="Times New Roman" w:hAnsi="Times New Roman"/>
          <w:color w:val="000000"/>
          <w:sz w:val="20"/>
        </w:rPr>
        <w:t xml:space="preserve"> </w:t>
      </w:r>
      <w:r>
        <w:rPr>
          <w:rFonts w:ascii="Times New Roman" w:hAnsi="Times New Roman"/>
          <w:b w:val="false"/>
          <w:color w:val="000000"/>
          <w:sz w:val="20"/>
        </w:rPr>
        <w:t>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w:t>
      </w:r>
      <w:r>
        <w:rPr>
          <w:rFonts w:ascii="Times New Roman" w:hAnsi="Times New Roman"/>
          <w:color w:val="000000"/>
          <w:sz w:val="20"/>
        </w:rPr>
        <w:t xml:space="preserve"> </w:t>
      </w:r>
      <w:r>
        <w:rPr>
          <w:rFonts w:ascii="Times New Roman" w:hAnsi="Times New Roman"/>
          <w:b w:val="false"/>
          <w:color w:val="000000"/>
          <w:sz w:val="20"/>
        </w:rPr>
        <w:t>million aggregate principal amount of Senior convertible notes must be outstanding and not subject to redemption as of the relevant redemption notice date. No</w:t>
      </w:r>
      <w:r>
        <w:rPr>
          <w:rFonts w:ascii="Times New Roman" w:hAnsi="Times New Roman"/>
          <w:color w:val="000000"/>
          <w:sz w:val="20"/>
        </w:rPr>
        <w:t xml:space="preserve"> </w:t>
      </w:r>
      <w:r>
        <w:rPr>
          <w:rFonts w:ascii="Times New Roman" w:hAnsi="Times New Roman"/>
          <w:b w:val="false"/>
          <w:color w:val="000000"/>
          <w:sz w:val="20"/>
        </w:rPr>
        <w:t>sinking fund is provided for the Senior convertible notes.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If the Company undergoes a fundamental change (as defined in the Indenture), then, subject to certain conditions and except as described in the Indenture, holders may require the Company to repurchase for cash all or any portion of their Notes at a fundamental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change repurchase price equal to 100% of the principal amount of the Senior convertible notes to be repurchased, plus accrued and unpaid interest to, but excluding, the fundamental change repurchase date.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Indenture includes customary covenants and sets forth certain events of default after which the Senior convertible notes may be declared immediately due and payable.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Company’s net proceeds from the March 2021 offering were approximately $222.7</w:t>
      </w:r>
      <w:r>
        <w:rPr>
          <w:rFonts w:ascii="Times New Roman" w:hAnsi="Times New Roman"/>
          <w:color w:val="000000"/>
          <w:sz w:val="20"/>
        </w:rPr>
        <w:t xml:space="preserve"> </w:t>
      </w:r>
      <w:r>
        <w:rPr>
          <w:rFonts w:ascii="Times New Roman" w:hAnsi="Times New Roman"/>
          <w:b w:val="false"/>
          <w:color w:val="000000"/>
          <w:sz w:val="20"/>
        </w:rPr>
        <w:t>million, after deducting the initial purchasers’ discounts and commissions and the estimated offering expenses payable by the Company. As of September 30, 2023, the unamortized debt issuance cost was $3.5</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MidCap credit facility</w:t>
      </w:r>
      <w:r>
        <w:rPr>
          <w:rFonts w:ascii="Times New Roman" w:hAnsi="Times New Roman"/>
          <w:color w:val="000000"/>
          <w:sz w:val="20"/>
        </w:rPr>
        <w:t xml:space="preserve"> — </w:t>
      </w:r>
      <w:r>
        <w:rPr>
          <w:rFonts w:ascii="Times New Roman" w:hAnsi="Times New Roman"/>
          <w:b w:val="false"/>
          <w:color w:val="000000"/>
          <w:sz w:val="20"/>
        </w:rPr>
        <w:t>In August 2019, the Company entered into the MidCap credit facility and borrowed the first advance of $40.0</w:t>
      </w:r>
      <w:r>
        <w:rPr>
          <w:rFonts w:ascii="Times New Roman" w:hAnsi="Times New Roman"/>
          <w:color w:val="000000"/>
          <w:sz w:val="20"/>
        </w:rPr>
        <w:t xml:space="preserve"> </w:t>
      </w:r>
      <w:r>
        <w:rPr>
          <w:rFonts w:ascii="Times New Roman" w:hAnsi="Times New Roman"/>
          <w:b w:val="false"/>
          <w:color w:val="000000"/>
          <w:sz w:val="20"/>
        </w:rPr>
        <w:t>million (“Tranche 1”) in August 2019 and the second advance of $10.0</w:t>
      </w:r>
      <w:r>
        <w:rPr>
          <w:rFonts w:ascii="Times New Roman" w:hAnsi="Times New Roman"/>
          <w:color w:val="000000"/>
          <w:sz w:val="20"/>
        </w:rPr>
        <w:t xml:space="preserve"> </w:t>
      </w:r>
      <w:r>
        <w:rPr>
          <w:rFonts w:ascii="Times New Roman" w:hAnsi="Times New Roman"/>
          <w:b w:val="false"/>
          <w:color w:val="000000"/>
          <w:sz w:val="20"/>
        </w:rPr>
        <w:t>million (“Tranche 2”) in December 2020. In April 2021, $10.0</w:t>
      </w:r>
      <w:r>
        <w:rPr>
          <w:rFonts w:ascii="Times New Roman" w:hAnsi="Times New Roman"/>
          <w:color w:val="000000"/>
          <w:sz w:val="20"/>
        </w:rPr>
        <w:t xml:space="preserve"> </w:t>
      </w:r>
      <w:r>
        <w:rPr>
          <w:rFonts w:ascii="Times New Roman" w:hAnsi="Times New Roman"/>
          <w:b w:val="false"/>
          <w:color w:val="000000"/>
          <w:sz w:val="20"/>
        </w:rPr>
        <w:t>million was prepaid. Under the terms of the MidCap credit facility, a third advance of $60.0</w:t>
      </w:r>
      <w:r>
        <w:rPr>
          <w:rFonts w:ascii="Times New Roman" w:hAnsi="Times New Roman"/>
          <w:color w:val="000000"/>
          <w:sz w:val="20"/>
        </w:rPr>
        <w:t xml:space="preserve"> </w:t>
      </w:r>
      <w:r>
        <w:rPr>
          <w:rFonts w:ascii="Times New Roman" w:hAnsi="Times New Roman"/>
          <w:b w:val="false"/>
          <w:color w:val="000000"/>
          <w:sz w:val="20"/>
        </w:rPr>
        <w:t xml:space="preserve">million (“Tranche 3”) became available to the Company after the Tyvaso DPI approval by the FDA through June 30, 2022 (see Note 10 – </w:t>
      </w:r>
      <w:r>
        <w:rPr>
          <w:rFonts w:ascii="Times New Roman" w:hAnsi="Times New Roman"/>
          <w:b w:val="false"/>
          <w:i/>
          <w:color w:val="000000"/>
          <w:sz w:val="20"/>
        </w:rPr>
        <w:t>Collaboration, Licensing and Other Arrangements</w:t>
      </w:r>
      <w:r>
        <w:rPr>
          <w:rFonts w:ascii="Times New Roman" w:hAnsi="Times New Roman"/>
          <w:b w:val="false"/>
          <w:color w:val="000000"/>
          <w:sz w:val="20"/>
        </w:rPr>
        <w:t>). The Company did not exercise its right to borrow Tranche 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MidCap credit facility has been amended several times, including in April 2021 when the parties agreed to, among other things, (i) increase the amount available under the third advance from $25.0</w:t>
      </w:r>
      <w:r>
        <w:rPr>
          <w:rFonts w:ascii="Times New Roman" w:hAnsi="Times New Roman"/>
          <w:color w:val="000000"/>
          <w:sz w:val="20"/>
        </w:rPr>
        <w:t xml:space="preserve"> </w:t>
      </w:r>
      <w:r>
        <w:rPr>
          <w:rFonts w:ascii="Times New Roman" w:hAnsi="Times New Roman"/>
          <w:b w:val="false"/>
          <w:color w:val="000000"/>
          <w:sz w:val="20"/>
        </w:rPr>
        <w:t>million to $60.0</w:t>
      </w:r>
      <w:r>
        <w:rPr>
          <w:rFonts w:ascii="Times New Roman" w:hAnsi="Times New Roman"/>
          <w:color w:val="000000"/>
          <w:sz w:val="20"/>
        </w:rPr>
        <w:t xml:space="preserve"> </w:t>
      </w:r>
      <w:r>
        <w:rPr>
          <w:rFonts w:ascii="Times New Roman" w:hAnsi="Times New Roman"/>
          <w:b w:val="false"/>
          <w:color w:val="000000"/>
          <w:sz w:val="20"/>
        </w:rPr>
        <w:t>million and extend the date through which the third advance is available to June 30, 2022, (ii) amend the conditions to the third advance of $60.0 million being available to draw, including certain milestone conditions associated with Tyvaso DPI, (iii) remove the Company’s obligation to issue a warrant to purchase shares of the Company’s common stock upon drawing down the third advance, (iv) extend the interest-only period until September 1, 2023</w:t>
      </w:r>
      <w:r>
        <w:rPr>
          <w:rFonts w:ascii="Times New Roman" w:hAnsi="Times New Roman"/>
          <w:color w:val="000000"/>
          <w:sz w:val="20"/>
        </w:rPr>
        <w:t xml:space="preserve"> </w:t>
      </w:r>
      <w:r>
        <w:rPr>
          <w:rFonts w:ascii="Times New Roman" w:hAnsi="Times New Roman"/>
          <w:b w:val="false"/>
          <w:color w:val="000000"/>
          <w:sz w:val="20"/>
        </w:rPr>
        <w:t>and extend the maturity date until August 1, 2025, (v) amend the financial covenant relating to trailing 12 month minimum Afrezza net revenue, (vi) decrease the minimum cash covenant, (vii) decrease the interest rate on any amounts outstanding, now or in the future, under the MidCap credit facility, (viii) permit the Company to make certain acquisitions, subject to requirements, and (ix) permit the Company to make investments of up to an additional $9.0</w:t>
      </w:r>
      <w:r>
        <w:rPr>
          <w:rFonts w:ascii="Times New Roman" w:hAnsi="Times New Roman"/>
          <w:color w:val="000000"/>
          <w:sz w:val="20"/>
        </w:rPr>
        <w:t xml:space="preserve"> </w:t>
      </w:r>
      <w:r>
        <w:rPr>
          <w:rFonts w:ascii="Times New Roman" w:hAnsi="Times New Roman"/>
          <w:b w:val="false"/>
          <w:color w:val="000000"/>
          <w:sz w:val="20"/>
        </w:rPr>
        <w:t>million so long as the Company has $90.0</w:t>
      </w:r>
      <w:r>
        <w:rPr>
          <w:rFonts w:ascii="Times New Roman" w:hAnsi="Times New Roman"/>
          <w:color w:val="000000"/>
          <w:sz w:val="20"/>
        </w:rPr>
        <w:t xml:space="preserve"> </w:t>
      </w:r>
      <w:r>
        <w:rPr>
          <w:rFonts w:ascii="Times New Roman" w:hAnsi="Times New Roman"/>
          <w:b w:val="false"/>
          <w:color w:val="000000"/>
          <w:sz w:val="20"/>
        </w:rPr>
        <w:t>million or more of unrestricted cash and short-term investments following such investment.</w:t>
      </w:r>
      <w:r>
        <w:rPr>
          <w:rFonts w:ascii="Times New Roman" w:hAnsi="Times New Roman"/>
          <w:color w:val="000000"/>
          <w:sz w:val="20"/>
        </w:rPr>
        <w:t xml:space="preserve"> </w:t>
      </w:r>
      <w:r>
        <w:rPr>
          <w:rFonts w:ascii="Times New Roman" w:hAnsi="Times New Roman"/>
          <w:b w:val="false"/>
          <w:color w:val="000000"/>
          <w:sz w:val="20"/>
        </w:rPr>
        <w:t>Concurrent with entering into this amendment, the Company made a $10.0</w:t>
      </w:r>
      <w:r>
        <w:rPr>
          <w:rFonts w:ascii="Times New Roman" w:hAnsi="Times New Roman"/>
          <w:color w:val="000000"/>
          <w:sz w:val="20"/>
        </w:rPr>
        <w:t xml:space="preserve"> </w:t>
      </w:r>
      <w:r>
        <w:rPr>
          <w:rFonts w:ascii="Times New Roman" w:hAnsi="Times New Roman"/>
          <w:b w:val="false"/>
          <w:color w:val="000000"/>
          <w:sz w:val="20"/>
        </w:rPr>
        <w:t>million principal prepayment against outstanding term loans under the MidCap credit facility and paid a related $1.0</w:t>
      </w:r>
      <w:r>
        <w:rPr>
          <w:rFonts w:ascii="Times New Roman" w:hAnsi="Times New Roman"/>
          <w:color w:val="000000"/>
          <w:sz w:val="20"/>
        </w:rPr>
        <w:t xml:space="preserve"> </w:t>
      </w:r>
      <w:r>
        <w:rPr>
          <w:rFonts w:ascii="Times New Roman" w:hAnsi="Times New Roman"/>
          <w:b w:val="false"/>
          <w:color w:val="000000"/>
          <w:sz w:val="20"/>
        </w:rPr>
        <w:t>million exit fee in lieu of the unaccrued portion of the original exit fee and prepayment penalties that would otherwise have been due with respect to the partial prepayment.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prepayment penalty of $1.0</w:t>
      </w:r>
      <w:r>
        <w:rPr>
          <w:rFonts w:ascii="Times New Roman" w:hAnsi="Times New Roman"/>
          <w:color w:val="000000"/>
          <w:sz w:val="20"/>
        </w:rPr>
        <w:t xml:space="preserve"> </w:t>
      </w:r>
      <w:r>
        <w:rPr>
          <w:rFonts w:ascii="Times New Roman" w:hAnsi="Times New Roman"/>
          <w:b w:val="false"/>
          <w:color w:val="000000"/>
          <w:sz w:val="20"/>
        </w:rPr>
        <w:t>million related to the payment of $10.0</w:t>
      </w:r>
      <w:r>
        <w:rPr>
          <w:rFonts w:ascii="Times New Roman" w:hAnsi="Times New Roman"/>
          <w:color w:val="000000"/>
          <w:sz w:val="20"/>
        </w:rPr>
        <w:t xml:space="preserve"> </w:t>
      </w:r>
      <w:r>
        <w:rPr>
          <w:rFonts w:ascii="Times New Roman" w:hAnsi="Times New Roman"/>
          <w:b w:val="false"/>
          <w:color w:val="000000"/>
          <w:sz w:val="20"/>
        </w:rPr>
        <w:t>million was capitalized and is being amortized over the remaining life of the debt. As of September 30, 2023, the unamortized debt discount was $0.1</w:t>
      </w:r>
      <w:r>
        <w:rPr>
          <w:rFonts w:ascii="Times New Roman" w:hAnsi="Times New Roman"/>
          <w:color w:val="000000"/>
          <w:sz w:val="20"/>
        </w:rPr>
        <w:t xml:space="preserve"> </w:t>
      </w:r>
      <w:r>
        <w:rPr>
          <w:rFonts w:ascii="Times New Roman" w:hAnsi="Times New Roman"/>
          <w:b w:val="false"/>
          <w:color w:val="000000"/>
          <w:sz w:val="20"/>
        </w:rPr>
        <w:t>million and the unamortized prepayment penalty was $0.3</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August 2022, the Company entered into the tenth amendment to the MidCap credit facility to change the benchmark interest rate from LIBOR to the Secured Overnight Financing Rate (“SOFR”).</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Tranche 1 and Tranche 2 accrue interest at an annual rate equal to the lesser of (i) 8.25% and (ii) the one-month SOFR (subject to a one-month SOFR floor of 1.00%) plus 6.25%. Interest on each term loan advance is due and payable monthly in arrears. Principal on each term loan advance under Tranche 1 and Tranche 2 are payable in 24</w:t>
      </w:r>
      <w:r>
        <w:rPr>
          <w:rFonts w:ascii="Times New Roman" w:hAnsi="Times New Roman"/>
          <w:color w:val="000000"/>
          <w:sz w:val="20"/>
        </w:rPr>
        <w:t xml:space="preserve"> </w:t>
      </w:r>
      <w:r>
        <w:rPr>
          <w:rFonts w:ascii="Times New Roman" w:hAnsi="Times New Roman"/>
          <w:b w:val="false"/>
          <w:color w:val="000000"/>
          <w:sz w:val="20"/>
        </w:rPr>
        <w:t>equal monthly installments that began September 1, 2023, until paid in full on August 1, 2025.</w:t>
      </w:r>
      <w:r>
        <w:rPr>
          <w:rFonts w:ascii="Times New Roman" w:hAnsi="Times New Roman"/>
          <w:color w:val="000000"/>
          <w:sz w:val="20"/>
        </w:rPr>
        <w:t xml:space="preserve"> </w:t>
      </w:r>
      <w:r>
        <w:rPr>
          <w:rFonts w:ascii="Times New Roman" w:hAnsi="Times New Roman"/>
          <w:b w:val="false"/>
          <w:color w:val="000000"/>
          <w:sz w:val="20"/>
        </w:rPr>
        <w:t>The Company has the option to prepay its existing term loans, in whole or in part, subject to early termination fees in an amount equal to 1.00% of principal prepaid.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Company’s obligations under the MidCap credit facility are secured by a security interest on substantially all of its assets, including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unless the Company has $90.0</w:t>
      </w:r>
      <w:r>
        <w:rPr>
          <w:rFonts w:ascii="Times New Roman" w:hAnsi="Times New Roman"/>
          <w:color w:val="000000"/>
          <w:sz w:val="20"/>
        </w:rPr>
        <w:t xml:space="preserve"> </w:t>
      </w:r>
      <w:r>
        <w:rPr>
          <w:rFonts w:ascii="Times New Roman" w:hAnsi="Times New Roman"/>
          <w:b w:val="false"/>
          <w:color w:val="000000"/>
          <w:sz w:val="20"/>
        </w:rPr>
        <w:t>million or more of unrestricted cash and short-term investments. As of September 30, 2023, the Company was in compliance with the financial covenant.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Mann Group convertible note</w:t>
      </w:r>
      <w:r>
        <w:rPr>
          <w:rFonts w:ascii="Times New Roman" w:hAnsi="Times New Roman"/>
          <w:color w:val="000000"/>
          <w:sz w:val="20"/>
        </w:rPr>
        <w:t xml:space="preserve"> — </w:t>
      </w:r>
      <w:r>
        <w:rPr>
          <w:rFonts w:ascii="Times New Roman" w:hAnsi="Times New Roman"/>
          <w:b w:val="false"/>
          <w:color w:val="000000"/>
          <w:sz w:val="20"/>
        </w:rPr>
        <w:t>In August 2019, the Company issued a $35.0</w:t>
      </w:r>
      <w:r>
        <w:rPr>
          <w:rFonts w:ascii="Times New Roman" w:hAnsi="Times New Roman"/>
          <w:color w:val="000000"/>
          <w:sz w:val="20"/>
        </w:rPr>
        <w:t xml:space="preserve"> </w:t>
      </w:r>
      <w:r>
        <w:rPr>
          <w:rFonts w:ascii="Times New Roman" w:hAnsi="Times New Roman"/>
          <w:b w:val="false"/>
          <w:color w:val="000000"/>
          <w:sz w:val="20"/>
        </w:rPr>
        <w:t>million note that is convertible into shares of the Company’s common stock at $2.50</w:t>
      </w:r>
      <w:r>
        <w:rPr>
          <w:rFonts w:ascii="Times New Roman" w:hAnsi="Times New Roman"/>
          <w:color w:val="000000"/>
          <w:sz w:val="20"/>
        </w:rPr>
        <w:t xml:space="preserve"> </w:t>
      </w:r>
      <w:r>
        <w:rPr>
          <w:rFonts w:ascii="Times New Roman" w:hAnsi="Times New Roman"/>
          <w:b w:val="false"/>
          <w:color w:val="000000"/>
          <w:sz w:val="20"/>
        </w:rPr>
        <w:t>per share (the “Mann Group convertible note”) as part of a restructuring of its then existing indebtedness to Mann Group.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Mann Group convertible note originally accrued interest at the rate of 7.00% per year on the principal amount, payable quarterly</w:t>
      </w:r>
      <w:r>
        <w:rPr>
          <w:rFonts w:ascii="Times New Roman" w:hAnsi="Times New Roman"/>
          <w:color w:val="000000"/>
          <w:sz w:val="20"/>
        </w:rPr>
        <w:t xml:space="preserve"> </w:t>
      </w:r>
      <w:r>
        <w:rPr>
          <w:rFonts w:ascii="Times New Roman" w:hAnsi="Times New Roman"/>
          <w:b w:val="false"/>
          <w:color w:val="000000"/>
          <w:sz w:val="20"/>
        </w:rPr>
        <w:t>in arrears on the first day of each calendar quarter beginning October 1, 2019. In April 2021, the Company and Mann Group amended the Mann Group convertible note, pursuant to which the parties agreed to (i) reduce the interest rate from 7.0% to 2.5% effective on April 22, 2021, and (ii) extend the maturity date from November 3, 2024</w:t>
      </w:r>
      <w:r>
        <w:rPr>
          <w:rFonts w:ascii="Times New Roman" w:hAnsi="Times New Roman"/>
          <w:color w:val="000000"/>
          <w:sz w:val="20"/>
        </w:rPr>
        <w:t xml:space="preserve"> </w:t>
      </w:r>
      <w:r>
        <w:rPr>
          <w:rFonts w:ascii="Times New Roman" w:hAnsi="Times New Roman"/>
          <w:b w:val="false"/>
          <w:color w:val="000000"/>
          <w:sz w:val="20"/>
        </w:rPr>
        <w:t>to December 31,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principal and any accrued and unpaid interest under the Mann Group convertible note may be converted, at the option of Mann Group, at any time on or prior to the close of business on the business day immediately preceding the stated maturity date, into shares of the Company’s common stock at a conversion rate of 400</w:t>
      </w:r>
      <w:r>
        <w:rPr>
          <w:rFonts w:ascii="Times New Roman" w:hAnsi="Times New Roman"/>
          <w:color w:val="000000"/>
          <w:sz w:val="20"/>
        </w:rPr>
        <w:t xml:space="preserve"> </w:t>
      </w:r>
      <w:r>
        <w:rPr>
          <w:rFonts w:ascii="Times New Roman" w:hAnsi="Times New Roman"/>
          <w:b w:val="false"/>
          <w:color w:val="000000"/>
          <w:sz w:val="20"/>
        </w:rPr>
        <w:t>shares per $1,000</w:t>
      </w:r>
      <w:r>
        <w:rPr>
          <w:rFonts w:ascii="Times New Roman" w:hAnsi="Times New Roman"/>
          <w:color w:val="000000"/>
          <w:sz w:val="20"/>
        </w:rPr>
        <w:t xml:space="preserve"> </w:t>
      </w:r>
      <w:r>
        <w:rPr>
          <w:rFonts w:ascii="Times New Roman" w:hAnsi="Times New Roman"/>
          <w:b w:val="false"/>
          <w:color w:val="000000"/>
          <w:sz w:val="20"/>
        </w:rPr>
        <w:t>of principal and/or accrued and unpaid interest, which is equal to a conversion price of $2.50</w:t>
      </w:r>
      <w:r>
        <w:rPr>
          <w:rFonts w:ascii="Times New Roman" w:hAnsi="Times New Roman"/>
          <w:color w:val="000000"/>
          <w:sz w:val="20"/>
        </w:rPr>
        <w:t xml:space="preserve"> </w:t>
      </w:r>
      <w:r>
        <w:rPr>
          <w:rFonts w:ascii="Times New Roman" w:hAnsi="Times New Roman"/>
          <w:b w:val="false"/>
          <w:color w:val="000000"/>
          <w:sz w:val="20"/>
        </w:rPr>
        <w:t>per share. The conversion rate will be subject to adjustment under certain circumstances described in the Mann Group convertible note. Interest on the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nine months ended September 30, 2023, the Company paid interest on the Mann Group convertible note by issuing 37,122</w:t>
      </w:r>
      <w:r>
        <w:rPr>
          <w:rFonts w:ascii="Times New Roman" w:hAnsi="Times New Roman"/>
          <w:color w:val="000000"/>
          <w:sz w:val="20"/>
        </w:rPr>
        <w:t xml:space="preserve"> </w:t>
      </w:r>
      <w:r>
        <w:rPr>
          <w:rFonts w:ascii="Times New Roman" w:hAnsi="Times New Roman"/>
          <w:b w:val="false"/>
          <w:color w:val="000000"/>
          <w:sz w:val="20"/>
        </w:rPr>
        <w:t>shares of common stock. During the nine months ended September 30, 2022, Mann Group converted $10.0</w:t>
      </w:r>
      <w:r>
        <w:rPr>
          <w:rFonts w:ascii="Times New Roman" w:hAnsi="Times New Roman"/>
          <w:color w:val="000000"/>
          <w:sz w:val="20"/>
        </w:rPr>
        <w:t xml:space="preserve"> </w:t>
      </w:r>
      <w:r>
        <w:rPr>
          <w:rFonts w:ascii="Times New Roman" w:hAnsi="Times New Roman"/>
          <w:b w:val="false"/>
          <w:color w:val="000000"/>
          <w:sz w:val="20"/>
        </w:rPr>
        <w:t>million of principal and capitalized interest into 4,000,000</w:t>
      </w:r>
      <w:r>
        <w:rPr>
          <w:rFonts w:ascii="Times New Roman" w:hAnsi="Times New Roman"/>
          <w:color w:val="000000"/>
          <w:sz w:val="20"/>
        </w:rPr>
        <w:t xml:space="preserve"> </w:t>
      </w:r>
      <w:r>
        <w:rPr>
          <w:rFonts w:ascii="Times New Roman" w:hAnsi="Times New Roman"/>
          <w:b w:val="false"/>
          <w:color w:val="000000"/>
          <w:sz w:val="20"/>
        </w:rPr>
        <w:t>shares of common stock. In addition, the Company paid interest by issuing the Mann Group 57,491</w:t>
      </w:r>
      <w:r>
        <w:rPr>
          <w:rFonts w:ascii="Times New Roman" w:hAnsi="Times New Roman"/>
          <w:color w:val="000000"/>
          <w:sz w:val="20"/>
        </w:rPr>
        <w:t xml:space="preserve"> </w:t>
      </w:r>
      <w:r>
        <w:rPr>
          <w:rFonts w:ascii="Times New Roman" w:hAnsi="Times New Roman"/>
          <w:b w:val="false"/>
          <w:color w:val="000000"/>
          <w:sz w:val="20"/>
        </w:rPr>
        <w:t>shares of common stock.</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Amortization of the premium and accretion of debt issuance costs related to all borrowings were as follows (in thousands):</w:t>
      </w:r>
    </w:p>
    <w:tbl>
      <w:tblPr>
        <w:tblW w:w="7043" w:type="dxa"/>
        <w:jc w:val="left"/>
        <w:tblInd w:w="0" w:type="dxa"/>
        <w:tblLayout w:type="fixed"/>
        <w:tblCellMar>
          <w:top w:w="28" w:type="dxa"/>
          <w:left w:w="28" w:type="dxa"/>
          <w:bottom w:w="28" w:type="dxa"/>
          <w:right w:w="28" w:type="dxa"/>
        </w:tblCellMar>
      </w:tblPr>
      <w:tblGrid>
        <w:gridCol w:w="2926"/>
        <w:gridCol w:w="146"/>
        <w:gridCol w:w="221"/>
        <w:gridCol w:w="442"/>
        <w:gridCol w:w="153"/>
        <w:gridCol w:w="153"/>
        <w:gridCol w:w="221"/>
        <w:gridCol w:w="442"/>
        <w:gridCol w:w="146"/>
        <w:gridCol w:w="146"/>
        <w:gridCol w:w="211"/>
        <w:gridCol w:w="571"/>
        <w:gridCol w:w="146"/>
        <w:gridCol w:w="146"/>
        <w:gridCol w:w="211"/>
        <w:gridCol w:w="57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debt discount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debt issuance cost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Collaboration, Licensing and Other Arrangements</w:t>
      </w:r>
      <w:r>
        <w:rPr>
          <w:rFonts w:ascii="Times New Roman" w:hAnsi="Times New Roman"/>
          <w:color w:val="000000"/>
          <w:sz w:val="20"/>
        </w:rPr>
        <w:t xml:space="preserve"> </w:t>
      </w:r>
    </w:p>
    <w:p>
      <w:pPr>
        <w:pStyle w:val="TextBody"/>
        <w:bidi w:val="0"/>
        <w:spacing w:before="120" w:after="240"/>
        <w:jc w:val="left"/>
        <w:rPr>
          <w:rFonts w:ascii="Times New Roman" w:hAnsi="Times New Roman"/>
          <w:b w:val="false"/>
          <w:color w:val="000000"/>
          <w:sz w:val="20"/>
        </w:rPr>
      </w:pPr>
      <w:r>
        <w:rPr>
          <w:rFonts w:ascii="Times New Roman" w:hAnsi="Times New Roman"/>
          <w:b w:val="false"/>
          <w:color w:val="000000"/>
          <w:sz w:val="20"/>
        </w:rPr>
        <w:t>Revenue from collaborations and services were as follows (in thousands):</w:t>
      </w:r>
    </w:p>
    <w:tbl>
      <w:tblPr>
        <w:tblW w:w="9077" w:type="dxa"/>
        <w:jc w:val="left"/>
        <w:tblInd w:w="0" w:type="dxa"/>
        <w:tblLayout w:type="fixed"/>
        <w:tblCellMar>
          <w:top w:w="28" w:type="dxa"/>
          <w:left w:w="28" w:type="dxa"/>
          <w:bottom w:w="28" w:type="dxa"/>
          <w:right w:w="28" w:type="dxa"/>
        </w:tblCellMar>
      </w:tblPr>
      <w:tblGrid>
        <w:gridCol w:w="4116"/>
        <w:gridCol w:w="146"/>
        <w:gridCol w:w="211"/>
        <w:gridCol w:w="676"/>
        <w:gridCol w:w="146"/>
        <w:gridCol w:w="146"/>
        <w:gridCol w:w="211"/>
        <w:gridCol w:w="676"/>
        <w:gridCol w:w="146"/>
        <w:gridCol w:w="146"/>
        <w:gridCol w:w="211"/>
        <w:gridCol w:w="676"/>
        <w:gridCol w:w="146"/>
        <w:gridCol w:w="146"/>
        <w:gridCol w:w="211"/>
        <w:gridCol w:w="676"/>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UT CSA Agreement</w:t>
            </w:r>
            <w:r>
              <w:rPr>
                <w:rFonts w:ascii="Times New Roman" w:hAnsi="Times New Roman"/>
                <w:color w:val="000000"/>
                <w:sz w:val="20"/>
              </w:rPr>
              <w:t>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15,795</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UT License Agreement</w:t>
            </w:r>
            <w:r>
              <w:rPr>
                <w:rFonts w:ascii="Times New Roman" w:hAnsi="Times New Roman"/>
                <w:color w:val="000000"/>
                <w:sz w:val="20"/>
              </w:rPr>
              <w:t> </w:t>
            </w:r>
            <w:r>
              <w:rPr>
                <w:rFonts w:ascii="Times New Roman" w:hAnsi="Times New Roman"/>
                <w:b w:val="false"/>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1,949</w:t>
            </w:r>
          </w:p>
        </w:tc>
        <w:tc>
          <w:tcPr>
            <w:tcW w:w="391" w:type="dxa"/>
            <w:tcBorders/>
            <w:shd w:fill="FFFFFF" w:val="clear"/>
            <w:vAlign w:val="center"/>
          </w:tcPr>
          <w:p>
            <w:pPr>
              <w:pStyle w:val="TableContents"/>
              <w:bidi w:val="0"/>
              <w:spacing w:before="0" w:after="283"/>
              <w:jc w:val="left"/>
              <w:rPr/>
            </w:pPr>
            <w:r>
              <w:rPr/>
              <w:t> </w:t>
            </w:r>
          </w:p>
        </w:tc>
      </w:tr>
      <w:tr>
        <w:trPr/>
        <w:tc>
          <w:tcPr>
            <w:tcW w:w="41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Cipla License and Distribution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Vertice Pharma Co-Promotion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391" w:type="dxa"/>
            <w:tcBorders/>
            <w:shd w:fill="FFFFFF" w:val="clear"/>
            <w:vAlign w:val="center"/>
          </w:tcPr>
          <w:p>
            <w:pPr>
              <w:pStyle w:val="TableContents"/>
              <w:bidi w:val="0"/>
              <w:spacing w:before="0" w:after="283"/>
              <w:jc w:val="left"/>
              <w:rPr/>
            </w:pPr>
            <w:r>
              <w:rPr/>
              <w:t> </w:t>
            </w:r>
          </w:p>
        </w:tc>
      </w:tr>
      <w:tr>
        <w:trPr/>
        <w:tc>
          <w:tcPr>
            <w:tcW w:w="41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revenue from collaborations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13,108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10,346</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35,705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18,380</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Amount consists of revenue recognized for Manufacturing Services and sales of product to UT for the periods presented.</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(2)</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Amounts consist of revenue recognized for Next-Gen R&amp;D Services and R&amp;D Services and License for the periods presented.</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United Therapeutics License Agreement</w:t>
      </w:r>
      <w:r>
        <w:rPr>
          <w:rFonts w:ascii="Times New Roman" w:hAnsi="Times New Roman"/>
          <w:color w:val="000000"/>
          <w:sz w:val="20"/>
        </w:rPr>
        <w:t xml:space="preserve"> — </w:t>
      </w:r>
      <w:r>
        <w:rPr>
          <w:rFonts w:ascii="Times New Roman" w:hAnsi="Times New Roman"/>
          <w:b w:val="false"/>
          <w:color w:val="000000"/>
          <w:sz w:val="20"/>
        </w:rPr>
        <w:t>In September 2018, the Company and UT entered into an exclusive global license and collaboration agreement (the “UT License Agreement”), pursuant to which UT is responsible for global development, regulatory and commercial activities with respect to Tyvaso DPI. The Company is responsible for manufacturing Tyvaso DPI.</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Total revenue from UT was as follows (in thousands):</w:t>
      </w:r>
    </w:p>
    <w:tbl>
      <w:tblPr>
        <w:tblW w:w="7572" w:type="dxa"/>
        <w:jc w:val="left"/>
        <w:tblInd w:w="0" w:type="dxa"/>
        <w:tblLayout w:type="fixed"/>
        <w:tblCellMar>
          <w:top w:w="28" w:type="dxa"/>
          <w:left w:w="28" w:type="dxa"/>
          <w:bottom w:w="28" w:type="dxa"/>
          <w:right w:w="28" w:type="dxa"/>
        </w:tblCellMar>
      </w:tblPr>
      <w:tblGrid>
        <w:gridCol w:w="2611"/>
        <w:gridCol w:w="146"/>
        <w:gridCol w:w="211"/>
        <w:gridCol w:w="676"/>
        <w:gridCol w:w="146"/>
        <w:gridCol w:w="146"/>
        <w:gridCol w:w="211"/>
        <w:gridCol w:w="676"/>
        <w:gridCol w:w="146"/>
        <w:gridCol w:w="146"/>
        <w:gridCol w:w="211"/>
        <w:gridCol w:w="676"/>
        <w:gridCol w:w="146"/>
        <w:gridCol w:w="146"/>
        <w:gridCol w:w="211"/>
        <w:gridCol w:w="676"/>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UT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UT CSA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15,795</w:t>
            </w:r>
          </w:p>
        </w:tc>
        <w:tc>
          <w:tcPr>
            <w:tcW w:w="391"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UT License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1,949</w:t>
            </w:r>
          </w:p>
        </w:tc>
        <w:tc>
          <w:tcPr>
            <w:tcW w:w="39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Royalties — Collaborations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revenue from UT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Amount consists of royalties associated with the UT License Agreement. The contract assets related to the royalties is included in prepaid expense and other current assets in the condensed consolidated balance sheets.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October 2018, the Company and UT entered into the UT License Agreement for the collaboration and development of Tyvaso DPI. Pursuant to this agreement, the Company also receives low double-digit royalties on net sales of Tyvaso DPI as well as a manufacturing margin on commercial supplies of the product. In August 2021, the Company and UT entered into the CSA, pursuant to which the Company is responsible for manufacturing and supplying to UT, and UT is responsible for purchasing from the Company on a cost-plus basis. There have been various amendments to the UT License Agreement and the CSA since inception. The terms of the amendments and related accounting treatment are disclosed in the Company's Form 10-K for the fiscal year ended December 31, 2022, filed with the SEC on February 23, 2023.</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val="false"/>
          <w:color w:val="000000"/>
          <w:sz w:val="20"/>
        </w:rPr>
        <w:t>In December 2022, the Company and UT agreed to fund an additional $39.5</w:t>
      </w:r>
      <w:r>
        <w:rPr>
          <w:rFonts w:ascii="Times New Roman" w:hAnsi="Times New Roman"/>
          <w:color w:val="000000"/>
          <w:sz w:val="20"/>
        </w:rPr>
        <w:t xml:space="preserve"> </w:t>
      </w:r>
      <w:r>
        <w:rPr>
          <w:rFonts w:ascii="Times New Roman" w:hAnsi="Times New Roman"/>
          <w:b w:val="false"/>
          <w:color w:val="000000"/>
          <w:sz w:val="20"/>
        </w:rPr>
        <w:t>million to support capital and continuous improvement activities and $2.3</w:t>
      </w:r>
      <w:r>
        <w:rPr>
          <w:rFonts w:ascii="Times New Roman" w:hAnsi="Times New Roman"/>
          <w:color w:val="000000"/>
          <w:sz w:val="20"/>
        </w:rPr>
        <w:t xml:space="preserve"> </w:t>
      </w:r>
      <w:r>
        <w:rPr>
          <w:rFonts w:ascii="Times New Roman" w:hAnsi="Times New Roman"/>
          <w:b w:val="false"/>
          <w:color w:val="000000"/>
          <w:sz w:val="20"/>
        </w:rPr>
        <w:t xml:space="preserve">million in the development of alternative manufacturing processes. The Company determined that the capital and continuous improvements should be combined with the manufacturing services performance obligation and the alternative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val="false"/>
          <w:color w:val="000000"/>
          <w:sz w:val="20"/>
        </w:rPr>
        <w:t>manufacturing processes should be combined with the Next-Gen R&amp;D Services. The total revised anticipated cash flows of $722.3</w:t>
      </w:r>
      <w:r>
        <w:rPr>
          <w:rFonts w:ascii="Times New Roman" w:hAnsi="Times New Roman"/>
          <w:color w:val="000000"/>
          <w:sz w:val="20"/>
        </w:rPr>
        <w:t xml:space="preserve"> </w:t>
      </w:r>
      <w:r>
        <w:rPr>
          <w:rFonts w:ascii="Times New Roman" w:hAnsi="Times New Roman"/>
          <w:b w:val="false"/>
          <w:color w:val="000000"/>
          <w:sz w:val="20"/>
        </w:rPr>
        <w:t>million from the transaction was allocated to the three distinct performance obligations as follows (dollars in millions):</w:t>
      </w:r>
    </w:p>
    <w:tbl>
      <w:tblPr>
        <w:tblW w:w="10205" w:type="dxa"/>
        <w:jc w:val="left"/>
        <w:tblInd w:w="0" w:type="dxa"/>
        <w:tblLayout w:type="fixed"/>
        <w:tblCellMar>
          <w:top w:w="28" w:type="dxa"/>
          <w:left w:w="28" w:type="dxa"/>
          <w:bottom w:w="28" w:type="dxa"/>
          <w:right w:w="28" w:type="dxa"/>
        </w:tblCellMar>
      </w:tblPr>
      <w:tblGrid>
        <w:gridCol w:w="2425"/>
        <w:gridCol w:w="146"/>
        <w:gridCol w:w="227"/>
        <w:gridCol w:w="616"/>
        <w:gridCol w:w="146"/>
        <w:gridCol w:w="146"/>
        <w:gridCol w:w="354"/>
        <w:gridCol w:w="965"/>
        <w:gridCol w:w="146"/>
        <w:gridCol w:w="146"/>
        <w:gridCol w:w="1399"/>
        <w:gridCol w:w="146"/>
        <w:gridCol w:w="1205"/>
        <w:gridCol w:w="146"/>
        <w:gridCol w:w="1797"/>
        <w:gridCol w:w="195"/>
      </w:tblGrid>
      <w:tr>
        <w:trPr/>
        <w:tc>
          <w:tcPr>
            <w:tcW w:w="2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Anticipated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Allocation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Recognition Method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Progress Measure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br/>
              <w:t>Recognition</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anticipated cash flow</w:t>
            </w:r>
            <w:r>
              <w:rPr>
                <w:rFonts w:ascii="Times New Roman" w:hAnsi="Times New Roman"/>
                <w:b/>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1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9"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797"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242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Distinct Performance Obligation</w:t>
            </w:r>
          </w:p>
        </w:tc>
        <w:tc>
          <w:tcPr>
            <w:tcW w:w="146" w:type="dxa"/>
            <w:tcBorders/>
            <w:shd w:fill="CFF0FC" w:val="clear"/>
            <w:vAlign w:val="center"/>
          </w:tcPr>
          <w:p>
            <w:pPr>
              <w:pStyle w:val="TableContents"/>
              <w:bidi w:val="0"/>
              <w:spacing w:before="0" w:after="283"/>
              <w:jc w:val="left"/>
              <w:rPr/>
            </w:pPr>
            <w:r>
              <w:rPr/>
              <w:t> </w:t>
            </w:r>
          </w:p>
        </w:tc>
        <w:tc>
          <w:tcPr>
            <w:tcW w:w="8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1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99"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797"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R&amp;D Services and License</w:t>
            </w:r>
          </w:p>
        </w:tc>
        <w:tc>
          <w:tcPr>
            <w:tcW w:w="146" w:type="dxa"/>
            <w:tcBorders/>
            <w:shd w:fill="FFFFFF" w:val="clear"/>
            <w:vAlign w:val="center"/>
          </w:tcPr>
          <w:p>
            <w:pPr>
              <w:pStyle w:val="TableContents"/>
              <w:bidi w:val="0"/>
              <w:spacing w:before="0" w:after="283"/>
              <w:jc w:val="lef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Over time</w:t>
            </w:r>
          </w:p>
        </w:tc>
        <w:tc>
          <w:tcPr>
            <w:tcW w:w="146" w:type="dxa"/>
            <w:tcBorders/>
            <w:shd w:fill="FFFFFF" w:val="clear"/>
            <w:vAlign w:val="center"/>
          </w:tcPr>
          <w:p>
            <w:pPr>
              <w:pStyle w:val="TableContents"/>
              <w:bidi w:val="0"/>
              <w:spacing w:before="0" w:after="283"/>
              <w:jc w:val="right"/>
              <w:rPr/>
            </w:pPr>
            <w:r>
              <w:rPr/>
              <w:t> </w:t>
            </w:r>
          </w:p>
        </w:tc>
        <w:tc>
          <w:tcPr>
            <w:tcW w:w="120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Ratably</w:t>
            </w:r>
          </w:p>
        </w:tc>
        <w:tc>
          <w:tcPr>
            <w:tcW w:w="146" w:type="dxa"/>
            <w:tcBorders/>
            <w:shd w:fill="FFFFFF" w:val="clear"/>
            <w:vAlign w:val="center"/>
          </w:tcPr>
          <w:p>
            <w:pPr>
              <w:pStyle w:val="TableContents"/>
              <w:bidi w:val="0"/>
              <w:spacing w:before="0" w:after="283"/>
              <w:jc w:val="right"/>
              <w:rPr/>
            </w:pPr>
            <w:r>
              <w:rPr/>
              <w:t> </w:t>
            </w:r>
          </w:p>
        </w:tc>
        <w:tc>
          <w:tcPr>
            <w:tcW w:w="1797"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Aug 2021 - Oct 2021</w:t>
            </w:r>
          </w:p>
        </w:tc>
        <w:tc>
          <w:tcPr>
            <w:tcW w:w="195" w:type="dxa"/>
            <w:tcBorders/>
            <w:shd w:fill="FFFFFF" w:val="clear"/>
            <w:vAlign w:val="center"/>
          </w:tcPr>
          <w:p>
            <w:pPr>
              <w:pStyle w:val="TableContents"/>
              <w:bidi w:val="0"/>
              <w:spacing w:before="0" w:after="283"/>
              <w:jc w:val="left"/>
              <w:rPr/>
            </w:pPr>
            <w:r>
              <w:rPr/>
              <w:t> </w:t>
            </w:r>
          </w:p>
        </w:tc>
      </w:tr>
      <w:tr>
        <w:trPr/>
        <w:tc>
          <w:tcPr>
            <w:tcW w:w="24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Next-Gen R&amp;D Services</w:t>
            </w:r>
          </w:p>
        </w:tc>
        <w:tc>
          <w:tcPr>
            <w:tcW w:w="146" w:type="dxa"/>
            <w:tcBorders/>
            <w:shd w:fill="CFF0FC" w:val="clear"/>
            <w:vAlign w:val="center"/>
          </w:tcPr>
          <w:p>
            <w:pPr>
              <w:pStyle w:val="TableContents"/>
              <w:bidi w:val="0"/>
              <w:spacing w:before="0" w:after="283"/>
              <w:jc w:val="left"/>
              <w:rPr/>
            </w:pPr>
            <w:r>
              <w:rPr/>
              <w:t> </w:t>
            </w:r>
          </w:p>
        </w:tc>
        <w:tc>
          <w:tcPr>
            <w:tcW w:w="8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99"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Over time</w:t>
            </w:r>
          </w:p>
        </w:tc>
        <w:tc>
          <w:tcPr>
            <w:tcW w:w="146" w:type="dxa"/>
            <w:tcBorders/>
            <w:shd w:fill="CFF0FC" w:val="clear"/>
            <w:vAlign w:val="center"/>
          </w:tcPr>
          <w:p>
            <w:pPr>
              <w:pStyle w:val="TableContents"/>
              <w:bidi w:val="0"/>
              <w:spacing w:before="0" w:after="283"/>
              <w:jc w:val="left"/>
              <w:rPr/>
            </w:pPr>
            <w:r>
              <w:rPr/>
              <w:t> </w:t>
            </w:r>
          </w:p>
        </w:tc>
        <w:tc>
          <w:tcPr>
            <w:tcW w:w="120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Input</w:t>
            </w:r>
          </w:p>
        </w:tc>
        <w:tc>
          <w:tcPr>
            <w:tcW w:w="146" w:type="dxa"/>
            <w:tcBorders/>
            <w:shd w:fill="CFF0FC" w:val="clear"/>
            <w:vAlign w:val="center"/>
          </w:tcPr>
          <w:p>
            <w:pPr>
              <w:pStyle w:val="TableContents"/>
              <w:bidi w:val="0"/>
              <w:spacing w:before="0" w:after="283"/>
              <w:jc w:val="left"/>
              <w:rPr/>
            </w:pPr>
            <w:r>
              <w:rPr/>
              <w:t> </w:t>
            </w:r>
          </w:p>
        </w:tc>
        <w:tc>
          <w:tcPr>
            <w:tcW w:w="1797"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 of completion of costs</w:t>
            </w:r>
          </w:p>
        </w:tc>
        <w:tc>
          <w:tcPr>
            <w:tcW w:w="195" w:type="dxa"/>
            <w:tcBorders/>
            <w:shd w:fill="CFF0FC" w:val="clear"/>
            <w:vAlign w:val="center"/>
          </w:tcPr>
          <w:p>
            <w:pPr>
              <w:pStyle w:val="TableContents"/>
              <w:bidi w:val="0"/>
              <w:spacing w:before="0" w:after="283"/>
              <w:jc w:val="left"/>
              <w:rPr/>
            </w:pPr>
            <w:r>
              <w:rPr/>
              <w:t> </w:t>
            </w:r>
          </w:p>
        </w:tc>
      </w:tr>
      <w:tr>
        <w:trPr/>
        <w:tc>
          <w:tcPr>
            <w:tcW w:w="24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Manufacturing Services and</w:t>
              <w:br/>
              <w:t>   Product Sales</w:t>
            </w:r>
            <w:r>
              <w:rPr>
                <w:rFonts w:ascii="Times New Roman" w:hAnsi="Times New Roman"/>
                <w:b w:val="false"/>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9"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Point in time</w:t>
            </w:r>
          </w:p>
        </w:tc>
        <w:tc>
          <w:tcPr>
            <w:tcW w:w="14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Transfer of control</w:t>
            </w:r>
          </w:p>
        </w:tc>
        <w:tc>
          <w:tcPr>
            <w:tcW w:w="195"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spacing w:before="0" w:after="0"/>
        <w:jc w:val="left"/>
        <w:rPr>
          <w:rFonts w:ascii="Times New Roman" w:hAnsi="Times New Roman"/>
          <w:sz w:val="20"/>
        </w:rPr>
      </w:pPr>
      <w:r>
        <w:rPr>
          <w:rFonts w:ascii="Times New Roman" w:hAnsi="Times New Roman"/>
          <w:b w:val="false"/>
          <w:color w:val="000000"/>
          <w:sz w:val="18"/>
        </w:rPr>
        <w:t>The total anticipated cash flow includes a transaction price of $120.0</w:t>
      </w:r>
      <w:r>
        <w:rPr>
          <w:rFonts w:ascii="Times New Roman" w:hAnsi="Times New Roman"/>
          <w:color w:val="000000"/>
          <w:sz w:val="20"/>
        </w:rPr>
        <w:t xml:space="preserve"> </w:t>
      </w:r>
      <w:r>
        <w:rPr>
          <w:rFonts w:ascii="Times New Roman" w:hAnsi="Times New Roman"/>
          <w:b w:val="false"/>
          <w:color w:val="000000"/>
          <w:sz w:val="18"/>
        </w:rPr>
        <w:t>million for the contractual obligations under the CSA for the Manufacturing Services and the Next-Gen R&amp;D Services performance obligations and $602.3</w:t>
      </w:r>
      <w:r>
        <w:rPr>
          <w:rFonts w:ascii="Times New Roman" w:hAnsi="Times New Roman"/>
          <w:color w:val="000000"/>
          <w:sz w:val="20"/>
        </w:rPr>
        <w:t xml:space="preserve"> </w:t>
      </w:r>
      <w:r>
        <w:rPr>
          <w:rFonts w:ascii="Times New Roman" w:hAnsi="Times New Roman"/>
          <w:b w:val="false"/>
          <w:color w:val="000000"/>
          <w:sz w:val="18"/>
        </w:rPr>
        <w:t>million for future supply of Tyvaso DPI over the remaining term of the CSA.</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(2)</w:t>
      </w:r>
    </w:p>
    <w:p>
      <w:pPr>
        <w:pStyle w:val="TextBody"/>
        <w:bidi w:val="0"/>
        <w:jc w:val="left"/>
        <w:rPr>
          <w:rFonts w:ascii="Times New Roman" w:hAnsi="Times New Roman"/>
          <w:sz w:val="20"/>
        </w:rPr>
      </w:pPr>
      <w:r>
        <w:rPr>
          <w:rFonts w:ascii="Times New Roman" w:hAnsi="Times New Roman"/>
          <w:b w:val="false"/>
          <w:color w:val="000000"/>
          <w:sz w:val="18"/>
        </w:rPr>
        <w:t>The Manufacturing Services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 the transaction price for the Manufacturing Services includes a material right related to the Company’s estimated production of product in the amount of $220.8</w:t>
      </w:r>
      <w:r>
        <w:rPr>
          <w:rFonts w:ascii="Times New Roman" w:hAnsi="Times New Roman"/>
          <w:color w:val="000000"/>
          <w:sz w:val="20"/>
        </w:rPr>
        <w:t xml:space="preserve"> </w:t>
      </w:r>
      <w:r>
        <w:rPr>
          <w:rFonts w:ascii="Times New Roman" w:hAnsi="Times New Roman"/>
          <w:b w:val="false"/>
          <w:color w:val="000000"/>
          <w:sz w:val="18"/>
        </w:rPr>
        <w:t>million. The Company will sell product to UT under individual purchase orders, which represent distinct performance obligations. The ultimate cash flows may vary as manufacturing purchase orders are received.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deferred revenue consisted of $71.7</w:t>
      </w:r>
      <w:r>
        <w:rPr>
          <w:rFonts w:ascii="Times New Roman" w:hAnsi="Times New Roman"/>
          <w:color w:val="000000"/>
          <w:sz w:val="20"/>
        </w:rPr>
        <w:t xml:space="preserve"> </w:t>
      </w:r>
      <w:r>
        <w:rPr>
          <w:rFonts w:ascii="Times New Roman" w:hAnsi="Times New Roman"/>
          <w:b w:val="false"/>
          <w:color w:val="000000"/>
          <w:sz w:val="20"/>
        </w:rPr>
        <w:t>million, of which $3.5</w:t>
      </w:r>
      <w:r>
        <w:rPr>
          <w:rFonts w:ascii="Times New Roman" w:hAnsi="Times New Roman"/>
          <w:color w:val="000000"/>
          <w:sz w:val="20"/>
        </w:rPr>
        <w:t xml:space="preserve"> </w:t>
      </w:r>
      <w:r>
        <w:rPr>
          <w:rFonts w:ascii="Times New Roman" w:hAnsi="Times New Roman"/>
          <w:b w:val="false"/>
          <w:color w:val="000000"/>
          <w:sz w:val="20"/>
        </w:rPr>
        <w:t>million was classified as current and $68.2</w:t>
      </w:r>
      <w:r>
        <w:rPr>
          <w:rFonts w:ascii="Times New Roman" w:hAnsi="Times New Roman"/>
          <w:color w:val="000000"/>
          <w:sz w:val="20"/>
        </w:rPr>
        <w:t xml:space="preserve"> </w:t>
      </w:r>
      <w:r>
        <w:rPr>
          <w:rFonts w:ascii="Times New Roman" w:hAnsi="Times New Roman"/>
          <w:b w:val="false"/>
          <w:color w:val="000000"/>
          <w:sz w:val="20"/>
        </w:rPr>
        <w:t>million was classified as long-term on the condensed consolidated balance sheet. As of December 31, 2022, deferred revenue consisted of $37.9</w:t>
      </w:r>
      <w:r>
        <w:rPr>
          <w:rFonts w:ascii="Times New Roman" w:hAnsi="Times New Roman"/>
          <w:color w:val="000000"/>
          <w:sz w:val="20"/>
        </w:rPr>
        <w:t xml:space="preserve"> </w:t>
      </w:r>
      <w:r>
        <w:rPr>
          <w:rFonts w:ascii="Times New Roman" w:hAnsi="Times New Roman"/>
          <w:b w:val="false"/>
          <w:color w:val="000000"/>
          <w:sz w:val="20"/>
        </w:rPr>
        <w:t>million, of which $1.6</w:t>
      </w:r>
      <w:r>
        <w:rPr>
          <w:rFonts w:ascii="Times New Roman" w:hAnsi="Times New Roman"/>
          <w:color w:val="000000"/>
          <w:sz w:val="20"/>
        </w:rPr>
        <w:t xml:space="preserve"> </w:t>
      </w:r>
      <w:r>
        <w:rPr>
          <w:rFonts w:ascii="Times New Roman" w:hAnsi="Times New Roman"/>
          <w:b w:val="false"/>
          <w:color w:val="000000"/>
          <w:sz w:val="20"/>
        </w:rPr>
        <w:t>million was classified as current and $36.3</w:t>
      </w:r>
      <w:r>
        <w:rPr>
          <w:rFonts w:ascii="Times New Roman" w:hAnsi="Times New Roman"/>
          <w:color w:val="000000"/>
          <w:sz w:val="20"/>
        </w:rPr>
        <w:t xml:space="preserve"> </w:t>
      </w:r>
      <w:r>
        <w:rPr>
          <w:rFonts w:ascii="Times New Roman" w:hAnsi="Times New Roman"/>
          <w:b w:val="false"/>
          <w:color w:val="000000"/>
          <w:sz w:val="20"/>
        </w:rPr>
        <w:t>million was classified as long-term on the condensed consolidated balance sheet. The increase in deferred revenue is primarily related to the capital improvements for the expansion of our manufacturing facility and the Company determined that the associated revenue recognition should be combined with the manufacturing services performance obligation.</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Thirona Collaboration Agreement</w:t>
      </w:r>
      <w:r>
        <w:rPr>
          <w:rFonts w:ascii="Times New Roman" w:hAnsi="Times New Roman"/>
          <w:color w:val="000000"/>
          <w:sz w:val="20"/>
        </w:rPr>
        <w:t xml:space="preserve"> — </w:t>
      </w:r>
      <w:r>
        <w:rPr>
          <w:rFonts w:ascii="Times New Roman" w:hAnsi="Times New Roman"/>
          <w:b w:val="false"/>
          <w:color w:val="000000"/>
          <w:sz w:val="20"/>
        </w:rPr>
        <w:t>In June 2021, the Company and Thirona entered into a collaboration agreement to evaluate the therapeutic potential of Thirona’s compound for the treatment of pulmonary fibrosis.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was accounted for under ASC 808, Collaborative Agreements; however, no consideration was exchanged between the parties. The costs incurred by the Company were expensed as R&amp;D in the condensed consolidated statements of operations. On February 28, 2023, the collaboration agreement was amended to extend the term through June 2024. In accordance with the amendment, the Company will fund a minimum of $1.1</w:t>
      </w:r>
      <w:r>
        <w:rPr>
          <w:rFonts w:ascii="Times New Roman" w:hAnsi="Times New Roman"/>
          <w:color w:val="000000"/>
          <w:sz w:val="20"/>
        </w:rPr>
        <w:t xml:space="preserve"> </w:t>
      </w:r>
      <w:r>
        <w:rPr>
          <w:rFonts w:ascii="Times New Roman" w:hAnsi="Times New Roman"/>
          <w:b w:val="false"/>
          <w:color w:val="000000"/>
          <w:sz w:val="20"/>
        </w:rPr>
        <w:t>million to be expended on a revised development plan prepared by Thirona, of which $0.2</w:t>
      </w:r>
      <w:r>
        <w:rPr>
          <w:rFonts w:ascii="Times New Roman" w:hAnsi="Times New Roman"/>
          <w:color w:val="000000"/>
          <w:sz w:val="20"/>
        </w:rPr>
        <w:t xml:space="preserve"> </w:t>
      </w:r>
      <w:r>
        <w:rPr>
          <w:rFonts w:ascii="Times New Roman" w:hAnsi="Times New Roman"/>
          <w:b w:val="false"/>
          <w:color w:val="000000"/>
          <w:sz w:val="20"/>
        </w:rPr>
        <w:t>million was funded during the nine months ended September 30, 2023.</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Biomm Supply and Distribution Agreement</w:t>
      </w:r>
      <w:r>
        <w:rPr>
          <w:rFonts w:ascii="Times New Roman" w:hAnsi="Times New Roman"/>
          <w:color w:val="000000"/>
          <w:sz w:val="20"/>
        </w:rPr>
        <w:t xml:space="preserve"> — </w:t>
      </w:r>
      <w:r>
        <w:rPr>
          <w:rFonts w:ascii="Times New Roman" w:hAnsi="Times New Roman"/>
          <w:b w:val="false"/>
          <w:color w:val="000000"/>
          <w:sz w:val="20"/>
        </w:rPr>
        <w:t>In May 2017, the Company and Biomm S.A. ("Biomm") entered into a supply and distribution agreement for the 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There were no</w:t>
      </w:r>
      <w:r>
        <w:rPr>
          <w:rFonts w:ascii="Times New Roman" w:hAnsi="Times New Roman"/>
          <w:color w:val="000000"/>
          <w:sz w:val="20"/>
        </w:rPr>
        <w:t xml:space="preserve"> </w:t>
      </w:r>
      <w:r>
        <w:rPr>
          <w:rFonts w:ascii="Times New Roman" w:hAnsi="Times New Roman"/>
          <w:b w:val="false"/>
          <w:color w:val="000000"/>
          <w:sz w:val="20"/>
        </w:rPr>
        <w:t>shipments of product to Biomm in 2022 or the first nine months of 2023.</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Cipla License and Distribution Agreement </w:t>
      </w:r>
      <w:r>
        <w:rPr>
          <w:rFonts w:ascii="Times New Roman" w:hAnsi="Times New Roman"/>
          <w:color w:val="000000"/>
          <w:sz w:val="20"/>
        </w:rPr>
        <w:t xml:space="preserve">— </w:t>
      </w:r>
      <w:r>
        <w:rPr>
          <w:rFonts w:ascii="Times New Roman" w:hAnsi="Times New Roman"/>
          <w:b w:val="false"/>
          <w:color w:val="000000"/>
          <w:sz w:val="20"/>
        </w:rPr>
        <w:t>In May 2018, the Company and Cipla Ltd. (“Cipla”) entered into an exclusive agreement for the marketing and distribution of Afrezza in India and the Company received a $2.2</w:t>
      </w:r>
      <w:r>
        <w:rPr>
          <w:rFonts w:ascii="Times New Roman" w:hAnsi="Times New Roman"/>
          <w:color w:val="000000"/>
          <w:sz w:val="20"/>
        </w:rPr>
        <w:t xml:space="preserve"> </w:t>
      </w:r>
      <w:r>
        <w:rPr>
          <w:rFonts w:ascii="Times New Roman" w:hAnsi="Times New Roman"/>
          <w:b w:val="false"/>
          <w:color w:val="000000"/>
          <w:sz w:val="20"/>
        </w:rPr>
        <w:t>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nonrefundable licensing fee was recorded in deferred revenue and is being recognized in net revenue – collaborations over 15</w:t>
      </w:r>
      <w:r>
        <w:rPr>
          <w:rFonts w:ascii="Times New Roman" w:hAnsi="Times New Roman"/>
          <w:color w:val="000000"/>
          <w:sz w:val="20"/>
        </w:rPr>
        <w:t xml:space="preserve"> </w:t>
      </w:r>
      <w:r>
        <w:rPr>
          <w:rFonts w:ascii="Times New Roman" w:hAnsi="Times New Roman"/>
          <w:b w:val="false"/>
          <w:color w:val="000000"/>
          <w:sz w:val="20"/>
        </w:rPr>
        <w:t>years, representing the estimated period to satisfy the performance obligation. The additional milestone payments represent variable consideration for which the Company has not recognized any revenue because of the uncertainty of obtaining marketing approval. As of September 30, 2023, the deferred revenue balance was $1.4</w:t>
      </w:r>
      <w:r>
        <w:rPr>
          <w:rFonts w:ascii="Times New Roman" w:hAnsi="Times New Roman"/>
          <w:color w:val="000000"/>
          <w:sz w:val="20"/>
        </w:rPr>
        <w:t xml:space="preserve"> </w:t>
      </w:r>
      <w:r>
        <w:rPr>
          <w:rFonts w:ascii="Times New Roman" w:hAnsi="Times New Roman"/>
          <w:b w:val="false"/>
          <w:color w:val="000000"/>
          <w:sz w:val="20"/>
        </w:rPr>
        <w:t>million, of which $0.1</w:t>
      </w:r>
      <w:r>
        <w:rPr>
          <w:rFonts w:ascii="Times New Roman" w:hAnsi="Times New Roman"/>
          <w:color w:val="000000"/>
          <w:sz w:val="20"/>
        </w:rPr>
        <w:t xml:space="preserve"> </w:t>
      </w:r>
      <w:r>
        <w:rPr>
          <w:rFonts w:ascii="Times New Roman" w:hAnsi="Times New Roman"/>
          <w:b w:val="false"/>
          <w:color w:val="000000"/>
          <w:sz w:val="20"/>
        </w:rPr>
        <w:t>million was classified as current and $1.3</w:t>
      </w:r>
      <w:r>
        <w:rPr>
          <w:rFonts w:ascii="Times New Roman" w:hAnsi="Times New Roman"/>
          <w:color w:val="000000"/>
          <w:sz w:val="20"/>
        </w:rPr>
        <w:t xml:space="preserve"> </w:t>
      </w:r>
      <w:r>
        <w:rPr>
          <w:rFonts w:ascii="Times New Roman" w:hAnsi="Times New Roman"/>
          <w:b w:val="false"/>
          <w:color w:val="000000"/>
          <w:sz w:val="20"/>
        </w:rPr>
        <w:t>million was classified as long term in the condensed consolidated balance sheets.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1 — Quoted prices for identical instruments in active markets.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3 — Significant inputs to the valuation model are unobservable.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Senior convertible notes, MidCap credit facility, Mann Group convertible note, Milestone Rights liability and Financing liability are disclosed below.</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val="false"/>
          <w:i/>
          <w:color w:val="000000"/>
          <w:sz w:val="20"/>
        </w:rPr>
        <w:t>Financial Liabilities</w:t>
      </w:r>
      <w:r>
        <w:rPr>
          <w:rFonts w:ascii="Times New Roman" w:hAnsi="Times New Roman"/>
          <w:color w:val="000000"/>
          <w:sz w:val="20"/>
        </w:rPr>
        <w:t xml:space="preserve"> — </w:t>
      </w:r>
      <w:r>
        <w:rPr>
          <w:rFonts w:ascii="Times New Roman" w:hAnsi="Times New Roman"/>
          <w:b w:val="false"/>
          <w:color w:val="000000"/>
          <w:sz w:val="20"/>
        </w:rPr>
        <w:t xml:space="preserve">The following tables set forth the fair value of the Company’s financial instruments (in thousands): </w:t>
      </w:r>
    </w:p>
    <w:tbl>
      <w:tblPr>
        <w:tblW w:w="6445" w:type="dxa"/>
        <w:jc w:val="left"/>
        <w:tblInd w:w="0" w:type="dxa"/>
        <w:tblLayout w:type="fixed"/>
        <w:tblCellMar>
          <w:top w:w="28" w:type="dxa"/>
          <w:left w:w="28" w:type="dxa"/>
          <w:bottom w:w="28" w:type="dxa"/>
          <w:right w:w="28" w:type="dxa"/>
        </w:tblCellMar>
      </w:tblPr>
      <w:tblGrid>
        <w:gridCol w:w="2961"/>
        <w:gridCol w:w="146"/>
        <w:gridCol w:w="300"/>
        <w:gridCol w:w="1110"/>
        <w:gridCol w:w="146"/>
        <w:gridCol w:w="146"/>
        <w:gridCol w:w="264"/>
        <w:gridCol w:w="981"/>
        <w:gridCol w:w="391"/>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14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Senior convertible notes</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226,487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237,293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MidCap credit facility</w:t>
            </w:r>
            <w:r>
              <w:rPr>
                <w:rFonts w:ascii="Times New Roman" w:hAnsi="Times New Roman"/>
                <w:b w:val="false"/>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40,032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Mann Group convertible note</w:t>
            </w:r>
            <w:r>
              <w:rPr>
                <w:rFonts w:ascii="Times New Roman" w:hAnsi="Times New Roman"/>
                <w:b w:val="false"/>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15,857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Milestone rights</w:t>
            </w:r>
            <w:r>
              <w:rPr>
                <w:rFonts w:ascii="Times New Roman" w:hAnsi="Times New Roman"/>
                <w:b w:val="false"/>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Contingent milestone liability</w:t>
            </w:r>
            <w:r>
              <w:rPr>
                <w:rFonts w:ascii="Times New Roman" w:hAnsi="Times New Roman"/>
                <w:b w:val="false"/>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Financing liability</w:t>
            </w:r>
            <w:r>
              <w:rPr>
                <w:rFonts w:ascii="Times New Roman" w:hAnsi="Times New Roman"/>
                <w:b w:val="false"/>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104,122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99,940</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spacing w:before="0" w:after="0"/>
        <w:jc w:val="left"/>
        <w:rPr>
          <w:rFonts w:ascii="Times New Roman" w:hAnsi="Times New Roman"/>
          <w:sz w:val="20"/>
        </w:rPr>
      </w:pPr>
      <w:r>
        <w:rPr>
          <w:rFonts w:ascii="Times New Roman" w:hAnsi="Times New Roman"/>
          <w:b w:val="false"/>
          <w:color w:val="000000"/>
          <w:sz w:val="18"/>
        </w:rPr>
        <w:t>Fair value was determined by applying a discounted cash flow analysis to the straight note with a hypothetical yield of 11%, volatility of 61.8% and a Monte Carlo simulation for the value of the conversion feature. A change in yield of + or – 2% would result in a fair value of $229.4</w:t>
      </w:r>
      <w:r>
        <w:rPr>
          <w:rFonts w:ascii="Times New Roman" w:hAnsi="Times New Roman"/>
          <w:color w:val="000000"/>
          <w:sz w:val="20"/>
        </w:rPr>
        <w:t xml:space="preserve"> </w:t>
      </w:r>
      <w:r>
        <w:rPr>
          <w:rFonts w:ascii="Times New Roman" w:hAnsi="Times New Roman"/>
          <w:b w:val="false"/>
          <w:color w:val="000000"/>
          <w:sz w:val="18"/>
        </w:rPr>
        <w:t>million and $245.7</w:t>
      </w:r>
      <w:r>
        <w:rPr>
          <w:rFonts w:ascii="Times New Roman" w:hAnsi="Times New Roman"/>
          <w:color w:val="000000"/>
          <w:sz w:val="20"/>
        </w:rPr>
        <w:t xml:space="preserve"> </w:t>
      </w:r>
      <w:r>
        <w:rPr>
          <w:rFonts w:ascii="Times New Roman" w:hAnsi="Times New Roman"/>
          <w:b w:val="false"/>
          <w:color w:val="000000"/>
          <w:sz w:val="18"/>
        </w:rPr>
        <w:t>million, respectively.</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(2)</w:t>
      </w:r>
    </w:p>
    <w:p>
      <w:pPr>
        <w:pStyle w:val="TextBody"/>
        <w:bidi w:val="0"/>
        <w:spacing w:before="0" w:after="0"/>
        <w:jc w:val="left"/>
        <w:rPr>
          <w:rFonts w:ascii="Times New Roman" w:hAnsi="Times New Roman"/>
          <w:sz w:val="20"/>
        </w:rPr>
      </w:pPr>
      <w:r>
        <w:rPr>
          <w:rFonts w:ascii="Times New Roman" w:hAnsi="Times New Roman"/>
          <w:b w:val="false"/>
          <w:color w:val="000000"/>
          <w:sz w:val="18"/>
        </w:rPr>
        <w:t>Fair value was determined by applying a discounted cash flow analysis with a hypothetical yield of 12.5%. A change in yield of + or – 2% would result in a fair value of $39.4</w:t>
      </w:r>
      <w:r>
        <w:rPr>
          <w:rFonts w:ascii="Times New Roman" w:hAnsi="Times New Roman"/>
          <w:color w:val="000000"/>
          <w:sz w:val="20"/>
        </w:rPr>
        <w:t xml:space="preserve"> </w:t>
      </w:r>
      <w:r>
        <w:rPr>
          <w:rFonts w:ascii="Times New Roman" w:hAnsi="Times New Roman"/>
          <w:b w:val="false"/>
          <w:color w:val="000000"/>
          <w:sz w:val="18"/>
        </w:rPr>
        <w:t>million and $40.7</w:t>
      </w:r>
      <w:r>
        <w:rPr>
          <w:rFonts w:ascii="Times New Roman" w:hAnsi="Times New Roman"/>
          <w:color w:val="000000"/>
          <w:sz w:val="20"/>
        </w:rPr>
        <w:t xml:space="preserve"> </w:t>
      </w:r>
      <w:r>
        <w:rPr>
          <w:rFonts w:ascii="Times New Roman" w:hAnsi="Times New Roman"/>
          <w:b w:val="false"/>
          <w:color w:val="000000"/>
          <w:sz w:val="18"/>
        </w:rPr>
        <w:t>million, respectively.</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(3)</w:t>
      </w:r>
    </w:p>
    <w:p>
      <w:pPr>
        <w:pStyle w:val="TextBody"/>
        <w:bidi w:val="0"/>
        <w:spacing w:before="0" w:after="0"/>
        <w:jc w:val="left"/>
        <w:rPr>
          <w:rFonts w:ascii="Times New Roman" w:hAnsi="Times New Roman"/>
          <w:sz w:val="20"/>
        </w:rPr>
      </w:pPr>
      <w:r>
        <w:rPr>
          <w:rFonts w:ascii="Times New Roman" w:hAnsi="Times New Roman"/>
          <w:b w:val="false"/>
          <w:color w:val="000000"/>
          <w:sz w:val="18"/>
        </w:rPr>
        <w:t>The fair value was determined by applying a discounted cash flow analysis with a hypothetical yield of 13.5% and volatility of 60.9% to the straight note and a binomial option pricing model for the value of the conversion feature. A change in yield of + or – 2% would result in a fair value of $15.6</w:t>
      </w:r>
      <w:r>
        <w:rPr>
          <w:rFonts w:ascii="Times New Roman" w:hAnsi="Times New Roman"/>
          <w:color w:val="000000"/>
          <w:sz w:val="20"/>
        </w:rPr>
        <w:t xml:space="preserve"> </w:t>
      </w:r>
      <w:r>
        <w:rPr>
          <w:rFonts w:ascii="Times New Roman" w:hAnsi="Times New Roman"/>
          <w:b w:val="false"/>
          <w:color w:val="000000"/>
          <w:sz w:val="18"/>
        </w:rPr>
        <w:t>million and $16.1</w:t>
      </w:r>
      <w:r>
        <w:rPr>
          <w:rFonts w:ascii="Times New Roman" w:hAnsi="Times New Roman"/>
          <w:color w:val="000000"/>
          <w:sz w:val="20"/>
        </w:rPr>
        <w:t xml:space="preserve"> </w:t>
      </w:r>
      <w:r>
        <w:rPr>
          <w:rFonts w:ascii="Times New Roman" w:hAnsi="Times New Roman"/>
          <w:b w:val="false"/>
          <w:color w:val="000000"/>
          <w:sz w:val="18"/>
        </w:rPr>
        <w:t>million, respectively.</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(4)</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Fair value was determined by applying a Monte Carlo simulation.</w:t>
      </w:r>
    </w:p>
    <w:p>
      <w:pPr>
        <w:pStyle w:val="TextBody"/>
        <w:bidi w:val="0"/>
        <w:spacing w:before="0" w:after="240"/>
        <w:jc w:val="left"/>
        <w:rPr>
          <w:rFonts w:ascii="Times New Roman" w:hAnsi="Times New Roman"/>
          <w:b w:val="false"/>
          <w:color w:val="000000"/>
          <w:sz w:val="14"/>
        </w:rPr>
      </w:pPr>
      <w:r>
        <w:rPr>
          <w:rFonts w:ascii="Times New Roman" w:hAnsi="Times New Roman"/>
          <w:b w:val="false"/>
          <w:color w:val="000000"/>
          <w:sz w:val="14"/>
        </w:rPr>
        <w:t>(5)</w:t>
      </w:r>
    </w:p>
    <w:p>
      <w:pPr>
        <w:pStyle w:val="TextBody"/>
        <w:bidi w:val="0"/>
        <w:spacing w:before="0" w:after="240"/>
        <w:jc w:val="left"/>
        <w:rPr>
          <w:rFonts w:ascii="Times New Roman" w:hAnsi="Times New Roman"/>
          <w:sz w:val="20"/>
        </w:rPr>
      </w:pPr>
      <w:r>
        <w:rPr>
          <w:rFonts w:ascii="Times New Roman" w:hAnsi="Times New Roman"/>
          <w:b w:val="false"/>
          <w:color w:val="000000"/>
          <w:sz w:val="18"/>
        </w:rPr>
        <w:t>Fair value was determined by applying a discounted cash flow analysis with a hypothetical yield of 10.5%.</w:t>
      </w:r>
      <w:r>
        <w:rPr>
          <w:rFonts w:ascii="Times New Roman" w:hAnsi="Times New Roman"/>
          <w:color w:val="000000"/>
          <w:sz w:val="20"/>
        </w:rPr>
        <w:t xml:space="preserve"> </w:t>
      </w:r>
    </w:p>
    <w:tbl>
      <w:tblPr>
        <w:tblW w:w="6280" w:type="dxa"/>
        <w:jc w:val="left"/>
        <w:tblInd w:w="0" w:type="dxa"/>
        <w:tblLayout w:type="fixed"/>
        <w:tblCellMar>
          <w:top w:w="28" w:type="dxa"/>
          <w:left w:w="28" w:type="dxa"/>
          <w:bottom w:w="28" w:type="dxa"/>
          <w:right w:w="28" w:type="dxa"/>
        </w:tblCellMar>
      </w:tblPr>
      <w:tblGrid>
        <w:gridCol w:w="2961"/>
        <w:gridCol w:w="146"/>
        <w:gridCol w:w="265"/>
        <w:gridCol w:w="980"/>
        <w:gridCol w:w="146"/>
        <w:gridCol w:w="146"/>
        <w:gridCol w:w="264"/>
        <w:gridCol w:w="981"/>
        <w:gridCol w:w="391"/>
      </w:tblGrid>
      <w:tr>
        <w:trPr/>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Senior convertible notes</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225,397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253,864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MidCap credit facility</w:t>
            </w:r>
            <w:r>
              <w:rPr>
                <w:rFonts w:ascii="Times New Roman" w:hAnsi="Times New Roman"/>
                <w:b w:val="false"/>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41,070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Mann Group convertible note</w:t>
            </w:r>
            <w:r>
              <w:rPr>
                <w:rFonts w:ascii="Times New Roman" w:hAnsi="Times New Roman"/>
                <w:b w:val="false"/>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20,836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Milestone rights</w:t>
            </w:r>
            <w:r>
              <w:rPr>
                <w:rFonts w:ascii="Times New Roman" w:hAnsi="Times New Roman"/>
                <w:b w:val="false"/>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Contingent milestone liability</w:t>
            </w:r>
            <w:r>
              <w:rPr>
                <w:rFonts w:ascii="Times New Roman" w:hAnsi="Times New Roman"/>
                <w:b w:val="false"/>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Financing liability</w:t>
            </w:r>
            <w:r>
              <w:rPr>
                <w:rFonts w:ascii="Times New Roman" w:hAnsi="Times New Roman"/>
                <w:b w:val="false"/>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104,077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103,239</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jc w:val="left"/>
        <w:rPr>
          <w:rFonts w:ascii="Times New Roman" w:hAnsi="Times New Roman"/>
          <w:sz w:val="20"/>
        </w:rPr>
      </w:pPr>
      <w:r>
        <w:rPr>
          <w:rFonts w:ascii="Times New Roman" w:hAnsi="Times New Roman"/>
          <w:b w:val="false"/>
          <w:color w:val="000000"/>
          <w:sz w:val="18"/>
        </w:rPr>
        <w:t>Fair value was determined by applying a discounted cash flow analysis to the straight note with a hypothetical yield of 13%, volatility of 75.8% and a Monte Carlo simulation for the value of the conversion feature. A change in yield of + or – 2% would result in a fair value of $245.0</w:t>
      </w:r>
      <w:r>
        <w:rPr>
          <w:rFonts w:ascii="Times New Roman" w:hAnsi="Times New Roman"/>
          <w:color w:val="000000"/>
          <w:sz w:val="20"/>
        </w:rPr>
        <w:t xml:space="preserve"> </w:t>
      </w:r>
      <w:r>
        <w:rPr>
          <w:rFonts w:ascii="Times New Roman" w:hAnsi="Times New Roman"/>
          <w:b w:val="false"/>
          <w:color w:val="000000"/>
          <w:sz w:val="18"/>
        </w:rPr>
        <w:t>million and $263.4</w:t>
      </w:r>
      <w:r>
        <w:rPr>
          <w:rFonts w:ascii="Times New Roman" w:hAnsi="Times New Roman"/>
          <w:color w:val="000000"/>
          <w:sz w:val="20"/>
        </w:rPr>
        <w:t xml:space="preserve"> </w:t>
      </w:r>
      <w:r>
        <w:rPr>
          <w:rFonts w:ascii="Times New Roman" w:hAnsi="Times New Roman"/>
          <w:b w:val="false"/>
          <w:color w:val="000000"/>
          <w:sz w:val="18"/>
        </w:rPr>
        <w:t>million,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(2)</w:t>
      </w:r>
    </w:p>
    <w:p>
      <w:pPr>
        <w:pStyle w:val="TextBody"/>
        <w:bidi w:val="0"/>
        <w:spacing w:before="0" w:after="0"/>
        <w:jc w:val="left"/>
        <w:rPr>
          <w:rFonts w:ascii="Times New Roman" w:hAnsi="Times New Roman"/>
          <w:sz w:val="20"/>
        </w:rPr>
      </w:pPr>
      <w:r>
        <w:rPr>
          <w:rFonts w:ascii="Times New Roman" w:hAnsi="Times New Roman"/>
          <w:b w:val="false"/>
          <w:color w:val="000000"/>
          <w:sz w:val="18"/>
        </w:rPr>
        <w:t>Fair value was determined by applying a discounted cash flow analysis with a hypothetical yield of 12%. A change in yield of + or – 2% would result in a fair value of $40.0</w:t>
      </w:r>
      <w:r>
        <w:rPr>
          <w:rFonts w:ascii="Times New Roman" w:hAnsi="Times New Roman"/>
          <w:color w:val="000000"/>
          <w:sz w:val="20"/>
        </w:rPr>
        <w:t xml:space="preserve"> </w:t>
      </w:r>
      <w:r>
        <w:rPr>
          <w:rFonts w:ascii="Times New Roman" w:hAnsi="Times New Roman"/>
          <w:b w:val="false"/>
          <w:color w:val="000000"/>
          <w:sz w:val="18"/>
        </w:rPr>
        <w:t>million and $42.4</w:t>
      </w:r>
      <w:r>
        <w:rPr>
          <w:rFonts w:ascii="Times New Roman" w:hAnsi="Times New Roman"/>
          <w:color w:val="000000"/>
          <w:sz w:val="20"/>
        </w:rPr>
        <w:t xml:space="preserve"> </w:t>
      </w:r>
      <w:r>
        <w:rPr>
          <w:rFonts w:ascii="Times New Roman" w:hAnsi="Times New Roman"/>
          <w:b w:val="false"/>
          <w:color w:val="000000"/>
          <w:sz w:val="18"/>
        </w:rPr>
        <w:t>million, respectively.</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(3)</w:t>
      </w:r>
    </w:p>
    <w:p>
      <w:pPr>
        <w:pStyle w:val="TextBody"/>
        <w:bidi w:val="0"/>
        <w:spacing w:before="0" w:after="0"/>
        <w:jc w:val="left"/>
        <w:rPr>
          <w:rFonts w:ascii="Times New Roman" w:hAnsi="Times New Roman"/>
          <w:sz w:val="20"/>
        </w:rPr>
      </w:pPr>
      <w:r>
        <w:rPr>
          <w:rFonts w:ascii="Times New Roman" w:hAnsi="Times New Roman"/>
          <w:b w:val="false"/>
          <w:color w:val="000000"/>
          <w:sz w:val="18"/>
        </w:rPr>
        <w:t>Fair value was determined by applying a discounted cash flow analysis with a hypothetical yield of 13% and volatility of 77.8% to the straight note and a binomial option pricing model for the value of the conversion feature. A change in yield of + or – 2% would result in a fair value of $20.5</w:t>
      </w:r>
      <w:r>
        <w:rPr>
          <w:rFonts w:ascii="Times New Roman" w:hAnsi="Times New Roman"/>
          <w:color w:val="000000"/>
          <w:sz w:val="20"/>
        </w:rPr>
        <w:t xml:space="preserve"> </w:t>
      </w:r>
      <w:r>
        <w:rPr>
          <w:rFonts w:ascii="Times New Roman" w:hAnsi="Times New Roman"/>
          <w:b w:val="false"/>
          <w:color w:val="000000"/>
          <w:sz w:val="18"/>
        </w:rPr>
        <w:t>million and $21.2</w:t>
      </w:r>
      <w:r>
        <w:rPr>
          <w:rFonts w:ascii="Times New Roman" w:hAnsi="Times New Roman"/>
          <w:color w:val="000000"/>
          <w:sz w:val="20"/>
        </w:rPr>
        <w:t xml:space="preserve"> </w:t>
      </w:r>
      <w:r>
        <w:rPr>
          <w:rFonts w:ascii="Times New Roman" w:hAnsi="Times New Roman"/>
          <w:b w:val="false"/>
          <w:color w:val="000000"/>
          <w:sz w:val="18"/>
        </w:rPr>
        <w:t>million, respectively.</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(4)</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Fair value was determined by applying a Monte Carlo simulation.</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(5)</w:t>
      </w:r>
    </w:p>
    <w:p>
      <w:pPr>
        <w:pStyle w:val="TextBody"/>
        <w:bidi w:val="0"/>
        <w:jc w:val="left"/>
        <w:rPr>
          <w:rFonts w:ascii="Times New Roman" w:hAnsi="Times New Roman"/>
          <w:sz w:val="20"/>
        </w:rPr>
      </w:pPr>
      <w:r>
        <w:rPr>
          <w:rFonts w:ascii="Times New Roman" w:hAnsi="Times New Roman"/>
          <w:b w:val="false"/>
          <w:color w:val="000000"/>
          <w:sz w:val="18"/>
        </w:rPr>
        <w:t>Fair value was determined by applying a discounted cash flow analysis with a hypothetical yield of 10%.</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Milestone Rights Liability </w:t>
      </w:r>
      <w:r>
        <w:rPr>
          <w:rFonts w:ascii="Times New Roman" w:hAnsi="Times New Roman"/>
          <w:color w:val="000000"/>
          <w:sz w:val="20"/>
        </w:rPr>
        <w:t xml:space="preserve">— </w:t>
      </w:r>
      <w:r>
        <w:rPr>
          <w:rFonts w:ascii="Times New Roman" w:hAnsi="Times New Roman"/>
          <w:b w:val="false"/>
          <w:color w:val="000000"/>
          <w:sz w:val="20"/>
        </w:rPr>
        <w:t xml:space="preserve">The fair value measurement of the Milestone Rights liability is sensitive to the discount rate and the timing of achievement of milestones. The Company utilized Monte-Carlo Simulation Method to simulate the Afrezza net sales under a neutral framework to estimate the payment. The Company then discounted the future expected payments at cost of debt with a term equal to the simulated time to payout based on cumulative sales. See Note 15 – </w:t>
      </w:r>
      <w:r>
        <w:rPr>
          <w:rFonts w:ascii="Times New Roman" w:hAnsi="Times New Roman"/>
          <w:b w:val="false"/>
          <w:i/>
          <w:color w:val="000000"/>
          <w:sz w:val="20"/>
        </w:rPr>
        <w:t>Commitments and Contingencies</w:t>
      </w:r>
      <w:r>
        <w:rPr>
          <w:rFonts w:ascii="Times New Roman" w:hAnsi="Times New Roman"/>
          <w:b w:val="false"/>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Contingent milestone liability — </w:t>
      </w:r>
      <w:r>
        <w:rPr>
          <w:rFonts w:ascii="Times New Roman" w:hAnsi="Times New Roman"/>
          <w:b w:val="false"/>
          <w:color w:val="000000"/>
          <w:sz w:val="20"/>
        </w:rPr>
        <w:t xml:space="preserve">The acquisition of V-Go in May 2022 resulted in a contingent milestone liability which could result in obligations to the seller if certain revenue thresholds are met. The initial fair value of the contingent milestone liability was recorded as an adjustment to the purchase price. Subsequent changes in the fair value are reported in general and administrative expenses. See Note 2 – </w:t>
      </w:r>
      <w:r>
        <w:rPr>
          <w:rFonts w:ascii="Times New Roman" w:hAnsi="Times New Roman"/>
          <w:b w:val="false"/>
          <w:i/>
          <w:color w:val="000000"/>
          <w:sz w:val="20"/>
        </w:rPr>
        <w:t>Acquisition.</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Financing Liability</w:t>
      </w:r>
      <w:r>
        <w:rPr>
          <w:rFonts w:ascii="Times New Roman" w:hAnsi="Times New Roman"/>
          <w:color w:val="000000"/>
          <w:sz w:val="20"/>
        </w:rPr>
        <w:t xml:space="preserve"> — </w:t>
      </w:r>
      <w:r>
        <w:rPr>
          <w:rFonts w:ascii="Times New Roman" w:hAnsi="Times New Roman"/>
          <w:b w:val="false"/>
          <w:color w:val="000000"/>
          <w:sz w:val="20"/>
        </w:rPr>
        <w:t xml:space="preserve">The Sale-Leaseback Transaction in November 2021 resulted in a financing liability. See Note 15 – </w:t>
      </w:r>
      <w:r>
        <w:rPr>
          <w:rFonts w:ascii="Times New Roman" w:hAnsi="Times New Roman"/>
          <w:b w:val="false"/>
          <w:i/>
          <w:color w:val="000000"/>
          <w:sz w:val="20"/>
        </w:rPr>
        <w:t>Commitments and Contingencies</w:t>
      </w:r>
      <w:r>
        <w:rPr>
          <w:rFonts w:ascii="Times New Roman" w:hAnsi="Times New Roman"/>
          <w:b w:val="false"/>
          <w:color w:val="000000"/>
          <w:sz w:val="20"/>
        </w:rPr>
        <w:t>.</w:t>
      </w:r>
    </w:p>
    <w:p>
      <w:pPr>
        <w:pStyle w:val="TextBody"/>
        <w:bidi w:val="0"/>
        <w:spacing w:before="360" w:after="283"/>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Common and Preferred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2023, the Company’s stockholders, upon recommendation of the Company’s board of directors approved an amendment to our Amended and Restated Certificate of Incorporation to increase the authorized number of shares of common stock from 400,000,000</w:t>
      </w:r>
      <w:r>
        <w:rPr>
          <w:rFonts w:ascii="Times New Roman" w:hAnsi="Times New Roman"/>
          <w:color w:val="000000"/>
          <w:sz w:val="20"/>
        </w:rPr>
        <w:t xml:space="preserve"> </w:t>
      </w:r>
      <w:r>
        <w:rPr>
          <w:rFonts w:ascii="Times New Roman" w:hAnsi="Times New Roman"/>
          <w:b w:val="false"/>
          <w:color w:val="000000"/>
          <w:sz w:val="20"/>
        </w:rPr>
        <w:t>shares to 800,000,000</w:t>
      </w:r>
      <w:r>
        <w:rPr>
          <w:rFonts w:ascii="Times New Roman" w:hAnsi="Times New Roman"/>
          <w:color w:val="000000"/>
          <w:sz w:val="20"/>
        </w:rPr>
        <w:t xml:space="preserve"> </w:t>
      </w:r>
      <w:r>
        <w:rPr>
          <w:rFonts w:ascii="Times New Roman" w:hAnsi="Times New Roman"/>
          <w:b w:val="false"/>
          <w:color w:val="000000"/>
          <w:sz w:val="20"/>
        </w:rPr>
        <w:t>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is authorized to issue 800,000,000</w:t>
      </w:r>
      <w:r>
        <w:rPr>
          <w:rFonts w:ascii="Times New Roman" w:hAnsi="Times New Roman"/>
          <w:color w:val="000000"/>
          <w:sz w:val="20"/>
        </w:rPr>
        <w:t xml:space="preserve"> </w:t>
      </w:r>
      <w:r>
        <w:rPr>
          <w:rFonts w:ascii="Times New Roman" w:hAnsi="Times New Roman"/>
          <w:b w:val="false"/>
          <w:color w:val="000000"/>
          <w:sz w:val="20"/>
        </w:rPr>
        <w:t>shares of common stock, par value $0.01</w:t>
      </w:r>
      <w:r>
        <w:rPr>
          <w:rFonts w:ascii="Times New Roman" w:hAnsi="Times New Roman"/>
          <w:color w:val="000000"/>
          <w:sz w:val="20"/>
        </w:rPr>
        <w:t xml:space="preserve"> </w:t>
      </w:r>
      <w:r>
        <w:rPr>
          <w:rFonts w:ascii="Times New Roman" w:hAnsi="Times New Roman"/>
          <w:b w:val="false"/>
          <w:color w:val="000000"/>
          <w:sz w:val="20"/>
        </w:rPr>
        <w:t>per share, and 10,000,000</w:t>
      </w:r>
      <w:r>
        <w:rPr>
          <w:rFonts w:ascii="Times New Roman" w:hAnsi="Times New Roman"/>
          <w:color w:val="000000"/>
          <w:sz w:val="20"/>
        </w:rPr>
        <w:t xml:space="preserve"> </w:t>
      </w:r>
      <w:r>
        <w:rPr>
          <w:rFonts w:ascii="Times New Roman" w:hAnsi="Times New Roman"/>
          <w:b w:val="false"/>
          <w:color w:val="000000"/>
          <w:sz w:val="20"/>
        </w:rPr>
        <w:t>shares of undesignated preferred stock, par value $0.01</w:t>
      </w:r>
      <w:r>
        <w:rPr>
          <w:rFonts w:ascii="Times New Roman" w:hAnsi="Times New Roman"/>
          <w:color w:val="000000"/>
          <w:sz w:val="20"/>
        </w:rPr>
        <w:t xml:space="preserve"> </w:t>
      </w:r>
      <w:r>
        <w:rPr>
          <w:rFonts w:ascii="Times New Roman" w:hAnsi="Times New Roman"/>
          <w:b w:val="false"/>
          <w:color w:val="000000"/>
          <w:sz w:val="20"/>
        </w:rPr>
        <w:t>per share, issuable in one or more series as designated by the Company’s board of directors. No other class of capital stock is authorized. As of September 30, 2023 and December 31, 2022, 269,543,539</w:t>
      </w:r>
      <w:r>
        <w:rPr>
          <w:rFonts w:ascii="Times New Roman" w:hAnsi="Times New Roman"/>
          <w:color w:val="000000"/>
          <w:sz w:val="20"/>
        </w:rPr>
        <w:t xml:space="preserve"> </w:t>
      </w:r>
      <w:r>
        <w:rPr>
          <w:rFonts w:ascii="Times New Roman" w:hAnsi="Times New Roman"/>
          <w:b w:val="false"/>
          <w:color w:val="000000"/>
          <w:sz w:val="20"/>
        </w:rPr>
        <w:t>and 263,793,305</w:t>
      </w:r>
      <w:r>
        <w:rPr>
          <w:rFonts w:ascii="Times New Roman" w:hAnsi="Times New Roman"/>
          <w:color w:val="000000"/>
          <w:sz w:val="20"/>
        </w:rPr>
        <w:t xml:space="preserve"> </w:t>
      </w:r>
      <w:r>
        <w:rPr>
          <w:rFonts w:ascii="Times New Roman" w:hAnsi="Times New Roman"/>
          <w:b w:val="false"/>
          <w:color w:val="000000"/>
          <w:sz w:val="20"/>
        </w:rPr>
        <w:t>shares of common stock, respectively, were issued and outstanding and no</w:t>
      </w:r>
      <w:r>
        <w:rPr>
          <w:rFonts w:ascii="Times New Roman" w:hAnsi="Times New Roman"/>
          <w:color w:val="000000"/>
          <w:sz w:val="20"/>
        </w:rPr>
        <w:t xml:space="preserve"> </w:t>
      </w:r>
      <w:r>
        <w:rPr>
          <w:rFonts w:ascii="Times New Roman" w:hAnsi="Times New Roman"/>
          <w:b w:val="false"/>
          <w:color w:val="000000"/>
          <w:sz w:val="20"/>
        </w:rPr>
        <w:t>shares of preferred stock were outstanding.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w:t>
      </w:r>
      <w:r>
        <w:rPr>
          <w:rFonts w:ascii="Times New Roman" w:hAnsi="Times New Roman"/>
          <w:color w:val="000000"/>
          <w:sz w:val="20"/>
        </w:rPr>
        <w:t xml:space="preserve"> </w:t>
      </w:r>
      <w:r>
        <w:rPr>
          <w:rFonts w:ascii="Times New Roman" w:hAnsi="Times New Roman"/>
          <w:b w:val="false"/>
          <w:color w:val="000000"/>
          <w:sz w:val="20"/>
        </w:rPr>
        <w:t>million or such other amount as may be permitted by the Sales Agreement. Under the Sales Agreement, Cantor Fitzgerald may sell shares by any method deemed to be an “at-the-market offering” as defined in Rule 415 under the Securities Act of 1933, as amended. For the nine months ended September 30, 2023, the Company sold 1,478,090</w:t>
      </w:r>
      <w:r>
        <w:rPr>
          <w:rFonts w:ascii="Times New Roman" w:hAnsi="Times New Roman"/>
          <w:color w:val="000000"/>
          <w:sz w:val="20"/>
        </w:rPr>
        <w:t xml:space="preserve"> </w:t>
      </w:r>
      <w:r>
        <w:rPr>
          <w:rFonts w:ascii="Times New Roman" w:hAnsi="Times New Roman"/>
          <w:b w:val="false"/>
          <w:color w:val="000000"/>
          <w:sz w:val="20"/>
        </w:rPr>
        <w:t>shares of common stock at a weighted average purchase price of $4.66</w:t>
      </w:r>
      <w:r>
        <w:rPr>
          <w:rFonts w:ascii="Times New Roman" w:hAnsi="Times New Roman"/>
          <w:color w:val="000000"/>
          <w:sz w:val="20"/>
        </w:rPr>
        <w:t xml:space="preserve"> </w:t>
      </w:r>
      <w:r>
        <w:rPr>
          <w:rFonts w:ascii="Times New Roman" w:hAnsi="Times New Roman"/>
          <w:b w:val="false"/>
          <w:color w:val="000000"/>
          <w:sz w:val="20"/>
        </w:rPr>
        <w:t>per share for gross proceeds of approximately $6.9</w:t>
      </w:r>
      <w:r>
        <w:rPr>
          <w:rFonts w:ascii="Times New Roman" w:hAnsi="Times New Roman"/>
          <w:color w:val="000000"/>
          <w:sz w:val="20"/>
        </w:rPr>
        <w:t xml:space="preserve"> </w:t>
      </w:r>
      <w:r>
        <w:rPr>
          <w:rFonts w:ascii="Times New Roman" w:hAnsi="Times New Roman"/>
          <w:b w:val="false"/>
          <w:color w:val="000000"/>
          <w:sz w:val="20"/>
        </w:rPr>
        <w:t>million pursuant to the CF Sales Agreement. For the nine months ended September 30, 2022, the Company sold 5,059,856</w:t>
      </w:r>
      <w:r>
        <w:rPr>
          <w:rFonts w:ascii="Times New Roman" w:hAnsi="Times New Roman"/>
          <w:color w:val="000000"/>
          <w:sz w:val="20"/>
        </w:rPr>
        <w:t xml:space="preserve"> </w:t>
      </w:r>
      <w:r>
        <w:rPr>
          <w:rFonts w:ascii="Times New Roman" w:hAnsi="Times New Roman"/>
          <w:b w:val="false"/>
          <w:color w:val="000000"/>
          <w:sz w:val="20"/>
        </w:rPr>
        <w:t>shares of common stock at a weighted average purchase price of $3.91</w:t>
      </w:r>
      <w:r>
        <w:rPr>
          <w:rFonts w:ascii="Times New Roman" w:hAnsi="Times New Roman"/>
          <w:color w:val="000000"/>
          <w:sz w:val="20"/>
        </w:rPr>
        <w:t xml:space="preserve"> </w:t>
      </w:r>
      <w:r>
        <w:rPr>
          <w:rFonts w:ascii="Times New Roman" w:hAnsi="Times New Roman"/>
          <w:b w:val="false"/>
          <w:color w:val="000000"/>
          <w:sz w:val="20"/>
        </w:rPr>
        <w:t>per share for gross proceeds of approximately $19.8</w:t>
      </w:r>
      <w:r>
        <w:rPr>
          <w:rFonts w:ascii="Times New Roman" w:hAnsi="Times New Roman"/>
          <w:color w:val="000000"/>
          <w:sz w:val="20"/>
        </w:rPr>
        <w:t xml:space="preserve"> </w:t>
      </w:r>
      <w:r>
        <w:rPr>
          <w:rFonts w:ascii="Times New Roman" w:hAnsi="Times New Roman"/>
          <w:b w:val="false"/>
          <w:color w:val="000000"/>
          <w:sz w:val="20"/>
        </w:rPr>
        <w:t>million pursuant to the CF Sales Agreement.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nine months ended September 30, 2023, the Company paid interest on the Mann Group convertible note by issuing 37,122</w:t>
      </w:r>
      <w:r>
        <w:rPr>
          <w:rFonts w:ascii="Times New Roman" w:hAnsi="Times New Roman"/>
          <w:color w:val="000000"/>
          <w:sz w:val="20"/>
        </w:rPr>
        <w:t xml:space="preserve"> </w:t>
      </w:r>
      <w:r>
        <w:rPr>
          <w:rFonts w:ascii="Times New Roman" w:hAnsi="Times New Roman"/>
          <w:b w:val="false"/>
          <w:color w:val="000000"/>
          <w:sz w:val="20"/>
        </w:rPr>
        <w:t>shares of common stock. During the nine months ended September 30, 2022, Mann Group converted $10.0</w:t>
      </w:r>
      <w:r>
        <w:rPr>
          <w:rFonts w:ascii="Times New Roman" w:hAnsi="Times New Roman"/>
          <w:color w:val="000000"/>
          <w:sz w:val="20"/>
        </w:rPr>
        <w:t xml:space="preserve"> </w:t>
      </w:r>
      <w:r>
        <w:rPr>
          <w:rFonts w:ascii="Times New Roman" w:hAnsi="Times New Roman"/>
          <w:b w:val="false"/>
          <w:color w:val="000000"/>
          <w:sz w:val="20"/>
        </w:rPr>
        <w:t>million of principal and capitalized interest into 4,000,000</w:t>
      </w:r>
      <w:r>
        <w:rPr>
          <w:rFonts w:ascii="Times New Roman" w:hAnsi="Times New Roman"/>
          <w:color w:val="000000"/>
          <w:sz w:val="20"/>
        </w:rPr>
        <w:t xml:space="preserve"> </w:t>
      </w:r>
      <w:r>
        <w:rPr>
          <w:rFonts w:ascii="Times New Roman" w:hAnsi="Times New Roman"/>
          <w:b w:val="false"/>
          <w:color w:val="000000"/>
          <w:sz w:val="20"/>
        </w:rPr>
        <w:t>shares of common stock. In addition, the Company paid interest by issuing the Mann Group 57,491</w:t>
      </w:r>
      <w:r>
        <w:rPr>
          <w:rFonts w:ascii="Times New Roman" w:hAnsi="Times New Roman"/>
          <w:color w:val="000000"/>
          <w:sz w:val="20"/>
        </w:rPr>
        <w:t xml:space="preserve"> </w:t>
      </w:r>
      <w:r>
        <w:rPr>
          <w:rFonts w:ascii="Times New Roman" w:hAnsi="Times New Roman"/>
          <w:b w:val="false"/>
          <w:color w:val="000000"/>
          <w:sz w:val="20"/>
        </w:rPr>
        <w:t>shares of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nine months ended September 30, 2023, the Company received</w:t>
      </w:r>
      <w:r>
        <w:rPr>
          <w:rFonts w:ascii="Times New Roman" w:hAnsi="Times New Roman"/>
          <w:color w:val="000000"/>
          <w:sz w:val="20"/>
        </w:rPr>
        <w:t xml:space="preserve"> </w:t>
      </w:r>
      <w:r>
        <w:rPr>
          <w:rFonts w:ascii="Times New Roman" w:hAnsi="Times New Roman"/>
          <w:b w:val="false"/>
          <w:color w:val="000000"/>
          <w:sz w:val="20"/>
        </w:rPr>
        <w:t>$0.2</w:t>
      </w:r>
      <w:r>
        <w:rPr>
          <w:rFonts w:ascii="Times New Roman" w:hAnsi="Times New Roman"/>
          <w:color w:val="000000"/>
          <w:sz w:val="20"/>
        </w:rPr>
        <w:t xml:space="preserve"> </w:t>
      </w:r>
      <w:r>
        <w:rPr>
          <w:rFonts w:ascii="Times New Roman" w:hAnsi="Times New Roman"/>
          <w:b w:val="false"/>
          <w:color w:val="000000"/>
          <w:sz w:val="20"/>
        </w:rPr>
        <w:t>million from the market price stock purchase plan (“MPSPP”) for 36,004</w:t>
      </w:r>
      <w:r>
        <w:rPr>
          <w:rFonts w:ascii="Times New Roman" w:hAnsi="Times New Roman"/>
          <w:color w:val="000000"/>
          <w:sz w:val="20"/>
        </w:rPr>
        <w:t xml:space="preserve"> </w:t>
      </w:r>
      <w:r>
        <w:rPr>
          <w:rFonts w:ascii="Times New Roman" w:hAnsi="Times New Roman"/>
          <w:b w:val="false"/>
          <w:color w:val="000000"/>
          <w:sz w:val="20"/>
        </w:rPr>
        <w:t>shares. For the nine months ended September 30, 2022, the Company received</w:t>
      </w:r>
      <w:r>
        <w:rPr>
          <w:rFonts w:ascii="Times New Roman" w:hAnsi="Times New Roman"/>
          <w:color w:val="000000"/>
          <w:sz w:val="20"/>
        </w:rPr>
        <w:t xml:space="preserve"> </w:t>
      </w:r>
      <w:r>
        <w:rPr>
          <w:rFonts w:ascii="Times New Roman" w:hAnsi="Times New Roman"/>
          <w:b w:val="false"/>
          <w:color w:val="000000"/>
          <w:sz w:val="20"/>
        </w:rPr>
        <w:t>$0.7</w:t>
      </w:r>
      <w:r>
        <w:rPr>
          <w:rFonts w:ascii="Times New Roman" w:hAnsi="Times New Roman"/>
          <w:color w:val="000000"/>
          <w:sz w:val="20"/>
        </w:rPr>
        <w:t xml:space="preserve"> </w:t>
      </w:r>
      <w:r>
        <w:rPr>
          <w:rFonts w:ascii="Times New Roman" w:hAnsi="Times New Roman"/>
          <w:b w:val="false"/>
          <w:color w:val="000000"/>
          <w:sz w:val="20"/>
        </w:rPr>
        <w:t>million from the MPSPP for 252,176</w:t>
      </w:r>
      <w:r>
        <w:rPr>
          <w:rFonts w:ascii="Times New Roman" w:hAnsi="Times New Roman"/>
          <w:color w:val="000000"/>
          <w:sz w:val="20"/>
        </w:rPr>
        <w:t xml:space="preserve"> </w:t>
      </w:r>
      <w:r>
        <w:rPr>
          <w:rFonts w:ascii="Times New Roman" w:hAnsi="Times New Roman"/>
          <w:b w:val="false"/>
          <w:color w:val="000000"/>
          <w:sz w:val="20"/>
        </w:rPr>
        <w:t>shares.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For shares of common stock issued pursuant to the Company's 2004 employee stock purchase plan ("ESPP"), see Note 14 – </w:t>
      </w:r>
      <w:r>
        <w:rPr>
          <w:rFonts w:ascii="Times New Roman" w:hAnsi="Times New Roman"/>
          <w:b w:val="false"/>
          <w:i/>
          <w:color w:val="000000"/>
          <w:sz w:val="20"/>
        </w:rPr>
        <w:t>Stock-Based Compensation Expense.</w:t>
      </w:r>
    </w:p>
    <w:p>
      <w:pPr>
        <w:pStyle w:val="TextBody"/>
        <w:bidi w:val="0"/>
        <w:spacing w:before="360" w:after="283"/>
        <w:jc w:val="left"/>
        <w:rPr>
          <w:rFonts w:ascii="Times New Roman" w:hAnsi="Times New Roman"/>
          <w:sz w:val="20"/>
        </w:rPr>
      </w:pPr>
      <w:r>
        <w:rPr>
          <w:rFonts w:ascii="Times New Roman" w:hAnsi="Times New Roman"/>
          <w:b/>
          <w:color w:val="000000"/>
          <w:sz w:val="20"/>
        </w:rPr>
        <w:t>13.</w:t>
      </w:r>
      <w:r>
        <w:rPr>
          <w:rFonts w:ascii="Times New Roman" w:hAnsi="Times New Roman"/>
          <w:color w:val="000000"/>
          <w:sz w:val="20"/>
        </w:rPr>
        <w:t xml:space="preserve"> </w:t>
      </w:r>
      <w:r>
        <w:rPr>
          <w:rFonts w:ascii="Times New Roman" w:hAnsi="Times New Roman"/>
          <w:b/>
          <w:color w:val="000000"/>
          <w:sz w:val="20"/>
        </w:rPr>
        <w:t>Earnings per Common Share (“EPS”)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and the if-converted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method for convertible debt securities. For periods where the Company has presented a net loss, potentially dilutive securities are excluded from the computation of diluted EPS as they would be antidilutive.</w:t>
      </w:r>
      <w:r>
        <w:rPr>
          <w:rFonts w:ascii="Times New Roman" w:hAnsi="Times New Roman"/>
          <w:color w:val="000000"/>
          <w:sz w:val="20"/>
        </w:rPr>
        <w:t xml:space="preserve"> </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The following tables summarize the components of the basic and diluted EPS computations (in thousands, except per share amounts):</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46"/>
        <w:gridCol w:w="146"/>
        <w:gridCol w:w="211"/>
        <w:gridCol w:w="781"/>
        <w:gridCol w:w="166"/>
        <w:gridCol w:w="146"/>
        <w:gridCol w:w="211"/>
        <w:gridCol w:w="781"/>
        <w:gridCol w:w="166"/>
        <w:gridCol w:w="146"/>
        <w:gridCol w:w="211"/>
        <w:gridCol w:w="781"/>
        <w:gridCol w:w="41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EPS — basic and diluted:</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7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 (numerator)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(69,453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7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 average common shares (denominator)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254,974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EPS — diluted:</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7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 (numerator)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(69,453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7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 average common shares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268,732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254,974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7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Effect of dilutive securities — common shares issuable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Adjusted weighted average common shares (denominator)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254,974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months ended September 30, 2023, diluted net income per share excluded the weighted average effect of 9.4</w:t>
      </w:r>
      <w:r>
        <w:rPr>
          <w:rFonts w:ascii="Times New Roman" w:hAnsi="Times New Roman"/>
          <w:color w:val="000000"/>
          <w:sz w:val="20"/>
        </w:rPr>
        <w:t xml:space="preserve"> </w:t>
      </w:r>
      <w:r>
        <w:rPr>
          <w:rFonts w:ascii="Times New Roman" w:hAnsi="Times New Roman"/>
          <w:b w:val="false"/>
          <w:color w:val="000000"/>
          <w:sz w:val="20"/>
        </w:rPr>
        <w:t>million shares of RSUs and Market RSUs and 2.0</w:t>
      </w:r>
      <w:r>
        <w:rPr>
          <w:rFonts w:ascii="Times New Roman" w:hAnsi="Times New Roman"/>
          <w:color w:val="000000"/>
          <w:sz w:val="20"/>
        </w:rPr>
        <w:t xml:space="preserve"> </w:t>
      </w:r>
      <w:r>
        <w:rPr>
          <w:rFonts w:ascii="Times New Roman" w:hAnsi="Times New Roman"/>
          <w:b w:val="false"/>
          <w:color w:val="000000"/>
          <w:sz w:val="20"/>
        </w:rPr>
        <w:t>million options and PNQs as they were antidilutive. For the nine months ended September 30, 2023, diluted net loss per share excluded the weighted average effect of 7.7</w:t>
      </w:r>
      <w:r>
        <w:rPr>
          <w:rFonts w:ascii="Times New Roman" w:hAnsi="Times New Roman"/>
          <w:color w:val="000000"/>
          <w:sz w:val="20"/>
        </w:rPr>
        <w:t xml:space="preserve"> </w:t>
      </w:r>
      <w:r>
        <w:rPr>
          <w:rFonts w:ascii="Times New Roman" w:hAnsi="Times New Roman"/>
          <w:b w:val="false"/>
          <w:color w:val="000000"/>
          <w:sz w:val="20"/>
        </w:rPr>
        <w:t>million shares of RSUs and Market RSUs, 12.1</w:t>
      </w:r>
      <w:r>
        <w:rPr>
          <w:rFonts w:ascii="Times New Roman" w:hAnsi="Times New Roman"/>
          <w:color w:val="000000"/>
          <w:sz w:val="20"/>
        </w:rPr>
        <w:t xml:space="preserve"> </w:t>
      </w:r>
      <w:r>
        <w:rPr>
          <w:rFonts w:ascii="Times New Roman" w:hAnsi="Times New Roman"/>
          <w:b w:val="false"/>
          <w:color w:val="000000"/>
          <w:sz w:val="20"/>
        </w:rPr>
        <w:t>million options and PNQs, and 3.4</w:t>
      </w:r>
      <w:r>
        <w:rPr>
          <w:rFonts w:ascii="Times New Roman" w:hAnsi="Times New Roman"/>
          <w:color w:val="000000"/>
          <w:sz w:val="20"/>
        </w:rPr>
        <w:t xml:space="preserve"> </w:t>
      </w:r>
      <w:r>
        <w:rPr>
          <w:rFonts w:ascii="Times New Roman" w:hAnsi="Times New Roman"/>
          <w:b w:val="false"/>
          <w:color w:val="000000"/>
          <w:sz w:val="20"/>
        </w:rPr>
        <w:t>million and 44.1</w:t>
      </w:r>
      <w:r>
        <w:rPr>
          <w:rFonts w:ascii="Times New Roman" w:hAnsi="Times New Roman"/>
          <w:color w:val="000000"/>
          <w:sz w:val="20"/>
        </w:rPr>
        <w:t xml:space="preserve"> </w:t>
      </w:r>
      <w:r>
        <w:rPr>
          <w:rFonts w:ascii="Times New Roman" w:hAnsi="Times New Roman"/>
          <w:b w:val="false"/>
          <w:color w:val="000000"/>
          <w:sz w:val="20"/>
        </w:rPr>
        <w:t>million shares for the conversion of our Mann Group convertible notes and Senior convertible notes, respectively, as the shares were antidilutive due to our net loss.</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Potentially dilutive securities outstanding which were considered antidilutive for the three and nine months ended September 30, 2022 are summarized as follows (in shares):</w:t>
      </w:r>
    </w:p>
    <w:tbl>
      <w:tblPr>
        <w:tblW w:w="5023" w:type="dxa"/>
        <w:jc w:val="left"/>
        <w:tblInd w:w="0" w:type="dxa"/>
        <w:tblLayout w:type="fixed"/>
        <w:tblCellMar>
          <w:top w:w="28" w:type="dxa"/>
          <w:left w:w="28" w:type="dxa"/>
          <w:bottom w:w="28" w:type="dxa"/>
          <w:right w:w="28" w:type="dxa"/>
        </w:tblCellMar>
      </w:tblPr>
      <w:tblGrid>
        <w:gridCol w:w="2851"/>
        <w:gridCol w:w="146"/>
        <w:gridCol w:w="202"/>
        <w:gridCol w:w="1433"/>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convertible notes</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44,120,463</w:t>
            </w:r>
          </w:p>
        </w:tc>
        <w:tc>
          <w:tcPr>
            <w:tcW w:w="3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RSUs and Market RSUs</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14,784,399</w:t>
            </w:r>
          </w:p>
        </w:tc>
        <w:tc>
          <w:tcPr>
            <w:tcW w:w="39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options and PNQs</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14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9,516,375</w:t>
            </w:r>
          </w:p>
        </w:tc>
        <w:tc>
          <w:tcPr>
            <w:tcW w:w="3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Mann Group convertible notes</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3,370,000</w:t>
            </w:r>
          </w:p>
        </w:tc>
        <w:tc>
          <w:tcPr>
            <w:tcW w:w="39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124,904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shares</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71,916,141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Market RSUs issued in 2020, 2021, and 2022 are included at the share delivery of 300%, 0%, and 100%, respectively, in accordance with a valuation assessment obtained as of September 30, 2022.</w:t>
      </w:r>
    </w:p>
    <w:p>
      <w:pPr>
        <w:pStyle w:val="TextBody"/>
        <w:bidi w:val="0"/>
        <w:spacing w:before="360" w:after="283"/>
        <w:jc w:val="left"/>
        <w:rPr>
          <w:rFonts w:ascii="Times New Roman" w:hAnsi="Times New Roman"/>
          <w:sz w:val="20"/>
        </w:rPr>
      </w:pPr>
      <w:r>
        <w:rPr>
          <w:rFonts w:ascii="Times New Roman" w:hAnsi="Times New Roman"/>
          <w:b/>
          <w:color w:val="000000"/>
          <w:sz w:val="20"/>
        </w:rPr>
        <w:t>14. 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2023, the Company’s stockholders, upon recommendation of the Company’s board of directors, approved an amendment to the Company’s 2018 Equity Incentive Plan (the "2018 Plan") to increase the number of shares of common stock that may be issued under the 2018 Plan by 25,000,000</w:t>
      </w:r>
      <w:r>
        <w:rPr>
          <w:rFonts w:ascii="Times New Roman" w:hAnsi="Times New Roman"/>
          <w:color w:val="000000"/>
          <w:sz w:val="20"/>
        </w:rPr>
        <w:t xml:space="preserve"> </w:t>
      </w:r>
      <w:r>
        <w:rPr>
          <w:rFonts w:ascii="Times New Roman" w:hAnsi="Times New Roman"/>
          <w:b w:val="false"/>
          <w:color w:val="000000"/>
          <w:sz w:val="20"/>
        </w:rPr>
        <w:t>shares.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the Company granted the following awards (in shares):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392"/>
        <w:gridCol w:w="146"/>
        <w:gridCol w:w="230"/>
        <w:gridCol w:w="1234"/>
        <w:gridCol w:w="146"/>
        <w:gridCol w:w="278"/>
        <w:gridCol w:w="203"/>
        <w:gridCol w:w="1300"/>
        <w:gridCol w:w="146"/>
        <w:gridCol w:w="278"/>
        <w:gridCol w:w="252"/>
        <w:gridCol w:w="1176"/>
        <w:gridCol w:w="146"/>
        <w:gridCol w:w="278"/>
        <w:gridCol w:w="189"/>
        <w:gridCol w:w="1213"/>
        <w:gridCol w:w="598"/>
      </w:tblGrid>
      <w:tr>
        <w:trPr/>
        <w:tc>
          <w:tcPr>
            <w:tcW w:w="2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3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4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 September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4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vAlign w:val="center"/>
          </w:tcPr>
          <w:p>
            <w:pPr>
              <w:pStyle w:val="TableContents"/>
              <w:bidi w:val="0"/>
              <w:spacing w:before="0" w:after="283"/>
              <w:jc w:val="left"/>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awards:</w:t>
            </w:r>
          </w:p>
        </w:tc>
        <w:tc>
          <w:tcPr>
            <w:tcW w:w="146" w:type="dxa"/>
            <w:tcBorders/>
            <w:shd w:fill="FFFFFF" w:val="clear"/>
            <w:vAlign w:val="center"/>
          </w:tcPr>
          <w:p>
            <w:pPr>
              <w:pStyle w:val="TableContents"/>
              <w:bidi w:val="0"/>
              <w:spacing w:before="0" w:after="283"/>
              <w:jc w:val="center"/>
              <w:rPr/>
            </w:pPr>
            <w:r>
              <w:rPr/>
              <w:t> </w:t>
            </w:r>
          </w:p>
        </w:tc>
        <w:tc>
          <w:tcPr>
            <w:tcW w:w="14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150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14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1402" w:type="dxa"/>
            <w:gridSpan w:val="2"/>
            <w:tcBorders/>
            <w:shd w:fill="FFFFFF" w:val="clear"/>
            <w:vAlign w:val="center"/>
          </w:tcPr>
          <w:p>
            <w:pPr>
              <w:pStyle w:val="TableContents"/>
              <w:bidi w:val="0"/>
              <w:spacing w:before="0" w:after="283"/>
              <w:jc w:val="right"/>
              <w:rPr/>
            </w:pPr>
            <w:r>
              <w:rPr/>
              <w:t> </w:t>
            </w:r>
          </w:p>
        </w:tc>
        <w:tc>
          <w:tcPr>
            <w:tcW w:w="598" w:type="dxa"/>
            <w:tcBorders/>
            <w:shd w:fill="FFFFFF" w:val="clear"/>
            <w:vAlign w:val="center"/>
          </w:tcPr>
          <w:p>
            <w:pPr>
              <w:pStyle w:val="TableContents"/>
              <w:bidi w:val="0"/>
              <w:spacing w:before="0" w:after="283"/>
              <w:ind w:left="0" w:right="0" w:firstLine="200"/>
              <w:jc w:val="right"/>
              <w:rPr/>
            </w:pPr>
            <w:r>
              <w:rPr/>
              <w:t> </w:t>
            </w:r>
          </w:p>
        </w:tc>
      </w:tr>
      <w:tr>
        <w:trPr/>
        <w:tc>
          <w:tcPr>
            <w:tcW w:w="239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RSUs</w:t>
            </w:r>
          </w:p>
        </w:tc>
        <w:tc>
          <w:tcPr>
            <w:tcW w:w="146" w:type="dxa"/>
            <w:tcBorders/>
            <w:shd w:fill="CFF0FC" w:val="clear"/>
            <w:vAlign w:val="center"/>
          </w:tcPr>
          <w:p>
            <w:pPr>
              <w:pStyle w:val="TableContents"/>
              <w:bidi w:val="0"/>
              <w:spacing w:before="0" w:after="283"/>
              <w:jc w:val="center"/>
              <w:rPr/>
            </w:pPr>
            <w:r>
              <w:rPr/>
              <w:t> </w:t>
            </w:r>
          </w:p>
        </w:tc>
        <w:tc>
          <w:tcPr>
            <w:tcW w:w="230"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179,905</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1"/>
              </w:rPr>
              <w:t>(1)</w:t>
            </w:r>
          </w:p>
        </w:tc>
        <w:tc>
          <w:tcPr>
            <w:tcW w:w="203" w:type="dxa"/>
            <w:tcBorders/>
            <w:shd w:fill="CFF0FC" w:val="clear"/>
            <w:vAlign w:val="center"/>
          </w:tcPr>
          <w:p>
            <w:pPr>
              <w:pStyle w:val="TableContents"/>
              <w:bidi w:val="0"/>
              <w:spacing w:before="0" w:after="283"/>
              <w:jc w:val="left"/>
              <w:rPr/>
            </w:pPr>
            <w:r>
              <w:rPr/>
              <w:t> </w:t>
            </w:r>
          </w:p>
        </w:tc>
        <w:tc>
          <w:tcPr>
            <w:tcW w:w="13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2,660,721</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1"/>
              </w:rPr>
              <w:t>(2)</w:t>
            </w:r>
          </w:p>
        </w:tc>
        <w:tc>
          <w:tcPr>
            <w:tcW w:w="252" w:type="dxa"/>
            <w:tcBorders/>
            <w:shd w:fill="CFF0FC" w:val="clear"/>
            <w:vAlign w:val="center"/>
          </w:tcPr>
          <w:p>
            <w:pPr>
              <w:pStyle w:val="TableContents"/>
              <w:bidi w:val="0"/>
              <w:spacing w:before="0" w:after="283"/>
              <w:jc w:val="left"/>
              <w:rPr/>
            </w:pPr>
            <w:r>
              <w:rPr/>
              <w:t> </w:t>
            </w:r>
          </w:p>
        </w:tc>
        <w:tc>
          <w:tcPr>
            <w:tcW w:w="11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34,385</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1"/>
              </w:rPr>
              <w:t>(5)</w:t>
            </w:r>
          </w:p>
        </w:tc>
        <w:tc>
          <w:tcPr>
            <w:tcW w:w="189" w:type="dxa"/>
            <w:tcBorders/>
            <w:shd w:fill="CFF0FC" w:val="clear"/>
            <w:vAlign w:val="center"/>
          </w:tcPr>
          <w:p>
            <w:pPr>
              <w:pStyle w:val="TableContents"/>
              <w:bidi w:val="0"/>
              <w:spacing w:before="0" w:after="283"/>
              <w:jc w:val="left"/>
              <w:rPr/>
            </w:pPr>
            <w:r>
              <w:rPr/>
              <w:t> </w:t>
            </w:r>
          </w:p>
        </w:tc>
        <w:tc>
          <w:tcPr>
            <w:tcW w:w="12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2,875,011</w:t>
            </w:r>
          </w:p>
        </w:tc>
        <w:tc>
          <w:tcPr>
            <w:tcW w:w="598" w:type="dxa"/>
            <w:tcBorders/>
            <w:shd w:fill="CFF0FC" w:val="clear"/>
            <w:vAlign w:val="center"/>
          </w:tcPr>
          <w:p>
            <w:pPr>
              <w:pStyle w:val="TableContents"/>
              <w:bidi w:val="0"/>
              <w:spacing w:before="0" w:after="283"/>
              <w:ind w:left="0" w:right="0" w:firstLine="200"/>
              <w:jc w:val="left"/>
              <w:rPr/>
            </w:pPr>
            <w:r>
              <w:rPr/>
              <w:t> </w:t>
            </w:r>
          </w:p>
        </w:tc>
      </w:tr>
      <w:tr>
        <w:trPr/>
        <w:tc>
          <w:tcPr>
            <w:tcW w:w="239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Market RSUs</w:t>
            </w:r>
          </w:p>
        </w:tc>
        <w:tc>
          <w:tcPr>
            <w:tcW w:w="146" w:type="dxa"/>
            <w:tcBorders/>
            <w:shd w:fill="FFFFFF" w:val="cle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1,445,000</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1"/>
              </w:rPr>
              <w:t>(3)</w:t>
            </w:r>
          </w:p>
        </w:tc>
        <w:tc>
          <w:tcPr>
            <w:tcW w:w="252"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1,445,000</w:t>
            </w:r>
          </w:p>
        </w:tc>
        <w:tc>
          <w:tcPr>
            <w:tcW w:w="598" w:type="dxa"/>
            <w:tcBorders/>
            <w:shd w:fill="FFFFFF" w:val="clear"/>
            <w:vAlign w:val="center"/>
          </w:tcPr>
          <w:p>
            <w:pPr>
              <w:pStyle w:val="TableContents"/>
              <w:bidi w:val="0"/>
              <w:spacing w:before="0" w:after="283"/>
              <w:ind w:left="0" w:right="0" w:firstLine="200"/>
              <w:jc w:val="left"/>
              <w:rPr/>
            </w:pPr>
            <w:r>
              <w:rPr/>
              <w:t> </w:t>
            </w:r>
          </w:p>
        </w:tc>
      </w:tr>
      <w:tr>
        <w:trPr/>
        <w:tc>
          <w:tcPr>
            <w:tcW w:w="239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Non-employee director RSUs</w:t>
            </w:r>
          </w:p>
        </w:tc>
        <w:tc>
          <w:tcPr>
            <w:tcW w:w="146" w:type="dxa"/>
            <w:tcBorders/>
            <w:shd w:fill="CFF0FC" w:val="cle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center"/>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319,904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1"/>
              </w:rPr>
              <w:t>(4)</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319,904</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9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awards issued</w:t>
            </w:r>
          </w:p>
        </w:tc>
        <w:tc>
          <w:tcPr>
            <w:tcW w:w="146" w:type="dxa"/>
            <w:tcBorders/>
            <w:shd w:fill="FFFFFF" w:val="cle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4,425,625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4,639,915</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spacing w:before="0" w:after="0"/>
        <w:jc w:val="left"/>
        <w:rPr>
          <w:rFonts w:ascii="Times New Roman" w:hAnsi="Times New Roman"/>
          <w:sz w:val="20"/>
        </w:rPr>
      </w:pPr>
      <w:r>
        <w:rPr>
          <w:rFonts w:ascii="Times New Roman" w:hAnsi="Times New Roman"/>
          <w:b w:val="false"/>
          <w:color w:val="000000"/>
          <w:sz w:val="18"/>
        </w:rPr>
        <w:t>RSUs had a weighted average grant date fair value of $</w:t>
      </w:r>
      <w:r>
        <w:rPr>
          <w:rFonts w:ascii="Times New Roman" w:hAnsi="Times New Roman"/>
          <w:b w:val="false"/>
          <w:color w:val="000000"/>
          <w:sz w:val="20"/>
        </w:rPr>
        <w:t>4.16</w:t>
      </w:r>
      <w:r>
        <w:rPr>
          <w:rFonts w:ascii="Times New Roman" w:hAnsi="Times New Roman"/>
          <w:color w:val="000000"/>
          <w:sz w:val="20"/>
        </w:rPr>
        <w:t xml:space="preserve"> </w:t>
      </w:r>
      <w:r>
        <w:rPr>
          <w:rFonts w:ascii="Times New Roman" w:hAnsi="Times New Roman"/>
          <w:b w:val="false"/>
          <w:color w:val="000000"/>
          <w:sz w:val="18"/>
        </w:rPr>
        <w:t xml:space="preserve">per share, of which </w:t>
      </w:r>
      <w:r>
        <w:rPr>
          <w:rFonts w:ascii="Times New Roman" w:hAnsi="Times New Roman"/>
          <w:b w:val="false"/>
          <w:color w:val="000000"/>
          <w:sz w:val="20"/>
        </w:rPr>
        <w:t>91,900</w:t>
      </w:r>
      <w:r>
        <w:rPr>
          <w:rFonts w:ascii="Times New Roman" w:hAnsi="Times New Roman"/>
          <w:color w:val="000000"/>
          <w:sz w:val="20"/>
        </w:rPr>
        <w:t xml:space="preserve"> </w:t>
      </w:r>
      <w:r>
        <w:rPr>
          <w:rFonts w:ascii="Times New Roman" w:hAnsi="Times New Roman"/>
          <w:b w:val="false"/>
          <w:color w:val="000000"/>
          <w:sz w:val="18"/>
        </w:rPr>
        <w:t xml:space="preserve">RSUs had a cliff vesting period of three years, </w:t>
      </w:r>
      <w:r>
        <w:rPr>
          <w:rFonts w:ascii="Times New Roman" w:hAnsi="Times New Roman"/>
          <w:b w:val="false"/>
          <w:color w:val="000000"/>
          <w:sz w:val="20"/>
        </w:rPr>
        <w:t>42,000</w:t>
      </w:r>
      <w:r>
        <w:rPr>
          <w:rFonts w:ascii="Times New Roman" w:hAnsi="Times New Roman"/>
          <w:color w:val="000000"/>
          <w:sz w:val="20"/>
        </w:rPr>
        <w:t xml:space="preserve"> </w:t>
      </w:r>
      <w:r>
        <w:rPr>
          <w:rFonts w:ascii="Times New Roman" w:hAnsi="Times New Roman"/>
          <w:b w:val="false"/>
          <w:color w:val="000000"/>
          <w:sz w:val="18"/>
        </w:rPr>
        <w:t>RSUs had a cliff vesting period of two years, and 46,005</w:t>
      </w:r>
      <w:r>
        <w:rPr>
          <w:rFonts w:ascii="Times New Roman" w:hAnsi="Times New Roman"/>
          <w:color w:val="000000"/>
          <w:sz w:val="20"/>
        </w:rPr>
        <w:t xml:space="preserve"> </w:t>
      </w:r>
      <w:r>
        <w:rPr>
          <w:rFonts w:ascii="Times New Roman" w:hAnsi="Times New Roman"/>
          <w:b w:val="false"/>
          <w:color w:val="000000"/>
          <w:sz w:val="18"/>
        </w:rPr>
        <w:t>RSUs had a vesting period of 25% annually over four years.</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(2)</w:t>
      </w:r>
    </w:p>
    <w:p>
      <w:pPr>
        <w:pStyle w:val="TextBody"/>
        <w:bidi w:val="0"/>
        <w:spacing w:before="0" w:after="0"/>
        <w:jc w:val="left"/>
        <w:rPr>
          <w:rFonts w:ascii="Times New Roman" w:hAnsi="Times New Roman"/>
          <w:sz w:val="20"/>
        </w:rPr>
      </w:pPr>
      <w:r>
        <w:rPr>
          <w:rFonts w:ascii="Times New Roman" w:hAnsi="Times New Roman"/>
          <w:b w:val="false"/>
          <w:color w:val="000000"/>
          <w:sz w:val="18"/>
        </w:rPr>
        <w:t xml:space="preserve">RSUs had a weighted average grant date fair value of </w:t>
      </w:r>
      <w:r>
        <w:rPr>
          <w:rFonts w:ascii="Times New Roman" w:hAnsi="Times New Roman"/>
          <w:b w:val="false"/>
          <w:color w:val="000000"/>
          <w:sz w:val="20"/>
        </w:rPr>
        <w:t>$4.56</w:t>
      </w:r>
      <w:r>
        <w:rPr>
          <w:rFonts w:ascii="Times New Roman" w:hAnsi="Times New Roman"/>
          <w:color w:val="000000"/>
          <w:sz w:val="20"/>
        </w:rPr>
        <w:t xml:space="preserve"> </w:t>
      </w:r>
      <w:r>
        <w:rPr>
          <w:rFonts w:ascii="Times New Roman" w:hAnsi="Times New Roman"/>
          <w:b w:val="false"/>
          <w:color w:val="000000"/>
          <w:sz w:val="18"/>
        </w:rPr>
        <w:t xml:space="preserve">per share, of which </w:t>
      </w:r>
      <w:r>
        <w:rPr>
          <w:rFonts w:ascii="Times New Roman" w:hAnsi="Times New Roman"/>
          <w:b w:val="false"/>
          <w:color w:val="000000"/>
          <w:sz w:val="20"/>
        </w:rPr>
        <w:t>2,598,971</w:t>
      </w:r>
      <w:r>
        <w:rPr>
          <w:rFonts w:ascii="Times New Roman" w:hAnsi="Times New Roman"/>
          <w:color w:val="000000"/>
          <w:sz w:val="20"/>
        </w:rPr>
        <w:t xml:space="preserve"> </w:t>
      </w:r>
      <w:r>
        <w:rPr>
          <w:rFonts w:ascii="Times New Roman" w:hAnsi="Times New Roman"/>
          <w:b w:val="false"/>
          <w:color w:val="000000"/>
          <w:sz w:val="18"/>
        </w:rPr>
        <w:t>RSUs had a vesting period of 25% annually over four years, and 61,750</w:t>
      </w:r>
      <w:r>
        <w:rPr>
          <w:rFonts w:ascii="Times New Roman" w:hAnsi="Times New Roman"/>
          <w:color w:val="000000"/>
          <w:sz w:val="20"/>
        </w:rPr>
        <w:t xml:space="preserve"> </w:t>
      </w:r>
      <w:r>
        <w:rPr>
          <w:rFonts w:ascii="Times New Roman" w:hAnsi="Times New Roman"/>
          <w:b w:val="false"/>
          <w:color w:val="000000"/>
          <w:sz w:val="18"/>
        </w:rPr>
        <w:t>RSUs had a cliff vesting period of three years.</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(3)</w:t>
      </w:r>
    </w:p>
    <w:p>
      <w:pPr>
        <w:pStyle w:val="TextBody"/>
        <w:bidi w:val="0"/>
        <w:spacing w:before="0" w:after="0"/>
        <w:jc w:val="left"/>
        <w:rPr>
          <w:rFonts w:ascii="Times New Roman" w:hAnsi="Times New Roman"/>
          <w:sz w:val="20"/>
        </w:rPr>
      </w:pPr>
      <w:r>
        <w:rPr>
          <w:rFonts w:ascii="Times New Roman" w:hAnsi="Times New Roman"/>
          <w:b w:val="false"/>
          <w:color w:val="000000"/>
          <w:sz w:val="18"/>
        </w:rPr>
        <w:t>Market RSUs had a grant date fair value of $9.40</w:t>
      </w:r>
      <w:r>
        <w:rPr>
          <w:rFonts w:ascii="Times New Roman" w:hAnsi="Times New Roman"/>
          <w:color w:val="000000"/>
          <w:sz w:val="20"/>
        </w:rPr>
        <w:t xml:space="preserve"> </w:t>
      </w:r>
      <w:r>
        <w:rPr>
          <w:rFonts w:ascii="Times New Roman" w:hAnsi="Times New Roman"/>
          <w:b w:val="false"/>
          <w:color w:val="000000"/>
          <w:sz w:val="18"/>
        </w:rPr>
        <w:t>per share and will vest on July 15, 2026</w:t>
      </w:r>
      <w:r>
        <w:rPr>
          <w:rFonts w:ascii="Times New Roman" w:hAnsi="Times New Roman"/>
          <w:color w:val="000000"/>
          <w:sz w:val="20"/>
        </w:rPr>
        <w:t xml:space="preserve"> </w:t>
      </w:r>
      <w:r>
        <w:rPr>
          <w:rFonts w:ascii="Times New Roman" w:hAnsi="Times New Roman"/>
          <w:b w:val="false"/>
          <w:color w:val="000000"/>
          <w:sz w:val="18"/>
        </w:rPr>
        <w:t>provided the closing price of the Company’s common stock on June 30, 2026 is not less than the closing price on July 1, 2023. The number of shares delivered on the vesting date is determined by the percentile ranking of MannKind total shareholder return (TSR) over the period from July 1, 2023 until July 30, 2026 relative to the TSR of the Russell 3000 Pharmaceutical &amp; Biotechnology Index over the same three-year period, as follows: less than 25th percentile=0% of target, 25th percentile=50% of target, 50th percentile=100% of target, 75th percentile=200% of target, 90th percentile or higher=300% maximum. Payout values will be interpolated between the percentile rankings above.</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(4)</w:t>
      </w:r>
    </w:p>
    <w:p>
      <w:pPr>
        <w:pStyle w:val="TextBody"/>
        <w:bidi w:val="0"/>
        <w:spacing w:before="0" w:after="0"/>
        <w:jc w:val="left"/>
        <w:rPr>
          <w:rFonts w:ascii="Times New Roman" w:hAnsi="Times New Roman"/>
          <w:sz w:val="20"/>
        </w:rPr>
      </w:pPr>
      <w:r>
        <w:rPr>
          <w:rFonts w:ascii="Times New Roman" w:hAnsi="Times New Roman"/>
          <w:b w:val="false"/>
          <w:color w:val="000000"/>
          <w:sz w:val="18"/>
        </w:rPr>
        <w:t>RSUs had a weighted average grant date fair value of $</w:t>
      </w:r>
      <w:r>
        <w:rPr>
          <w:rFonts w:ascii="Times New Roman" w:hAnsi="Times New Roman"/>
          <w:b w:val="false"/>
          <w:color w:val="000000"/>
          <w:sz w:val="20"/>
        </w:rPr>
        <w:t>4.55</w:t>
      </w:r>
      <w:r>
        <w:rPr>
          <w:rFonts w:ascii="Times New Roman" w:hAnsi="Times New Roman"/>
          <w:color w:val="000000"/>
          <w:sz w:val="20"/>
        </w:rPr>
        <w:t xml:space="preserve"> </w:t>
      </w:r>
      <w:r>
        <w:rPr>
          <w:rFonts w:ascii="Times New Roman" w:hAnsi="Times New Roman"/>
          <w:b w:val="false"/>
          <w:color w:val="000000"/>
          <w:sz w:val="18"/>
        </w:rPr>
        <w:t>per share and vested immediately upon the grant date; however, the underlying shares of common stock will not be delivered until there is a separation of service such as resignation, retirement or death.</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(5)</w:t>
      </w:r>
    </w:p>
    <w:p>
      <w:pPr>
        <w:pStyle w:val="TextBody"/>
        <w:bidi w:val="0"/>
        <w:jc w:val="left"/>
        <w:rPr>
          <w:rFonts w:ascii="Times New Roman" w:hAnsi="Times New Roman"/>
          <w:sz w:val="20"/>
        </w:rPr>
      </w:pPr>
      <w:r>
        <w:rPr>
          <w:rFonts w:ascii="Times New Roman" w:hAnsi="Times New Roman"/>
          <w:b w:val="false"/>
          <w:color w:val="000000"/>
          <w:sz w:val="18"/>
        </w:rPr>
        <w:t>RSUs had a weighted average grant date fair value of $5.27</w:t>
      </w:r>
      <w:r>
        <w:rPr>
          <w:rFonts w:ascii="Times New Roman" w:hAnsi="Times New Roman"/>
          <w:color w:val="000000"/>
          <w:sz w:val="20"/>
        </w:rPr>
        <w:t xml:space="preserve"> </w:t>
      </w:r>
      <w:r>
        <w:rPr>
          <w:rFonts w:ascii="Times New Roman" w:hAnsi="Times New Roman"/>
          <w:b w:val="false"/>
          <w:color w:val="000000"/>
          <w:sz w:val="18"/>
        </w:rPr>
        <w:t>per share, of which 28,820</w:t>
      </w:r>
      <w:r>
        <w:rPr>
          <w:rFonts w:ascii="Times New Roman" w:hAnsi="Times New Roman"/>
          <w:color w:val="000000"/>
          <w:sz w:val="20"/>
        </w:rPr>
        <w:t xml:space="preserve"> </w:t>
      </w:r>
      <w:r>
        <w:rPr>
          <w:rFonts w:ascii="Times New Roman" w:hAnsi="Times New Roman"/>
          <w:b w:val="false"/>
          <w:color w:val="000000"/>
          <w:sz w:val="18"/>
        </w:rPr>
        <w:t>RSUs had a cliff vesting period of three years</w:t>
      </w:r>
      <w:r>
        <w:rPr>
          <w:rFonts w:ascii="Times New Roman" w:hAnsi="Times New Roman"/>
          <w:color w:val="000000"/>
          <w:sz w:val="20"/>
        </w:rPr>
        <w:t xml:space="preserve"> </w:t>
      </w:r>
      <w:r>
        <w:rPr>
          <w:rFonts w:ascii="Times New Roman" w:hAnsi="Times New Roman"/>
          <w:b w:val="false"/>
          <w:color w:val="000000"/>
          <w:sz w:val="18"/>
        </w:rPr>
        <w:t>and 7,565</w:t>
      </w:r>
      <w:r>
        <w:rPr>
          <w:rFonts w:ascii="Times New Roman" w:hAnsi="Times New Roman"/>
          <w:color w:val="000000"/>
          <w:sz w:val="20"/>
        </w:rPr>
        <w:t xml:space="preserve"> </w:t>
      </w:r>
      <w:r>
        <w:rPr>
          <w:rFonts w:ascii="Times New Roman" w:hAnsi="Times New Roman"/>
          <w:b w:val="false"/>
          <w:color w:val="000000"/>
          <w:sz w:val="18"/>
        </w:rPr>
        <w:t xml:space="preserve">RSUs had a vesting period of 25% annually over four years.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As of September 30, 2023, there was a </w:t>
      </w:r>
      <w:r>
        <w:rPr>
          <w:rFonts w:ascii="Times New Roman" w:hAnsi="Times New Roman"/>
          <w:b w:val="false"/>
          <w:i/>
          <w:color w:val="000000"/>
          <w:sz w:val="20"/>
        </w:rPr>
        <w:t>de minimis</w:t>
      </w:r>
      <w:r>
        <w:rPr>
          <w:rFonts w:ascii="Times New Roman" w:hAnsi="Times New Roman"/>
          <w:color w:val="000000"/>
          <w:sz w:val="20"/>
        </w:rPr>
        <w:t xml:space="preserve"> </w:t>
      </w:r>
      <w:r>
        <w:rPr>
          <w:rFonts w:ascii="Times New Roman" w:hAnsi="Times New Roman"/>
          <w:b w:val="false"/>
          <w:color w:val="000000"/>
          <w:sz w:val="20"/>
        </w:rPr>
        <w:t>amount of unrecognized stock-based compensation expense related to options which is expected to be recognized over a weighted average period of 0.42 years as well as $21.1</w:t>
      </w:r>
      <w:r>
        <w:rPr>
          <w:rFonts w:ascii="Times New Roman" w:hAnsi="Times New Roman"/>
          <w:color w:val="000000"/>
          <w:sz w:val="20"/>
        </w:rPr>
        <w:t xml:space="preserve"> </w:t>
      </w:r>
      <w:r>
        <w:rPr>
          <w:rFonts w:ascii="Times New Roman" w:hAnsi="Times New Roman"/>
          <w:b w:val="false"/>
          <w:color w:val="000000"/>
          <w:sz w:val="20"/>
        </w:rPr>
        <w:t>million and $17.4</w:t>
      </w:r>
      <w:r>
        <w:rPr>
          <w:rFonts w:ascii="Times New Roman" w:hAnsi="Times New Roman"/>
          <w:color w:val="000000"/>
          <w:sz w:val="20"/>
        </w:rPr>
        <w:t xml:space="preserve"> </w:t>
      </w:r>
      <w:r>
        <w:rPr>
          <w:rFonts w:ascii="Times New Roman" w:hAnsi="Times New Roman"/>
          <w:b w:val="false"/>
          <w:color w:val="000000"/>
          <w:sz w:val="20"/>
        </w:rPr>
        <w:t>million related to RSUs and Market RSUs, respectively, which is expected to be recognized over weighted average periods of approximately 2.56</w:t>
      </w:r>
      <w:r>
        <w:rPr>
          <w:rFonts w:ascii="Times New Roman" w:hAnsi="Times New Roman"/>
          <w:color w:val="000000"/>
          <w:sz w:val="20"/>
        </w:rPr>
        <w:t xml:space="preserve"> </w:t>
      </w:r>
      <w:r>
        <w:rPr>
          <w:rFonts w:ascii="Times New Roman" w:hAnsi="Times New Roman"/>
          <w:b w:val="false"/>
          <w:color w:val="000000"/>
          <w:sz w:val="20"/>
        </w:rPr>
        <w:t>and 1.83</w:t>
      </w:r>
      <w:r>
        <w:rPr>
          <w:rFonts w:ascii="Times New Roman" w:hAnsi="Times New Roman"/>
          <w:color w:val="000000"/>
          <w:sz w:val="20"/>
        </w:rPr>
        <w:t xml:space="preserve"> </w:t>
      </w:r>
      <w:r>
        <w:rPr>
          <w:rFonts w:ascii="Times New Roman" w:hAnsi="Times New Roman"/>
          <w:b w:val="false"/>
          <w:color w:val="000000"/>
          <w:sz w:val="20"/>
        </w:rPr>
        <w:t>years, respectively.</w:t>
      </w:r>
      <w:r>
        <w:rPr>
          <w:rFonts w:ascii="Times New Roman" w:hAnsi="Times New Roman"/>
          <w:color w:val="000000"/>
          <w:sz w:val="20"/>
        </w:rPr>
        <w:t xml:space="preserve"> </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Total stock-based compensation expense recognized in the condensed consolidated statements of operations as cost of goods sold, cost of revenue – collaborations and services, R&amp;D, selling and general and administrative expense was as follows (in thousands):</w:t>
      </w:r>
    </w:p>
    <w:tbl>
      <w:tblPr>
        <w:tblW w:w="7347"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211"/>
        <w:gridCol w:w="571"/>
        <w:gridCol w:w="146"/>
        <w:gridCol w:w="146"/>
        <w:gridCol w:w="211"/>
        <w:gridCol w:w="676"/>
        <w:gridCol w:w="146"/>
        <w:gridCol w:w="146"/>
        <w:gridCol w:w="211"/>
        <w:gridCol w:w="676"/>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RSUs and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10,358</w:t>
            </w:r>
          </w:p>
        </w:tc>
        <w:tc>
          <w:tcPr>
            <w:tcW w:w="3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Employee Stock Purchase Plan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provides all employees, including executive officers, the ability to purchase common stock at a discount under the Company’s 2004 ESPP. The ESPP is designed to comply with Section 423 of the Internal Revenue Code and provides all employees with the opportunity to purchase up to $25,000</w:t>
      </w:r>
      <w:r>
        <w:rPr>
          <w:rFonts w:ascii="Times New Roman" w:hAnsi="Times New Roman"/>
          <w:color w:val="000000"/>
          <w:sz w:val="20"/>
        </w:rPr>
        <w:t xml:space="preserve"> </w:t>
      </w:r>
      <w:r>
        <w:rPr>
          <w:rFonts w:ascii="Times New Roman" w:hAnsi="Times New Roman"/>
          <w:b w:val="false"/>
          <w:color w:val="000000"/>
          <w:sz w:val="20"/>
        </w:rPr>
        <w:t>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w:t>
      </w:r>
      <w:r>
        <w:rPr>
          <w:rFonts w:ascii="Times New Roman" w:hAnsi="Times New Roman"/>
          <w:color w:val="000000"/>
          <w:sz w:val="20"/>
        </w:rPr>
        <w:t xml:space="preserve"> </w:t>
      </w:r>
      <w:r>
        <w:rPr>
          <w:rFonts w:ascii="Times New Roman" w:hAnsi="Times New Roman"/>
          <w:b w:val="false"/>
          <w:color w:val="000000"/>
          <w:sz w:val="20"/>
        </w:rPr>
        <w:t>shares of common stock on any purchase date. The executives’ rights under the ESPP are the same as those of all other employees.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May 2023, the Company’s stockholders, upon recommendation of the Company’s board of directors, approved an amendment to the Company’s ESPP to increase the number of shares of common stock authorized for issuance under the ESPP by an additional 3,000,000</w:t>
      </w:r>
      <w:r>
        <w:rPr>
          <w:rFonts w:ascii="Times New Roman" w:hAnsi="Times New Roman"/>
          <w:color w:val="000000"/>
          <w:sz w:val="20"/>
        </w:rPr>
        <w:t xml:space="preserve"> </w:t>
      </w:r>
      <w:r>
        <w:rPr>
          <w:rFonts w:ascii="Times New Roman" w:hAnsi="Times New Roman"/>
          <w:b w:val="false"/>
          <w:color w:val="000000"/>
          <w:sz w:val="20"/>
        </w:rPr>
        <w:t>shares.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There were approximately 3.1</w:t>
      </w:r>
      <w:r>
        <w:rPr>
          <w:rFonts w:ascii="Times New Roman" w:hAnsi="Times New Roman"/>
          <w:color w:val="000000"/>
          <w:sz w:val="20"/>
        </w:rPr>
        <w:t xml:space="preserve"> </w:t>
      </w:r>
      <w:r>
        <w:rPr>
          <w:rFonts w:ascii="Times New Roman" w:hAnsi="Times New Roman"/>
          <w:b w:val="false"/>
          <w:color w:val="000000"/>
          <w:sz w:val="20"/>
        </w:rPr>
        <w:t>million shares of common stock available for issuance under the ESPP as of September 30, 2023.</w:t>
      </w:r>
    </w:p>
    <w:p>
      <w:pPr>
        <w:pStyle w:val="TextBody"/>
        <w:bidi w:val="0"/>
        <w:spacing w:before="360" w:after="283"/>
        <w:jc w:val="left"/>
        <w:rPr>
          <w:rFonts w:ascii="Times New Roman" w:hAnsi="Times New Roman"/>
          <w:sz w:val="20"/>
        </w:rPr>
      </w:pPr>
      <w:r>
        <w:rPr>
          <w:rFonts w:ascii="Times New Roman" w:hAnsi="Times New Roman"/>
          <w:b/>
          <w:color w:val="000000"/>
          <w:sz w:val="20"/>
        </w:rPr>
        <w:t>15.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u w:val="single"/>
        </w:rPr>
        <w:t>Guarantees and Indemnifications</w:t>
      </w:r>
      <w:r>
        <w:rPr>
          <w:rFonts w:ascii="Times New Roman" w:hAnsi="Times New Roman"/>
          <w:color w:val="000000"/>
          <w:sz w:val="20"/>
        </w:rPr>
        <w:t xml:space="preserve"> — </w:t>
      </w:r>
      <w:r>
        <w:rPr>
          <w:rFonts w:ascii="Times New Roman" w:hAnsi="Times New Roman"/>
          <w:b w:val="false"/>
          <w:color w:val="000000"/>
          <w:sz w:val="20"/>
        </w:rPr>
        <w:t>In the ordinary course of its business, the Company makes certain indemnities, commitments and 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condensed consolidated balance sheets. The Company accrues for losses for any known contingent liability, including those that may arise from indemnification provisions, when future payment is probable and the amount can be reasonably estimated. No such losses have been recorded to date.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i/>
          <w:color w:val="000000"/>
          <w:sz w:val="20"/>
          <w:u w:val="single"/>
        </w:rPr>
        <w:t>Litigation</w:t>
      </w:r>
      <w:r>
        <w:rPr>
          <w:rFonts w:ascii="Times New Roman" w:hAnsi="Times New Roman"/>
          <w:color w:val="000000"/>
          <w:sz w:val="20"/>
        </w:rPr>
        <w:t xml:space="preserve"> — </w:t>
      </w:r>
      <w:r>
        <w:rPr>
          <w:rFonts w:ascii="Times New Roman" w:hAnsi="Times New Roman"/>
          <w:b w:val="false"/>
          <w:color w:val="000000"/>
          <w:sz w:val="20"/>
        </w:rPr>
        <w:t>The Company is subject to legal proceedings and claims which arise in the ordinary course of its business. As of September 30, 2023, the Company believes that the final disposition of such matters will not have a material adverse effect on the results of operations, financial position,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u w:val="single"/>
        </w:rPr>
        <w:t>Contingencies</w:t>
      </w:r>
      <w:r>
        <w:rPr>
          <w:rFonts w:ascii="Times New Roman" w:hAnsi="Times New Roman"/>
          <w:color w:val="000000"/>
          <w:sz w:val="20"/>
        </w:rPr>
        <w:t xml:space="preserve"> — </w:t>
      </w:r>
      <w:r>
        <w:rPr>
          <w:rFonts w:ascii="Times New Roman" w:hAnsi="Times New Roman"/>
          <w:b w:val="false"/>
          <w:i/>
          <w:color w:val="000000"/>
          <w:sz w:val="20"/>
        </w:rPr>
        <w:t>Milestone Rights</w:t>
      </w:r>
      <w:r>
        <w:rPr>
          <w:rFonts w:ascii="Times New Roman" w:hAnsi="Times New Roman"/>
          <w:color w:val="000000"/>
          <w:sz w:val="20"/>
        </w:rPr>
        <w:t xml:space="preserve"> — </w:t>
      </w:r>
      <w:r>
        <w:rPr>
          <w:rFonts w:ascii="Times New Roman" w:hAnsi="Times New Roman"/>
          <w:b w:val="false"/>
          <w:color w:val="000000"/>
          <w:sz w:val="20"/>
        </w:rPr>
        <w:t>In July 2013, the Company entered into the Milestone Rights Agreement with the Original Milestone Purchasers, pursuant to which the Company granted the Milestone Rights to receive payments up to $90.0</w:t>
      </w:r>
      <w:r>
        <w:rPr>
          <w:rFonts w:ascii="Times New Roman" w:hAnsi="Times New Roman"/>
          <w:color w:val="000000"/>
          <w:sz w:val="20"/>
        </w:rPr>
        <w:t xml:space="preserve"> </w:t>
      </w:r>
      <w:r>
        <w:rPr>
          <w:rFonts w:ascii="Times New Roman" w:hAnsi="Times New Roman"/>
          <w:b w:val="false"/>
          <w:color w:val="000000"/>
          <w:sz w:val="20"/>
        </w:rPr>
        <w:t>million upon the occurrence of specified strategic and sales milestones, $55.0</w:t>
      </w:r>
      <w:r>
        <w:rPr>
          <w:rFonts w:ascii="Times New Roman" w:hAnsi="Times New Roman"/>
          <w:color w:val="000000"/>
          <w:sz w:val="20"/>
        </w:rPr>
        <w:t xml:space="preserve"> </w:t>
      </w:r>
      <w:r>
        <w:rPr>
          <w:rFonts w:ascii="Times New Roman" w:hAnsi="Times New Roman"/>
          <w:b w:val="false"/>
          <w:color w:val="000000"/>
          <w:sz w:val="20"/>
        </w:rPr>
        <w:t>million of which remains payable to the Milestone Purchasers upon achievement of such milestones.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remaining Milestone Rights liability balance was $3.9</w:t>
      </w:r>
      <w:r>
        <w:rPr>
          <w:rFonts w:ascii="Times New Roman" w:hAnsi="Times New Roman"/>
          <w:color w:val="000000"/>
          <w:sz w:val="20"/>
        </w:rPr>
        <w:t xml:space="preserve"> </w:t>
      </w:r>
      <w:r>
        <w:rPr>
          <w:rFonts w:ascii="Times New Roman" w:hAnsi="Times New Roman"/>
          <w:b w:val="false"/>
          <w:color w:val="000000"/>
          <w:sz w:val="20"/>
        </w:rPr>
        <w:t>million and consisted of $0.8</w:t>
      </w:r>
      <w:r>
        <w:rPr>
          <w:rFonts w:ascii="Times New Roman" w:hAnsi="Times New Roman"/>
          <w:color w:val="000000"/>
          <w:sz w:val="20"/>
        </w:rPr>
        <w:t xml:space="preserve"> </w:t>
      </w:r>
      <w:r>
        <w:rPr>
          <w:rFonts w:ascii="Times New Roman" w:hAnsi="Times New Roman"/>
          <w:b w:val="false"/>
          <w:color w:val="000000"/>
          <w:sz w:val="20"/>
        </w:rPr>
        <w:t>million of current liability which was presented as accrued expenses and other current liabilities and $3.1</w:t>
      </w:r>
      <w:r>
        <w:rPr>
          <w:rFonts w:ascii="Times New Roman" w:hAnsi="Times New Roman"/>
          <w:color w:val="000000"/>
          <w:sz w:val="20"/>
        </w:rPr>
        <w:t xml:space="preserve"> </w:t>
      </w:r>
      <w:r>
        <w:rPr>
          <w:rFonts w:ascii="Times New Roman" w:hAnsi="Times New Roman"/>
          <w:b w:val="false"/>
          <w:color w:val="000000"/>
          <w:sz w:val="20"/>
        </w:rPr>
        <w:t>million of long-term liability which was presented as milestone liabilities in our condensed consolidated balance sheets. As of December 31, 2022, the remaining Milestone Rights liability balance was $4.8</w:t>
      </w:r>
      <w:r>
        <w:rPr>
          <w:rFonts w:ascii="Times New Roman" w:hAnsi="Times New Roman"/>
          <w:color w:val="000000"/>
          <w:sz w:val="20"/>
        </w:rPr>
        <w:t xml:space="preserve"> </w:t>
      </w:r>
      <w:r>
        <w:rPr>
          <w:rFonts w:ascii="Times New Roman" w:hAnsi="Times New Roman"/>
          <w:b w:val="false"/>
          <w:color w:val="000000"/>
          <w:sz w:val="20"/>
        </w:rPr>
        <w:t>million and consisted of $0.9</w:t>
      </w:r>
      <w:r>
        <w:rPr>
          <w:rFonts w:ascii="Times New Roman" w:hAnsi="Times New Roman"/>
          <w:color w:val="000000"/>
          <w:sz w:val="20"/>
        </w:rPr>
        <w:t xml:space="preserve"> </w:t>
      </w:r>
      <w:r>
        <w:rPr>
          <w:rFonts w:ascii="Times New Roman" w:hAnsi="Times New Roman"/>
          <w:b w:val="false"/>
          <w:color w:val="000000"/>
          <w:sz w:val="20"/>
        </w:rPr>
        <w:t>million of current liability and $3.9</w:t>
      </w:r>
      <w:r>
        <w:rPr>
          <w:rFonts w:ascii="Times New Roman" w:hAnsi="Times New Roman"/>
          <w:color w:val="000000"/>
          <w:sz w:val="20"/>
        </w:rPr>
        <w:t xml:space="preserve"> </w:t>
      </w:r>
      <w:r>
        <w:rPr>
          <w:rFonts w:ascii="Times New Roman" w:hAnsi="Times New Roman"/>
          <w:b w:val="false"/>
          <w:color w:val="000000"/>
          <w:sz w:val="20"/>
        </w:rPr>
        <w:t>million of long-term liability. The value of the Milestone Rights liability was based on initial fair value estimates calculated using the income approach and reduced by milestone achievement payments made.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Sale-Leaseback Transaction</w:t>
      </w:r>
      <w:r>
        <w:rPr>
          <w:rFonts w:ascii="Times New Roman" w:hAnsi="Times New Roman"/>
          <w:color w:val="000000"/>
          <w:sz w:val="20"/>
        </w:rPr>
        <w:t xml:space="preserve">— </w:t>
      </w:r>
      <w:r>
        <w:rPr>
          <w:rFonts w:ascii="Times New Roman" w:hAnsi="Times New Roman"/>
          <w:b w:val="false"/>
          <w:color w:val="000000"/>
          <w:sz w:val="20"/>
        </w:rPr>
        <w:t>In November 2021, the Company sold the Property to the Purchaser for a sales price of $102.3</w:t>
      </w:r>
      <w:r>
        <w:rPr>
          <w:rFonts w:ascii="Times New Roman" w:hAnsi="Times New Roman"/>
          <w:color w:val="000000"/>
          <w:sz w:val="20"/>
        </w:rPr>
        <w:t xml:space="preserve"> </w:t>
      </w:r>
      <w:r>
        <w:rPr>
          <w:rFonts w:ascii="Times New Roman" w:hAnsi="Times New Roman"/>
          <w:b w:val="false"/>
          <w:color w:val="000000"/>
          <w:sz w:val="20"/>
        </w:rPr>
        <w:t>million, subject to terms and the conditions contained in a purchase and sale agreement.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Effective with the closing of the Sale-Leaseback Transaction, the Company and the Purchaser entered into a lease agreement (the “Lease”), pursuant to which the Company leased the Property from the Purchaser for an initial term of 20</w:t>
      </w:r>
      <w:r>
        <w:rPr>
          <w:rFonts w:ascii="Times New Roman" w:hAnsi="Times New Roman"/>
          <w:color w:val="000000"/>
          <w:sz w:val="20"/>
        </w:rPr>
        <w:t xml:space="preserve"> </w:t>
      </w:r>
      <w:r>
        <w:rPr>
          <w:rFonts w:ascii="Times New Roman" w:hAnsi="Times New Roman"/>
          <w:b w:val="false"/>
          <w:color w:val="000000"/>
          <w:sz w:val="20"/>
        </w:rPr>
        <w:t>years, with four renewal options of five years</w:t>
      </w:r>
      <w:r>
        <w:rPr>
          <w:rFonts w:ascii="Times New Roman" w:hAnsi="Times New Roman"/>
          <w:color w:val="000000"/>
          <w:sz w:val="20"/>
        </w:rPr>
        <w:t xml:space="preserve"> </w:t>
      </w:r>
      <w:r>
        <w:rPr>
          <w:rFonts w:ascii="Times New Roman" w:hAnsi="Times New Roman"/>
          <w:b w:val="false"/>
          <w:color w:val="000000"/>
          <w:sz w:val="20"/>
        </w:rPr>
        <w:t>each. The total annual rent under the Lease starts at approximately $9.5</w:t>
      </w:r>
      <w:r>
        <w:rPr>
          <w:rFonts w:ascii="Times New Roman" w:hAnsi="Times New Roman"/>
          <w:color w:val="000000"/>
          <w:sz w:val="20"/>
        </w:rPr>
        <w:t xml:space="preserve"> </w:t>
      </w:r>
      <w:r>
        <w:rPr>
          <w:rFonts w:ascii="Times New Roman" w:hAnsi="Times New Roman"/>
          <w:b w:val="false"/>
          <w:color w:val="000000"/>
          <w:sz w:val="20"/>
        </w:rPr>
        <w:t>million per year, subject to a 50% rent abatement during the first year of the Lease, and will increase annually by (i) 2.5% in the second through fifth year of the Lease and (ii) 3% in the sixth and each subsequent year of the Lease, including any renewal term.</w:t>
      </w:r>
      <w:r>
        <w:rPr>
          <w:rFonts w:ascii="Times New Roman" w:hAnsi="Times New Roman"/>
          <w:color w:val="000000"/>
          <w:sz w:val="20"/>
        </w:rPr>
        <w:t xml:space="preserve"> </w:t>
      </w:r>
      <w:r>
        <w:rPr>
          <w:rFonts w:ascii="Times New Roman" w:hAnsi="Times New Roman"/>
          <w:b w:val="false"/>
          <w:color w:val="000000"/>
          <w:sz w:val="20"/>
        </w:rPr>
        <w:t>The Company is responsible for payment of operating expenses, property taxes and insurance for the Property. The Purchaser will hold a security deposit of $2.0</w:t>
      </w:r>
      <w:r>
        <w:rPr>
          <w:rFonts w:ascii="Times New Roman" w:hAnsi="Times New Roman"/>
          <w:color w:val="000000"/>
          <w:sz w:val="20"/>
        </w:rPr>
        <w:t xml:space="preserve"> </w:t>
      </w:r>
      <w:r>
        <w:rPr>
          <w:rFonts w:ascii="Times New Roman" w:hAnsi="Times New Roman"/>
          <w:b w:val="false"/>
          <w:color w:val="000000"/>
          <w:sz w:val="20"/>
        </w:rPr>
        <w:t>million during the Lease term. Pursuant to the terms of the Lease, the Company has four options to repurchase the Property, in 2026, 2031, 2036 and 2041, for the greater of (i) $102.3</w:t>
      </w:r>
      <w:r>
        <w:rPr>
          <w:rFonts w:ascii="Times New Roman" w:hAnsi="Times New Roman"/>
          <w:color w:val="000000"/>
          <w:sz w:val="20"/>
        </w:rPr>
        <w:t xml:space="preserve"> </w:t>
      </w:r>
      <w:r>
        <w:rPr>
          <w:rFonts w:ascii="Times New Roman" w:hAnsi="Times New Roman"/>
          <w:b w:val="false"/>
          <w:color w:val="000000"/>
          <w:sz w:val="20"/>
        </w:rPr>
        <w:t>million and (ii) the fair market value of the Property.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 related</w:t>
      </w:r>
      <w:r>
        <w:rPr>
          <w:rFonts w:ascii="Times New Roman" w:hAnsi="Times New Roman"/>
          <w:color w:val="000000"/>
          <w:sz w:val="20"/>
        </w:rPr>
        <w:t xml:space="preserve"> </w:t>
      </w:r>
      <w:r>
        <w:rPr>
          <w:rFonts w:ascii="Times New Roman" w:hAnsi="Times New Roman"/>
          <w:b w:val="false"/>
          <w:color w:val="000000"/>
          <w:sz w:val="20"/>
        </w:rPr>
        <w:t>financing liability was $104.1</w:t>
      </w:r>
      <w:r>
        <w:rPr>
          <w:rFonts w:ascii="Times New Roman" w:hAnsi="Times New Roman"/>
          <w:color w:val="000000"/>
          <w:sz w:val="20"/>
        </w:rPr>
        <w:t xml:space="preserve"> </w:t>
      </w:r>
      <w:r>
        <w:rPr>
          <w:rFonts w:ascii="Times New Roman" w:hAnsi="Times New Roman"/>
          <w:b w:val="false"/>
          <w:color w:val="000000"/>
          <w:sz w:val="20"/>
        </w:rPr>
        <w:t>million, which was recognized in the condensed consolidated balance sheet and of which $94.4</w:t>
      </w:r>
      <w:r>
        <w:rPr>
          <w:rFonts w:ascii="Times New Roman" w:hAnsi="Times New Roman"/>
          <w:color w:val="000000"/>
          <w:sz w:val="20"/>
        </w:rPr>
        <w:t xml:space="preserve"> </w:t>
      </w:r>
      <w:r>
        <w:rPr>
          <w:rFonts w:ascii="Times New Roman" w:hAnsi="Times New Roman"/>
          <w:b w:val="false"/>
          <w:color w:val="000000"/>
          <w:sz w:val="20"/>
        </w:rPr>
        <w:t>million was long-term and $9.7</w:t>
      </w:r>
      <w:r>
        <w:rPr>
          <w:rFonts w:ascii="Times New Roman" w:hAnsi="Times New Roman"/>
          <w:color w:val="000000"/>
          <w:sz w:val="20"/>
        </w:rPr>
        <w:t xml:space="preserve"> </w:t>
      </w:r>
      <w:r>
        <w:rPr>
          <w:rFonts w:ascii="Times New Roman" w:hAnsi="Times New Roman"/>
          <w:b w:val="false"/>
          <w:color w:val="000000"/>
          <w:sz w:val="20"/>
        </w:rPr>
        <w:t>million was current. As of December 31, 2022, the related financing liability was $104.1</w:t>
      </w:r>
      <w:r>
        <w:rPr>
          <w:rFonts w:ascii="Times New Roman" w:hAnsi="Times New Roman"/>
          <w:color w:val="000000"/>
          <w:sz w:val="20"/>
        </w:rPr>
        <w:t xml:space="preserve"> </w:t>
      </w:r>
      <w:r>
        <w:rPr>
          <w:rFonts w:ascii="Times New Roman" w:hAnsi="Times New Roman"/>
          <w:b w:val="false"/>
          <w:color w:val="000000"/>
          <w:sz w:val="20"/>
        </w:rPr>
        <w:t>million, of which $94.5</w:t>
      </w:r>
      <w:r>
        <w:rPr>
          <w:rFonts w:ascii="Times New Roman" w:hAnsi="Times New Roman"/>
          <w:color w:val="000000"/>
          <w:sz w:val="20"/>
        </w:rPr>
        <w:t xml:space="preserve"> </w:t>
      </w:r>
      <w:r>
        <w:rPr>
          <w:rFonts w:ascii="Times New Roman" w:hAnsi="Times New Roman"/>
          <w:b w:val="false"/>
          <w:color w:val="000000"/>
          <w:sz w:val="20"/>
        </w:rPr>
        <w:t>million was long-term and $9.6</w:t>
      </w:r>
      <w:r>
        <w:rPr>
          <w:rFonts w:ascii="Times New Roman" w:hAnsi="Times New Roman"/>
          <w:color w:val="000000"/>
          <w:sz w:val="20"/>
        </w:rPr>
        <w:t xml:space="preserve"> </w:t>
      </w:r>
      <w:r>
        <w:rPr>
          <w:rFonts w:ascii="Times New Roman" w:hAnsi="Times New Roman"/>
          <w:b w:val="false"/>
          <w:color w:val="000000"/>
          <w:sz w:val="20"/>
        </w:rPr>
        <w:t>million was current. Cash paid for interest on the financing liability totaled $7.2</w:t>
      </w:r>
      <w:r>
        <w:rPr>
          <w:rFonts w:ascii="Times New Roman" w:hAnsi="Times New Roman"/>
          <w:color w:val="000000"/>
          <w:sz w:val="20"/>
        </w:rPr>
        <w:t xml:space="preserve"> </w:t>
      </w:r>
      <w:r>
        <w:rPr>
          <w:rFonts w:ascii="Times New Roman" w:hAnsi="Times New Roman"/>
          <w:b w:val="false"/>
          <w:color w:val="000000"/>
          <w:sz w:val="20"/>
        </w:rPr>
        <w:t>million and $3.8</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spacing w:before="240" w:after="240"/>
        <w:jc w:val="left"/>
        <w:rPr>
          <w:rFonts w:ascii="Times New Roman" w:hAnsi="Times New Roman"/>
          <w:sz w:val="20"/>
        </w:rPr>
      </w:pPr>
      <w:r>
        <w:rPr>
          <w:rFonts w:ascii="Times New Roman" w:hAnsi="Times New Roman"/>
          <w:b w:val="false"/>
          <w:color w:val="000000"/>
          <w:sz w:val="20"/>
        </w:rPr>
        <w:t>Financing liability information was as follows:</w:t>
      </w:r>
      <w:r>
        <w:rPr>
          <w:rFonts w:ascii="Times New Roman" w:hAnsi="Times New Roman"/>
          <w:color w:val="000000"/>
          <w:sz w:val="20"/>
        </w:rPr>
        <w:t xml:space="preserve"> </w:t>
      </w:r>
    </w:p>
    <w:tbl>
      <w:tblPr>
        <w:tblW w:w="8035" w:type="dxa"/>
        <w:jc w:val="left"/>
        <w:tblInd w:w="0" w:type="dxa"/>
        <w:tblLayout w:type="fixed"/>
        <w:tblCellMar>
          <w:top w:w="28" w:type="dxa"/>
          <w:left w:w="28" w:type="dxa"/>
          <w:bottom w:w="28" w:type="dxa"/>
          <w:right w:w="28" w:type="dxa"/>
        </w:tblCellMar>
      </w:tblPr>
      <w:tblGrid>
        <w:gridCol w:w="4111"/>
        <w:gridCol w:w="146"/>
        <w:gridCol w:w="367"/>
        <w:gridCol w:w="1178"/>
        <w:gridCol w:w="271"/>
        <w:gridCol w:w="146"/>
        <w:gridCol w:w="357"/>
        <w:gridCol w:w="1143"/>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pPr>
      <w:r>
        <w:rPr/>
        <w:t> </w:t>
      </w:r>
    </w:p>
    <w:tbl>
      <w:tblPr>
        <w:tblW w:w="7552" w:type="dxa"/>
        <w:jc w:val="left"/>
        <w:tblInd w:w="0" w:type="dxa"/>
        <w:tblLayout w:type="fixed"/>
        <w:tblCellMar>
          <w:top w:w="28" w:type="dxa"/>
          <w:left w:w="28" w:type="dxa"/>
          <w:bottom w:w="28" w:type="dxa"/>
          <w:right w:w="28" w:type="dxa"/>
        </w:tblCellMar>
      </w:tblPr>
      <w:tblGrid>
        <w:gridCol w:w="3211"/>
        <w:gridCol w:w="146"/>
        <w:gridCol w:w="211"/>
        <w:gridCol w:w="571"/>
        <w:gridCol w:w="146"/>
        <w:gridCol w:w="146"/>
        <w:gridCol w:w="211"/>
        <w:gridCol w:w="571"/>
        <w:gridCol w:w="146"/>
        <w:gridCol w:w="146"/>
        <w:gridCol w:w="211"/>
        <w:gridCol w:w="571"/>
        <w:gridCol w:w="146"/>
        <w:gridCol w:w="146"/>
        <w:gridCol w:w="211"/>
        <w:gridCol w:w="57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on financing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The Company's remaining financing liability payments were as follows (in thousands):</w:t>
      </w:r>
    </w:p>
    <w:tbl>
      <w:tblPr>
        <w:tblW w:w="4168" w:type="dxa"/>
        <w:jc w:val="left"/>
        <w:tblInd w:w="0" w:type="dxa"/>
        <w:tblLayout w:type="fixed"/>
        <w:tblCellMar>
          <w:top w:w="28" w:type="dxa"/>
          <w:left w:w="28" w:type="dxa"/>
          <w:bottom w:w="28" w:type="dxa"/>
          <w:right w:w="28" w:type="dxa"/>
        </w:tblCellMar>
      </w:tblPr>
      <w:tblGrid>
        <w:gridCol w:w="2086"/>
        <w:gridCol w:w="146"/>
        <w:gridCol w:w="310"/>
        <w:gridCol w:w="1235"/>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2,470</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10,018</w:t>
            </w:r>
          </w:p>
        </w:tc>
        <w:tc>
          <w:tcPr>
            <w:tcW w:w="3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10,269</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10,533</w:t>
            </w:r>
          </w:p>
        </w:tc>
        <w:tc>
          <w:tcPr>
            <w:tcW w:w="3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10,849</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188,453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232,592</w:t>
            </w:r>
          </w:p>
        </w:tc>
        <w:tc>
          <w:tcPr>
            <w:tcW w:w="3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payments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(125,743</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Debt issuance costs</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financing liability</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104,122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Commitments </w:t>
      </w:r>
      <w:r>
        <w:rPr>
          <w:rFonts w:ascii="Times New Roman" w:hAnsi="Times New Roman"/>
          <w:color w:val="000000"/>
          <w:sz w:val="20"/>
        </w:rPr>
        <w:t xml:space="preserve">— </w:t>
      </w:r>
      <w:r>
        <w:rPr>
          <w:rFonts w:ascii="Times New Roman" w:hAnsi="Times New Roman"/>
          <w:b w:val="false"/>
          <w:color w:val="000000"/>
          <w:sz w:val="20"/>
        </w:rPr>
        <w:t>In July 2014, the Company entered into the Insulin Supply Agreement with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In May 2021, the Company and Amphastar amended the Insulin Supply Agreement to extend the term and restructure the annual purchase commitments. The Company's remaining purchase commitments were as follows (€ in millions):</w:t>
      </w:r>
    </w:p>
    <w:tbl>
      <w:tblPr>
        <w:tblW w:w="2423" w:type="dxa"/>
        <w:jc w:val="left"/>
        <w:tblInd w:w="0" w:type="dxa"/>
        <w:tblLayout w:type="fixed"/>
        <w:tblCellMar>
          <w:top w:w="28" w:type="dxa"/>
          <w:left w:w="28" w:type="dxa"/>
          <w:bottom w:w="28" w:type="dxa"/>
          <w:right w:w="28" w:type="dxa"/>
        </w:tblCellMar>
      </w:tblPr>
      <w:tblGrid>
        <w:gridCol w:w="541"/>
        <w:gridCol w:w="146"/>
        <w:gridCol w:w="367"/>
        <w:gridCol w:w="1178"/>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91" w:type="dxa"/>
            <w:tcBorders/>
            <w:shd w:fill="CFF0FC" w:val="clear"/>
            <w:vAlign w:val="center"/>
          </w:tcPr>
          <w:p>
            <w:pPr>
              <w:pStyle w:val="TableContents"/>
              <w:bidi w:val="0"/>
              <w:spacing w:before="0" w:after="283"/>
              <w:jc w:val="left"/>
              <w:rPr/>
            </w:pPr>
            <w:r>
              <w:rPr/>
              <w:t> </w:t>
            </w:r>
          </w:p>
        </w:tc>
      </w:tr>
      <w:tr>
        <w:trPr/>
        <w:tc>
          <w:tcPr>
            <w:tcW w:w="5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191" w:type="dxa"/>
            <w:tcBorders/>
            <w:shd w:fill="FFFFFF" w:val="clear"/>
            <w:vAlign w:val="center"/>
          </w:tcPr>
          <w:p>
            <w:pPr>
              <w:pStyle w:val="TableContents"/>
              <w:bidi w:val="0"/>
              <w:spacing w:before="0" w:after="283"/>
              <w:jc w:val="left"/>
              <w:rPr/>
            </w:pPr>
            <w:r>
              <w:rPr/>
              <w:t> </w:t>
            </w:r>
          </w:p>
        </w:tc>
      </w:tr>
      <w:tr>
        <w:trPr/>
        <w:tc>
          <w:tcPr>
            <w:tcW w:w="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91" w:type="dxa"/>
            <w:tcBorders/>
            <w:shd w:fill="CFF0FC" w:val="clear"/>
            <w:vAlign w:val="center"/>
          </w:tcPr>
          <w:p>
            <w:pPr>
              <w:pStyle w:val="TableContents"/>
              <w:bidi w:val="0"/>
              <w:spacing w:before="0" w:after="283"/>
              <w:jc w:val="left"/>
              <w:rPr/>
            </w:pPr>
            <w:r>
              <w:rPr/>
              <w:t> </w:t>
            </w:r>
          </w:p>
        </w:tc>
      </w:tr>
      <w:tr>
        <w:trPr/>
        <w:tc>
          <w:tcPr>
            <w:tcW w:w="5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191" w:type="dxa"/>
            <w:tcBorders/>
            <w:shd w:fill="FFFFFF" w:val="clear"/>
            <w:vAlign w:val="center"/>
          </w:tcPr>
          <w:p>
            <w:pPr>
              <w:pStyle w:val="TableContents"/>
              <w:bidi w:val="0"/>
              <w:spacing w:before="0" w:after="283"/>
              <w:jc w:val="left"/>
              <w:rPr/>
            </w:pPr>
            <w:r>
              <w:rPr/>
              <w:t> </w:t>
            </w:r>
          </w:p>
        </w:tc>
      </w:tr>
      <w:tr>
        <w:trPr/>
        <w:tc>
          <w:tcPr>
            <w:tcW w:w="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amendment, the term of the Insulin Supply Agreement expires on December 31, 2027, unless terminated earlier, and can be renewed for additional, successive two-year</w:t>
      </w:r>
      <w:r>
        <w:rPr>
          <w:rFonts w:ascii="Times New Roman" w:hAnsi="Times New Roman"/>
          <w:color w:val="000000"/>
          <w:sz w:val="20"/>
        </w:rPr>
        <w:t xml:space="preserve"> </w:t>
      </w:r>
      <w:r>
        <w:rPr>
          <w:rFonts w:ascii="Times New Roman" w:hAnsi="Times New Roman"/>
          <w:b w:val="false"/>
          <w:color w:val="000000"/>
          <w:sz w:val="20"/>
        </w:rPr>
        <w:t>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Vehicle Leases </w:t>
      </w:r>
      <w:r>
        <w:rPr>
          <w:rFonts w:ascii="Times New Roman" w:hAnsi="Times New Roman"/>
          <w:color w:val="000000"/>
          <w:sz w:val="20"/>
        </w:rPr>
        <w:t xml:space="preserve">— </w:t>
      </w:r>
      <w:r>
        <w:rPr>
          <w:rFonts w:ascii="Times New Roman" w:hAnsi="Times New Roman"/>
          <w:b w:val="false"/>
          <w:color w:val="000000"/>
          <w:sz w:val="20"/>
        </w:rPr>
        <w:t>During the second quarter of 2018, the Company entered into a master lease agreement with Enterprise Fleet Management Inc. The monthly payment inclusive of maintenance fees, insurance and taxes is approximately $0.1</w:t>
      </w:r>
      <w:r>
        <w:rPr>
          <w:rFonts w:ascii="Times New Roman" w:hAnsi="Times New Roman"/>
          <w:color w:val="000000"/>
          <w:sz w:val="20"/>
        </w:rPr>
        <w:t xml:space="preserve"> </w:t>
      </w:r>
      <w:r>
        <w:rPr>
          <w:rFonts w:ascii="Times New Roman" w:hAnsi="Times New Roman"/>
          <w:b w:val="false"/>
          <w:color w:val="000000"/>
          <w:sz w:val="20"/>
        </w:rPr>
        <w:t>million. The lease expense is included in selling expenses in the condensed consolidated statements of operations.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Office Leases</w:t>
      </w:r>
      <w:r>
        <w:rPr>
          <w:rFonts w:ascii="Times New Roman" w:hAnsi="Times New Roman"/>
          <w:color w:val="000000"/>
          <w:sz w:val="20"/>
        </w:rPr>
        <w:t xml:space="preserve"> — </w:t>
      </w:r>
      <w:r>
        <w:rPr>
          <w:rFonts w:ascii="Times New Roman" w:hAnsi="Times New Roman"/>
          <w:b w:val="false"/>
          <w:color w:val="000000"/>
          <w:sz w:val="20"/>
        </w:rPr>
        <w:t>In May 2017, the Company executed an office lease with Russell Ranch Road II LLC for the Company’s corporate offices in Westlake Village, California, which was renewed in April 2022. Pursuant to the renewal, the monthly payments of $79,543</w:t>
      </w:r>
      <w:r>
        <w:rPr>
          <w:rFonts w:ascii="Times New Roman" w:hAnsi="Times New Roman"/>
          <w:color w:val="000000"/>
          <w:sz w:val="20"/>
        </w:rPr>
        <w:t xml:space="preserve"> </w:t>
      </w:r>
      <w:r>
        <w:rPr>
          <w:rFonts w:ascii="Times New Roman" w:hAnsi="Times New Roman"/>
          <w:b w:val="false"/>
          <w:color w:val="000000"/>
          <w:sz w:val="20"/>
        </w:rPr>
        <w:t>began in February 2023, subject to 3% annual increases, plus the estimated cost of maintaining the property and common areas by the landlord, and further subject to a six-month base rent concession beginning February 2023. The Company is also entitled to a one-time allowance up to $0.9</w:t>
      </w:r>
      <w:r>
        <w:rPr>
          <w:rFonts w:ascii="Times New Roman" w:hAnsi="Times New Roman"/>
          <w:color w:val="000000"/>
          <w:sz w:val="20"/>
        </w:rPr>
        <w:t xml:space="preserve"> </w:t>
      </w:r>
      <w:r>
        <w:rPr>
          <w:rFonts w:ascii="Times New Roman" w:hAnsi="Times New Roman"/>
          <w:b w:val="false"/>
          <w:color w:val="000000"/>
          <w:sz w:val="20"/>
        </w:rPr>
        <w:t>million as reimbursement for tenant improvements or the purchase of furniture, fixtures or equipment. Of the $0.9</w:t>
      </w:r>
      <w:r>
        <w:rPr>
          <w:rFonts w:ascii="Times New Roman" w:hAnsi="Times New Roman"/>
          <w:color w:val="000000"/>
          <w:sz w:val="20"/>
        </w:rPr>
        <w:t xml:space="preserve"> </w:t>
      </w:r>
      <w:r>
        <w:rPr>
          <w:rFonts w:ascii="Times New Roman" w:hAnsi="Times New Roman"/>
          <w:b w:val="false"/>
          <w:color w:val="000000"/>
          <w:sz w:val="20"/>
        </w:rPr>
        <w:t>million allowance, an amount up to $0.7</w:t>
      </w:r>
      <w:r>
        <w:rPr>
          <w:rFonts w:ascii="Times New Roman" w:hAnsi="Times New Roman"/>
          <w:color w:val="000000"/>
          <w:sz w:val="20"/>
        </w:rPr>
        <w:t xml:space="preserve"> </w:t>
      </w:r>
      <w:r>
        <w:rPr>
          <w:rFonts w:ascii="Times New Roman" w:hAnsi="Times New Roman"/>
          <w:b w:val="false"/>
          <w:color w:val="000000"/>
          <w:sz w:val="20"/>
        </w:rPr>
        <w:t>million may be applied as an additional base rent concession.</w:t>
      </w:r>
      <w:r>
        <w:rPr>
          <w:rFonts w:ascii="Times New Roman" w:hAnsi="Times New Roman"/>
          <w:color w:val="000000"/>
          <w:sz w:val="20"/>
        </w:rPr>
        <w:t xml:space="preserve"> </w:t>
      </w:r>
      <w:r>
        <w:rPr>
          <w:rFonts w:ascii="Times New Roman" w:hAnsi="Times New Roman"/>
          <w:b w:val="false"/>
          <w:color w:val="000000"/>
          <w:sz w:val="20"/>
        </w:rPr>
        <w:t>The Company has no further right to extend the lease term beyond July 31, 2028.</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May 2022, the Company assumed certain leased real property (the “Marlborough Lease”) in connection with the V-Go acquisition. The Marlborough Lease pertains to certain premises in a building located in Marlborough, Massachusetts. The monthly payments of $28,895</w:t>
      </w:r>
      <w:r>
        <w:rPr>
          <w:rFonts w:ascii="Times New Roman" w:hAnsi="Times New Roman"/>
          <w:color w:val="000000"/>
          <w:sz w:val="20"/>
        </w:rPr>
        <w:t xml:space="preserve"> </w:t>
      </w:r>
      <w:r>
        <w:rPr>
          <w:rFonts w:ascii="Times New Roman" w:hAnsi="Times New Roman"/>
          <w:b w:val="false"/>
          <w:color w:val="000000"/>
          <w:sz w:val="20"/>
        </w:rPr>
        <w:t>began in June 2022, subject to approximately 3% annual increases through February 28, 2026.</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also acquired rights to a manufacturing service agreement where V-Go is manufactured using Company-owned equipment located at the manufacturing facility. The Company determined that this arrangement results in an embedded lease which granted the Company exclusive use of space within the manufacturing facility. The Company assessed the embedded lease cost to be $14,370</w:t>
      </w:r>
      <w:r>
        <w:rPr>
          <w:rFonts w:ascii="Times New Roman" w:hAnsi="Times New Roman"/>
          <w:color w:val="000000"/>
          <w:sz w:val="20"/>
        </w:rPr>
        <w:t xml:space="preserve"> </w:t>
      </w:r>
      <w:r>
        <w:rPr>
          <w:rFonts w:ascii="Times New Roman" w:hAnsi="Times New Roman"/>
          <w:b w:val="false"/>
          <w:color w:val="000000"/>
          <w:sz w:val="20"/>
        </w:rPr>
        <w:t>per month through February 28, 2026.</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Lease information was as follows (in thousands):</w:t>
      </w:r>
    </w:p>
    <w:tbl>
      <w:tblPr>
        <w:tblW w:w="8235" w:type="dxa"/>
        <w:jc w:val="left"/>
        <w:tblInd w:w="0" w:type="dxa"/>
        <w:tblLayout w:type="fixed"/>
        <w:tblCellMar>
          <w:top w:w="28" w:type="dxa"/>
          <w:left w:w="28" w:type="dxa"/>
          <w:bottom w:w="28" w:type="dxa"/>
          <w:right w:w="28" w:type="dxa"/>
        </w:tblCellMar>
      </w:tblPr>
      <w:tblGrid>
        <w:gridCol w:w="4111"/>
        <w:gridCol w:w="246"/>
        <w:gridCol w:w="417"/>
        <w:gridCol w:w="1128"/>
        <w:gridCol w:w="271"/>
        <w:gridCol w:w="246"/>
        <w:gridCol w:w="403"/>
        <w:gridCol w:w="1097"/>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Operating lease right-of-use assets</w:t>
            </w:r>
            <w:r>
              <w:rPr>
                <w:rFonts w:ascii="Times New Roman" w:hAnsi="Times New Roman"/>
                <w:b w:val="false"/>
                <w:color w:val="000000"/>
                <w:sz w:val="13"/>
              </w:rPr>
              <w:t>(1)</w:t>
            </w:r>
          </w:p>
        </w:tc>
        <w:tc>
          <w:tcPr>
            <w:tcW w:w="246" w:type="dxa"/>
            <w:tcBorders/>
            <w:shd w:fill="CFF0FC" w:val="cle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6,714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Operating lease liability-current</w:t>
            </w:r>
            <w:r>
              <w:rPr>
                <w:rFonts w:ascii="Times New Roman" w:hAnsi="Times New Roman"/>
                <w:b w:val="false"/>
                <w:color w:val="000000"/>
                <w:sz w:val="13"/>
              </w:rPr>
              <w:t>(2)</w:t>
            </w:r>
          </w:p>
        </w:tc>
        <w:tc>
          <w:tcPr>
            <w:tcW w:w="2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1,181</w:t>
            </w:r>
          </w:p>
        </w:tc>
        <w:tc>
          <w:tcPr>
            <w:tcW w:w="2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1,304</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liability-long-term</w:t>
            </w:r>
          </w:p>
        </w:tc>
        <w:tc>
          <w:tcPr>
            <w:tcW w:w="246" w:type="dxa"/>
            <w:tcBorders/>
            <w:shd w:fill="CFF0FC" w:val="cle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Total</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6,647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2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remaining lease term (in years)</w:t>
            </w:r>
          </w:p>
        </w:tc>
        <w:tc>
          <w:tcPr>
            <w:tcW w:w="2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27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316"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discount rate</w:t>
            </w:r>
          </w:p>
        </w:tc>
        <w:tc>
          <w:tcPr>
            <w:tcW w:w="2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Operating right-of-use assets related to vehicles, offices and the manufacturing facility are included in other assets in the condensed consolidated balance sheets.</w:t>
      </w:r>
    </w:p>
    <w:p>
      <w:pPr>
        <w:pStyle w:val="TextBody"/>
        <w:bidi w:val="0"/>
        <w:spacing w:before="0" w:after="240"/>
        <w:jc w:val="left"/>
        <w:rPr>
          <w:rFonts w:ascii="Times New Roman" w:hAnsi="Times New Roman"/>
          <w:b w:val="false"/>
          <w:color w:val="000000"/>
          <w:sz w:val="14"/>
        </w:rPr>
      </w:pPr>
      <w:r>
        <w:rPr>
          <w:rFonts w:ascii="Times New Roman" w:hAnsi="Times New Roman"/>
          <w:b w:val="false"/>
          <w:color w:val="000000"/>
          <w:sz w:val="14"/>
        </w:rPr>
        <w:t>(2)</w:t>
      </w:r>
    </w:p>
    <w:p>
      <w:pPr>
        <w:pStyle w:val="TextBody"/>
        <w:bidi w:val="0"/>
        <w:spacing w:before="0" w:after="240"/>
        <w:jc w:val="left"/>
        <w:rPr>
          <w:rFonts w:ascii="Times New Roman" w:hAnsi="Times New Roman"/>
          <w:b w:val="false"/>
          <w:color w:val="000000"/>
          <w:sz w:val="18"/>
        </w:rPr>
      </w:pPr>
      <w:r>
        <w:rPr>
          <w:rFonts w:ascii="Times New Roman" w:hAnsi="Times New Roman"/>
          <w:b w:val="false"/>
          <w:color w:val="000000"/>
          <w:sz w:val="18"/>
        </w:rPr>
        <w:t>Operating lease liability – current are included in accrued expenses and other current liabilities in the condensed consolidated balance sheets.</w:t>
      </w:r>
    </w:p>
    <w:tbl>
      <w:tblPr>
        <w:tblW w:w="5948" w:type="dxa"/>
        <w:jc w:val="left"/>
        <w:tblInd w:w="0" w:type="dxa"/>
        <w:tblLayout w:type="fixed"/>
        <w:tblCellMar>
          <w:top w:w="28" w:type="dxa"/>
          <w:left w:w="28" w:type="dxa"/>
          <w:bottom w:w="28" w:type="dxa"/>
          <w:right w:w="28" w:type="dxa"/>
        </w:tblCellMar>
      </w:tblPr>
      <w:tblGrid>
        <w:gridCol w:w="1831"/>
        <w:gridCol w:w="146"/>
        <w:gridCol w:w="221"/>
        <w:gridCol w:w="442"/>
        <w:gridCol w:w="153"/>
        <w:gridCol w:w="153"/>
        <w:gridCol w:w="221"/>
        <w:gridCol w:w="442"/>
        <w:gridCol w:w="146"/>
        <w:gridCol w:w="146"/>
        <w:gridCol w:w="211"/>
        <w:gridCol w:w="571"/>
        <w:gridCol w:w="146"/>
        <w:gridCol w:w="146"/>
        <w:gridCol w:w="211"/>
        <w:gridCol w:w="57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1,037</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w:t>
            </w:r>
          </w:p>
        </w:tc>
        <w:tc>
          <w:tcPr>
            <w:tcW w:w="1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b w:val="false"/>
          <w:color w:val="000000"/>
          <w:sz w:val="20"/>
        </w:rPr>
      </w:pPr>
      <w:r>
        <w:rPr>
          <w:rFonts w:ascii="Times New Roman" w:hAnsi="Times New Roman"/>
          <w:b w:val="false"/>
          <w:color w:val="000000"/>
          <w:sz w:val="20"/>
        </w:rPr>
        <w:t>The Company's future minimum office and vehicle lease payments were as follows (in thousands):</w:t>
      </w:r>
    </w:p>
    <w:tbl>
      <w:tblPr>
        <w:tblW w:w="4838" w:type="dxa"/>
        <w:jc w:val="left"/>
        <w:tblInd w:w="0" w:type="dxa"/>
        <w:tblLayout w:type="fixed"/>
        <w:tblCellMar>
          <w:top w:w="28" w:type="dxa"/>
          <w:left w:w="28" w:type="dxa"/>
          <w:bottom w:w="28" w:type="dxa"/>
          <w:right w:w="28" w:type="dxa"/>
        </w:tblCellMar>
      </w:tblPr>
      <w:tblGrid>
        <w:gridCol w:w="2736"/>
        <w:gridCol w:w="146"/>
        <w:gridCol w:w="417"/>
        <w:gridCol w:w="1128"/>
        <w:gridCol w:w="411"/>
      </w:tblGrid>
      <w:tr>
        <w:trPr/>
        <w:tc>
          <w:tcPr>
            <w:tcW w:w="2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w:t>
            </w:r>
          </w:p>
        </w:tc>
        <w:tc>
          <w:tcPr>
            <w:tcW w:w="411" w:type="dxa"/>
            <w:tcBorders/>
            <w:shd w:fill="CFF0FC" w:val="clear"/>
            <w:vAlign w:val="center"/>
          </w:tcPr>
          <w:p>
            <w:pPr>
              <w:pStyle w:val="TableContents"/>
              <w:bidi w:val="0"/>
              <w:spacing w:before="0" w:after="283"/>
              <w:jc w:val="left"/>
              <w:rPr/>
            </w:pPr>
            <w:r>
              <w:rPr/>
              <w:t> </w:t>
            </w:r>
          </w:p>
        </w:tc>
      </w:tr>
      <w:tr>
        <w:trPr/>
        <w:tc>
          <w:tcPr>
            <w:tcW w:w="27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1,496</w:t>
            </w:r>
          </w:p>
        </w:tc>
        <w:tc>
          <w:tcPr>
            <w:tcW w:w="411" w:type="dxa"/>
            <w:tcBorders/>
            <w:shd w:fill="FFFFFF" w:val="clear"/>
            <w:vAlign w:val="center"/>
          </w:tcPr>
          <w:p>
            <w:pPr>
              <w:pStyle w:val="TableContents"/>
              <w:bidi w:val="0"/>
              <w:spacing w:before="0" w:after="283"/>
              <w:jc w:val="left"/>
              <w:rPr/>
            </w:pPr>
            <w:r>
              <w:rPr/>
              <w:t> </w:t>
            </w:r>
          </w:p>
        </w:tc>
      </w:tr>
      <w:tr>
        <w:trPr/>
        <w:tc>
          <w:tcPr>
            <w:tcW w:w="2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1,861</w:t>
            </w:r>
          </w:p>
        </w:tc>
        <w:tc>
          <w:tcPr>
            <w:tcW w:w="411" w:type="dxa"/>
            <w:tcBorders/>
            <w:shd w:fill="CFF0FC" w:val="clear"/>
            <w:vAlign w:val="center"/>
          </w:tcPr>
          <w:p>
            <w:pPr>
              <w:pStyle w:val="TableContents"/>
              <w:bidi w:val="0"/>
              <w:spacing w:before="0" w:after="283"/>
              <w:jc w:val="left"/>
              <w:rPr/>
            </w:pPr>
            <w:r>
              <w:rPr/>
              <w:t> </w:t>
            </w:r>
          </w:p>
        </w:tc>
      </w:tr>
      <w:tr>
        <w:trPr/>
        <w:tc>
          <w:tcPr>
            <w:tcW w:w="27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1,140</w:t>
            </w:r>
          </w:p>
        </w:tc>
        <w:tc>
          <w:tcPr>
            <w:tcW w:w="411" w:type="dxa"/>
            <w:tcBorders/>
            <w:shd w:fill="FFFFFF" w:val="clear"/>
            <w:vAlign w:val="center"/>
          </w:tcPr>
          <w:p>
            <w:pPr>
              <w:pStyle w:val="TableContents"/>
              <w:bidi w:val="0"/>
              <w:spacing w:before="0" w:after="283"/>
              <w:jc w:val="left"/>
              <w:rPr/>
            </w:pPr>
            <w:r>
              <w:rPr/>
              <w:t> </w:t>
            </w:r>
          </w:p>
        </w:tc>
      </w:tr>
      <w:tr>
        <w:trPr/>
        <w:tc>
          <w:tcPr>
            <w:tcW w:w="2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1,072</w:t>
            </w:r>
          </w:p>
        </w:tc>
        <w:tc>
          <w:tcPr>
            <w:tcW w:w="411" w:type="dxa"/>
            <w:tcBorders/>
            <w:shd w:fill="CFF0FC" w:val="clear"/>
            <w:vAlign w:val="center"/>
          </w:tcPr>
          <w:p>
            <w:pPr>
              <w:pStyle w:val="TableContents"/>
              <w:bidi w:val="0"/>
              <w:spacing w:before="0" w:after="283"/>
              <w:jc w:val="left"/>
              <w:rPr/>
            </w:pPr>
            <w:r>
              <w:rPr/>
              <w:t> </w:t>
            </w:r>
          </w:p>
        </w:tc>
      </w:tr>
      <w:tr>
        <w:trPr/>
        <w:tc>
          <w:tcPr>
            <w:tcW w:w="27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6,433</w:t>
            </w:r>
          </w:p>
        </w:tc>
        <w:tc>
          <w:tcPr>
            <w:tcW w:w="411" w:type="dxa"/>
            <w:tcBorders/>
            <w:shd w:fill="CFF0FC" w:val="clear"/>
            <w:vAlign w:val="center"/>
          </w:tcPr>
          <w:p>
            <w:pPr>
              <w:pStyle w:val="TableContents"/>
              <w:bidi w:val="0"/>
              <w:spacing w:before="0" w:after="283"/>
              <w:jc w:val="left"/>
              <w:rPr/>
            </w:pPr>
            <w:r>
              <w:rPr/>
              <w:t> </w:t>
            </w:r>
          </w:p>
        </w:tc>
      </w:tr>
      <w:tr>
        <w:trPr/>
        <w:tc>
          <w:tcPr>
            <w:tcW w:w="27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lease liability</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nine months ended September 30, 2023, the Company did not recognize any interest or penalties. The Company’s tax years since 2018 remain subject to examination by tax authorities.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2022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biopharmaceutical company focused on the development and commercialization of innovative therapeutic products and devices to address serious unmet medical needs for those living with endocrine and orphan lung diseases. Our signature technologies—Technosphere dry-powder formulations and Dreamboat inhalation devices—offer rapid and convenient delivery of medicines to the deep lung where they can exert an effect locally or enter the systemic circulation. 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our orphan lung disease pipeline,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a margin on supplies of Tyvaso DPI that we manufacture for UT.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of September 30, 2023, we had an accumulated deficit of $3.2 billion and a stockholders’ deficit of $251.8 million. We had a net income of $1.7 million and net loss of $13.3 million for the three and nine months ended September 30, 2023, respectively. To date, we have funded our operations primarily through the sale of our equity and convertible debt securities, from the receipt of upfront and milestone payments from collaborations, from borrowings, from sales of Afrezza and V-Go, from royalties and manufacturing revenue from UT as well as from proceeds of the sale-leaseback of our manufacturing facility in Danbury, 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Our critical accounting policies and estimates can be found in Item 7. Management’s Discussion and Analysis of Financial Condition and Results of Operations in our Annual Report. See Note 1 – </w:t>
      </w:r>
      <w:r>
        <w:rPr>
          <w:rFonts w:ascii="Times New Roman" w:hAnsi="Times New Roman"/>
          <w:b w:val="false"/>
          <w:i/>
          <w:color w:val="000000"/>
          <w:sz w:val="20"/>
        </w:rPr>
        <w:t>Description of Business and Significant Accounting Policies</w:t>
      </w:r>
      <w:r>
        <w:rPr>
          <w:rFonts w:ascii="Times New Roman" w:hAnsi="Times New Roman"/>
          <w:color w:val="000000"/>
          <w:sz w:val="20"/>
        </w:rPr>
        <w:t xml:space="preserve"> </w:t>
      </w:r>
      <w:r>
        <w:rPr>
          <w:rFonts w:ascii="Times New Roman" w:hAnsi="Times New Roman"/>
          <w:b w:val="false"/>
          <w:color w:val="000000"/>
          <w:sz w:val="20"/>
        </w:rPr>
        <w:t>in the condensed consolidated financial statements included in Part I – Financial Statements (Unaudited) for descriptions of the new accounting policies and impact of adoption.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Trends and Uncertainties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collaborative agreement with UT entitles us to receive low double-digit royalties on net sales of Tyvaso DPI. Our royalty revenue reflects the upward trend in demand for Tyvaso DPI in the marketplace.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Manufacturing risks may adversely affect our ability to manufacture our products and could reduce our gross margin or impact our collaboration with UT.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future success is dependent on our, and our current and future collaboration partners’, ability to effectively commercialize approved products. Our future success is also dependent on our pipeline of new products. There is a high rate of failure inherent in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Three and nine months ended September 30, 2023 and 2022</w:t>
      </w:r>
    </w:p>
    <w:p>
      <w:pPr>
        <w:pStyle w:val="TextBody"/>
        <w:bidi w:val="0"/>
        <w:spacing w:before="120" w:after="283"/>
        <w:jc w:val="left"/>
        <w:rPr>
          <w:rFonts w:ascii="Times New Roman" w:hAnsi="Times New Roman"/>
          <w:sz w:val="20"/>
        </w:rPr>
      </w:pPr>
      <w:r>
        <w:rPr>
          <w:rFonts w:ascii="Times New Roman" w:hAnsi="Times New Roman"/>
          <w:b/>
          <w:color w:val="000000"/>
          <w:sz w:val="20"/>
        </w:rPr>
        <w:t>Revenues</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The following table provides a comparison of the revenue categories for the three and nine months ended September 30, 2023 and 2022 (dollars in thousands):</w:t>
      </w:r>
      <w:r>
        <w:rPr>
          <w:rFonts w:ascii="Times New Roman" w:hAnsi="Times New Roman"/>
          <w:color w:val="000000"/>
          <w:sz w:val="20"/>
        </w:rPr>
        <w:t xml:space="preserve"> </w:t>
      </w:r>
    </w:p>
    <w:tbl>
      <w:tblPr>
        <w:tblW w:w="9791" w:type="dxa"/>
        <w:jc w:val="left"/>
        <w:tblInd w:w="0" w:type="dxa"/>
        <w:tblLayout w:type="fixed"/>
        <w:tblCellMar>
          <w:top w:w="28" w:type="dxa"/>
          <w:left w:w="28" w:type="dxa"/>
          <w:bottom w:w="28" w:type="dxa"/>
          <w:right w:w="28" w:type="dxa"/>
        </w:tblCellMar>
      </w:tblPr>
      <w:tblGrid>
        <w:gridCol w:w="4271"/>
        <w:gridCol w:w="146"/>
        <w:gridCol w:w="211"/>
        <w:gridCol w:w="676"/>
        <w:gridCol w:w="271"/>
        <w:gridCol w:w="146"/>
        <w:gridCol w:w="211"/>
        <w:gridCol w:w="676"/>
        <w:gridCol w:w="271"/>
        <w:gridCol w:w="146"/>
        <w:gridCol w:w="211"/>
        <w:gridCol w:w="676"/>
        <w:gridCol w:w="146"/>
        <w:gridCol w:w="146"/>
        <w:gridCol w:w="224"/>
        <w:gridCol w:w="647"/>
        <w:gridCol w:w="716"/>
      </w:tblGrid>
      <w:tr>
        <w:trPr/>
        <w:tc>
          <w:tcPr>
            <w:tcW w:w="4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revenue – commercial product sales: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Gross revenue from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32,094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28,544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Less: Wholesaler distribution fees, rebates and</w:t>
              <w:br/>
              <w:t>   chargebacks, product returns and other</w:t>
              <w:br/>
              <w:t>   discounts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12,285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7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revenue – commercial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17,927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16,259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Gross-to-net revenue adjustment percentage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jc w:val="right"/>
              <w:rPr/>
            </w:pPr>
            <w:r>
              <w:rPr/>
              <w:t> </w:t>
            </w:r>
          </w:p>
        </w:tc>
      </w:tr>
      <w:tr>
        <w:trPr/>
        <w:tc>
          <w:tcPr>
            <w:tcW w:w="4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 collaborations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13,108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Royalties – collaborations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51,253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9896" w:type="dxa"/>
        <w:jc w:val="left"/>
        <w:tblInd w:w="0" w:type="dxa"/>
        <w:tblLayout w:type="fixed"/>
        <w:tblCellMar>
          <w:top w:w="28" w:type="dxa"/>
          <w:left w:w="28" w:type="dxa"/>
          <w:bottom w:w="28" w:type="dxa"/>
          <w:right w:w="28" w:type="dxa"/>
        </w:tblCellMar>
      </w:tblPr>
      <w:tblGrid>
        <w:gridCol w:w="4271"/>
        <w:gridCol w:w="146"/>
        <w:gridCol w:w="211"/>
        <w:gridCol w:w="781"/>
        <w:gridCol w:w="271"/>
        <w:gridCol w:w="146"/>
        <w:gridCol w:w="211"/>
        <w:gridCol w:w="676"/>
        <w:gridCol w:w="271"/>
        <w:gridCol w:w="146"/>
        <w:gridCol w:w="211"/>
        <w:gridCol w:w="676"/>
        <w:gridCol w:w="146"/>
        <w:gridCol w:w="146"/>
        <w:gridCol w:w="224"/>
        <w:gridCol w:w="647"/>
        <w:gridCol w:w="716"/>
      </w:tblGrid>
      <w:tr>
        <w:trPr/>
        <w:tc>
          <w:tcPr>
            <w:tcW w:w="4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revenue – commercial product sales: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Gross revenue from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95,722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65,964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Less: Wholesaler distribution fees, rebates and</w:t>
              <w:br/>
              <w:t>   chargebacks, product returns and other</w:t>
              <w:br/>
              <w:t>   discounts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7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revenue – commercial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38,807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Gross-to-net revenue adjustment percentage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jc w:val="right"/>
              <w:rPr/>
            </w:pPr>
            <w:r>
              <w:rPr/>
              <w:t> </w:t>
            </w:r>
          </w:p>
        </w:tc>
      </w:tr>
      <w:tr>
        <w:trPr/>
        <w:tc>
          <w:tcPr>
            <w:tcW w:w="4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 collaborations and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18,380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Royalties – collaborations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42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140,490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63,711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76,779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 Not meaningful</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 xml:space="preserve">Afrezza </w:t>
      </w:r>
      <w:r>
        <w:rPr>
          <w:rFonts w:ascii="Times New Roman" w:hAnsi="Times New Roman"/>
          <w:color w:val="000000"/>
          <w:sz w:val="20"/>
        </w:rPr>
        <w:t xml:space="preserve">— </w:t>
      </w:r>
      <w:r>
        <w:rPr>
          <w:rFonts w:ascii="Times New Roman" w:hAnsi="Times New Roman"/>
          <w:b w:val="false"/>
          <w:color w:val="000000"/>
          <w:sz w:val="20"/>
        </w:rPr>
        <w:t>Gross revenue from sales of Afrezza increased by $3.8 million, or 21%, for the three months ended September 30, 2023 compared to the same period in the prior</w:t>
      </w:r>
      <w:r>
        <w:rPr>
          <w:rFonts w:ascii="Times New Roman" w:hAnsi="Times New Roman"/>
          <w:color w:val="000000"/>
          <w:sz w:val="20"/>
        </w:rPr>
        <w:t xml:space="preserve"> </w:t>
      </w:r>
      <w:r>
        <w:rPr>
          <w:rFonts w:ascii="Times New Roman" w:hAnsi="Times New Roman"/>
          <w:b w:val="false"/>
          <w:color w:val="000000"/>
          <w:sz w:val="20"/>
        </w:rPr>
        <w:t>year. The increase mainly reflects a combination of higher product demand and higher price. The gross-to-net adjustment was 38% of gross revenue, or $8.1 million, for the three months ended September 30, 2023, compared to 39% of gross revenue or $7.0 million, for the same period in the prior year. The decrease in the gross-to-net percentage was primarily driven by a decrease in anticipated product returns and co-pay assistance partially offset by an increase in rebates (as a percentage of gross sales). As a result, net revenue from sales of Afrezza increased by $2.6 million, or 24%, for the three months ended September 30, 2023, compared to the same period in the prior</w:t>
      </w:r>
      <w:r>
        <w:rPr>
          <w:rFonts w:ascii="Times New Roman" w:hAnsi="Times New Roman"/>
          <w:color w:val="000000"/>
          <w:sz w:val="20"/>
        </w:rPr>
        <w:t xml:space="preserve"> </w:t>
      </w:r>
      <w:r>
        <w:rPr>
          <w:rFonts w:ascii="Times New Roman" w:hAnsi="Times New Roman"/>
          <w:b w:val="false"/>
          <w:color w:val="000000"/>
          <w:sz w:val="20"/>
        </w:rPr>
        <w:t>year.</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Gross revenue from sales of Afrezza increased by $12.6 million, or 25%, for the nine months ended September 30, 2023 compared to the same period in the prior year. The increase primarily reflects a combination of higher product demand and higher price. The gross-to-net adjustment was 38% of gross revenue, or $24.3 million, for the nine months ended September 30, 2023, compared to 39% of gross revenue, or $19.8 million, for the same period in the prior year. As a result, net revenue from sales of Afrezza increased by $8.1 million, or 26%, for the nine months ended September 30, 2023, compared to the same period in the prior year.</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V-Go</w:t>
      </w:r>
      <w:r>
        <w:rPr>
          <w:rFonts w:ascii="Times New Roman" w:hAnsi="Times New Roman"/>
          <w:color w:val="000000"/>
          <w:sz w:val="20"/>
        </w:rPr>
        <w:t xml:space="preserve"> — </w:t>
      </w:r>
      <w:r>
        <w:rPr>
          <w:rFonts w:ascii="Times New Roman" w:hAnsi="Times New Roman"/>
          <w:b w:val="false"/>
          <w:color w:val="000000"/>
          <w:sz w:val="20"/>
        </w:rPr>
        <w:t>Gross revenue from sales of V-Go decreased by $0.2 million, or 2%, for the three months ended September 30, 2023 compared to the same period in the prior year. The decrease mainly reflects lower product demand. The gross-to-net adjustment was 58% of gross revenue, or $6.1 million, for the three months ended September 30, 2023, compared to 49% of gross revenue, or $5.3 million, for the same period in the prior year. The increase in gross-to-net percentage was mainly attributable to an increase in rebates (as a percentage of gross sales). As a result, net revenue decreased by $1.0 million, or 18%, for the three months ended September 30, 2023 compared to the same period in the prior year.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Gross revenue from sales of V-Go increased by $17.2 million, or 116%, for the nine months ended September 30, 2023 compared to the same period in the prior year. The increase was a result of nine months of sales in 2023 compared to four months in the prior year as V-Go was acquired in May 2022. The gross-to-net adjustment was 55% of gross revenue, or $17.6 million, for the nine months ended September 30, 2023, compared to 49% of gross revenue, or $7.3 million, for the same period in the prior year. The increase in gross-to-net percentage was mainly attributable to increased rebates (as a percentage of gross sales). As a result, net revenue from sales of V-Go increased by $6.9 million, or 92%, for the nine months ended September 30, 2023 compared to the same period in the prior year.</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Collaborations and Services</w:t>
      </w:r>
      <w:r>
        <w:rPr>
          <w:rFonts w:ascii="Times New Roman" w:hAnsi="Times New Roman"/>
          <w:color w:val="000000"/>
          <w:sz w:val="20"/>
        </w:rPr>
        <w:t xml:space="preserve"> — </w:t>
      </w:r>
      <w:r>
        <w:rPr>
          <w:rFonts w:ascii="Times New Roman" w:hAnsi="Times New Roman"/>
          <w:b w:val="false"/>
          <w:color w:val="000000"/>
          <w:sz w:val="20"/>
        </w:rPr>
        <w:t>Net revenue from collaborations and services increased by $2.8 million, or 27%, for the three months ended September 30, 2023 compared to the same period in the prior year. The increase in revenue was primarily attributable to an increase in the sale of semi-finished Tyvaso DPI to UT. During the three months ended September 30, 2023, we recognized $12.8 million of revenue under the CSA compared to $9.9 million in the prior year period. Royalty revenue increased $14.0 million, or 225%, for the three months ended September 30, 2023 compared to the same period in the prior year primarily due to an increase in patient demand.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Net revenue from collaborations and services increased by $17.3 million, or 94%, for the nine months ended September 30, 2023 compared to the same period in the prior year. The increase in revenue was primarily attributable to manufacturing revenues being deferred in the prior year period until we began commercial manufacturing in May 2022. During the nine months ended September 30, 2023, we recognized $34.9 million of revenue under the CSA compared to $15.8 million in the prior year period. Royalty revenue increased $44.4 million for the nine months ended September 30, 2023 compared to the same period in the prior year primarily due to an increase in patient demand. See Note 10 – </w:t>
      </w:r>
      <w:r>
        <w:rPr>
          <w:rFonts w:ascii="Times New Roman" w:hAnsi="Times New Roman"/>
          <w:b w:val="false"/>
          <w:i/>
          <w:color w:val="000000"/>
          <w:sz w:val="20"/>
        </w:rPr>
        <w:t>Collaboration, Licensing and Other Arrangements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Commercial product gross profit</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The following table provides a comparison of the commercial product gross profit categories for the three and nine months ended September 30, 2023 and 2022 (dollars in thousands):</w:t>
      </w:r>
      <w:r>
        <w:rPr>
          <w:rFonts w:ascii="Times New Roman" w:hAnsi="Times New Roman"/>
          <w:color w:val="000000"/>
          <w:sz w:val="20"/>
        </w:rPr>
        <w:t xml:space="preserve"> </w:t>
      </w:r>
    </w:p>
    <w:tbl>
      <w:tblPr>
        <w:tblW w:w="8901" w:type="dxa"/>
        <w:jc w:val="left"/>
        <w:tblInd w:w="0" w:type="dxa"/>
        <w:tblLayout w:type="fixed"/>
        <w:tblCellMar>
          <w:top w:w="28" w:type="dxa"/>
          <w:left w:w="28" w:type="dxa"/>
          <w:bottom w:w="28" w:type="dxa"/>
          <w:right w:w="28" w:type="dxa"/>
        </w:tblCellMar>
      </w:tblPr>
      <w:tblGrid>
        <w:gridCol w:w="3446"/>
        <w:gridCol w:w="146"/>
        <w:gridCol w:w="211"/>
        <w:gridCol w:w="676"/>
        <w:gridCol w:w="271"/>
        <w:gridCol w:w="146"/>
        <w:gridCol w:w="211"/>
        <w:gridCol w:w="676"/>
        <w:gridCol w:w="271"/>
        <w:gridCol w:w="146"/>
        <w:gridCol w:w="211"/>
        <w:gridCol w:w="631"/>
        <w:gridCol w:w="166"/>
        <w:gridCol w:w="146"/>
        <w:gridCol w:w="243"/>
        <w:gridCol w:w="628"/>
        <w:gridCol w:w="676"/>
      </w:tblGrid>
      <w:tr>
        <w:trPr/>
        <w:tc>
          <w:tcPr>
            <w:tcW w:w="3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product gross profit: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ind w:left="0" w:right="0" w:firstLine="100"/>
              <w:jc w:val="left"/>
              <w:rPr/>
            </w:pPr>
            <w:r>
              <w:rPr/>
              <w:t> </w:t>
            </w:r>
          </w:p>
        </w:tc>
      </w:tr>
      <w:tr>
        <w:trPr/>
        <w:tc>
          <w:tcPr>
            <w:tcW w:w="34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revenue – commercial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17,927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16,259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67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4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676" w:type="dxa"/>
            <w:tcBorders/>
            <w:shd w:fill="CFF0FC" w:val="cle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46"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Commercial product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13,932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11,238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676" w:type="dxa"/>
            <w:tcBorders/>
            <w:shd w:fill="FFFFFF" w:val="cle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4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9066" w:type="dxa"/>
        <w:jc w:val="left"/>
        <w:tblInd w:w="0" w:type="dxa"/>
        <w:tblLayout w:type="fixed"/>
        <w:tblCellMar>
          <w:top w:w="28" w:type="dxa"/>
          <w:left w:w="28" w:type="dxa"/>
          <w:bottom w:w="28" w:type="dxa"/>
          <w:right w:w="28" w:type="dxa"/>
        </w:tblCellMar>
      </w:tblPr>
      <w:tblGrid>
        <w:gridCol w:w="3546"/>
        <w:gridCol w:w="146"/>
        <w:gridCol w:w="211"/>
        <w:gridCol w:w="676"/>
        <w:gridCol w:w="271"/>
        <w:gridCol w:w="146"/>
        <w:gridCol w:w="211"/>
        <w:gridCol w:w="676"/>
        <w:gridCol w:w="271"/>
        <w:gridCol w:w="146"/>
        <w:gridCol w:w="211"/>
        <w:gridCol w:w="676"/>
        <w:gridCol w:w="146"/>
        <w:gridCol w:w="146"/>
        <w:gridCol w:w="275"/>
        <w:gridCol w:w="596"/>
        <w:gridCol w:w="716"/>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Commercial product gross profit: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5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revenue – commercial product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38,807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Cost of goods sold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Commercial product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39,085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26,885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4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Commercial product gross profit increased by $2.7 million, or 24%, for the three months ended September 30, 2023 compared to the same period in the prior year. The increase in gross profit was primarily attributable to an increase in Afrezza sales and a decrease in Afrezza cost of goods sold. As a result, gross margin was 78% for the three months ended September 30, 2023 compared to 69% for the same period in the prior year.</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Commercial product gross profit increased by $12.2 million, or 45%, for the nine months ended September 30, 2023 compared to the same period in the prior year. The increase in gross profit was primarily attributable to an increase in Afrezza sales and a related decrease in Afrezza cost of goods sold. The acquisition of V-Go in May 2022 also contributed to the increase in commercial product sales and related cost of goods sold. As a result, gross margin was 73% for the nine months ended September 30, 2023 compared to 69% for the same period in the prior year.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Expenses</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The following table provides a comparison of the expense categories for the three and nine months ended September 30, 2023 (dollars in thousands):</w:t>
      </w:r>
      <w:r>
        <w:rPr>
          <w:rFonts w:ascii="Times New Roman" w:hAnsi="Times New Roman"/>
          <w:color w:val="000000"/>
          <w:sz w:val="20"/>
        </w:rPr>
        <w:t xml:space="preserve"> </w:t>
      </w:r>
    </w:p>
    <w:tbl>
      <w:tblPr>
        <w:tblW w:w="9141" w:type="dxa"/>
        <w:jc w:val="left"/>
        <w:tblInd w:w="0" w:type="dxa"/>
        <w:tblLayout w:type="fixed"/>
        <w:tblCellMar>
          <w:top w:w="28" w:type="dxa"/>
          <w:left w:w="28" w:type="dxa"/>
          <w:bottom w:w="28" w:type="dxa"/>
          <w:right w:w="28" w:type="dxa"/>
        </w:tblCellMar>
      </w:tblPr>
      <w:tblGrid>
        <w:gridCol w:w="3856"/>
        <w:gridCol w:w="146"/>
        <w:gridCol w:w="211"/>
        <w:gridCol w:w="676"/>
        <w:gridCol w:w="166"/>
        <w:gridCol w:w="146"/>
        <w:gridCol w:w="211"/>
        <w:gridCol w:w="676"/>
        <w:gridCol w:w="166"/>
        <w:gridCol w:w="146"/>
        <w:gridCol w:w="211"/>
        <w:gridCol w:w="631"/>
        <w:gridCol w:w="166"/>
        <w:gridCol w:w="146"/>
        <w:gridCol w:w="224"/>
        <w:gridCol w:w="647"/>
        <w:gridCol w:w="716"/>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jc w:val="right"/>
              <w:rPr/>
            </w:pPr>
            <w:r>
              <w:rPr/>
              <w:t> </w:t>
            </w:r>
          </w:p>
        </w:tc>
      </w:tr>
      <w:tr>
        <w:trPr/>
        <w:tc>
          <w:tcPr>
            <w:tcW w:w="38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Cost of revenue – collaborations and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7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Selling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7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Gain on foreign currency transaction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5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46,156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42,435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9546" w:type="dxa"/>
        <w:jc w:val="left"/>
        <w:tblInd w:w="0" w:type="dxa"/>
        <w:tblLayout w:type="fixed"/>
        <w:tblCellMar>
          <w:top w:w="28" w:type="dxa"/>
          <w:left w:w="28" w:type="dxa"/>
          <w:bottom w:w="28" w:type="dxa"/>
          <w:right w:w="28" w:type="dxa"/>
        </w:tblCellMar>
      </w:tblPr>
      <w:tblGrid>
        <w:gridCol w:w="3946"/>
        <w:gridCol w:w="146"/>
        <w:gridCol w:w="211"/>
        <w:gridCol w:w="781"/>
        <w:gridCol w:w="166"/>
        <w:gridCol w:w="146"/>
        <w:gridCol w:w="211"/>
        <w:gridCol w:w="781"/>
        <w:gridCol w:w="166"/>
        <w:gridCol w:w="146"/>
        <w:gridCol w:w="211"/>
        <w:gridCol w:w="676"/>
        <w:gridCol w:w="166"/>
        <w:gridCol w:w="146"/>
        <w:gridCol w:w="243"/>
        <w:gridCol w:w="628"/>
        <w:gridCol w:w="776"/>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776" w:type="dxa"/>
            <w:tcBorders/>
            <w:shd w:fill="CFF0FC" w:val="clear"/>
            <w:vAlign w:val="center"/>
          </w:tcPr>
          <w:p>
            <w:pPr>
              <w:pStyle w:val="TableContents"/>
              <w:bidi w:val="0"/>
              <w:spacing w:before="0" w:after="283"/>
              <w:jc w:val="right"/>
              <w:rPr/>
            </w:pPr>
            <w:r>
              <w:rPr/>
              <w:t> </w:t>
            </w:r>
          </w:p>
        </w:tc>
      </w:tr>
      <w:tr>
        <w:trPr/>
        <w:tc>
          <w:tcPr>
            <w:tcW w:w="39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Cost of goods sold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Cost of revenue — collaborations and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Selling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Gain on foreign currency transaction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77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139,670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115,031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Cost of revenue – collaborations and services decreased by $2.2 million, or 18%, for the three months ended September 30, 2023 compared to the same period in the prior year. The decrease was primarily attributable to an increase in manufacturing activities resulting in more costs being capitalized into inventory and an increase in labor costs associated with the expansion of our manufacturing capacity for Tyvaso DPI, which was capitalized and subsequently reimbursed by UT.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Cost of revenue – collaborations and services increased by $0.5 million for the nine months ended September 30, 2023 compared to the same period in the prior year. The costs of revenue for collaborations and services remained consistent with the prior year period as manufacturing activities shifted from preproduction efforts in the first five months of 2022 to full commercial production of Tyvaso DPI thereafter.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R&amp;D expenses increased by $5.9 million, or 142%, for the three months ended September 30, 2023 and $9.5 million, or 75%, for the nine months ended September 30, 2023 compared to the same periods in the prior year. The increases were primarily attributable to development activities for MNKD-101 (inhaled clofazimine), an Afrezza post-marketing clinical study (INHALE-3) which commenced in the second quarter of 2023, increased headcount, and increased costs associated with other pipeline products.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Selling expenses remained consistent with a decrease of $0.1 million, or 1%, for the three months ended September 30, 2023 compared to the same period in the prior year.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Selling expenses decreased by $1.4 million, or 3%, for the nine months ended September 30, 2023 compared to the same period in the prior year. The decrease was primarily attributable to the termination of an Afrezza pilot promotional effort targeting primary care physicians, which ended in the third quarter of 2022, partially offset by increased headcount and promotional activities after the acquisition of V-Go in the second quarter of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General and administrative expenses increased by $1.4 million, or 16%, for the three months ended September 30, 2023 and $5.8 million, or 21%, for the nine months ended September 30, 2023 compared to the same periods in the prior year. The increase was primarily attributable to an increase in personnel costs, including stock-based compensation and headcount.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Under the Insulin Supply Agreement with Amphastar, payment obligations are denominated in Euros. We are required to record the non-cash foreign currency transaction impact of the U.S. dollar to Euro exchange rate associated with the recognized gain or loss on purchase commitments. The foreign currency transaction gain was $2.1 million for the three months ended September 30, 2023 compared to $1.8 million for the same period in the prior year and a gain of $0.9 million for the nine months ended September 30, 2023 compared to $8.3 million for the same period in the prior year.</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Other Income (Expense)</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The following table provides a comparison of the other income (expense) categories for the three and nine months ended September 30, 2023 and 2022 (dollars in thousands):</w:t>
      </w:r>
      <w:r>
        <w:rPr>
          <w:rFonts w:ascii="Times New Roman" w:hAnsi="Times New Roman"/>
          <w:color w:val="000000"/>
          <w:sz w:val="20"/>
        </w:rPr>
        <w:t xml:space="preserve"> </w:t>
      </w:r>
    </w:p>
    <w:tbl>
      <w:tblPr>
        <w:tblW w:w="8281" w:type="dxa"/>
        <w:jc w:val="left"/>
        <w:tblInd w:w="0" w:type="dxa"/>
        <w:tblLayout w:type="fixed"/>
        <w:tblCellMar>
          <w:top w:w="28" w:type="dxa"/>
          <w:left w:w="28" w:type="dxa"/>
          <w:bottom w:w="28" w:type="dxa"/>
          <w:right w:w="28" w:type="dxa"/>
        </w:tblCellMar>
      </w:tblPr>
      <w:tblGrid>
        <w:gridCol w:w="3211"/>
        <w:gridCol w:w="146"/>
        <w:gridCol w:w="211"/>
        <w:gridCol w:w="631"/>
        <w:gridCol w:w="166"/>
        <w:gridCol w:w="146"/>
        <w:gridCol w:w="211"/>
        <w:gridCol w:w="631"/>
        <w:gridCol w:w="166"/>
        <w:gridCol w:w="146"/>
        <w:gridCol w:w="211"/>
        <w:gridCol w:w="631"/>
        <w:gridCol w:w="166"/>
        <w:gridCol w:w="146"/>
        <w:gridCol w:w="224"/>
        <w:gridCol w:w="647"/>
        <w:gridCol w:w="5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on financing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21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pPr>
      <w:r>
        <w:rPr/>
        <w:t> </w:t>
      </w:r>
    </w:p>
    <w:tbl>
      <w:tblPr>
        <w:tblW w:w="8491" w:type="dxa"/>
        <w:jc w:val="left"/>
        <w:tblInd w:w="0" w:type="dxa"/>
        <w:tblLayout w:type="fixed"/>
        <w:tblCellMar>
          <w:top w:w="28" w:type="dxa"/>
          <w:left w:w="28" w:type="dxa"/>
          <w:bottom w:w="28" w:type="dxa"/>
          <w:right w:w="28" w:type="dxa"/>
        </w:tblCellMar>
      </w:tblPr>
      <w:tblGrid>
        <w:gridCol w:w="3211"/>
        <w:gridCol w:w="146"/>
        <w:gridCol w:w="211"/>
        <w:gridCol w:w="736"/>
        <w:gridCol w:w="166"/>
        <w:gridCol w:w="146"/>
        <w:gridCol w:w="211"/>
        <w:gridCol w:w="736"/>
        <w:gridCol w:w="166"/>
        <w:gridCol w:w="146"/>
        <w:gridCol w:w="211"/>
        <w:gridCol w:w="631"/>
        <w:gridCol w:w="166"/>
        <w:gridCol w:w="146"/>
        <w:gridCol w:w="224"/>
        <w:gridCol w:w="647"/>
        <w:gridCol w:w="5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on financing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(12,474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on available-for-sale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591" w:type="dxa"/>
            <w:tcBorders/>
            <w:shd w:fill="FFFFFF" w:val="clear"/>
            <w:vAlign w:val="center"/>
          </w:tcPr>
          <w:p>
            <w:pPr>
              <w:pStyle w:val="TableContents"/>
              <w:bidi w:val="0"/>
              <w:spacing w:before="0" w:after="283"/>
              <w:jc w:val="right"/>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21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 Not meaningful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Interest income, consisting of interest on investments net of amortization, increased $0.9 million for the three months ended September 30, 2023 and $2.9 million for the nine months ended September 30, 2023 compared to the same periods in the prior year primarily due to higher yields on our marketable securities and money market funds.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Interest expense on the financing liability was $2.5 million for the three months ended September 30, 2023 and $7.3 million for the nine months ended September 30, 2023, and remained consistent with the same periods in the prior year. See Note 15 – </w:t>
      </w:r>
      <w:r>
        <w:rPr>
          <w:rFonts w:ascii="Times New Roman" w:hAnsi="Times New Roman"/>
          <w:b w:val="false"/>
          <w:i/>
          <w:color w:val="000000"/>
          <w:sz w:val="20"/>
        </w:rPr>
        <w:t>Commitments and Contingencies</w:t>
      </w:r>
      <w:r>
        <w:rPr>
          <w:rFonts w:ascii="Times New Roman" w:hAnsi="Times New Roman"/>
          <w:b w:val="false"/>
          <w:color w:val="000000"/>
          <w:sz w:val="20"/>
        </w:rPr>
        <w: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Interest expense was $2.8 million for the three months ended September 30, 2023 and $12.5 million for the nine months ended September 30, 2023, and remained consistent with the same periods in the prior year due to fixed interest rates on notes and consistent recognition of interest expense related to the achievement of Afrezza milestones. See Note 8 – </w:t>
      </w:r>
      <w:r>
        <w:rPr>
          <w:rFonts w:ascii="Times New Roman" w:hAnsi="Times New Roman"/>
          <w:b w:val="false"/>
          <w:i/>
          <w:color w:val="000000"/>
          <w:sz w:val="20"/>
        </w:rPr>
        <w:t xml:space="preserve">Accrued Expenses and Other Current Liabilities </w:t>
      </w:r>
      <w:r>
        <w:rPr>
          <w:rFonts w:ascii="Times New Roman" w:hAnsi="Times New Roman"/>
          <w:b w:val="false"/>
          <w:color w:val="000000"/>
          <w:sz w:val="20"/>
        </w:rPr>
        <w:t xml:space="preserve">and Note 9 – </w:t>
      </w:r>
      <w:r>
        <w:rPr>
          <w:rFonts w:ascii="Times New Roman" w:hAnsi="Times New Roman"/>
          <w:b w:val="false"/>
          <w:i/>
          <w:color w:val="000000"/>
          <w:sz w:val="20"/>
        </w:rPr>
        <w:t>Borrowings</w:t>
      </w:r>
      <w:r>
        <w:rPr>
          <w:rFonts w:ascii="Times New Roman" w:hAnsi="Times New Roman"/>
          <w:b w:val="false"/>
          <w:color w:val="000000"/>
          <w:sz w:val="2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Gain on available-for-sale securities for the nine months ended September 30, 2023 was $0.9 million as a result of the change in the fair value of the investment that related to credit risk. There was no such gain for three months ended September 30, 2023 or the nine months ended September 30, 2022.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Other income (expense) for the three and nine months ended September 30, 2023 and 2022 consisted of gain or loss fluctuations in foreign currency hedging transactions that were entered into to mitigate our exposure to the foreign currency exchange risk associated with our Insulin Supply Agreement. The three and nine months ended September 30, 2023 also included the recognition of a gain on disposal of fixed assets.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principal sources of liquidity are our cash, cash equivalents, and investments. Our primary uses of cash include the development of our product pipeline, the manufacturing and marketing of Afrezza and V-Go, manufacturing Tyvaso DPI, the funding of general and administrative expenses, and interest expense on our financing liability and debt.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To date, we have funded our operations primarily through the sale of equity and convertible debt securities, from the receipt of upfront and milestone payments from collaborations, from borrowings, from sales of Afrezza and V-Go, from royalties and manufacturing revenue from UT as well as from proceeds from the sale-leaseback transaction.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believe we will be able to meet our liquidity needs over the next twelve months, as well as longer-term needs, based on the balance of cash, cash equivalents and investments on hand, projected sales of Afrezza and V-Go, and projected royalties and manufacturing revenue from the production and sale of Tyvaso DPI.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we had $64.6 million in insulin purchase commitments and $277.1 million principal amount of outstanding debt, consisting of:</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$230.0 million aggregate principal amount of Senior convertible notes bearing interest at 2.50% payable semi-annually in arrears on March 1 and September 1 of each year, beginning on September 1, 2021 and maturing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$38.3 million principal amount under the MidCap credit facility, bearing interest at an annual rate equal to one-month Secured Overnight Financing Rate (“SOFR”) plus 6.25% (capped at a total of 8.25%), subject to a one-month SOFR floor of 1.00%. Interest is payable monthly in arrears. Principal is payable in equal monthly installments beginning in September 2023 through maturity in August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$8.8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payable quarterly in arrears in-kind or in shares at our option.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To date, we have been able to timely make our required interest payments, but we cannot guarantee that we will be able to do so in the future. If we fail to repay, repurchase or redeem our outstanding notes when required,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In July 2013, we issued the Milestone Rights pursuant to the Milestone Rights Agreement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$55.0 million of which remain payable, as of September 30, 2023, upon achievement of such milestones. See Note 8 – </w:t>
      </w:r>
      <w:r>
        <w:rPr>
          <w:rFonts w:ascii="Times New Roman" w:hAnsi="Times New Roman"/>
          <w:b w:val="false"/>
          <w:i/>
          <w:color w:val="000000"/>
          <w:sz w:val="20"/>
        </w:rPr>
        <w:t>Accrued Expenses and Other Current Liabilities</w:t>
      </w:r>
      <w:r>
        <w:rPr>
          <w:rFonts w:ascii="Times New Roman" w:hAnsi="Times New Roman"/>
          <w:b w:val="false"/>
          <w:color w:val="000000"/>
          <w:sz w:val="20"/>
        </w:rPr>
        <w:t xml:space="preserve">, Note 9 – </w:t>
      </w:r>
      <w:r>
        <w:rPr>
          <w:rFonts w:ascii="Times New Roman" w:hAnsi="Times New Roman"/>
          <w:b w:val="false"/>
          <w:i/>
          <w:color w:val="000000"/>
          <w:sz w:val="20"/>
        </w:rPr>
        <w:t>Borrowings</w:t>
      </w:r>
      <w:r>
        <w:rPr>
          <w:rFonts w:ascii="Times New Roman" w:hAnsi="Times New Roman"/>
          <w:color w:val="000000"/>
          <w:sz w:val="20"/>
        </w:rPr>
        <w:t xml:space="preserve"> </w:t>
      </w:r>
      <w:r>
        <w:rPr>
          <w:rFonts w:ascii="Times New Roman" w:hAnsi="Times New Roman"/>
          <w:b w:val="false"/>
          <w:color w:val="000000"/>
          <w:sz w:val="20"/>
        </w:rPr>
        <w:t xml:space="preserve">and Note 15 – </w:t>
      </w:r>
      <w:r>
        <w:rPr>
          <w:rFonts w:ascii="Times New Roman" w:hAnsi="Times New Roman"/>
          <w:b w:val="false"/>
          <w:i/>
          <w:color w:val="000000"/>
          <w:sz w:val="20"/>
        </w:rPr>
        <w:t>Commitments and Contingencies</w:t>
      </w:r>
      <w:r>
        <w:rPr>
          <w:rFonts w:ascii="Times New Roman" w:hAnsi="Times New Roman"/>
          <w:color w:val="000000"/>
          <w:sz w:val="20"/>
        </w:rPr>
        <w:t xml:space="preserve"> </w:t>
      </w:r>
      <w:r>
        <w:rPr>
          <w:rFonts w:ascii="Times New Roman" w:hAnsi="Times New Roman"/>
          <w:b w:val="false"/>
          <w:color w:val="000000"/>
          <w:sz w:val="20"/>
        </w:rPr>
        <w:t>for further information related to the Milestone Rights.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we generated $12.4 million of cash from our operating activities, which consisted primarily of $167.3 million of revenue, partially offset by $60.4 million of cost of goods sold, $35.7 million of selling expenses, $25.4 million of general and administrative expenses, $20.8 million of R&amp;D costs and $13.0 million of cash paid for interest.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2022, we used $78.3 million of cash for our operating activities, which primarily consisted of $59.1 million of selling and general and administrative expenses, $5.0 million of cost of goods sold, $16.0 million of costs for R&amp;D and $12.0 million of cash paid for interest, partially offset by $63.0 million of revenue.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Cash provided by investing activities of $5.9 million for the nine months ended September 30, 2023 was primarily due to $92.6 million of proceeds received from the sales of debt securities, partially offset by the purchase of debt securities of $50.5 million and by $36.6 million for the purchase of property and equipment which was substantially paid for by UT as part of our facility expansion project to increase manufacturing capacity.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Cash used in investing activities of $10.1 million for the nine months ended September 30, 2022 was primarily due to the purchase of $70.1 million of debt securities, the up-front consideration of $15.1 million for certain assets and assumed liabilities related to V-Go,</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$5.0 million purchase of available-for-sale securities, and $2.5 million purchase of property and equipment, partially offset by the maturity of $82.6 million of debt securities.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Cash used in financing activities of $5.1 million for the nine months ended September 30, 2023 was primarily due to $10.2 million of payments to taxing authorities from equity withheld upon vesting of RSUs and stock options, and payments of $1.7 million on MidCap credit facility, partially offset by $6.9 million in proceeds from at-the-market offerings and $1.1 million in proceeds from market price and employee stock purchase plan.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Cash provided by financing activities of $18.6 million for the nine months ended September 30, 2022 was primarily due to net proceeds from at-the-market offering of $19.4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Future Liquidity Needs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we will be able to meet our near-term liquidity needs based on our cash, cash equivalents and investments on hand, sales of Afrezza and V-Go, and royalties and manufacturing revenue from the production and sale of Tyvaso DPI as well as through debt or equity financing, if necessary, for our long-term liquidity needs. Although we generated a net income and positive cash flows from operations during the three months ended September 30, 2023, we have not done so on a consistent basis. In addition, we expect to continue to incur expenditures for the foreseeable future in support of our manufacturing operations, sales and marketing costs for our products and development costs for other product candidates in our pipeline. As of September 30, 2023, we had capital resources comprised of $83.0 million in cash and cash equivalents, $58.0 million in short-term investments and $3.3 million in long-term investments, and total principal amount of outstanding borrowings of $277.1 million.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believe our resources will be sufficient to fund our operations for the next twelve months from the date of issuance of our condensed consolidated financial statements included in Part I – Financial Statements (Unaudited).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See Note 9 – </w:t>
      </w:r>
      <w:r>
        <w:rPr>
          <w:rFonts w:ascii="Times New Roman" w:hAnsi="Times New Roman"/>
          <w:b w:val="false"/>
          <w:i/>
          <w:color w:val="000000"/>
          <w:sz w:val="20"/>
        </w:rPr>
        <w:t xml:space="preserve">Borrowings </w:t>
      </w:r>
      <w:r>
        <w:rPr>
          <w:rFonts w:ascii="Times New Roman" w:hAnsi="Times New Roman"/>
          <w:b w:val="false"/>
          <w:color w:val="000000"/>
          <w:sz w:val="20"/>
        </w:rPr>
        <w:t xml:space="preserve">and Note 15 – </w:t>
      </w:r>
      <w:r>
        <w:rPr>
          <w:rFonts w:ascii="Times New Roman" w:hAnsi="Times New Roman"/>
          <w:b w:val="false"/>
          <w:i/>
          <w:color w:val="000000"/>
          <w:sz w:val="20"/>
        </w:rPr>
        <w:t>Commitments and Contingencies</w:t>
      </w:r>
      <w:r>
        <w:rPr>
          <w:rFonts w:ascii="Times New Roman" w:hAnsi="Times New Roman"/>
          <w:color w:val="000000"/>
          <w:sz w:val="20"/>
        </w:rPr>
        <w:t xml:space="preserve"> </w:t>
      </w:r>
      <w:r>
        <w:rPr>
          <w:rFonts w:ascii="Times New Roman" w:hAnsi="Times New Roman"/>
          <w:b w:val="false"/>
          <w:color w:val="000000"/>
          <w:sz w:val="20"/>
        </w:rPr>
        <w:t>for a discussion of material changes outside of the ordinary course of business in our contractual obligations from those disclosed within “Management’s Discussion and Analysis of Financial Condition and Results of Operations,” as contained in the Annual Report.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on borrowings under the MidCap credit facility accrues interest at an annual rate equal to the lesser of (i) 8.25% and (ii) the one-month SOFR (subject to a one-month SOFR floor of 1.00%) plus 6.25%. Accordingly, our interest expense under the MidCap credit facility is subject to changes in the one-month SOFR rate.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 xml:space="preserve">All other debt has fixed interest rates, so the interest expense associated with such debt is not exposed to changes in market interest rates. Specifically, the interest rate on the amount borrowed under the Mann Group convertible note is fixed at 2.50% and the interest rate under the Senior convertible notes is fixed at 2.50%. See Note 9 – </w:t>
      </w:r>
      <w:r>
        <w:rPr>
          <w:rFonts w:ascii="Times New Roman" w:hAnsi="Times New Roman"/>
          <w:b w:val="false"/>
          <w:i/>
          <w:color w:val="000000"/>
          <w:sz w:val="20"/>
        </w:rPr>
        <w:t>Borrowings</w:t>
      </w:r>
      <w:r>
        <w:rPr>
          <w:rFonts w:ascii="Times New Roman" w:hAnsi="Times New Roman"/>
          <w:color w:val="000000"/>
          <w:sz w:val="20"/>
        </w:rPr>
        <w:t xml:space="preserve"> </w:t>
      </w:r>
      <w:r>
        <w:rPr>
          <w:rFonts w:ascii="Times New Roman" w:hAnsi="Times New Roman"/>
          <w:b w:val="false"/>
          <w:color w:val="000000"/>
          <w:sz w:val="20"/>
        </w:rPr>
        <w:t>for information about the principal amount of outstanding debt.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a hypothetical 10% change in the one-month SOFR interest rates on September 30, 2023 were to have occurred, this change would not have had a material effect on our interest payment obligation.</w:t>
      </w:r>
    </w:p>
    <w:p>
      <w:pPr>
        <w:pStyle w:val="TextBody"/>
        <w:bidi w:val="0"/>
        <w:spacing w:before="360" w:after="283"/>
        <w:jc w:val="left"/>
        <w:rPr>
          <w:rFonts w:ascii="Times New Roman" w:hAnsi="Times New Roman"/>
          <w:sz w:val="20"/>
        </w:rPr>
      </w:pPr>
      <w:r>
        <w:rPr>
          <w:rFonts w:ascii="Times New Roman" w:hAnsi="Times New Roman"/>
          <w:b/>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April 2023, we entered into a 90-day foreign currency hedging transaction to mitigate our exposure to foreign currency exchange risks associated with our insulin purchase obligation under the Insulin Supply Agreement. The hedging transaction hedges against short-term currency fluctuations for the remaining current year purchase obligation under the Insulin Supply Agreement of €2.4 million, for which we realized a $0.1 million loss during the three months ended September 30, 2023. This amount is recorded in other income and expense.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nine months ended September 30, 2023, we realized a $0.9 million currency gain, which was included in loss on foreign currency transaction in the accompanying condensed consolidated statements of operations.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Exchange rate fluctuations may adversely affect our expenses, results of operations, financial position and cash flows. If a change in the U.S. dollar to Euro exchange rate equal to 10% of the U.S. dollar to Euro exchange rate on September 30, 2023 were to have occurred, this change would have resulted in a foreign currency impact to our pre-tax loss of approximately $6.5 million.</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September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Based on the evaluation of our disclosure controls and procedures as of September 30, 2023, our Chief Executive Officer and our Chief Financial Officer have concluded, as of such date, that our disclosure controls and procedures were effective.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part_ii_or_information"/>
      <w:bookmarkEnd w:id="13"/>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before making investment decisions regarding our common stock.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face risks and uncertainties related to our business, many of which are beyond our control.</w:t>
      </w:r>
      <w:r>
        <w:rPr>
          <w:rFonts w:ascii="Times New Roman" w:hAnsi="Times New Roman"/>
          <w:color w:val="000000"/>
          <w:sz w:val="20"/>
        </w:rPr>
        <w:t xml:space="preserve"> </w:t>
      </w:r>
      <w:r>
        <w:rPr>
          <w:rFonts w:ascii="Times New Roman" w:hAnsi="Times New Roman"/>
          <w:b w:val="false"/>
          <w:color w:val="000000"/>
          <w:sz w:val="20"/>
        </w:rPr>
        <w:t>In particular, risks associated with our business include: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products that we or our collaboration partner are commercializing may only achieve a limited degree of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Manufacturing risks may adversely affect our ability to manufacture our products and Tyvaso DPI, which could reduce our gross margin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third-party payers do not cover our approved products, such products might not be prescribed, used or purchased, which would adversely affect our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need to raise additional capital to fund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that our results of operations will fluctuate for the foreseeable future, which may make it difficult to predict our future performance from period to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a history of operating losses. We may incur losses in the future and we may not generate positive cash flow from operations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not be able to generate sufficient cash to service all of our indebtedness and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Continued testing of our products and product candidates may not yield successful results, and even if it does, we may still be unable to successfully commercialize our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long-term safety and efficacy of approved products may differ from clinical studies, which could negatively impact sales and could lead to reputational harm or other negative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products and product candidates may be rendered obsolete by rapid technological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undertake internal restructuring activities in the future that could result in disruptions to our business or otherwise materially harm our results of operations or financial condition.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subject to stringent, ongoing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stock price is volatile.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Future sales of shares of our common stock in the public market, or the perception that such sales may occur, may depress our stock price and adversely impact the market price of our common stock and other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Unstable market, economic and geopolitical conditions may have serious adverse consequences on our business, financial condition and stock price.</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 Factors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products that we or our collaboration partner are commercializing may only achieve a limited degree of commercial success.*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Products that we commercialize ourselves (including any products that we may develop or acquire in the future) and the product that is commercialized by our current collaboration partner (including future products that may be commercialized by a collaboration partner) may not gain market acceptance among physicians, patients,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third-party payers and the healthcare community. The degree of market acceptance of our or a collaboration partner’s products depends on many factors,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approved labeling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willingness of the healthcare community and patients to adopt new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ability to manufacture the product in sufficient quantities with acceptable quality and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perception of patients and the healthcare community, including third-party payers, regarding the safety, efficacy and benefits compared to competing products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convenience and ease of administration relative to existing treatment methods;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coverage and reimbursement, as well as pricing relative to other treatment therapeutics and methods;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marketing and distribution support.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Because of these and other factors, the products described above may not gain market acceptance or otherwise be commercially successful. Failure to achieve market acceptance would limit our ability to generate revenue and would adversely affect our results of operations. We and our current or any future collaboration partner may need to enhance our/their commercialization capabilities in order to successfully commercialize such products in the United States or any other jurisdiction in which such product is approved for commercial sale, and we or the collaboration partner may not have sufficient resources to do so.</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 order to increase adoption and sales of our products, we need to continue to develop our commercial organization, including maintaining and growing a highly experienced and skilled workforce with qualified sales representatives.*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built a sales force that promotes Afrezza and V-Go to endocrinologists and selected primary care physicians. In order to successfully commercialize any approved products, we must continue to build our sales, marketing, distribution, managerial and other commercial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inability to recruit, retain and effectively manage adequate numbers of effective sales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lack of complementary products to be offered by sales personnel, which may put us at a competitive disadvantage relative to companies that have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unforeseen delays, costs and expenses associated with maintaining our sales organization.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unable to maintain an effective sales force for our products, including any other potential future approved products, we may not be able to generate sufficient product revenue in the United States. We are required to expend significant time and resources to train our sales force to educate physicians about our products. In addition, we must continually train our sales force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Similarly, if UT does not effectively engage or maintain its sales force for Tyvaso DPI, our ability to recognize royalties and manufacturing revenue from this collaboration will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Manufacturing risks may adversely affect our ability to manufacture our products and Tyvaso DPI, which and could reduce our gross margin and profitability.*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use our Danbury, Connecticut facility to formulate both the Afrezza and Tyvaso DPI inhalation powders, fill plastic cartridges with the powders, and package the cartridges into secondary packaging. We also assemble the inhalers from their individual molded parts. These semi-finished goods are then assembled into the final kits for commercial sale by a contract packager.</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also experience shortages of qualified personnel, which could impact our ability to meet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manufacturing requirements. In addition, there is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demand for our products increases, we may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we rely on our contract manufacturers in Southern China to manufacture V-Go.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business is subject to risks associated with doing business in China,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adverse political and economic conditions, particularly those potentially negatively affecting the trade relationship between the United States and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trade protection measures, such as tariff increases, and import and export licensing and control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potentially negative consequences from changes in tax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difficulties associated with the Chinese legal system, including increased costs and uncertainties associated with enforcing contractual obligations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historically lower protection of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unexpected or unfavorable changes in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and volatility in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possible patient or physician preferences for more established pharmaceutical products and medical devices manufactured in the United States;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difficulties in managing foreign relationships and operations generally.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These risks are likely to be exacerbated by our limited experience with V-Go and its manufacturing processes.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commercial manufacture of inhaled drug products, we need access to sufficient, reliable and affordable supplies of FDKP, the 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current good manufacturing practices (“cGMP”) for drug products, and the molding of the inhaler and cartridges components in accordance with quality system regulations (“QSRs”).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V-Go, we obtain parts from a small number of suppliers, including some parts and components that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Because we do not have long-standing relationships with all of our suppliers, we may not be able to convince them to continue to make components available to us unless there is demand for such components from their other customers. If any one or more of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suppliers cease to provide us with sufficient quantities of components in a timely manner or on terms acceptable to us, we would have to seek alternative sources of supply. Because of factors such as the proprietary nature of our product, our quality control standards and regulatory requirements, we cannot quickly engage additional or replacement suppliers for some of our critical components.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third-party payers do not cover our approved products, such products might not be prescribed, used or purchased, which would adversely affect our revenues.*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Even if favorable coverage and reimbursement status is attained for our products,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Inflation Reduction Act, or IRA, which was signed into law in August 2022, limits insulin copays to $35 per month for Medicare Part D beneficiaries starting in 2023.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we or any collaboration or marketing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or marketing partner’s ability to successfully commercialize such products and would impact our profitability, results of operations, financial condition,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need to raise additional capital to fund our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need to raise additional capital, whether through the sale of equity or debt securities, additional strategic business collaborations, the establishment of other funding facilities, licensing arrangements, asset sales or other means, in order to support our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degree to which we are able to generate revenue from products that we or a collaboration partner commercialize;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developing Afrezza and of commercializing Afrezza and V-Go on our own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degree to which revenue from Afrezza exceeds or not the minimum revenue covenants under our credit and security agreement with MidCap Financial Trust (the “MidCap credit facility”), if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demand by any or all of the holders of our debt instruments to require us to repay or repurchase such debt securities if and when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repay or refinance existing indebtedness, and the extent to which our notes with conversion options or any other convertible debt securities we may issue are converted into or exchanged for shares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rate of progress and costs of our clinical studies and R&amp;D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procuring raw materials and operating our manufacturing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obligation to make lease payments and milestone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success in establishing additional strategic business collaborations or other sales or licensing of assets, and the timing and amount of any payments we might receive from any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actions taken by the FDA and other regulatory authorities affecting Afrezza, V-Go, Tyvaso DPI, our product candidates or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emergence of competing technologies and products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preparing, filing, prosecuting, maintaining and enforcing patent claims and other intellectual property rights or defending against claims of infringement by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level of our legal and litigation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discontinuing projects and technologies, and/or decommissioning existing facilities, if we undertake any such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independently, cease operations altogether, pursue an acquisition of our company at a price that may result in up to a total loss on investment for our stockholders, file for bankruptcy or seek other protection from creditors, or liquidate all of our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that our results of operations will fluctuate for the foreseeable future, which may make it difficult to predict our future performance from period to period.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believe that comparisons from period to period of our financial results are not necessarily meaningful and should not be relied upon as indications of our future performance.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history of operating losses. We may incur losses in the future and we may not generate positive cash flow from operations in the future.*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rarely generated positive net cash flow from operations. As of September 30, 2023, we had an accumulated deficit of $3.2 billion. The accumulated deficit has resulted principally from costs incurred in our R&amp;D programs, the write-off of assets (including goodwill, inventory and property, plant and equipment) and general operating expenses. We expect to make substantial expenditures and may incur operating losses in the future in order to continue commercializing our products and to advance development of product candidates in our pipeline.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losses have had, and may continue to have, an adverse impact on our working capital, total assets and stockholders’ equity. Our ability to achieve and sustain positive cash flow from operations and profitability depends heavily upon successfully commercializing our products, and although we had positive cash flow from operations during the nine months ended September 30, 2023, we may not generate positive cash flow from operations or be profitable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generate sufficient cash to service all of our indebtedness and commitments.*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ability to make scheduled payments on our insulin purchase commitments and debt obligations will depend on our financial and operating performance, which is subject to the commercial success of our products, the extent to which we are able to successfully develop and commercialize additional products,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we fail to pay interest on, or repay, our outstanding term loan under the MidCap credit facility or borrowings under the Senior convertible notes or the Mann Group convertible note when required, we will be in default under the instrument for such debt securities or loans, and may also suffer an event of default under the terms of other borrowing arrangements that we may enter into from time to time. If our cash flows and capital resources are insufficient to fund our obligations, we may be forced to reduce or delay capital expenditures, sell assets or operations, seek additional capital or restructure or refinance our indebtedness and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 Any of these events could have a material adverse effect on our business, results of operations and financial condition, up to and including the noteholders initiating bankruptcy proceedings or causing us to cease operations altogether.</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the MidCap credit facility requires us, and any debt arrangements we may enter into in the future may require us, to comply with various covenants that limit our ability to,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dispose of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complete mergers 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incur indebtedness or modify existing debt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amend or modify certain material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engage in additional lines of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encumber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pay dividends or make other distributions to holders of our capital stock;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make specified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 certain key management personnel or organizational documents;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engage in transactions with our affiliates.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be required to comply with additional covenants in the future under certain circumstances. The restrictive covenants in the MidCap credit facility could prevent us from pursuing business opportunities that we or our stockholders may consider beneficial.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If our unrestricted cash and short-term investments balance falls below $90.0 million, we will be subject to a covenant relating to trailing twelve-month minimum Afrezza net revenue, tested on a monthly basis, which is set forth in the MidCap credit facility Agreement, as amended. If we fail to meet this covenant, any outstanding borrowings, together with accrued interest, under the MidCap credit facility could be declared immediately due and payable.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 breach of any of these covenants could result in an event of default under the MidCap credit facility. If we default on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adversely affected by the global COVID-19 pandemic, and a resurgence of the COVID-19 pandemic or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In addition, our contract manufacturers in China could be impacted by that country’s recent policy of strict lockdowns in order to reduce the spread of disease. Disruptions in sales and demand for our products would be expected to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patients are physically quarantined or are unable or unwilling to visit healthcare providers,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physicians restrict access to their facilities for a material period of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healthcare providers prioritize treatment of acute or communicable illnesses over chronic disease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pharmacies are closed or suffering supply chain disruptions,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patients lose access to employer-sponsored health insurance due to periods of high unemployment,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a result of general disruptions in the operations of payers, distributors, logistics providers and other third parties that are necessary for our products to be prescribed and reimbursed.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trials of our products were delayed as a result of the COVID-19 pandemic and may be affected by a resurgence in the COVID-19 pandemic or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Although Afrezza has been approved in the United States by the FDA and in Brazil by ANVISA, we have not yet obtained approval in any other jurisdiction. Similarly, V-Go has received 510(k) clearance from the FDA, but has not received a comparable approval in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other country.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Continued testing of our products and product candidates may not yield successful results, and even if it does, we may still be unable to successfully commercialize our current or future products.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generally sought to develop product candidates through our internal research programs. All such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we may not be able to advance these programs into clinical development unless we are able to obtain specific funding for these programs or enter into collaborations with third parties.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analysis of data collected from clinical studies of our product candidates may not reach the statistical significance necessary, or otherwise be sufficient to support FDA or other regulatory approval for the claimed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after reviewing clinical data, we or any collaborators may abandon projects that we previously believed were promising;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may not produce the desired effects or may result in adverse health effects or other characteristics that preclude regulatory approval or limit their commercial use once approved;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disruptions caused by man-made or natural disasters or public health pandemics or epidemics or other business interruptions.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achievement of these milestones can vary dramatically from our estimates, in many cases for reasons beyond our control, depending on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rate of progress, costs and results of our clinical studies and preclinical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identify and enroll patients who meet clinical study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access sufficient, reliable and affordable supplies of components used in the manufacture of our product candidates or to source clinical supplies from contract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expanding and maintaining manufacturing operations, as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extent to which our clinical studies compete for clinical sites and eligible subjects with clinical studies sponsored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actions by regulators;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disruptions caused by geopolitical conflicts, man-made or natural disasters or public health pandemics or epidemics or other business interruptions.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example, in June 2023, the contract manufacturer responsible for the production of clofazimine inhalation solution, the investigational product we are developing as MNKD-101, experienced a fire in its manufacturing facility in Germany. As a result of the incident, the initiation of a Phase 2/3 clinical study of MNKD-101, originally planned for late 2023, is now expected to commence sometime in the first half of 2024. 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long-term safety and efficacy of approved products may differ from clinical studies, which could negatively impact sales and could lead to reputational harm or other negative effects.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marketing or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V-Go received pre-market clearance in 2010 under Section 510(k) of the U.S. Federal Food, Drug, and Cosmetic Act, or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realize the benefit of our recent acquisition of V-Go or any future acquisition or strategic transaction; we may be unable to successfully integrate new products or businesses we may acquire.*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periodically evaluate and pursue acquisition of therapeutic products. We completed the acquisition of V-Go in May 2022 and it remains to be seen whether the acquisition will further our business strategy as anticipated or generate significant revenues. Moreover, the integration of any acquired business, product or other assets into our company may be complex and time-consuming and, if such businesses, products or assets are not successfully integrated, we may not achieve the anticipated benefits, cost-savings or growth opportunities. Potential difficulties that may be encountered in the integration process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unanticipated liabilities related to acquired assets, companies or joint ventures;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integrating personnel, operations and systems, while maintaining focus on producing and delivering consistent, high quality products;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coordinating geographically dispersed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diversion of management time and focus from operating our business to management of strategic alliances or joint ventures or acquisition integration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retention of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increases in our expenses and reductions in our cash available for operations and other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retaining existing customers and attracting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managing inefficiencies associated with integrating the operations of our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possible write-offs or impairment charges relating to acquired assets, businesses or joint ventures.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products and product candidates may be rendered obsolete by rapid technological change.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product liability claims are brought against us, we may incur significant liabilities and suffer damage to our reputation.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lose any key employees or scientific advisors, our operations and our ability to execute our business strategy could be materially harmed.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face intense competition for qualified employees among companies in the biotechnology and biopharmaceutical industries. Our success depends upon our ability to attract, retain and motivate highly skilled employees. We may be unable to attract and retain these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internal controls over financial reporting are not considered effective, our business, financial condition and market price of our common stock and other securities could be adversely affected.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or modifications in financial accounting standards may harm our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Act"), the Coronavirus Aid, Relief, and Economic Security Act and the IRA enacted many significant changes to the U.S. tax laws. Further guidance from the Internal Revenue Service and other tax authorities with respect to such legislation may affect us, and certain aspects of such legislation could be repealed or modified in future legislation. In addition, it is uncertain if and to what extent various states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will conform to federal tax laws. Future tax reform legislation could have a material impact on the value of our deferred tax assets and could increase our future U.S. tax expense.</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Effective January 1, 2022, the Tax Act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Unless the United States Department of the Treasury issues regulations that narrow the application of this provision to a smaller subset of our research and development expenses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ability to use net operating losses to offset future taxable income may be subject to limitations.*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December 31, 2022, the Company had federal and state net operating loss carryforwards of approximately $2.2 billion and $1.7 billion available, respectively, to reduce future taxable income. $499.6 million of the federal losses do not expire and the remaining federal losses have started expiring, beginning in the current year through various future dates.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2022, to determine whether additional limitations apply to the net operating loss carryforwards and other tax attributes, and no additional changes in ownership that met Section 382 study ownership change threshold has been identified through December 31, 2022. There is a risk that changes in ownership may occur in tax years after December 31, 2022.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at the state level, there may be periods during which the use of net operating loss carryforwards is suspended or otherwise limited, which could accelerate or permanently increase state taxes owed. As a result, if we earn net taxable income, we may be unable to use all or a material portion of our net operating loss carryforwards and other tax attributes, which could potentially result in increased future tax liability to us and adversely affect our future 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Tax authorities may disagree with our positions and conclusions regarding certain tax positions, resulting in unanticipated costs, taxes or non-realization of expected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undertake internal restructuring activities in the future that could result in disruptions to our business or otherwise materially harm our results of operations or financial condition.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might be interrupted by the occurrence of a natural disaster or other catastrophic event.*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At least for the foreseeable future, we expect that our manufacturing facility in Connecticut will be the sole location for the manufacturing of Afrezza and Tyvaso DPI. Similarly, our contract manufacturer in Southern China is the only location for the assembly of V-Go. Additional contract manufacturers in China perform release testing, sterilization, inspection and packaging 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or other catastrophic events, including interruptions in the supply of natural resources, political and governmental changes, severe weather conditions, public health pandemics or epidemics, wars, conflicts (including the current Russia-Ukraine war and the state of war between Israel and Hamas),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deal with hazardous materials and must comply with environmental laws and regulations, which can be expensive and restrict how we do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research and development work involves the controlled storage and use of hazardous materials, including chemical and biological materials.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and third parties acting on our behalf, employ and are increasingly dependent upon information technology systems, infrastructure, applications, websites and other resources. Our business requires collecting, receiving, manipulating, analyzing, storing, processing, generating, using, disclosing, protecting, securing, transmitting, sharing, disposing of, and making accessible (collectively “processing”) large amounts of data, including proprietary, confidential and sensitive data (such as personal or health-related data), intellectual property, and trade secrets (collectively, “sensitive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conflicts and defense activities. We and the third parties upon which we rely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may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and other functions. We may also rely on third-party service providers to provide other products or services, or otherwise to operate our business. For example, we rely on an enterprise software system to operate and manage our business. Our business, including our ability to manufacture drug products and conduct clinical trials, therefore depends on the continuous, effective, reliable and secure operation of our information technology resources and those of third parties acting on our behalf,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industry-standards or reasonable security measures to protect our information technology systems and sensitive information. 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Unremediated high risk or critical vulnerabilities pose material risks to our business. Further, we may experience delays in developing and deploying remedial measures designed to address any such identified vulnerabilities. We have in the past experienced security incident(s). For example, like many companies, we use SolarWinds to help manage our information technology systems. A cyber-attack on SolarWinds was discovered in December 2020 and widely exploited by threat actors. Upon learning of this vulnerability, we applied the software patch provided by SolarWinds and remediated the incident. The incident did not appear to have any negative impact on our operations or the sensitive information we may process. In addition, a ransomware attack on Ultimate Kronos Group’s (“UKG”) Kronos Private Cloud service was discovered in December 2021. At the time, we used UKG Pro, a product offered through UKG that is not in the Kronos Private Cloud, for human capital management. UKG is not aware of an impact on UKG Pro and the incident did not appear to have any negative impact on our operations or the sensitive information we may process. Thus, despite our efforts to identify and remediate vulnerabilities, if any, in our information technology systems, our efforts may not be 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our employee’s, personnel’s, or vendor’s use of generative AI technologies.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could adversely affect our current and projected business operations and our financial condition and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While we have not experienced any adverse impact to our liquidity or to our current and projected business operations, financial condition or results of operations as a result of the matters relating to SVB, Signature Bank, Silvergate Capital Corp and First Republic Bank, uncertainty remains over liquidity concerns in the broader financial services industry, and our business, our business partners or industry as a whole may be adversely impacted in ways that we cannot predict at this time.</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recently took control of SVB, Signature Bank, Silvergate Capital Corp and First Republic Bank.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design, development, manufacture and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storage and shipping;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pre-market clearance 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advertising and promotion;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sales and distribution.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we comply with regulatory requirements, we may not be able to obtain the labeling claims necessary or desirable for product promotion. We may also be required to undertake post-marketing studies.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stringent, ongoing government regulation.*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restrictions on the marketing or manufacturing of our product candidates,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revisions to the approved labeling to add new safety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fines, warning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refusal by the FDA to approve pending applications or supplements to approved applications filed by us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seizure or detention, or refusal to permit the import or export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injunctions or the imposition of civil or criminal penalties.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part of the approval of Afrezza, the FDA required us to conduct certain additional clinical studies of Afrezza. One of these studies, a Phase 3 clinical trial to evaluate the safety and efficacy of Afrezza in 4-17 year-old children and adolescents, is ongoing.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to address any concerns. To date, we have not commenced a long-term safety study or budgeted any amount for it, but such a study in its original design would be anticipated to require substantial capital resources that we may not be able to obtain.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legislation may make it more difficult to receive revenues.*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both the United States and certain foreign jurisdictions, there has been a number of legislative and regulatory proposals in recent years to change the healthcare system in ways that could impact our ability to sell our products profitably. The most recent significant healthcare legislation was the Patient Protection and Affordable Care Act, as amended by the Health Care Education and Reconciliation Act (collectively, the “PPACA”), enacted in March 2010, which substantially changed the way healthcare is financed by both governmental and private insurers and continues to significantly affect the healthcare industry. There have been executive, judicial and congressional challenges to certain provisions of the PPACA, although the constitutionality of the PPACA appears to now be settled. In addition, there have been proposed and enacted health reform initiatives affecting the PPACA. For example, on August 16, 2022, President Biden signed the IRA into law, which among other things, extends enhanced subsidies for individuals purchasing health insurance coverage in PPACA marketplaces through plan year 2025, eliminates the “donut hole” under the Medicare Part D program beginning in 2025 by significantly lowering the beneficiary maximum out-of-pocket cost and through a newly established manufacturer discount program, and caps the out-of-pocket cost of insulin (including Afrezza) at $35 per month for Medicare recipients beginning in 2023. It is possible that the PPACA will be subject to judicial or Congressional challenges in the future. It is unclear how any such challenges, other litigation, and the healthcare reform measures of the current administration will impact the PPACA.</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expect that PPACA, the IRA,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that a claim including items or services resulting from a violation of the federal Anti-Kickback Statute constitutes a false or fraudulent claim for purposes of the federal false claims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federal Physician Payments Sunshine Act under PPACA, which requires certain manufacturers of drugs, devices, biologics, and medical supplies to report annually to Centers for Medicare &amp; Medicaid Services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Because of the breadth of these laws and the narrowness of available statutory exceptions and regulatory safe harbors, it is possible that some of our business activities could be subject to challenge under one or more of such laws. With Afrezza approved in Brazil and as we 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stringent and changing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and other similar laws (e.g., wiretapping laws). For example, HIPAA, as amended by HITECH, imposes specific requirements relating to the privacy, security, and transmission of individually identifiable health information. In addition, the CCPA imposes obligations on covered businesses, including, but not limited to, providing specific disclosures in privacy notices and affording California consumers, business representatives, and employees who are California residents certain rights related to their personal data. The CCPA provides for administrative fines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maintain about California residents. In addition, the California Privacy Rights Act of 2020 (“CPRA”), which became operative January 1, 2023, expanded the CCPA’s requirements, including by adding a new right for individuals to correct their personal information and establishing a new California Privacy Protection Agency to implement and enforce the CPRA. Other states also have enacted comprehensive data privacy laws. For example, Virginia passed the Consumer Data Protection Act, and Colorado passed the Colorado Privacy Act, both of which became effective in 2023. While these states, like the CCPA, also exempt some data processed in the context of clinical trials, these developments further complicate compliance efforts, and increase legal risk and compliance costs for us, the third parties upon whom we rely, and our customers. In addition, data privacy and security laws have been proposed at the federal, state, and local levels in recent years, which could further complicate compliance efforts.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Outside the United States, an increasing number of laws, regulations, and industry standards apply to data privacy and security. For example, the European Union's General Data Protection Regulation (“EU GDPR”) and, the United Kingdom’s GDPR (“UK GDPR”), Brazil’s General Data Protection Law (Lei Geral de Proteção de Dados Pessoais, or “LGPD”)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employees and personnel use generative artificial intelligence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reasons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obligations related to data privacy and security are quickly changing in an increasingly stringent fashion, creating some uncertainty as to the effective future legal framework. Additionally, these obligations may be subject to differing applications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If we or the third parties on which we rely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in March 2021, President Biden signed the American Rescue Plan Act of 2021 into law, which eliminates the statutory Medicaid drug rebate cap, currently set at 100% of a drug’s AMP, for single source and innovator multiple source drugs, beginning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negatively impacted by environmental, social and corporate governance (ESG) matters or our reporting of such matters.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is an increasing focus from certain investors, employees, partners, and other stakeholders concerning ESG matters. We may be, or be perceived to be, not acting responsibly in connection with these matters, which could negatively impact us.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certain investors or other stakeholders deem to negatively impact our reputation and/or that harm our stock price. We currently do not report our environmental emissions and absent a legal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requirement to do so we currently do not plan to report our environmental emissions, and lack of reporting could result in certain investors declining to invest in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portfolio of investment securities may require us to register with the SEC as an “investment company” in accordance with the Investment Company Act of 1940 (“‘40 Act”).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rules and interpretations of the SEC and the courts relating to the definition of "investment company" are very complex. Although we are a biopharmaceutical company and we do not hold ourselves out as an investment company, the value of our investment securities relative to our total assets (exclusive of government securities and cash items) has in the past exceeded safe harbor limits prescribed in the ’40 Act. If our asset mix does not continue to qualify for one of the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 and be subject to the restrictions of the ‘40 Act, those restrictions likely would require significant changes in the way we do business and add significant administrative costs and burdens to our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our proprietary rights, we may not be able to compete effectively, or operate profitably.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may be challenged in court where they could be held invalid, unenforceable, or have their breadth narrowed to an extent that would destroy their value.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become involved in lawsuits to protect or enforce our patents or the patents of our collaborators or licensors, we would be required to devote substantial time and resources to prosecute or defend such 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 patent owner may claim that we are making, using, selling or offering for sale an invention covered by the owner’s patents and may go to court to stop us from engaging in such activities. Such litigation is not uncommon in our industry.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Although we do not believe that our products or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obtain trademark registrations for our potential trade names.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is volatile.*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obtain marketing approval for our products outside of the United States and to find collaboration partners for the commercialization of our products in foreign jurisdictions;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future estimates of product sales, royalties, prescriptions or other operating metrics;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successfully commercialize other products based on our Technosphere drug delivery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progress and results of preclinical and clinical studies of our product candidates and of post-approval studies of approved products that are required by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economic, political or stock market conditions, especially for emerging growth and pharmaceutical market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geopolitical events, such as the current Russia-Ukraine and Israel-Hamas conflicts;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legislative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disruptions caused by man-made or natural disasters or public health pandemics or epidemics or other business interruptions;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the structure of the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announcements by us, our collaborators, or our competitors concerning clinical study results, acquisitions, strategic alliances, technological innovations, newly approved commercial products, product discontinuations, or other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availability of critical materials used in developing and manufacturing our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developments or disputes concerning our relationship with any of our current or future collaborators or third 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developments or disputes concerning our patents or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expense and time associated with, and the extent of our ultimate success in, securing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announcements by us concerning our financial condition or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securities analysts’ estimates of our financial condition or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sales of large blocks of our common stock, including sales by our executive officers, directors and significant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trades of short sellers;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or the perception of investors of our ability, to continue to meet all applicable requirements for continued listing of our common stock on The Nasdaq Global Market, and the possible delisting of our common stock if we are unable to do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status of any legal proceedings or regulatory matters against or involving us or any of our executive officers and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of these risks, as well as other factors, could cause the market value of our common stock and other securities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continue to meet all applicable listing requirements, our common stock may be delisted from the Nasdaq Global Market, which could have an adverse impact on the liquidity and market price of our common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action or proceeding asserting a breach of fiduciary duty owed by any of our current or former directors, officers or other employees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action or proceeding to interpret, apply, enforce or determine the validity of our amended and restated certificate of incorporation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action or proceeding as to which the Delaware General Corporation Law confers jurisdiction to the Court of Chancery of the State of Delaware;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action asserting a claim against us or any of our directors, officers or other employees that is governed by the internal affairs doctrine.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This provision does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we do not expect to pay dividends in the foreseeable future, you must rely on stock appreciation for any return on any investment in our common stock.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sales of shares of our common stock in the public market, or the perception that such sales may occur, may depress our stock price and adversely impact the market price of our common stock and other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Likewise, the issuance of additional shares of our common stock upon the exchange or conversion of the Mann Group convertible note, or the Senior convertible notes, could adversely affect the market price of our common stock and other securities. Moreover, the existence of these notes may encourage short selling of our common stock by market participants, which could adversely affect the market price of our common stock and other securities.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a substantial number of shares of our common stock is reserved for issuance upon the exercise of stock options, the vesting of restricted stock unit awards and purchases under our employee stock purchase program. The issuance or sale of substantial amounts of common stock, or the perception that such issuances or sales may occur, could adversely affect the market price of our common stock and other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other biotechnology and biopharmaceutical companies or the securities markets in general encounter problems, the market price of our common stock and other securities could be adversely affected.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r>
        <w:rPr>
          <w:rFonts w:ascii="Times New Roman" w:hAnsi="Times New Roman"/>
          <w:color w:val="006EBF"/>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Unstable market, economic and geopolitical conditions may have serious adverse consequences on our business, financial condition and stock price.*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actual or anticipated bank failures,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Other international and geopolitical events could also have a serious adverse impact on our business. For instance, in February 2022, Russia initiated military action against Ukraine and the two countries are now at war. In response, the United States and certain other countries imposed significant sanctions and trade actions against Russia and could impose further sanctions, trade restrictions, and other retaliatory actions. Additionally, in October 2023, Hamas initiated an attack against Israel, provoking a state of war and the risk of a larger conflict.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In July 2023, we elected to pay quarterly interest under the Mann Group convertible note of approximately $0.1 million by issuing the Mann Group 13,439 shares of common stock. See Note 9 – </w:t>
      </w:r>
      <w:r>
        <w:rPr>
          <w:rFonts w:ascii="Times New Roman" w:hAnsi="Times New Roman"/>
          <w:b w:val="false"/>
          <w:i/>
          <w:color w:val="000000"/>
          <w:sz w:val="20"/>
        </w:rPr>
        <w:t>Borrowings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relied on an exemption from registration provided by Section 3(a)(9) or 4(a)(2) of the Securities Act of 1933, as amended, for the issuance of the shares described above.</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During the three months ended September 30, 2023, three of our executive officers adopted written trading plans for the orderly disposition of the Company’s securities as set forth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3"/>
        <w:gridCol w:w="146"/>
        <w:gridCol w:w="886"/>
        <w:gridCol w:w="146"/>
        <w:gridCol w:w="1054"/>
        <w:gridCol w:w="146"/>
        <w:gridCol w:w="1054"/>
        <w:gridCol w:w="201"/>
        <w:gridCol w:w="273"/>
        <w:gridCol w:w="648"/>
        <w:gridCol w:w="146"/>
        <w:gridCol w:w="146"/>
        <w:gridCol w:w="348"/>
        <w:gridCol w:w="1861"/>
        <w:gridCol w:w="146"/>
        <w:gridCol w:w="247"/>
        <w:gridCol w:w="1294"/>
      </w:tblGrid>
      <w:tr>
        <w:trPr/>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14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r>
      <w:tr>
        <w:trPr/>
        <w:tc>
          <w:tcPr>
            <w:tcW w:w="1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Rule </w:t>
              <w:br/>
              <w:t>10b5-1</w:t>
            </w:r>
            <w:r>
              <w:rPr>
                <w:rFonts w:ascii="Times New Roman" w:hAnsi="Times New Roman"/>
                <w:b/>
                <w:color w:val="000000"/>
                <w:sz w:val="13"/>
              </w:rPr>
              <w:t>(1)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Non-Rule </w:t>
              <w:br/>
              <w:t>10b5-1</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Common Stock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center"/>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14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Michael Castagna</w:t>
              <w:br/>
            </w:r>
            <w:r>
              <w:rPr>
                <w:rFonts w:ascii="Times New Roman" w:hAnsi="Times New Roman"/>
                <w:b w:val="false"/>
                <w:i/>
                <w:color w:val="000000"/>
                <w:sz w:val="20"/>
              </w:rPr>
              <w:t>Chief Executive Officer</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Adoption</w:t>
            </w:r>
          </w:p>
        </w:tc>
        <w:tc>
          <w:tcPr>
            <w:tcW w:w="14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1,</w:t>
              <w:br/>
              <w:t>2023</w:t>
            </w:r>
          </w:p>
        </w:tc>
        <w:tc>
          <w:tcPr>
            <w:tcW w:w="146" w:type="dxa"/>
            <w:tcBorders/>
            <w:shd w:fill="FFFFFF" w:val="clear"/>
            <w:vAlign w:val="center"/>
          </w:tcPr>
          <w:p>
            <w:pPr>
              <w:pStyle w:val="TableContents"/>
              <w:bidi w:val="0"/>
              <w:spacing w:before="0" w:after="283"/>
              <w:jc w:val="center"/>
              <w:rPr/>
            </w:pPr>
            <w:r>
              <w:rPr/>
              <w:t> </w:t>
            </w:r>
          </w:p>
        </w:tc>
        <w:tc>
          <w:tcPr>
            <w:tcW w:w="105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201"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190,482</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center"/>
              <w:rPr/>
            </w:pPr>
            <w:r>
              <w:rPr/>
              <w:t> </w:t>
            </w:r>
          </w:p>
        </w:tc>
        <w:tc>
          <w:tcPr>
            <w:tcW w:w="129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December 29,</w:t>
              <w:br/>
              <w:t>2023</w:t>
            </w:r>
          </w:p>
        </w:tc>
      </w:tr>
      <w:tr>
        <w:trPr/>
        <w:tc>
          <w:tcPr>
            <w:tcW w:w="1463"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Steven Binder</w:t>
              <w:br/>
            </w:r>
            <w:r>
              <w:rPr>
                <w:rFonts w:ascii="Times New Roman" w:hAnsi="Times New Roman"/>
                <w:b w:val="false"/>
                <w:i/>
                <w:color w:val="000000"/>
                <w:sz w:val="20"/>
              </w:rPr>
              <w:t>Chief Financial Officer</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Adoption</w:t>
            </w:r>
          </w:p>
        </w:tc>
        <w:tc>
          <w:tcPr>
            <w:tcW w:w="146"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August 18,</w:t>
              <w:br/>
              <w:t>2023</w:t>
            </w:r>
          </w:p>
        </w:tc>
        <w:tc>
          <w:tcPr>
            <w:tcW w:w="146" w:type="dxa"/>
            <w:tcBorders/>
            <w:shd w:fill="CFF0FC" w:val="clear"/>
            <w:vAlign w:val="center"/>
          </w:tcPr>
          <w:p>
            <w:pPr>
              <w:pStyle w:val="TableContents"/>
              <w:bidi w:val="0"/>
              <w:spacing w:before="0" w:after="283"/>
              <w:jc w:val="center"/>
              <w:rPr/>
            </w:pPr>
            <w:r>
              <w:rPr/>
              <w:t> </w:t>
            </w:r>
          </w:p>
        </w:tc>
        <w:tc>
          <w:tcPr>
            <w:tcW w:w="105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201" w:type="dxa"/>
            <w:tcBorders/>
            <w:shd w:fill="CFF0FC" w:val="clear"/>
            <w:vAlign w:val="center"/>
          </w:tcPr>
          <w:p>
            <w:pPr>
              <w:pStyle w:val="TableContents"/>
              <w:bidi w:val="0"/>
              <w:spacing w:before="0" w:after="283"/>
              <w:jc w:val="center"/>
              <w:rPr/>
            </w:pPr>
            <w:r>
              <w:rPr/>
              <w:t> </w:t>
            </w:r>
          </w:p>
        </w:tc>
        <w:tc>
          <w:tcPr>
            <w:tcW w:w="27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8"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31,000</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(3)</w:t>
            </w:r>
          </w:p>
        </w:tc>
        <w:tc>
          <w:tcPr>
            <w:tcW w:w="1294"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10,</w:t>
              <w:br/>
              <w:t>2024</w:t>
            </w:r>
          </w:p>
        </w:tc>
      </w:tr>
      <w:tr>
        <w:trPr/>
        <w:tc>
          <w:tcPr>
            <w:tcW w:w="146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David Thomson</w:t>
              <w:br/>
            </w:r>
            <w:r>
              <w:rPr>
                <w:rFonts w:ascii="Times New Roman" w:hAnsi="Times New Roman"/>
                <w:b w:val="false"/>
                <w:i/>
                <w:color w:val="000000"/>
                <w:sz w:val="20"/>
              </w:rPr>
              <w:t>EVP, General Counsel</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Adoption</w:t>
            </w:r>
          </w:p>
        </w:tc>
        <w:tc>
          <w:tcPr>
            <w:tcW w:w="14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5,</w:t>
              <w:br/>
              <w:t>2023</w:t>
            </w:r>
          </w:p>
        </w:tc>
        <w:tc>
          <w:tcPr>
            <w:tcW w:w="146" w:type="dxa"/>
            <w:tcBorders/>
            <w:shd w:fill="FFFFFF" w:val="clear"/>
            <w:vAlign w:val="center"/>
          </w:tcPr>
          <w:p>
            <w:pPr>
              <w:pStyle w:val="TableContents"/>
              <w:bidi w:val="0"/>
              <w:spacing w:before="0" w:after="283"/>
              <w:jc w:val="center"/>
              <w:rPr/>
            </w:pPr>
            <w:r>
              <w:rPr/>
              <w:t> </w:t>
            </w:r>
          </w:p>
        </w:tc>
        <w:tc>
          <w:tcPr>
            <w:tcW w:w="105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201" w:type="dxa"/>
            <w:tcBorders/>
            <w:shd w:fill="FFFFFF" w:val="clear"/>
            <w:vAlign w:val="center"/>
          </w:tcPr>
          <w:p>
            <w:pPr>
              <w:pStyle w:val="TableContents"/>
              <w:bidi w:val="0"/>
              <w:spacing w:before="0" w:after="283"/>
              <w:jc w:val="center"/>
              <w:rPr/>
            </w:pPr>
            <w:r>
              <w:rPr/>
              <w:t> </w:t>
            </w:r>
          </w:p>
        </w:tc>
        <w:tc>
          <w:tcPr>
            <w:tcW w:w="27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37,000</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(3)</w:t>
            </w:r>
          </w:p>
        </w:tc>
        <w:tc>
          <w:tcPr>
            <w:tcW w:w="1294"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5,</w:t>
              <w:br/>
              <w:t>2024</w:t>
            </w:r>
          </w:p>
        </w:tc>
      </w:tr>
    </w:tbl>
    <w:p>
      <w:pPr>
        <w:pStyle w:val="TextBody"/>
        <w:bidi w:val="0"/>
        <w:jc w:val="left"/>
        <w:rPr>
          <w:rFonts w:ascii="Times New Roman" w:hAnsi="Times New Roman"/>
          <w:b w:val="false"/>
          <w:color w:val="000000"/>
          <w:sz w:val="12"/>
        </w:rPr>
      </w:pPr>
      <w:r>
        <w:rPr>
          <w:rFonts w:ascii="Times New Roman" w:hAnsi="Times New Roman"/>
          <w:b w:val="false"/>
          <w:color w:val="000000"/>
          <w:sz w:val="12"/>
        </w:rPr>
        <w:t>_________________________</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(1)</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Contract, instruction or written plan intended to satisfy the affirmative defense conditions of Rule 10b5-1(c) under the Exchange Act.</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(2)</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"Non-Rule 10b5-1 trading arrangement" as defined in Item 408(c) of Regulation S-K under the Exchange Act.</w:t>
      </w:r>
    </w:p>
    <w:p>
      <w:pPr>
        <w:pStyle w:val="TextBody"/>
        <w:bidi w:val="0"/>
        <w:spacing w:before="0" w:after="0"/>
        <w:jc w:val="left"/>
        <w:rPr>
          <w:rFonts w:ascii="Times New Roman" w:hAnsi="Times New Roman"/>
          <w:b w:val="false"/>
          <w:color w:val="000000"/>
          <w:sz w:val="14"/>
        </w:rPr>
      </w:pPr>
      <w:r>
        <w:rPr>
          <w:rFonts w:ascii="Times New Roman" w:hAnsi="Times New Roman"/>
          <w:b w:val="false"/>
          <w:color w:val="000000"/>
          <w:sz w:val="14"/>
        </w:rPr>
        <w:t>(3)</w:t>
      </w:r>
    </w:p>
    <w:p>
      <w:pPr>
        <w:pStyle w:val="TextBody"/>
        <w:bidi w:val="0"/>
        <w:jc w:val="left"/>
        <w:rPr>
          <w:rFonts w:ascii="Times New Roman" w:hAnsi="Times New Roman"/>
          <w:sz w:val="20"/>
        </w:rPr>
      </w:pPr>
      <w:r>
        <w:rPr>
          <w:rFonts w:ascii="Times New Roman" w:hAnsi="Times New Roman"/>
          <w:b w:val="false"/>
          <w:color w:val="000000"/>
          <w:sz w:val="18"/>
        </w:rPr>
        <w:t>These trading plans are designed to sell a specified percentage of the net shares delivered after tax withholding on five separate awards. The actual number of shares to be sold will depend on state and federal tax rates applicable on the relevant vesting dates (currently assumed to be a combined 32.3%) as well as the payout, if any, of a market RSU award that will deliver the number of shares (currently assumed to be 100% of target) determined by the percentile ranking of MannKind total shareholder return (TSR) over a three-year measurement period relative to the TSR of the Russell 3000 Pharmaceutical &amp; Biotechnology Index over the same period. Based on these assumptions, the total shares of common stock to be sold by Steven Binder and David Thomson approximate 31,000</w:t>
      </w:r>
      <w:r>
        <w:rPr>
          <w:rFonts w:ascii="Times New Roman" w:hAnsi="Times New Roman"/>
          <w:color w:val="000000"/>
          <w:sz w:val="20"/>
        </w:rPr>
        <w:t xml:space="preserve"> </w:t>
      </w:r>
      <w:r>
        <w:rPr>
          <w:rFonts w:ascii="Times New Roman" w:hAnsi="Times New Roman"/>
          <w:b w:val="false"/>
          <w:color w:val="000000"/>
          <w:sz w:val="18"/>
        </w:rPr>
        <w:t xml:space="preserve">and 37,000, respectively. See Note 12 – </w:t>
      </w:r>
      <w:r>
        <w:rPr>
          <w:rFonts w:ascii="Times New Roman" w:hAnsi="Times New Roman"/>
          <w:b w:val="false"/>
          <w:i/>
          <w:color w:val="000000"/>
          <w:sz w:val="18"/>
        </w:rPr>
        <w:t>Stock Award Plans</w:t>
      </w:r>
      <w:r>
        <w:rPr>
          <w:rFonts w:ascii="Times New Roman" w:hAnsi="Times New Roman"/>
          <w:color w:val="000000"/>
          <w:sz w:val="20"/>
        </w:rPr>
        <w:t xml:space="preserve"> </w:t>
      </w:r>
      <w:r>
        <w:rPr>
          <w:rFonts w:ascii="Times New Roman" w:hAnsi="Times New Roman"/>
          <w:b w:val="false"/>
          <w:color w:val="000000"/>
          <w:sz w:val="18"/>
        </w:rPr>
        <w:t>in the Company's Form 10-K for the fiscal year ended December 31, 2021, filed with the SEC on February 24, 2022.</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0" w:name="item_6_exhibits"/>
      <w:bookmarkEnd w:id="20"/>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4"/>
        <w:gridCol w:w="254"/>
        <w:gridCol w:w="9227"/>
      </w:tblGrid>
      <w:tr>
        <w:trPr/>
        <w:tc>
          <w:tcPr>
            <w:tcW w:w="724"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9227" w:type="dxa"/>
            <w:tcBorders/>
            <w:shd w:fill="FFFFFF" w:val="clear"/>
            <w:vAlign w:val="center"/>
          </w:tcPr>
          <w:p>
            <w:pPr>
              <w:pStyle w:val="TableContents"/>
              <w:bidi w:val="0"/>
              <w:spacing w:before="0" w:after="283"/>
              <w:jc w:val="left"/>
              <w:rPr>
                <w:sz w:val="4"/>
                <w:szCs w:val="4"/>
              </w:rPr>
            </w:pPr>
            <w:r>
              <w:rPr>
                <w:sz w:val="4"/>
                <w:szCs w:val="4"/>
              </w:rPr>
            </w:r>
          </w:p>
        </w:tc>
      </w:tr>
      <w:tr>
        <w:trPr/>
        <w:tc>
          <w:tcPr>
            <w:tcW w:w="724"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 of Document</w:t>
            </w:r>
            <w:r>
              <w:rPr>
                <w:rFonts w:ascii="Times New Roman" w:hAnsi="Times New Roman"/>
                <w:color w:val="000000"/>
                <w:sz w:val="16"/>
              </w:rPr>
              <w:t xml:space="preserve"> </w:t>
            </w:r>
          </w:p>
        </w:tc>
      </w:tr>
      <w:tr>
        <w:trPr/>
        <w:tc>
          <w:tcPr>
            <w:tcW w:w="72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3.1</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Amended and Restated Certificate of Incorporation (incorporated by reference to Exhibit 3.1 to MannKind’s Quarterly Report on Form 10-Q (File No. 000-50865), filed with the SEC on August 9, 2016).</w:t>
              </w:r>
            </w:hyperlink>
          </w:p>
        </w:tc>
      </w:tr>
      <w:tr>
        <w:trPr/>
        <w:tc>
          <w:tcPr>
            <w:tcW w:w="72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2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3.2</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Certificate of Amendment of Amended and Restated Certificate of Incorporation of MannKind Corporation (incorporated by reference to Exhibit 3.1 to MannKind’s Current Report on Form 8-K (File No. 000-50865), filed with the SEC on March 2, 2017).</w:t>
              </w:r>
            </w:hyperlink>
          </w:p>
        </w:tc>
      </w:tr>
      <w:tr>
        <w:trPr/>
        <w:tc>
          <w:tcPr>
            <w:tcW w:w="72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2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3.3</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Certificate of Amendment of Amended and Restated Certificate of Incorporation of MannKind Corporation (incorporated by reference to Exhibit 3.1 to MannKind’s Current Report on Form 8-K (File No. 000-50865), filed with the SEC on December 13, 2017).</w:t>
              </w:r>
            </w:hyperlink>
          </w:p>
        </w:tc>
      </w:tr>
      <w:tr>
        <w:trPr/>
        <w:tc>
          <w:tcPr>
            <w:tcW w:w="72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3.4</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Certificate of Amendment of Amended and Restated Certificate of Incorporation of MannKind Corporation (incorporated by reference to Exhibit 3.1 to MannKind’s Current Report on Form 8-K (File No. 000-50865), filed with the SEC on May 27, 2020).</w:t>
              </w:r>
            </w:hyperlink>
          </w:p>
        </w:tc>
      </w:tr>
      <w:tr>
        <w:trPr/>
        <w:tc>
          <w:tcPr>
            <w:tcW w:w="72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3.5</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hyperlink r:id="rId6">
              <w:r>
                <w:rPr>
                  <w:rStyle w:val="InternetLink"/>
                  <w:rFonts w:ascii="Times New Roman" w:hAnsi="Times New Roman"/>
                  <w:b w:val="false"/>
                  <w:color w:val="0000FF"/>
                  <w:sz w:val="20"/>
                  <w:u w:val="single"/>
                </w:rPr>
                <w:t>Certificate of Amendment of Amended and Restated Certificate of Incorporation of MannKind Corporation (incorporated by reference to Exhibit 3.1 to MannKind’s Current Report on Form 8-K (File No. 000-50865), filed with the SEC on May 30, 2023).</w:t>
              </w:r>
            </w:hyperlink>
          </w:p>
        </w:tc>
      </w:tr>
      <w:tr>
        <w:trPr/>
        <w:tc>
          <w:tcPr>
            <w:tcW w:w="72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3.6</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hyperlink r:id="rId7">
              <w:r>
                <w:rPr>
                  <w:rStyle w:val="InternetLink"/>
                  <w:rFonts w:ascii="Times New Roman" w:hAnsi="Times New Roman"/>
                  <w:b w:val="false"/>
                  <w:color w:val="0000FF"/>
                  <w:sz w:val="20"/>
                  <w:u w:val="single"/>
                </w:rPr>
                <w:t>Amended and Restated Bylaws (incorporated by reference to Exhibit 3.2 to MannKind’s Current Report on Form 8-K (File No. 000-50865), filed with the SEC on May 27, 2020).</w:t>
              </w:r>
            </w:hyperlink>
          </w:p>
        </w:tc>
      </w:tr>
      <w:tr>
        <w:trPr/>
        <w:tc>
          <w:tcPr>
            <w:tcW w:w="72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2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4.1</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r>
              <w:rPr>
                <w:rFonts w:ascii="Times New Roman" w:hAnsi="Times New Roman"/>
                <w:b w:val="false"/>
                <w:color w:val="000000"/>
                <w:sz w:val="20"/>
              </w:rPr>
              <w:t xml:space="preserve">Reference is made to Exhibits </w:t>
            </w:r>
            <w:hyperlink r:id="rId8">
              <w:r>
                <w:rPr>
                  <w:rStyle w:val="InternetLink"/>
                  <w:rFonts w:ascii="Times New Roman" w:hAnsi="Times New Roman"/>
                  <w:b w:val="false"/>
                  <w:color w:val="0000FF"/>
                  <w:sz w:val="20"/>
                  <w:u w:val="single"/>
                </w:rPr>
                <w:t>3.1</w:t>
              </w:r>
            </w:hyperlink>
            <w:r>
              <w:rPr>
                <w:rFonts w:ascii="Times New Roman" w:hAnsi="Times New Roman"/>
                <w:b w:val="false"/>
                <w:color w:val="000000"/>
                <w:sz w:val="20"/>
              </w:rPr>
              <w:t xml:space="preserve">, </w:t>
            </w:r>
            <w:hyperlink r:id="rId9">
              <w:r>
                <w:rPr>
                  <w:rStyle w:val="InternetLink"/>
                  <w:rFonts w:ascii="Times New Roman" w:hAnsi="Times New Roman"/>
                  <w:b w:val="false"/>
                  <w:color w:val="0000FF"/>
                  <w:sz w:val="20"/>
                  <w:u w:val="single"/>
                </w:rPr>
                <w:t>3.2</w:t>
              </w:r>
            </w:hyperlink>
            <w:r>
              <w:rPr>
                <w:rFonts w:ascii="Times New Roman" w:hAnsi="Times New Roman"/>
                <w:b w:val="false"/>
                <w:color w:val="000000"/>
                <w:sz w:val="20"/>
              </w:rPr>
              <w:t xml:space="preserve">, </w:t>
            </w:r>
            <w:hyperlink r:id="rId10">
              <w:r>
                <w:rPr>
                  <w:rStyle w:val="InternetLink"/>
                  <w:rFonts w:ascii="Times New Roman" w:hAnsi="Times New Roman"/>
                  <w:b w:val="false"/>
                  <w:color w:val="0000FF"/>
                  <w:sz w:val="20"/>
                  <w:u w:val="single"/>
                </w:rPr>
                <w:t>3.3</w:t>
              </w:r>
            </w:hyperlink>
            <w:r>
              <w:rPr>
                <w:rFonts w:ascii="Times New Roman" w:hAnsi="Times New Roman"/>
                <w:b w:val="false"/>
                <w:color w:val="000000"/>
                <w:sz w:val="20"/>
              </w:rPr>
              <w:t xml:space="preserve">, </w:t>
            </w:r>
            <w:hyperlink r:id="rId11">
              <w:r>
                <w:rPr>
                  <w:rStyle w:val="InternetLink"/>
                  <w:rFonts w:ascii="Times New Roman" w:hAnsi="Times New Roman"/>
                  <w:b w:val="false"/>
                  <w:color w:val="0000FF"/>
                  <w:sz w:val="20"/>
                  <w:u w:val="single"/>
                </w:rPr>
                <w:t>3.4</w:t>
              </w:r>
            </w:hyperlink>
            <w:r>
              <w:rPr>
                <w:rFonts w:ascii="Times New Roman" w:hAnsi="Times New Roman"/>
                <w:b w:val="false"/>
                <w:color w:val="000000"/>
                <w:sz w:val="20"/>
              </w:rPr>
              <w:t xml:space="preserve">, </w:t>
            </w:r>
            <w:hyperlink r:id="rId12">
              <w:r>
                <w:rPr>
                  <w:rStyle w:val="InternetLink"/>
                  <w:rFonts w:ascii="Times New Roman" w:hAnsi="Times New Roman"/>
                  <w:b w:val="false"/>
                  <w:color w:val="0000FF"/>
                  <w:sz w:val="20"/>
                  <w:u w:val="single"/>
                </w:rPr>
                <w:t>3.5</w:t>
              </w:r>
            </w:hyperlink>
            <w:r>
              <w:rPr>
                <w:rFonts w:ascii="Times New Roman" w:hAnsi="Times New Roman"/>
                <w:color w:val="000000"/>
                <w:sz w:val="20"/>
              </w:rPr>
              <w:t> </w:t>
            </w:r>
            <w:r>
              <w:rPr>
                <w:rFonts w:ascii="Times New Roman" w:hAnsi="Times New Roman"/>
                <w:b w:val="false"/>
                <w:color w:val="000000"/>
                <w:sz w:val="20"/>
              </w:rPr>
              <w:t xml:space="preserve">and </w:t>
            </w:r>
            <w:hyperlink r:id="rId13">
              <w:r>
                <w:rPr>
                  <w:rStyle w:val="InternetLink"/>
                  <w:rFonts w:ascii="Times New Roman" w:hAnsi="Times New Roman"/>
                  <w:b w:val="false"/>
                  <w:color w:val="0000FF"/>
                  <w:sz w:val="20"/>
                  <w:u w:val="single"/>
                </w:rPr>
                <w:t>3.6</w:t>
              </w:r>
            </w:hyperlink>
            <w:r>
              <w:rPr>
                <w:rFonts w:ascii="Times New Roman" w:hAnsi="Times New Roman"/>
                <w:b w:val="false"/>
                <w:color w:val="000000"/>
                <w:sz w:val="20"/>
              </w:rPr>
              <w:t>.</w:t>
            </w:r>
          </w:p>
        </w:tc>
      </w:tr>
      <w:tr>
        <w:trPr/>
        <w:tc>
          <w:tcPr>
            <w:tcW w:w="72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2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4.2</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hyperlink r:id="rId14">
              <w:r>
                <w:rPr>
                  <w:rStyle w:val="InternetLink"/>
                  <w:rFonts w:ascii="Times New Roman" w:hAnsi="Times New Roman"/>
                  <w:b w:val="false"/>
                  <w:color w:val="0000FF"/>
                  <w:sz w:val="20"/>
                  <w:u w:val="single"/>
                </w:rPr>
                <w:t>Form of common stock certificate (incorporated by reference to Exhibit 4.2 to MannKind’s Annual Report on Form 10-K (File No. 000-50865), filed with the SEC on March 16, 2017).</w:t>
              </w:r>
            </w:hyperlink>
          </w:p>
        </w:tc>
      </w:tr>
      <w:tr>
        <w:trPr/>
        <w:tc>
          <w:tcPr>
            <w:tcW w:w="72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2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4.3</w:t>
            </w:r>
          </w:p>
        </w:tc>
        <w:tc>
          <w:tcPr>
            <w:tcW w:w="254" w:type="dxa"/>
            <w:tcBorders/>
            <w:vAlign w:val="center"/>
          </w:tcPr>
          <w:p>
            <w:pPr>
              <w:pStyle w:val="TableContents"/>
              <w:bidi w:val="0"/>
              <w:spacing w:before="0" w:after="283"/>
              <w:jc w:val="left"/>
              <w:rPr/>
            </w:pPr>
            <w:r>
              <w:rPr/>
              <w:t> </w:t>
            </w:r>
          </w:p>
        </w:tc>
        <w:tc>
          <w:tcPr>
            <w:tcW w:w="9227" w:type="dxa"/>
            <w:tcBorders/>
            <w:vAlign w:val="center"/>
          </w:tcPr>
          <w:p>
            <w:pPr>
              <w:pStyle w:val="TableContents"/>
              <w:bidi w:val="0"/>
              <w:spacing w:before="0" w:after="283"/>
              <w:jc w:val="left"/>
              <w:rPr/>
            </w:pPr>
            <w:hyperlink r:id="rId15">
              <w:r>
                <w:rPr>
                  <w:rStyle w:val="InternetLink"/>
                  <w:rFonts w:ascii="Times New Roman" w:hAnsi="Times New Roman"/>
                  <w:b w:val="false"/>
                  <w:color w:val="0000FF"/>
                  <w:sz w:val="20"/>
                  <w:u w:val="single"/>
                </w:rPr>
                <w:t>Milestone Rights Purchase Agreement, dated as of July 1, 2013, by and among MannKind, Deerfield Private Design Fund II, L.P. and Horizon Santé FLML SÁRL (incorporated by reference to Exhibit 99.3 to MannKind’s Current Report on Form 8-K (File No. 000-50865), filed with the SEC on July 1, 2013).</w:t>
              </w:r>
            </w:hyperlink>
          </w:p>
        </w:tc>
      </w:tr>
      <w:tr>
        <w:trPr/>
        <w:tc>
          <w:tcPr>
            <w:tcW w:w="72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2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b w:val="false"/>
                <w:color w:val="000000"/>
                <w:sz w:val="20"/>
              </w:rPr>
              <w:t>4.4</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hyperlink r:id="rId16">
              <w:r>
                <w:rPr>
                  <w:rStyle w:val="InternetLink"/>
                  <w:rFonts w:ascii="Times New Roman" w:hAnsi="Times New Roman"/>
                  <w:b w:val="false"/>
                  <w:color w:val="0000FF"/>
                  <w:sz w:val="20"/>
                  <w:u w:val="single"/>
                </w:rPr>
                <w:t>Form of Warrant to Purchase Stock issued to MidCap Financial Trust on August 6, 2019 (incorporated by reference to Exhibit 4.1 to MannKind’s Current Report on Form 8-K (File No. 000-50865), filed with the SEC on August 7, 2019).</w:t>
              </w:r>
            </w:hyperlink>
          </w:p>
        </w:tc>
      </w:tr>
      <w:tr>
        <w:trPr/>
        <w:tc>
          <w:tcPr>
            <w:tcW w:w="724"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b w:val="false"/>
                <w:color w:val="000000"/>
                <w:sz w:val="20"/>
              </w:rPr>
              <w:t>4.5</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hyperlink r:id="rId17">
              <w:r>
                <w:rPr>
                  <w:rStyle w:val="InternetLink"/>
                  <w:rFonts w:ascii="Times New Roman" w:hAnsi="Times New Roman"/>
                  <w:b w:val="false"/>
                  <w:color w:val="0000FF"/>
                  <w:sz w:val="20"/>
                  <w:u w:val="single"/>
                </w:rPr>
                <w:t>Convertible Promissory Note made by MannKind Corporation in favor of The Mann Group LLC, dated August 6, 2019 (incorporated by reference to Exhibit 4.6 to MannKind’s Current Report on Form 8-K (File No. 000-50865), filed with the SEC on August 7, 2019).</w:t>
              </w:r>
            </w:hyperlink>
          </w:p>
        </w:tc>
      </w:tr>
      <w:tr>
        <w:trPr/>
        <w:tc>
          <w:tcPr>
            <w:tcW w:w="724"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b w:val="false"/>
                <w:color w:val="000000"/>
                <w:sz w:val="20"/>
              </w:rPr>
              <w:t>4.6</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hyperlink r:id="rId18">
              <w:r>
                <w:rPr>
                  <w:rStyle w:val="InternetLink"/>
                  <w:rFonts w:ascii="Times New Roman" w:hAnsi="Times New Roman"/>
                  <w:b w:val="false"/>
                  <w:color w:val="0000FF"/>
                  <w:sz w:val="20"/>
                  <w:u w:val="single"/>
                </w:rPr>
                <w:t>Amendment No. 1 to Convertible Promissory Note, dated April 22, 2021, by and between MannKind Corporation and The Mann Group LLC (incorporated by reference to Exhibit 99.2 to MannKind’s Current Report on Form 8-K (File No. 000-50865), filed with the SEC on April 26, 2021).</w:t>
              </w:r>
            </w:hyperlink>
          </w:p>
        </w:tc>
      </w:tr>
      <w:tr>
        <w:trPr/>
        <w:tc>
          <w:tcPr>
            <w:tcW w:w="724"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b w:val="false"/>
                <w:color w:val="000000"/>
                <w:sz w:val="20"/>
              </w:rPr>
              <w:t>4.7</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hyperlink r:id="rId19">
              <w:r>
                <w:rPr>
                  <w:rStyle w:val="InternetLink"/>
                  <w:rFonts w:ascii="Times New Roman" w:hAnsi="Times New Roman"/>
                  <w:b w:val="false"/>
                  <w:color w:val="0000FF"/>
                  <w:sz w:val="20"/>
                  <w:u w:val="single"/>
                </w:rPr>
                <w:t>Promissory Note made by MannKind Corporation in favor of The Mann Group LLC, dated August 6, 2019 (incorporated by reference to Exhibit 4.7 to MannKind’s Current Report on Form 8-K (File No. 000-50865), filed with the SEC on August 7, 2019).</w:t>
              </w:r>
            </w:hyperlink>
          </w:p>
        </w:tc>
      </w:tr>
      <w:tr>
        <w:trPr/>
        <w:tc>
          <w:tcPr>
            <w:tcW w:w="724"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b w:val="false"/>
                <w:color w:val="000000"/>
                <w:sz w:val="20"/>
              </w:rPr>
              <w:t>4.8</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hyperlink r:id="rId20">
              <w:r>
                <w:rPr>
                  <w:rStyle w:val="InternetLink"/>
                  <w:rFonts w:ascii="Times New Roman" w:hAnsi="Times New Roman"/>
                  <w:b w:val="false"/>
                  <w:color w:val="0000FF"/>
                  <w:sz w:val="20"/>
                  <w:u w:val="single"/>
                </w:rPr>
                <w:t>Indenture, dated as of March 4, 2021, by and between MannKind Corporation and U.S. Bank National Association, as Trustee (incorporated by reference to Exhibit 4.1 to MannKind’s Current Report on Form 8-K (File No. 000-50865), filed with the SEC on March 5, 2021).</w:t>
              </w:r>
            </w:hyperlink>
          </w:p>
        </w:tc>
      </w:tr>
      <w:tr>
        <w:trPr/>
        <w:tc>
          <w:tcPr>
            <w:tcW w:w="724"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b w:val="false"/>
                <w:color w:val="000000"/>
                <w:sz w:val="20"/>
              </w:rPr>
              <w:t>4.9</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r>
              <w:fldChar w:fldCharType="begin"/>
            </w:r>
            <w:r>
              <w:rPr>
                <w:rStyle w:val="InternetLink"/>
                <w:sz w:val="20"/>
                <w:u w:val="single"/>
                <w:b w:val="false"/>
                <w:rFonts w:ascii="Times New Roman" w:hAnsi="Times New Roman"/>
                <w:color w:val="0000FF"/>
              </w:rPr>
              <w:instrText xml:space="preserve"> HYPERLINK "https://www.sec.gov/Archives/edgar/data/899460/000119312521070265/d45565dex41.htm" \l "exa"</w:instrText>
            </w:r>
            <w:r>
              <w:rPr>
                <w:rStyle w:val="InternetLink"/>
                <w:sz w:val="20"/>
                <w:u w:val="single"/>
                <w:b w:val="false"/>
                <w:rFonts w:ascii="Times New Roman" w:hAnsi="Times New Roman"/>
                <w:color w:val="0000FF"/>
              </w:rPr>
              <w:fldChar w:fldCharType="separate"/>
            </w:r>
            <w:r>
              <w:rPr>
                <w:rStyle w:val="InternetLink"/>
                <w:rFonts w:ascii="Times New Roman" w:hAnsi="Times New Roman"/>
                <w:b w:val="false"/>
                <w:color w:val="0000FF"/>
                <w:sz w:val="20"/>
                <w:u w:val="single"/>
              </w:rPr>
              <w:t>Form of Global Note, representing MannKind Corporation’s 2.50% Convertible Senior Notes due 2026 (included as Exhibit A to the Indenture filed as Exhibit 4.15) (incorporated by reference to Exhibit 4.2 to MannKind’s Current Report on Form 8-K (File No. 000-50865), filed with the SEC on March 5, 2021).</w:t>
            </w:r>
            <w:r>
              <w:rPr>
                <w:rStyle w:val="InternetLink"/>
                <w:sz w:val="20"/>
                <w:u w:val="single"/>
                <w:b w:val="false"/>
                <w:rFonts w:ascii="Times New Roman" w:hAnsi="Times New Roman"/>
                <w:color w:val="0000FF"/>
              </w:rPr>
              <w:fldChar w:fldCharType="end"/>
            </w:r>
          </w:p>
        </w:tc>
      </w:tr>
      <w:tr>
        <w:trPr/>
        <w:tc>
          <w:tcPr>
            <w:tcW w:w="724"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b w:val="false"/>
                <w:color w:val="000000"/>
                <w:sz w:val="20"/>
              </w:rPr>
              <w:t>31.1</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hyperlink w:anchor="mnkd-ex31_1.htm">
              <w:r>
                <w:rPr>
                  <w:rStyle w:val="InternetLink"/>
                  <w:rFonts w:ascii="Times New Roman" w:hAnsi="Times New Roman"/>
                  <w:b w:val="false"/>
                  <w:color w:val="0000FF"/>
                  <w:sz w:val="20"/>
                  <w:u w:val="single"/>
                </w:rPr>
                <w:t>Certification of the Chief Executive Officer pursuant to Rules 13a-14(a) and 15d-14(a) of the Securities Exchange Act of 1934, as amended.</w:t>
              </w:r>
            </w:hyperlink>
          </w:p>
        </w:tc>
      </w:tr>
      <w:tr>
        <w:trPr/>
        <w:tc>
          <w:tcPr>
            <w:tcW w:w="724"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r>
              <w:rPr/>
              <w:t> </w:t>
            </w:r>
          </w:p>
        </w:tc>
      </w:tr>
      <w:tr>
        <w:trPr/>
        <w:tc>
          <w:tcPr>
            <w:tcW w:w="724"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b w:val="false"/>
                <w:color w:val="000000"/>
                <w:sz w:val="20"/>
              </w:rPr>
              <w:t>31.2</w:t>
            </w:r>
          </w:p>
        </w:tc>
        <w:tc>
          <w:tcPr>
            <w:tcW w:w="254" w:type="dxa"/>
            <w:tcBorders/>
            <w:vAlign w:val="center"/>
          </w:tcPr>
          <w:p>
            <w:pPr>
              <w:pStyle w:val="TableContents"/>
              <w:bidi w:val="0"/>
              <w:spacing w:before="0" w:after="283"/>
              <w:ind w:left="108" w:right="0" w:firstLine="108"/>
              <w:jc w:val="left"/>
              <w:rPr/>
            </w:pPr>
            <w:r>
              <w:rPr/>
              <w:t> </w:t>
            </w:r>
          </w:p>
        </w:tc>
        <w:tc>
          <w:tcPr>
            <w:tcW w:w="9227" w:type="dxa"/>
            <w:tcBorders/>
            <w:vAlign w:val="center"/>
          </w:tcPr>
          <w:p>
            <w:pPr>
              <w:pStyle w:val="TableContents"/>
              <w:bidi w:val="0"/>
              <w:spacing w:before="0" w:after="283"/>
              <w:jc w:val="left"/>
              <w:rPr/>
            </w:pPr>
            <w:hyperlink w:anchor="mnkd-ex31_2.htm">
              <w:r>
                <w:rPr>
                  <w:rStyle w:val="InternetLink"/>
                  <w:rFonts w:ascii="Times New Roman" w:hAnsi="Times New Roman"/>
                  <w:b w:val="false"/>
                  <w:color w:val="0000FF"/>
                  <w:sz w:val="20"/>
                  <w:u w:val="single"/>
                </w:rPr>
                <w:t>Certification of the Chief Financial Officer pursuant to Rules 13a-14(a) and 15d-14(a) of the Securities Exchange Act of 1934, as amended.</w:t>
              </w:r>
            </w:hyperlink>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
        <w:gridCol w:w="254"/>
        <w:gridCol w:w="9242"/>
      </w:tblGrid>
      <w:tr>
        <w:trPr/>
        <w:tc>
          <w:tcPr>
            <w:tcW w:w="709"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9242" w:type="dxa"/>
            <w:tcBorders/>
            <w:shd w:fill="FFFFFF" w:val="clear"/>
            <w:vAlign w:val="center"/>
          </w:tcPr>
          <w:p>
            <w:pPr>
              <w:pStyle w:val="TableContents"/>
              <w:bidi w:val="0"/>
              <w:spacing w:before="0" w:after="283"/>
              <w:jc w:val="left"/>
              <w:rPr>
                <w:sz w:val="4"/>
                <w:szCs w:val="4"/>
              </w:rPr>
            </w:pPr>
            <w:r>
              <w:rPr>
                <w:sz w:val="4"/>
                <w:szCs w:val="4"/>
              </w:rPr>
            </w:r>
          </w:p>
        </w:tc>
      </w:tr>
      <w:tr>
        <w:trPr/>
        <w:tc>
          <w:tcPr>
            <w:tcW w:w="709"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 of Document</w:t>
            </w:r>
            <w:r>
              <w:rPr>
                <w:rFonts w:ascii="Times New Roman" w:hAnsi="Times New Roman"/>
                <w:color w:val="000000"/>
                <w:sz w:val="16"/>
              </w:rPr>
              <w:t xml:space="preserve"> </w:t>
            </w:r>
          </w:p>
        </w:tc>
      </w:tr>
      <w:tr>
        <w:trPr/>
        <w:tc>
          <w:tcPr>
            <w:tcW w:w="709"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242"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b w:val="false"/>
                <w:color w:val="000000"/>
                <w:sz w:val="20"/>
              </w:rPr>
              <w:t>32.1</w:t>
            </w:r>
          </w:p>
        </w:tc>
        <w:tc>
          <w:tcPr>
            <w:tcW w:w="254" w:type="dxa"/>
            <w:tcBorders/>
            <w:vAlign w:val="center"/>
          </w:tcPr>
          <w:p>
            <w:pPr>
              <w:pStyle w:val="TableContents"/>
              <w:bidi w:val="0"/>
              <w:spacing w:before="0" w:after="283"/>
              <w:ind w:left="108" w:right="0" w:firstLine="108"/>
              <w:jc w:val="left"/>
              <w:rPr/>
            </w:pPr>
            <w:r>
              <w:rPr/>
              <w:t> </w:t>
            </w:r>
          </w:p>
        </w:tc>
        <w:tc>
          <w:tcPr>
            <w:tcW w:w="9242" w:type="dxa"/>
            <w:tcBorders/>
            <w:vAlign w:val="center"/>
          </w:tcPr>
          <w:p>
            <w:pPr>
              <w:pStyle w:val="TableContents"/>
              <w:bidi w:val="0"/>
              <w:spacing w:before="0" w:after="283"/>
              <w:jc w:val="left"/>
              <w:rPr/>
            </w:pPr>
            <w:hyperlink w:anchor="mnkd-ex32_1.htm">
              <w:r>
                <w:rPr>
                  <w:rStyle w:val="InternetLink"/>
                  <w:rFonts w:ascii="Times New Roman" w:hAnsi="Times New Roman"/>
                  <w:b w:val="false"/>
                  <w:color w:val="0000FF"/>
                  <w:sz w:val="20"/>
                  <w:u w:val="single"/>
                </w:rPr>
                <w:t>Certification of the Chief Executive Officer pursuant to Rules 13a-14(b) and 15d-14(b) of the Securities Exchange Act of 1934, as amended and Section 1350 of Chapter 63 of Title 18 of the United States Code (18 U.S.C. §1350).</w:t>
              </w:r>
            </w:hyperlink>
          </w:p>
        </w:tc>
      </w:tr>
      <w:tr>
        <w:trPr/>
        <w:tc>
          <w:tcPr>
            <w:tcW w:w="709"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242"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b w:val="false"/>
                <w:color w:val="000000"/>
                <w:sz w:val="20"/>
              </w:rPr>
              <w:t>32.2</w:t>
            </w:r>
          </w:p>
        </w:tc>
        <w:tc>
          <w:tcPr>
            <w:tcW w:w="254" w:type="dxa"/>
            <w:tcBorders/>
            <w:vAlign w:val="center"/>
          </w:tcPr>
          <w:p>
            <w:pPr>
              <w:pStyle w:val="TableContents"/>
              <w:bidi w:val="0"/>
              <w:spacing w:before="0" w:after="283"/>
              <w:ind w:left="108" w:right="0" w:firstLine="108"/>
              <w:jc w:val="left"/>
              <w:rPr/>
            </w:pPr>
            <w:r>
              <w:rPr/>
              <w:t> </w:t>
            </w:r>
          </w:p>
        </w:tc>
        <w:tc>
          <w:tcPr>
            <w:tcW w:w="9242" w:type="dxa"/>
            <w:tcBorders/>
            <w:vAlign w:val="center"/>
          </w:tcPr>
          <w:p>
            <w:pPr>
              <w:pStyle w:val="TableContents"/>
              <w:bidi w:val="0"/>
              <w:spacing w:before="0" w:after="283"/>
              <w:jc w:val="left"/>
              <w:rPr/>
            </w:pPr>
            <w:hyperlink w:anchor="mnkd-ex32_2.htm">
              <w:r>
                <w:rPr>
                  <w:rStyle w:val="InternetLink"/>
                  <w:rFonts w:ascii="Times New Roman" w:hAnsi="Times New Roman"/>
                  <w:b w:val="false"/>
                  <w:color w:val="0000FF"/>
                  <w:sz w:val="20"/>
                  <w:u w:val="single"/>
                </w:rPr>
                <w:t>Certification of the Chief Financial Officer pursuant to Rules 13a-14(b) and 15d-14(b) of the Securities Exchange Act of 1934, as amended and Section 1350 of Chapter 63 of Title 18 of the United States Code (18 U.S.C. §1350).</w:t>
              </w:r>
            </w:hyperlink>
          </w:p>
        </w:tc>
      </w:tr>
      <w:tr>
        <w:trPr/>
        <w:tc>
          <w:tcPr>
            <w:tcW w:w="709"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242"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b w:val="false"/>
                <w:color w:val="000000"/>
                <w:sz w:val="20"/>
              </w:rPr>
              <w:t>101</w:t>
            </w:r>
          </w:p>
        </w:tc>
        <w:tc>
          <w:tcPr>
            <w:tcW w:w="254" w:type="dxa"/>
            <w:tcBorders/>
            <w:vAlign w:val="center"/>
          </w:tcPr>
          <w:p>
            <w:pPr>
              <w:pStyle w:val="TableContents"/>
              <w:bidi w:val="0"/>
              <w:spacing w:before="0" w:after="283"/>
              <w:ind w:left="108" w:right="0" w:firstLine="108"/>
              <w:jc w:val="left"/>
              <w:rPr/>
            </w:pPr>
            <w:r>
              <w:rPr/>
              <w:t> </w:t>
            </w:r>
          </w:p>
        </w:tc>
        <w:tc>
          <w:tcPr>
            <w:tcW w:w="924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Interactive Data Files pursuant to Rule 405 of Regulation S-T.</w:t>
            </w:r>
          </w:p>
        </w:tc>
      </w:tr>
      <w:tr>
        <w:trPr/>
        <w:tc>
          <w:tcPr>
            <w:tcW w:w="709"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242" w:type="dxa"/>
            <w:tcBorders/>
            <w:vAlign w:val="center"/>
          </w:tcPr>
          <w:p>
            <w:pPr>
              <w:pStyle w:val="TableContents"/>
              <w:bidi w:val="0"/>
              <w:spacing w:before="0" w:after="283"/>
              <w:jc w:val="left"/>
              <w:rPr/>
            </w:pPr>
            <w:r>
              <w:rPr/>
              <w:t> </w:t>
            </w:r>
          </w:p>
        </w:tc>
      </w:tr>
      <w:tr>
        <w:trPr/>
        <w:tc>
          <w:tcPr>
            <w:tcW w:w="709" w:type="dxa"/>
            <w:tcBorders/>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b w:val="false"/>
                <w:color w:val="000000"/>
                <w:sz w:val="20"/>
              </w:rPr>
              <w:t>104</w:t>
            </w:r>
          </w:p>
        </w:tc>
        <w:tc>
          <w:tcPr>
            <w:tcW w:w="254" w:type="dxa"/>
            <w:tcBorders/>
            <w:vAlign w:val="center"/>
          </w:tcPr>
          <w:p>
            <w:pPr>
              <w:pStyle w:val="TableContents"/>
              <w:bidi w:val="0"/>
              <w:spacing w:before="0" w:after="283"/>
              <w:ind w:left="108" w:right="0" w:firstLine="108"/>
              <w:jc w:val="left"/>
              <w:rPr/>
            </w:pPr>
            <w:r>
              <w:rPr/>
              <w:t> </w:t>
            </w:r>
          </w:p>
        </w:tc>
        <w:tc>
          <w:tcPr>
            <w:tcW w:w="924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cover page has been formatted in Inline XBRL.</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
      <w:bookmarkEnd w:id="21"/>
      <w:r>
        <w:rPr>
          <w:rFonts w:ascii="Times New Roman" w:hAnsi="Times New Roman"/>
          <w:b/>
          <w:color w:val="000000"/>
          <w:sz w:val="20"/>
        </w:rPr>
        <w:t>SIGNATURE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requirements of the Securities Exchange Act of 1934, as amended,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9018" w:type="dxa"/>
        <w:jc w:val="left"/>
        <w:tblInd w:w="0" w:type="dxa"/>
        <w:tblLayout w:type="fixed"/>
        <w:tblCellMar>
          <w:top w:w="28" w:type="dxa"/>
          <w:left w:w="28" w:type="dxa"/>
          <w:bottom w:w="28" w:type="dxa"/>
          <w:right w:w="28" w:type="dxa"/>
        </w:tblCellMar>
      </w:tblPr>
      <w:tblGrid>
        <w:gridCol w:w="2206"/>
        <w:gridCol w:w="406"/>
        <w:gridCol w:w="6406"/>
      </w:tblGrid>
      <w:tr>
        <w:trP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7, 2023</w:t>
            </w:r>
          </w:p>
        </w:tc>
        <w:tc>
          <w:tcPr>
            <w:tcW w:w="6812"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MANNKIND CORPORATION</w:t>
            </w:r>
          </w:p>
        </w:tc>
      </w:tr>
      <w:tr>
        <w:trPr/>
        <w:tc>
          <w:tcPr>
            <w:tcW w:w="220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6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MICHAEL E. CASTAGNA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Michael E. Castagna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Executive Officer</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(on behalf of the registrant and as the registrant’s Principal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6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STEVEN B. BINDER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Steven B. Binder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406"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Financial Officer</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bookmarkStart w:id="22" w:name="mnkd-ex31_1.htm"/>
      <w:bookmarkStart w:id="23" w:name="ksmnkd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CERTIFICATION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RULE 13a-14(a) OR 15d-14(a) OF THE SECURITIES EXCHANGE ACT OF 1934, AS AMENDED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Michael E. Castagna, certify that: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for the quarterly period ended September 30, 2023 of MannKind Corporation;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jc w:val="left"/>
              <w:rPr/>
            </w:pPr>
            <w:r>
              <w:rPr/>
              <w:t> </w:t>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/s/ Michael E. Castagna</w:t>
            </w:r>
          </w:p>
        </w:tc>
      </w:tr>
      <w:tr>
        <w:trPr/>
        <w:tc>
          <w:tcPr>
            <w:tcW w:w="3181"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Michael E. Castagna</w:t>
            </w:r>
          </w:p>
          <w:p>
            <w:pPr>
              <w:pStyle w:val="TableContents"/>
              <w:bidi w:val="0"/>
              <w:jc w:val="left"/>
              <w:rPr>
                <w:rFonts w:ascii="Times New Roman" w:hAnsi="Times New Roman"/>
                <w:sz w:val="20"/>
              </w:rPr>
            </w:pPr>
            <w:r>
              <w:rPr>
                <w:rFonts w:ascii="Times New Roman" w:hAnsi="Times New Roman"/>
                <w:b w:val="false"/>
                <w:color w:val="000000"/>
                <w:sz w:val="20"/>
              </w:rPr>
              <w:t>Chief Executive Officer and Director</w:t>
            </w:r>
            <w:r>
              <w:rPr>
                <w:rFonts w:ascii="Times New Roman" w:hAnsi="Times New Roman"/>
                <w:color w:val="000000"/>
                <w:sz w:val="20"/>
              </w:rPr>
              <w:t xml:space="preserve"> </w:t>
            </w:r>
          </w:p>
          <w:p>
            <w:pPr>
              <w:pStyle w:val="TableContents"/>
              <w:bidi w:val="0"/>
              <w:spacing w:before="0" w:after="20"/>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 November 7, 2023</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mnkd-ex31_2.htm"/>
      <w:bookmarkStart w:id="25" w:name="ksmnkdex31_2"/>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CERTIFICATION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RULE 13a-14(a) OR 15d-14(a) OF THE SECURITIES EXCHANGE ACT OF 1934, AS AMENDED</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Steven B. Binder, certify that: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for the quarterly period ended September 30, 2023 of MannKind Corporation;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283"/>
              <w:jc w:val="left"/>
              <w:rPr/>
            </w:pPr>
            <w:r>
              <w:rPr/>
              <w:t> </w:t>
            </w:r>
          </w:p>
        </w:tc>
      </w:tr>
      <w:tr>
        <w:trPr/>
        <w:tc>
          <w:tcPr>
            <w:tcW w:w="207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/s/ Steven B. Binder</w:t>
            </w:r>
          </w:p>
        </w:tc>
      </w:tr>
      <w:tr>
        <w:trPr/>
        <w:tc>
          <w:tcPr>
            <w:tcW w:w="2071"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Steven B. Binder</w:t>
            </w:r>
          </w:p>
          <w:p>
            <w:pPr>
              <w:pStyle w:val="TableContents"/>
              <w:bidi w:val="0"/>
              <w:jc w:val="left"/>
              <w:rPr>
                <w:rFonts w:ascii="Times New Roman" w:hAnsi="Times New Roman"/>
                <w:sz w:val="20"/>
              </w:rPr>
            </w:pPr>
            <w:r>
              <w:rPr>
                <w:rFonts w:ascii="Times New Roman" w:hAnsi="Times New Roman"/>
                <w:b w:val="false"/>
                <w:color w:val="000000"/>
                <w:sz w:val="20"/>
              </w:rPr>
              <w:t>Chief Financial Officer</w:t>
            </w:r>
            <w:r>
              <w:rPr>
                <w:rFonts w:ascii="Times New Roman" w:hAnsi="Times New Roman"/>
                <w:color w:val="000000"/>
                <w:sz w:val="20"/>
              </w:rPr>
              <w:t xml:space="preserve"> </w:t>
            </w:r>
          </w:p>
          <w:p>
            <w:pPr>
              <w:pStyle w:val="TableContents"/>
              <w:bidi w:val="0"/>
              <w:spacing w:before="0" w:after="20"/>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 November 7, 2023</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mnkd-ex32_1.htm"/>
      <w:bookmarkStart w:id="27" w:name="ksmnkdex32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val="false"/>
          <w:color w:val="000000"/>
          <w:sz w:val="20"/>
        </w:rPr>
        <w:t>CERTIFICATION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RULE 13a-14(b) OR 15d-14(b) OF THE SECURITIES EXCHANGE ACT OF 1934, AS AMENDED, AND SECTION 1350 OF</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val="false"/>
          <w:color w:val="000000"/>
          <w:sz w:val="20"/>
        </w:rPr>
        <w:t>CHAPTER 63 OF TITLE 18 OF THE UNITED STATES CODE (18 U.S.C. § 1350)</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filing of the quarterly report of MannKind Corporation (the “Company”) on Form 10-Q for the quarterly period ended September 30, 2023,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1. The Report fully complies with the requirements of Section 13(a) or Section 15(d) of the Exchange Act,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Witness Whereof, the undersigned has set his hand hereto as of the 7th day of November, 2023.</w:t>
      </w:r>
      <w:r>
        <w:rPr>
          <w:rFonts w:ascii="Times New Roman" w:hAnsi="Times New Roman"/>
          <w:color w:val="000000"/>
          <w:sz w:val="20"/>
        </w:rPr>
        <w:t xml:space="preserve"> </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pPr>
            <w:r>
              <w:rPr/>
              <w:t> </w:t>
            </w:r>
          </w:p>
        </w:tc>
      </w:tr>
      <w:tr>
        <w:trPr/>
        <w:tc>
          <w:tcPr>
            <w:tcW w:w="2086" w:type="dxa"/>
            <w:tcBorders/>
            <w:vAlign w:val="center"/>
          </w:tcPr>
          <w:p>
            <w:pPr>
              <w:pStyle w:val="TableContents"/>
              <w:pBdr>
                <w:bottom w:val="single" w:sz="6" w:space="1" w:color="000000"/>
              </w:pBdr>
              <w:bidi w:val="0"/>
              <w:spacing w:before="0" w:after="283"/>
              <w:jc w:val="left"/>
              <w:rPr>
                <w:rFonts w:ascii="Times New Roman" w:hAnsi="Times New Roman"/>
                <w:b w:val="false"/>
                <w:color w:val="000000"/>
                <w:sz w:val="20"/>
              </w:rPr>
            </w:pPr>
            <w:r>
              <w:rPr>
                <w:rFonts w:ascii="Times New Roman" w:hAnsi="Times New Roman"/>
                <w:b w:val="false"/>
                <w:color w:val="000000"/>
                <w:sz w:val="20"/>
              </w:rPr>
              <w:t>/s/ Michael E. Castagna</w:t>
            </w:r>
          </w:p>
        </w:tc>
      </w:tr>
      <w:tr>
        <w:trPr/>
        <w:tc>
          <w:tcPr>
            <w:tcW w:w="20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Michael E. Castagna</w:t>
            </w:r>
          </w:p>
        </w:tc>
      </w:tr>
      <w:tr>
        <w:trPr/>
        <w:tc>
          <w:tcPr>
            <w:tcW w:w="20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
        <w:gridCol w:w="9998"/>
      </w:tblGrid>
      <w:tr>
        <w:trPr/>
        <w:tc>
          <w:tcPr>
            <w:tcW w:w="207" w:type="dxa"/>
            <w:tcBorders/>
            <w:vAlign w:val="center"/>
          </w:tcPr>
          <w:p>
            <w:pPr>
              <w:pStyle w:val="TableContents"/>
              <w:bidi w:val="0"/>
              <w:spacing w:before="0" w:after="283"/>
              <w:jc w:val="left"/>
              <w:rPr>
                <w:sz w:val="4"/>
                <w:szCs w:val="4"/>
              </w:rPr>
            </w:pPr>
            <w:r>
              <w:rPr>
                <w:sz w:val="4"/>
                <w:szCs w:val="4"/>
              </w:rPr>
            </w:r>
          </w:p>
        </w:tc>
        <w:tc>
          <w:tcPr>
            <w:tcW w:w="9998" w:type="dxa"/>
            <w:tcBorders/>
            <w:vAlign w:val="center"/>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xml:space="preserve"> </w:t>
            </w:r>
          </w:p>
        </w:tc>
        <w:tc>
          <w:tcPr>
            <w:tcW w:w="9998"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mnkd-ex32_2.htm"/>
      <w:bookmarkStart w:id="29" w:name="ksmnkdex32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val="false"/>
          <w:color w:val="000000"/>
          <w:sz w:val="20"/>
        </w:rPr>
        <w:t>CERTIFICATION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RULE 13a-14(b) OR 15d-14(b) OF THE SECURITIES EXCHANGE ACT OF 1934, AS AMENDED, AND SECTION 1350 OF</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val="false"/>
          <w:color w:val="000000"/>
          <w:sz w:val="20"/>
        </w:rPr>
        <w:t>CHAPTER 63 OF TITLE 18 OF THE UNITED STATES CODE (18 U.S.C. § 1350)</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filing of the quarterly report of MannKind Corporation (the “Company”) on Form 10-Q for the quarterly period ended September 30, 2023,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1. The Report fully complies with the requirements of Section 13(a) or Section 15(d) of the Exchange Act,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Witness Whereof, the undersigned has set his hand hereto as of the 7th day of November, 2023.</w:t>
      </w:r>
      <w:r>
        <w:rPr>
          <w:rFonts w:ascii="Times New Roman" w:hAnsi="Times New Roman"/>
          <w:color w:val="000000"/>
          <w:sz w:val="20"/>
        </w:rPr>
        <w:t xml:space="preserve"> </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 </w:t>
            </w:r>
          </w:p>
        </w:tc>
      </w:tr>
      <w:tr>
        <w:trPr/>
        <w:tc>
          <w:tcPr>
            <w:tcW w:w="2026" w:type="dxa"/>
            <w:tcBorders/>
            <w:vAlign w:val="center"/>
          </w:tcPr>
          <w:p>
            <w:pPr>
              <w:pStyle w:val="TableContents"/>
              <w:pBdr>
                <w:bottom w:val="single" w:sz="6" w:space="1" w:color="000000"/>
              </w:pBdr>
              <w:bidi w:val="0"/>
              <w:spacing w:before="0" w:after="283"/>
              <w:jc w:val="left"/>
              <w:rPr>
                <w:rFonts w:ascii="Times New Roman" w:hAnsi="Times New Roman"/>
                <w:b w:val="false"/>
                <w:color w:val="000000"/>
                <w:sz w:val="20"/>
              </w:rPr>
            </w:pPr>
            <w:r>
              <w:rPr>
                <w:rFonts w:ascii="Times New Roman" w:hAnsi="Times New Roman"/>
                <w:b w:val="false"/>
                <w:color w:val="000000"/>
                <w:sz w:val="20"/>
              </w:rPr>
              <w:t>/s/ Steven B. Binder</w:t>
            </w:r>
          </w:p>
        </w:tc>
      </w:tr>
      <w:tr>
        <w:trPr/>
        <w:tc>
          <w:tcPr>
            <w:tcW w:w="20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Steven B. Binder</w:t>
            </w:r>
          </w:p>
        </w:tc>
      </w:tr>
      <w:tr>
        <w:trPr/>
        <w:tc>
          <w:tcPr>
            <w:tcW w:w="20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
        <w:gridCol w:w="9998"/>
      </w:tblGrid>
      <w:tr>
        <w:trPr/>
        <w:tc>
          <w:tcPr>
            <w:tcW w:w="207" w:type="dxa"/>
            <w:tcBorders/>
            <w:vAlign w:val="center"/>
          </w:tcPr>
          <w:p>
            <w:pPr>
              <w:pStyle w:val="TableContents"/>
              <w:bidi w:val="0"/>
              <w:spacing w:before="0" w:after="283"/>
              <w:jc w:val="left"/>
              <w:rPr>
                <w:sz w:val="4"/>
                <w:szCs w:val="4"/>
              </w:rPr>
            </w:pPr>
            <w:r>
              <w:rPr>
                <w:sz w:val="4"/>
                <w:szCs w:val="4"/>
              </w:rPr>
            </w:r>
          </w:p>
        </w:tc>
        <w:tc>
          <w:tcPr>
            <w:tcW w:w="9998" w:type="dxa"/>
            <w:tcBorders/>
            <w:vAlign w:val="center"/>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xml:space="preserve"> </w:t>
            </w:r>
          </w:p>
        </w:tc>
        <w:tc>
          <w:tcPr>
            <w:tcW w:w="9998"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99460/000119312516676980/d225552dex31.htm" TargetMode="External"/><Relationship Id="rId3" Type="http://schemas.openxmlformats.org/officeDocument/2006/relationships/hyperlink" Target="https://www.sec.gov/Archives/edgar/data/899460/000119312517066630/d313758dex31.htm" TargetMode="External"/><Relationship Id="rId4" Type="http://schemas.openxmlformats.org/officeDocument/2006/relationships/hyperlink" Target="https://www.sec.gov/Archives/edgar/data/899460/000119312517368329/d511527dex31.htm" TargetMode="External"/><Relationship Id="rId5" Type="http://schemas.openxmlformats.org/officeDocument/2006/relationships/hyperlink" Target="https://www.sec.gov/Archives/edgar/data/899460/000119312520153051/d936164dex31.htm" TargetMode="External"/><Relationship Id="rId6" Type="http://schemas.openxmlformats.org/officeDocument/2006/relationships/hyperlink" Target="https://www.sec.gov/Archives/edgar/data/899460/000119312523156575/d473553dex31.htm" TargetMode="External"/><Relationship Id="rId7" Type="http://schemas.openxmlformats.org/officeDocument/2006/relationships/hyperlink" Target="https://www.sec.gov/Archives/edgar/data/899460/000119312520153051/d936164dex32.htm" TargetMode="External"/><Relationship Id="rId8" Type="http://schemas.openxmlformats.org/officeDocument/2006/relationships/hyperlink" Target="https://www.sec.gov/Archives/edgar/data/899460/000119312516676980/d225552dex31.htm" TargetMode="External"/><Relationship Id="rId9" Type="http://schemas.openxmlformats.org/officeDocument/2006/relationships/hyperlink" Target="https://www.sec.gov/Archives/edgar/data/899460/000119312517066630/d313758dex31.htm" TargetMode="External"/><Relationship Id="rId10" Type="http://schemas.openxmlformats.org/officeDocument/2006/relationships/hyperlink" Target="https://www.sec.gov/Archives/edgar/data/899460/000119312517368329/d511527dex31.htm" TargetMode="External"/><Relationship Id="rId11" Type="http://schemas.openxmlformats.org/officeDocument/2006/relationships/hyperlink" Target="https://www.sec.gov/Archives/edgar/data/899460/000119312520153051/d936164dex31.htm" TargetMode="External"/><Relationship Id="rId12" Type="http://schemas.openxmlformats.org/officeDocument/2006/relationships/hyperlink" Target="https://www.sec.gov/Archives/edgar/data/899460/000119312520153051/d936164dex32.htm" TargetMode="External"/><Relationship Id="rId13" Type="http://schemas.openxmlformats.org/officeDocument/2006/relationships/hyperlink" Target="https://www.sec.gov/Archives/edgar/data/899460/000119312520153051/d936164dex32.htm" TargetMode="External"/><Relationship Id="rId14" Type="http://schemas.openxmlformats.org/officeDocument/2006/relationships/hyperlink" Target="https://www.sec.gov/Archives/edgar/data/899460/000119312517085519/d305327dex42.htm" TargetMode="External"/><Relationship Id="rId15" Type="http://schemas.openxmlformats.org/officeDocument/2006/relationships/hyperlink" Target="https://www.sec.gov/Archives/edgar/data/899460/000119312513279522/d562665dex993.htm" TargetMode="External"/><Relationship Id="rId16" Type="http://schemas.openxmlformats.org/officeDocument/2006/relationships/hyperlink" Target="https://www.sec.gov/Archives/edgar/data/899460/000119312519215305/d757696dex41.htm" TargetMode="External"/><Relationship Id="rId17" Type="http://schemas.openxmlformats.org/officeDocument/2006/relationships/hyperlink" Target="https://www.sec.gov/Archives/edgar/data/899460/000119312519215305/d757696dex46.htm" TargetMode="External"/><Relationship Id="rId18" Type="http://schemas.openxmlformats.org/officeDocument/2006/relationships/hyperlink" Target="https://www.sec.gov/Archives/edgar/data/0000899460/000119312521130221/d174090dex992.htm" TargetMode="External"/><Relationship Id="rId19" Type="http://schemas.openxmlformats.org/officeDocument/2006/relationships/hyperlink" Target="https://www.sec.gov/Archives/edgar/data/899460/000119312519215305/d757696dex47.htm" TargetMode="External"/><Relationship Id="rId20" Type="http://schemas.openxmlformats.org/officeDocument/2006/relationships/hyperlink" Target="https://www.sec.gov/Archives/edgar/data/899460/000119312521070265/d45565dex41.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54686</Words>
  <Characters>302767</Characters>
  <CharactersWithSpaces>358867</CharactersWithSpaces>
  <Paragraphs>7759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